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3E155" w14:textId="7C9DBCFE" w:rsidR="00317653" w:rsidRPr="002A1252" w:rsidRDefault="002A1252" w:rsidP="002A1252">
      <w:pPr>
        <w:ind w:left="8640" w:firstLine="720"/>
        <w:jc w:val="center"/>
        <w:rPr>
          <w:szCs w:val="24"/>
        </w:rPr>
      </w:pPr>
      <w:r>
        <w:rPr>
          <w:szCs w:val="24"/>
        </w:rPr>
        <w:t>(</w:t>
      </w:r>
      <w:r w:rsidR="00DC198D" w:rsidRPr="002A1252">
        <w:rPr>
          <w:szCs w:val="24"/>
        </w:rPr>
        <w:t xml:space="preserve">Ministru kabineta </w:t>
      </w:r>
    </w:p>
    <w:p w14:paraId="369B9E43" w14:textId="77777777" w:rsidR="002A1252" w:rsidRDefault="008B2CD4" w:rsidP="002A1252">
      <w:pPr>
        <w:ind w:left="10800"/>
        <w:rPr>
          <w:szCs w:val="24"/>
        </w:rPr>
      </w:pPr>
      <w:r w:rsidRPr="002A1252">
        <w:rPr>
          <w:szCs w:val="24"/>
        </w:rPr>
        <w:t>2018. gada  </w:t>
      </w:r>
      <w:r w:rsidR="002A1252" w:rsidRPr="002A1252">
        <w:rPr>
          <w:szCs w:val="24"/>
        </w:rPr>
        <w:t>11.oktobra</w:t>
      </w:r>
      <w:r w:rsidR="002A1252">
        <w:rPr>
          <w:szCs w:val="24"/>
        </w:rPr>
        <w:t>    </w:t>
      </w:r>
    </w:p>
    <w:p w14:paraId="3371760A" w14:textId="64C9B366" w:rsidR="008B2CD4" w:rsidRPr="002A1252" w:rsidRDefault="002A1252" w:rsidP="002A1252">
      <w:pPr>
        <w:ind w:left="10800"/>
        <w:rPr>
          <w:szCs w:val="24"/>
        </w:rPr>
      </w:pPr>
      <w:r>
        <w:rPr>
          <w:szCs w:val="24"/>
        </w:rPr>
        <w:t>rīkojumu</w:t>
      </w:r>
      <w:r w:rsidRPr="002A1252">
        <w:rPr>
          <w:szCs w:val="24"/>
        </w:rPr>
        <w:t xml:space="preserve"> Nr. 512</w:t>
      </w:r>
      <w:r>
        <w:rPr>
          <w:szCs w:val="24"/>
        </w:rPr>
        <w:t>)</w:t>
      </w:r>
      <w:r w:rsidR="008B2CD4" w:rsidRPr="002A1252">
        <w:rPr>
          <w:szCs w:val="24"/>
        </w:rPr>
        <w:t>  </w:t>
      </w:r>
    </w:p>
    <w:p w14:paraId="74D83A77" w14:textId="26C37523" w:rsidR="00DC198D" w:rsidRPr="00317653" w:rsidRDefault="00DC198D" w:rsidP="00C65884">
      <w:pPr>
        <w:jc w:val="right"/>
        <w:rPr>
          <w:sz w:val="26"/>
          <w:szCs w:val="26"/>
        </w:rPr>
      </w:pPr>
    </w:p>
    <w:p w14:paraId="2647D71A" w14:textId="77777777" w:rsidR="00DC198D" w:rsidRDefault="00DC198D" w:rsidP="00C65884">
      <w:pPr>
        <w:jc w:val="right"/>
        <w:rPr>
          <w:b/>
          <w:sz w:val="28"/>
          <w:szCs w:val="28"/>
        </w:rPr>
      </w:pPr>
    </w:p>
    <w:p w14:paraId="2D13BB44" w14:textId="1FA776FF" w:rsidR="00981EC9" w:rsidRDefault="00981EC9" w:rsidP="00C65884">
      <w:pPr>
        <w:jc w:val="right"/>
        <w:rPr>
          <w:b/>
          <w:sz w:val="28"/>
          <w:szCs w:val="28"/>
        </w:rPr>
      </w:pPr>
    </w:p>
    <w:p w14:paraId="768CE51B" w14:textId="3E5AE373" w:rsidR="008B2CD4" w:rsidRDefault="008B2CD4" w:rsidP="00C65884">
      <w:pPr>
        <w:jc w:val="right"/>
        <w:rPr>
          <w:b/>
          <w:sz w:val="28"/>
          <w:szCs w:val="28"/>
        </w:rPr>
      </w:pPr>
    </w:p>
    <w:p w14:paraId="3FD49263" w14:textId="2E1946C5" w:rsidR="008B2CD4" w:rsidRDefault="008B2CD4" w:rsidP="00C65884">
      <w:pPr>
        <w:jc w:val="right"/>
        <w:rPr>
          <w:b/>
          <w:sz w:val="28"/>
          <w:szCs w:val="28"/>
        </w:rPr>
      </w:pPr>
    </w:p>
    <w:p w14:paraId="1ABCB368" w14:textId="2010CDD5" w:rsidR="008B2CD4" w:rsidRDefault="008B2CD4" w:rsidP="00C65884">
      <w:pPr>
        <w:jc w:val="right"/>
        <w:rPr>
          <w:b/>
          <w:sz w:val="28"/>
          <w:szCs w:val="28"/>
        </w:rPr>
      </w:pPr>
    </w:p>
    <w:p w14:paraId="3FB5183B" w14:textId="6758E3DC" w:rsidR="008B2CD4" w:rsidRDefault="008B2CD4" w:rsidP="00C65884">
      <w:pPr>
        <w:jc w:val="right"/>
        <w:rPr>
          <w:b/>
          <w:sz w:val="28"/>
          <w:szCs w:val="28"/>
        </w:rPr>
      </w:pPr>
    </w:p>
    <w:p w14:paraId="582A5A4B" w14:textId="77777777" w:rsidR="008B2CD4" w:rsidRDefault="008B2CD4" w:rsidP="00C65884">
      <w:pPr>
        <w:jc w:val="right"/>
        <w:rPr>
          <w:b/>
          <w:sz w:val="28"/>
          <w:szCs w:val="28"/>
        </w:rPr>
      </w:pPr>
    </w:p>
    <w:p w14:paraId="6903E9BB" w14:textId="33BC3BF0" w:rsidR="00E517B7" w:rsidRPr="00FC0326" w:rsidRDefault="008516C8" w:rsidP="00615E3B">
      <w:pPr>
        <w:jc w:val="center"/>
        <w:rPr>
          <w:b/>
          <w:sz w:val="28"/>
          <w:szCs w:val="28"/>
        </w:rPr>
      </w:pPr>
      <w:r w:rsidRPr="00FC0326">
        <w:rPr>
          <w:b/>
          <w:sz w:val="28"/>
          <w:szCs w:val="28"/>
        </w:rPr>
        <w:t xml:space="preserve">Pasākumu plāns noziedzīgi </w:t>
      </w:r>
      <w:r w:rsidR="00E517B7" w:rsidRPr="00FC0326">
        <w:rPr>
          <w:b/>
          <w:sz w:val="28"/>
          <w:szCs w:val="28"/>
        </w:rPr>
        <w:t>iegūtu līdzekļu legalizācijas un terorisma finansēšanas</w:t>
      </w:r>
      <w:r w:rsidRPr="00FC0326">
        <w:rPr>
          <w:b/>
          <w:sz w:val="28"/>
          <w:szCs w:val="28"/>
        </w:rPr>
        <w:t xml:space="preserve"> </w:t>
      </w:r>
      <w:r w:rsidR="00615E3B" w:rsidRPr="00FC0326">
        <w:rPr>
          <w:b/>
          <w:sz w:val="28"/>
          <w:szCs w:val="28"/>
        </w:rPr>
        <w:t xml:space="preserve">novēršanai </w:t>
      </w:r>
      <w:r w:rsidR="001B243A" w:rsidRPr="00FC0326">
        <w:rPr>
          <w:b/>
          <w:sz w:val="28"/>
          <w:szCs w:val="28"/>
        </w:rPr>
        <w:t>laikp</w:t>
      </w:r>
      <w:r w:rsidR="008A0FDA">
        <w:rPr>
          <w:b/>
          <w:sz w:val="28"/>
          <w:szCs w:val="28"/>
        </w:rPr>
        <w:t>osm</w:t>
      </w:r>
      <w:r w:rsidR="001B243A" w:rsidRPr="00FC0326">
        <w:rPr>
          <w:b/>
          <w:sz w:val="28"/>
          <w:szCs w:val="28"/>
        </w:rPr>
        <w:t xml:space="preserve">am līdz </w:t>
      </w:r>
      <w:r w:rsidR="00615E3B" w:rsidRPr="00FC0326">
        <w:rPr>
          <w:b/>
          <w:sz w:val="28"/>
          <w:szCs w:val="28"/>
        </w:rPr>
        <w:t>2019.</w:t>
      </w:r>
      <w:r w:rsidR="008B2CD4">
        <w:rPr>
          <w:b/>
          <w:sz w:val="28"/>
          <w:szCs w:val="28"/>
        </w:rPr>
        <w:t> </w:t>
      </w:r>
      <w:r w:rsidR="001B243A" w:rsidRPr="00FC0326">
        <w:rPr>
          <w:b/>
          <w:sz w:val="28"/>
          <w:szCs w:val="28"/>
        </w:rPr>
        <w:t>gada 31.</w:t>
      </w:r>
      <w:r w:rsidR="008B2CD4">
        <w:rPr>
          <w:b/>
          <w:sz w:val="28"/>
          <w:szCs w:val="28"/>
        </w:rPr>
        <w:t> </w:t>
      </w:r>
      <w:r w:rsidR="001B243A" w:rsidRPr="00FC0326">
        <w:rPr>
          <w:b/>
          <w:sz w:val="28"/>
          <w:szCs w:val="28"/>
        </w:rPr>
        <w:t>decembrim</w:t>
      </w:r>
    </w:p>
    <w:p w14:paraId="562A9674" w14:textId="77777777" w:rsidR="00E517B7" w:rsidRPr="00FC0326" w:rsidRDefault="00E517B7" w:rsidP="00232E53">
      <w:pPr>
        <w:jc w:val="both"/>
        <w:rPr>
          <w:sz w:val="28"/>
          <w:szCs w:val="28"/>
        </w:rPr>
      </w:pPr>
    </w:p>
    <w:p w14:paraId="3ADAD315" w14:textId="77777777" w:rsidR="00E56FA2" w:rsidRDefault="00E56FA2" w:rsidP="00232E53">
      <w:pPr>
        <w:jc w:val="both"/>
        <w:rPr>
          <w:b/>
          <w:sz w:val="28"/>
          <w:szCs w:val="28"/>
        </w:rPr>
      </w:pPr>
    </w:p>
    <w:p w14:paraId="77E09887" w14:textId="77777777" w:rsidR="00E56FA2" w:rsidRDefault="00E56FA2" w:rsidP="00232E53">
      <w:pPr>
        <w:jc w:val="both"/>
        <w:rPr>
          <w:b/>
          <w:sz w:val="28"/>
          <w:szCs w:val="28"/>
        </w:rPr>
      </w:pPr>
    </w:p>
    <w:p w14:paraId="7E487351" w14:textId="77777777" w:rsidR="00E56FA2" w:rsidRDefault="00E56FA2" w:rsidP="00232E53">
      <w:pPr>
        <w:jc w:val="both"/>
        <w:rPr>
          <w:b/>
          <w:sz w:val="28"/>
          <w:szCs w:val="28"/>
        </w:rPr>
      </w:pPr>
    </w:p>
    <w:p w14:paraId="3C7CE96E" w14:textId="77777777" w:rsidR="00E56FA2" w:rsidRDefault="00E56FA2" w:rsidP="00232E53">
      <w:pPr>
        <w:jc w:val="both"/>
        <w:rPr>
          <w:b/>
          <w:sz w:val="28"/>
          <w:szCs w:val="28"/>
        </w:rPr>
        <w:sectPr w:rsidR="00E56FA2" w:rsidSect="008B2CD4">
          <w:headerReference w:type="default" r:id="rId10"/>
          <w:pgSz w:w="16838" w:h="11906" w:orient="landscape"/>
          <w:pgMar w:top="1276" w:right="1440" w:bottom="1800" w:left="1440" w:header="708" w:footer="708" w:gutter="0"/>
          <w:cols w:space="708"/>
          <w:titlePg/>
          <w:docGrid w:linePitch="360"/>
        </w:sectPr>
      </w:pPr>
    </w:p>
    <w:sdt>
      <w:sdtPr>
        <w:rPr>
          <w:rFonts w:ascii="Times New Roman" w:eastAsiaTheme="minorHAnsi" w:hAnsi="Times New Roman" w:cstheme="minorBidi"/>
          <w:color w:val="auto"/>
          <w:sz w:val="24"/>
          <w:szCs w:val="22"/>
          <w:lang w:val="lv-LV"/>
        </w:rPr>
        <w:id w:val="-710647662"/>
        <w:docPartObj>
          <w:docPartGallery w:val="Table of Contents"/>
          <w:docPartUnique/>
        </w:docPartObj>
      </w:sdtPr>
      <w:sdtEndPr>
        <w:rPr>
          <w:b/>
          <w:bCs/>
          <w:noProof/>
        </w:rPr>
      </w:sdtEndPr>
      <w:sdtContent>
        <w:p w14:paraId="1F13F64E" w14:textId="77777777" w:rsidR="00B95F87" w:rsidRPr="00FB0D3A" w:rsidRDefault="00B95F87">
          <w:pPr>
            <w:pStyle w:val="TOCHeading"/>
            <w:rPr>
              <w:rFonts w:ascii="Times New Roman" w:hAnsi="Times New Roman" w:cs="Times New Roman"/>
              <w:b/>
              <w:color w:val="auto"/>
              <w:sz w:val="40"/>
              <w:szCs w:val="40"/>
            </w:rPr>
          </w:pPr>
          <w:r w:rsidRPr="00FB0D3A">
            <w:rPr>
              <w:rFonts w:ascii="Times New Roman" w:hAnsi="Times New Roman" w:cs="Times New Roman"/>
              <w:b/>
              <w:color w:val="auto"/>
              <w:sz w:val="40"/>
              <w:szCs w:val="40"/>
            </w:rPr>
            <w:t>Saturs</w:t>
          </w:r>
        </w:p>
        <w:p w14:paraId="5BDCE3E7" w14:textId="7B8FBF19" w:rsidR="00275CC5" w:rsidRPr="00275CC5" w:rsidRDefault="00B95F87">
          <w:pPr>
            <w:pStyle w:val="TOC1"/>
            <w:tabs>
              <w:tab w:val="right" w:leader="dot" w:pos="13948"/>
            </w:tabs>
            <w:rPr>
              <w:rFonts w:asciiTheme="minorHAnsi" w:eastAsiaTheme="minorEastAsia" w:hAnsiTheme="minorHAnsi"/>
              <w:b/>
              <w:noProof/>
              <w:sz w:val="22"/>
              <w:lang w:eastAsia="lv-LV"/>
            </w:rPr>
          </w:pPr>
          <w:r w:rsidRPr="00C65884">
            <w:rPr>
              <w:b/>
              <w:bCs/>
              <w:noProof/>
            </w:rPr>
            <w:fldChar w:fldCharType="begin"/>
          </w:r>
          <w:r w:rsidRPr="00C65884">
            <w:rPr>
              <w:b/>
              <w:bCs/>
              <w:noProof/>
            </w:rPr>
            <w:instrText xml:space="preserve"> TOC \o "1-3" \h \z \u </w:instrText>
          </w:r>
          <w:r w:rsidRPr="00C65884">
            <w:rPr>
              <w:b/>
              <w:bCs/>
              <w:noProof/>
            </w:rPr>
            <w:fldChar w:fldCharType="separate"/>
          </w:r>
          <w:hyperlink w:anchor="_Toc524977644" w:history="1">
            <w:r w:rsidR="00275CC5" w:rsidRPr="00275CC5">
              <w:rPr>
                <w:rStyle w:val="Hyperlink"/>
                <w:b/>
                <w:noProof/>
              </w:rPr>
              <w:t>Saīsinājumi</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_Toc524977644 \h </w:instrText>
            </w:r>
            <w:r w:rsidR="00275CC5" w:rsidRPr="00275CC5">
              <w:rPr>
                <w:b/>
                <w:noProof/>
                <w:webHidden/>
              </w:rPr>
            </w:r>
            <w:r w:rsidR="00275CC5" w:rsidRPr="00275CC5">
              <w:rPr>
                <w:b/>
                <w:noProof/>
                <w:webHidden/>
              </w:rPr>
              <w:fldChar w:fldCharType="separate"/>
            </w:r>
            <w:r w:rsidR="001E15FF">
              <w:rPr>
                <w:b/>
                <w:noProof/>
                <w:webHidden/>
              </w:rPr>
              <w:t>3</w:t>
            </w:r>
            <w:r w:rsidR="00275CC5" w:rsidRPr="00275CC5">
              <w:rPr>
                <w:b/>
                <w:noProof/>
                <w:webHidden/>
              </w:rPr>
              <w:fldChar w:fldCharType="end"/>
            </w:r>
          </w:hyperlink>
        </w:p>
        <w:p w14:paraId="441FFF64" w14:textId="643BD1AB" w:rsidR="00275CC5" w:rsidRPr="00275CC5" w:rsidRDefault="00D37C29">
          <w:pPr>
            <w:pStyle w:val="TOC1"/>
            <w:tabs>
              <w:tab w:val="right" w:leader="dot" w:pos="13948"/>
            </w:tabs>
            <w:rPr>
              <w:rFonts w:asciiTheme="minorHAnsi" w:eastAsiaTheme="minorEastAsia" w:hAnsiTheme="minorHAnsi"/>
              <w:b/>
              <w:noProof/>
              <w:sz w:val="22"/>
              <w:lang w:eastAsia="lv-LV"/>
            </w:rPr>
          </w:pPr>
          <w:hyperlink w:anchor="_Toc524977645" w:history="1">
            <w:r w:rsidR="00275CC5" w:rsidRPr="00275CC5">
              <w:rPr>
                <w:rStyle w:val="Hyperlink"/>
                <w:b/>
                <w:noProof/>
              </w:rPr>
              <w:t>I. Kopsavilkums</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_Toc524977645 \h </w:instrText>
            </w:r>
            <w:r w:rsidR="00275CC5" w:rsidRPr="00275CC5">
              <w:rPr>
                <w:b/>
                <w:noProof/>
                <w:webHidden/>
              </w:rPr>
            </w:r>
            <w:r w:rsidR="00275CC5" w:rsidRPr="00275CC5">
              <w:rPr>
                <w:b/>
                <w:noProof/>
                <w:webHidden/>
              </w:rPr>
              <w:fldChar w:fldCharType="separate"/>
            </w:r>
            <w:r w:rsidR="001E15FF">
              <w:rPr>
                <w:b/>
                <w:noProof/>
                <w:webHidden/>
              </w:rPr>
              <w:t>7</w:t>
            </w:r>
            <w:r w:rsidR="00275CC5" w:rsidRPr="00275CC5">
              <w:rPr>
                <w:b/>
                <w:noProof/>
                <w:webHidden/>
              </w:rPr>
              <w:fldChar w:fldCharType="end"/>
            </w:r>
          </w:hyperlink>
        </w:p>
        <w:p w14:paraId="1A957D71" w14:textId="7BFDBF29" w:rsidR="00275CC5" w:rsidRPr="00275CC5" w:rsidRDefault="00D37C29">
          <w:pPr>
            <w:pStyle w:val="TOC1"/>
            <w:tabs>
              <w:tab w:val="right" w:leader="dot" w:pos="13948"/>
            </w:tabs>
            <w:rPr>
              <w:rFonts w:asciiTheme="minorHAnsi" w:eastAsiaTheme="minorEastAsia" w:hAnsiTheme="minorHAnsi"/>
              <w:b/>
              <w:noProof/>
              <w:sz w:val="22"/>
              <w:lang w:eastAsia="lv-LV"/>
            </w:rPr>
          </w:pPr>
          <w:hyperlink w:anchor="_Toc524977646" w:history="1">
            <w:r w:rsidR="00275CC5" w:rsidRPr="00275CC5">
              <w:rPr>
                <w:rStyle w:val="Hyperlink"/>
                <w:b/>
                <w:noProof/>
              </w:rPr>
              <w:t>II. Noziedzīgi iegūtu līdzekļu legalizācijas un terorisma finansēšanas risku novērtējums</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_Toc524977646 \h </w:instrText>
            </w:r>
            <w:r w:rsidR="00275CC5" w:rsidRPr="00275CC5">
              <w:rPr>
                <w:b/>
                <w:noProof/>
                <w:webHidden/>
              </w:rPr>
            </w:r>
            <w:r w:rsidR="00275CC5" w:rsidRPr="00275CC5">
              <w:rPr>
                <w:b/>
                <w:noProof/>
                <w:webHidden/>
              </w:rPr>
              <w:fldChar w:fldCharType="separate"/>
            </w:r>
            <w:r w:rsidR="001E15FF">
              <w:rPr>
                <w:b/>
                <w:noProof/>
                <w:webHidden/>
              </w:rPr>
              <w:t>18</w:t>
            </w:r>
            <w:r w:rsidR="00275CC5" w:rsidRPr="00275CC5">
              <w:rPr>
                <w:b/>
                <w:noProof/>
                <w:webHidden/>
              </w:rPr>
              <w:fldChar w:fldCharType="end"/>
            </w:r>
          </w:hyperlink>
        </w:p>
        <w:p w14:paraId="73FA10EB" w14:textId="7AC0CD3E" w:rsidR="00275CC5" w:rsidRPr="00275CC5" w:rsidRDefault="00D37C29">
          <w:pPr>
            <w:pStyle w:val="TOC1"/>
            <w:tabs>
              <w:tab w:val="right" w:leader="dot" w:pos="13948"/>
            </w:tabs>
            <w:rPr>
              <w:rFonts w:asciiTheme="minorHAnsi" w:eastAsiaTheme="minorEastAsia" w:hAnsiTheme="minorHAnsi"/>
              <w:b/>
              <w:noProof/>
              <w:sz w:val="22"/>
              <w:lang w:eastAsia="lv-LV"/>
            </w:rPr>
          </w:pPr>
          <w:hyperlink w:anchor="_Toc524977647" w:history="1">
            <w:r w:rsidR="00275CC5" w:rsidRPr="00275CC5">
              <w:rPr>
                <w:rStyle w:val="Hyperlink"/>
                <w:b/>
                <w:noProof/>
              </w:rPr>
              <w:t>III. Esošās situācijas raksturojums</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_Toc524977647 \h </w:instrText>
            </w:r>
            <w:r w:rsidR="00275CC5" w:rsidRPr="00275CC5">
              <w:rPr>
                <w:b/>
                <w:noProof/>
                <w:webHidden/>
              </w:rPr>
            </w:r>
            <w:r w:rsidR="00275CC5" w:rsidRPr="00275CC5">
              <w:rPr>
                <w:b/>
                <w:noProof/>
                <w:webHidden/>
              </w:rPr>
              <w:fldChar w:fldCharType="separate"/>
            </w:r>
            <w:r w:rsidR="001E15FF">
              <w:rPr>
                <w:b/>
                <w:noProof/>
                <w:webHidden/>
              </w:rPr>
              <w:t>21</w:t>
            </w:r>
            <w:r w:rsidR="00275CC5" w:rsidRPr="00275CC5">
              <w:rPr>
                <w:b/>
                <w:noProof/>
                <w:webHidden/>
              </w:rPr>
              <w:fldChar w:fldCharType="end"/>
            </w:r>
          </w:hyperlink>
        </w:p>
        <w:p w14:paraId="5B680267" w14:textId="69AD4E48" w:rsidR="00275CC5" w:rsidRPr="00275CC5" w:rsidRDefault="00D37C29">
          <w:pPr>
            <w:pStyle w:val="TOC1"/>
            <w:tabs>
              <w:tab w:val="right" w:leader="dot" w:pos="13948"/>
            </w:tabs>
            <w:rPr>
              <w:rFonts w:asciiTheme="minorHAnsi" w:eastAsiaTheme="minorEastAsia" w:hAnsiTheme="minorHAnsi"/>
              <w:b/>
              <w:noProof/>
              <w:sz w:val="22"/>
              <w:lang w:eastAsia="lv-LV"/>
            </w:rPr>
          </w:pPr>
          <w:hyperlink w:anchor="_Toc524977648" w:history="1">
            <w:r w:rsidR="00275CC5" w:rsidRPr="00275CC5">
              <w:rPr>
                <w:rStyle w:val="Hyperlink"/>
                <w:b/>
                <w:noProof/>
              </w:rPr>
              <w:t>IV. Plāna mērķis un rīcības virzieni</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_Toc524977648 \h </w:instrText>
            </w:r>
            <w:r w:rsidR="00275CC5" w:rsidRPr="00275CC5">
              <w:rPr>
                <w:b/>
                <w:noProof/>
                <w:webHidden/>
              </w:rPr>
            </w:r>
            <w:r w:rsidR="00275CC5" w:rsidRPr="00275CC5">
              <w:rPr>
                <w:b/>
                <w:noProof/>
                <w:webHidden/>
              </w:rPr>
              <w:fldChar w:fldCharType="separate"/>
            </w:r>
            <w:r w:rsidR="001E15FF">
              <w:rPr>
                <w:b/>
                <w:noProof/>
                <w:webHidden/>
              </w:rPr>
              <w:t>30</w:t>
            </w:r>
            <w:r w:rsidR="00275CC5" w:rsidRPr="00275CC5">
              <w:rPr>
                <w:b/>
                <w:noProof/>
                <w:webHidden/>
              </w:rPr>
              <w:fldChar w:fldCharType="end"/>
            </w:r>
          </w:hyperlink>
        </w:p>
        <w:p w14:paraId="40310D26" w14:textId="1763669B" w:rsidR="00275CC5" w:rsidRPr="00275CC5" w:rsidRDefault="00D37C29">
          <w:pPr>
            <w:pStyle w:val="TOC2"/>
            <w:tabs>
              <w:tab w:val="right" w:leader="dot" w:pos="13948"/>
            </w:tabs>
            <w:rPr>
              <w:rFonts w:asciiTheme="minorHAnsi" w:eastAsiaTheme="minorEastAsia" w:hAnsiTheme="minorHAnsi"/>
              <w:b/>
              <w:noProof/>
              <w:sz w:val="22"/>
              <w:lang w:eastAsia="lv-LV"/>
            </w:rPr>
          </w:pPr>
          <w:hyperlink w:anchor="_Toc524977649" w:history="1">
            <w:r w:rsidR="00275CC5" w:rsidRPr="00275CC5">
              <w:rPr>
                <w:rStyle w:val="Hyperlink"/>
                <w:rFonts w:cs="Times New Roman"/>
                <w:b/>
                <w:noProof/>
              </w:rPr>
              <w:t>1.rīcības virziens – Riski, politika un koordinācija</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_Toc524977649 \h </w:instrText>
            </w:r>
            <w:r w:rsidR="00275CC5" w:rsidRPr="00275CC5">
              <w:rPr>
                <w:b/>
                <w:noProof/>
                <w:webHidden/>
              </w:rPr>
            </w:r>
            <w:r w:rsidR="00275CC5" w:rsidRPr="00275CC5">
              <w:rPr>
                <w:b/>
                <w:noProof/>
                <w:webHidden/>
              </w:rPr>
              <w:fldChar w:fldCharType="separate"/>
            </w:r>
            <w:r w:rsidR="001E15FF">
              <w:rPr>
                <w:b/>
                <w:noProof/>
                <w:webHidden/>
              </w:rPr>
              <w:t>30</w:t>
            </w:r>
            <w:r w:rsidR="00275CC5" w:rsidRPr="00275CC5">
              <w:rPr>
                <w:b/>
                <w:noProof/>
                <w:webHidden/>
              </w:rPr>
              <w:fldChar w:fldCharType="end"/>
            </w:r>
          </w:hyperlink>
        </w:p>
        <w:p w14:paraId="34D23B94" w14:textId="28E6DB5A" w:rsidR="00275CC5" w:rsidRPr="00275CC5" w:rsidRDefault="00D37C29">
          <w:pPr>
            <w:pStyle w:val="TOC2"/>
            <w:tabs>
              <w:tab w:val="right" w:leader="dot" w:pos="13948"/>
            </w:tabs>
            <w:rPr>
              <w:rFonts w:asciiTheme="minorHAnsi" w:eastAsiaTheme="minorEastAsia" w:hAnsiTheme="minorHAnsi"/>
              <w:b/>
              <w:noProof/>
              <w:sz w:val="22"/>
              <w:lang w:eastAsia="lv-LV"/>
            </w:rPr>
          </w:pPr>
          <w:hyperlink w:anchor="_Toc524977650" w:history="1">
            <w:r w:rsidR="00275CC5" w:rsidRPr="00275CC5">
              <w:rPr>
                <w:rStyle w:val="Hyperlink"/>
                <w:rFonts w:cs="Times New Roman"/>
                <w:b/>
                <w:noProof/>
              </w:rPr>
              <w:t>2.rīcības virziens – Starptautiskā sadarbība</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_Toc524977650 \h </w:instrText>
            </w:r>
            <w:r w:rsidR="00275CC5" w:rsidRPr="00275CC5">
              <w:rPr>
                <w:b/>
                <w:noProof/>
                <w:webHidden/>
              </w:rPr>
            </w:r>
            <w:r w:rsidR="00275CC5" w:rsidRPr="00275CC5">
              <w:rPr>
                <w:b/>
                <w:noProof/>
                <w:webHidden/>
              </w:rPr>
              <w:fldChar w:fldCharType="separate"/>
            </w:r>
            <w:r w:rsidR="001E15FF">
              <w:rPr>
                <w:b/>
                <w:noProof/>
                <w:webHidden/>
              </w:rPr>
              <w:t>35</w:t>
            </w:r>
            <w:r w:rsidR="00275CC5" w:rsidRPr="00275CC5">
              <w:rPr>
                <w:b/>
                <w:noProof/>
                <w:webHidden/>
              </w:rPr>
              <w:fldChar w:fldCharType="end"/>
            </w:r>
          </w:hyperlink>
        </w:p>
        <w:p w14:paraId="00446F44" w14:textId="4D453781" w:rsidR="00275CC5" w:rsidRPr="00275CC5" w:rsidRDefault="00D37C29">
          <w:pPr>
            <w:pStyle w:val="TOC2"/>
            <w:tabs>
              <w:tab w:val="right" w:leader="dot" w:pos="13948"/>
            </w:tabs>
            <w:rPr>
              <w:rFonts w:asciiTheme="minorHAnsi" w:eastAsiaTheme="minorEastAsia" w:hAnsiTheme="minorHAnsi"/>
              <w:b/>
              <w:noProof/>
              <w:sz w:val="22"/>
              <w:lang w:eastAsia="lv-LV"/>
            </w:rPr>
          </w:pPr>
          <w:hyperlink w:anchor="_Toc524977651" w:history="1">
            <w:r w:rsidR="00275CC5" w:rsidRPr="00275CC5">
              <w:rPr>
                <w:rStyle w:val="Hyperlink"/>
                <w:rFonts w:cs="Times New Roman"/>
                <w:b/>
                <w:noProof/>
              </w:rPr>
              <w:t>3.rīcības virziens – Uzraudzība</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_Toc524977651 \h </w:instrText>
            </w:r>
            <w:r w:rsidR="00275CC5" w:rsidRPr="00275CC5">
              <w:rPr>
                <w:b/>
                <w:noProof/>
                <w:webHidden/>
              </w:rPr>
            </w:r>
            <w:r w:rsidR="00275CC5" w:rsidRPr="00275CC5">
              <w:rPr>
                <w:b/>
                <w:noProof/>
                <w:webHidden/>
              </w:rPr>
              <w:fldChar w:fldCharType="separate"/>
            </w:r>
            <w:r w:rsidR="001E15FF">
              <w:rPr>
                <w:b/>
                <w:noProof/>
                <w:webHidden/>
              </w:rPr>
              <w:t>37</w:t>
            </w:r>
            <w:r w:rsidR="00275CC5" w:rsidRPr="00275CC5">
              <w:rPr>
                <w:b/>
                <w:noProof/>
                <w:webHidden/>
              </w:rPr>
              <w:fldChar w:fldCharType="end"/>
            </w:r>
          </w:hyperlink>
        </w:p>
        <w:p w14:paraId="5C6D36A7" w14:textId="09B11ACD" w:rsidR="00275CC5" w:rsidRPr="00275CC5" w:rsidRDefault="00D37C29">
          <w:pPr>
            <w:pStyle w:val="TOC2"/>
            <w:tabs>
              <w:tab w:val="right" w:leader="dot" w:pos="13948"/>
            </w:tabs>
            <w:rPr>
              <w:rFonts w:asciiTheme="minorHAnsi" w:eastAsiaTheme="minorEastAsia" w:hAnsiTheme="minorHAnsi"/>
              <w:b/>
              <w:noProof/>
              <w:sz w:val="22"/>
              <w:lang w:eastAsia="lv-LV"/>
            </w:rPr>
          </w:pPr>
          <w:hyperlink w:anchor="_Toc524977652" w:history="1">
            <w:r w:rsidR="00275CC5" w:rsidRPr="00275CC5">
              <w:rPr>
                <w:rStyle w:val="Hyperlink"/>
                <w:rFonts w:cs="Times New Roman"/>
                <w:b/>
                <w:noProof/>
              </w:rPr>
              <w:t>4.rīcības virziens – Preventīvie pasākumi</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_Toc524977652 \h </w:instrText>
            </w:r>
            <w:r w:rsidR="00275CC5" w:rsidRPr="00275CC5">
              <w:rPr>
                <w:b/>
                <w:noProof/>
                <w:webHidden/>
              </w:rPr>
            </w:r>
            <w:r w:rsidR="00275CC5" w:rsidRPr="00275CC5">
              <w:rPr>
                <w:b/>
                <w:noProof/>
                <w:webHidden/>
              </w:rPr>
              <w:fldChar w:fldCharType="separate"/>
            </w:r>
            <w:r w:rsidR="001E15FF">
              <w:rPr>
                <w:b/>
                <w:noProof/>
                <w:webHidden/>
              </w:rPr>
              <w:t>42</w:t>
            </w:r>
            <w:r w:rsidR="00275CC5" w:rsidRPr="00275CC5">
              <w:rPr>
                <w:b/>
                <w:noProof/>
                <w:webHidden/>
              </w:rPr>
              <w:fldChar w:fldCharType="end"/>
            </w:r>
          </w:hyperlink>
        </w:p>
        <w:p w14:paraId="64D6924A" w14:textId="2D8E8B29" w:rsidR="00275CC5" w:rsidRPr="00275CC5" w:rsidRDefault="00D37C29">
          <w:pPr>
            <w:pStyle w:val="TOC2"/>
            <w:tabs>
              <w:tab w:val="right" w:leader="dot" w:pos="13948"/>
            </w:tabs>
            <w:rPr>
              <w:rFonts w:asciiTheme="minorHAnsi" w:eastAsiaTheme="minorEastAsia" w:hAnsiTheme="minorHAnsi"/>
              <w:b/>
              <w:noProof/>
              <w:sz w:val="22"/>
              <w:lang w:eastAsia="lv-LV"/>
            </w:rPr>
          </w:pPr>
          <w:hyperlink w:anchor="_Toc524977653" w:history="1">
            <w:r w:rsidR="00275CC5" w:rsidRPr="00275CC5">
              <w:rPr>
                <w:rStyle w:val="Hyperlink"/>
                <w:rFonts w:cs="Times New Roman"/>
                <w:b/>
                <w:noProof/>
              </w:rPr>
              <w:t>5.rīcības virziens – Juridiskās personas un veidojumi</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_Toc524977653 \h </w:instrText>
            </w:r>
            <w:r w:rsidR="00275CC5" w:rsidRPr="00275CC5">
              <w:rPr>
                <w:b/>
                <w:noProof/>
                <w:webHidden/>
              </w:rPr>
            </w:r>
            <w:r w:rsidR="00275CC5" w:rsidRPr="00275CC5">
              <w:rPr>
                <w:b/>
                <w:noProof/>
                <w:webHidden/>
              </w:rPr>
              <w:fldChar w:fldCharType="separate"/>
            </w:r>
            <w:r w:rsidR="001E15FF">
              <w:rPr>
                <w:b/>
                <w:noProof/>
                <w:webHidden/>
              </w:rPr>
              <w:t>46</w:t>
            </w:r>
            <w:r w:rsidR="00275CC5" w:rsidRPr="00275CC5">
              <w:rPr>
                <w:b/>
                <w:noProof/>
                <w:webHidden/>
              </w:rPr>
              <w:fldChar w:fldCharType="end"/>
            </w:r>
          </w:hyperlink>
        </w:p>
        <w:p w14:paraId="16B6FF25" w14:textId="74625F9C" w:rsidR="00275CC5" w:rsidRPr="00275CC5" w:rsidRDefault="00D37C29">
          <w:pPr>
            <w:pStyle w:val="TOC2"/>
            <w:tabs>
              <w:tab w:val="right" w:leader="dot" w:pos="13948"/>
            </w:tabs>
            <w:rPr>
              <w:rFonts w:asciiTheme="minorHAnsi" w:eastAsiaTheme="minorEastAsia" w:hAnsiTheme="minorHAnsi"/>
              <w:b/>
              <w:noProof/>
              <w:sz w:val="22"/>
              <w:lang w:eastAsia="lv-LV"/>
            </w:rPr>
          </w:pPr>
          <w:hyperlink w:anchor="_Toc524977654" w:history="1">
            <w:r w:rsidR="00275CC5" w:rsidRPr="00275CC5">
              <w:rPr>
                <w:rStyle w:val="Hyperlink"/>
                <w:rFonts w:cs="Times New Roman"/>
                <w:b/>
                <w:noProof/>
              </w:rPr>
              <w:t>6.rīcības virziens – Finanšu izlūkošana</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_Toc524977654 \h </w:instrText>
            </w:r>
            <w:r w:rsidR="00275CC5" w:rsidRPr="00275CC5">
              <w:rPr>
                <w:b/>
                <w:noProof/>
                <w:webHidden/>
              </w:rPr>
            </w:r>
            <w:r w:rsidR="00275CC5" w:rsidRPr="00275CC5">
              <w:rPr>
                <w:b/>
                <w:noProof/>
                <w:webHidden/>
              </w:rPr>
              <w:fldChar w:fldCharType="separate"/>
            </w:r>
            <w:r w:rsidR="001E15FF">
              <w:rPr>
                <w:b/>
                <w:noProof/>
                <w:webHidden/>
              </w:rPr>
              <w:t>53</w:t>
            </w:r>
            <w:r w:rsidR="00275CC5" w:rsidRPr="00275CC5">
              <w:rPr>
                <w:b/>
                <w:noProof/>
                <w:webHidden/>
              </w:rPr>
              <w:fldChar w:fldCharType="end"/>
            </w:r>
          </w:hyperlink>
        </w:p>
        <w:p w14:paraId="0566F541" w14:textId="403E5789" w:rsidR="00275CC5" w:rsidRPr="00275CC5" w:rsidRDefault="00D37C29">
          <w:pPr>
            <w:pStyle w:val="TOC2"/>
            <w:tabs>
              <w:tab w:val="right" w:leader="dot" w:pos="13948"/>
            </w:tabs>
            <w:rPr>
              <w:rFonts w:asciiTheme="minorHAnsi" w:eastAsiaTheme="minorEastAsia" w:hAnsiTheme="minorHAnsi"/>
              <w:b/>
              <w:noProof/>
              <w:sz w:val="22"/>
              <w:lang w:eastAsia="lv-LV"/>
            </w:rPr>
          </w:pPr>
          <w:hyperlink w:anchor="_Toc524977655" w:history="1">
            <w:r w:rsidR="00275CC5" w:rsidRPr="00275CC5">
              <w:rPr>
                <w:rStyle w:val="Hyperlink"/>
                <w:rFonts w:cs="Times New Roman"/>
                <w:b/>
                <w:noProof/>
              </w:rPr>
              <w:t>7.rīcības virziens – Noziedzīgi iegūtu līdzekļu legalizācijas izmeklēšana un kriminālvajāšana</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_Toc524977655 \h </w:instrText>
            </w:r>
            <w:r w:rsidR="00275CC5" w:rsidRPr="00275CC5">
              <w:rPr>
                <w:b/>
                <w:noProof/>
                <w:webHidden/>
              </w:rPr>
            </w:r>
            <w:r w:rsidR="00275CC5" w:rsidRPr="00275CC5">
              <w:rPr>
                <w:b/>
                <w:noProof/>
                <w:webHidden/>
              </w:rPr>
              <w:fldChar w:fldCharType="separate"/>
            </w:r>
            <w:r w:rsidR="001E15FF">
              <w:rPr>
                <w:b/>
                <w:noProof/>
                <w:webHidden/>
              </w:rPr>
              <w:t>58</w:t>
            </w:r>
            <w:r w:rsidR="00275CC5" w:rsidRPr="00275CC5">
              <w:rPr>
                <w:b/>
                <w:noProof/>
                <w:webHidden/>
              </w:rPr>
              <w:fldChar w:fldCharType="end"/>
            </w:r>
          </w:hyperlink>
        </w:p>
        <w:p w14:paraId="59DB64AD" w14:textId="4AFA3CCB" w:rsidR="00275CC5" w:rsidRPr="00275CC5" w:rsidRDefault="00D37C29">
          <w:pPr>
            <w:pStyle w:val="TOC2"/>
            <w:tabs>
              <w:tab w:val="right" w:leader="dot" w:pos="13948"/>
            </w:tabs>
            <w:rPr>
              <w:rFonts w:asciiTheme="minorHAnsi" w:eastAsiaTheme="minorEastAsia" w:hAnsiTheme="minorHAnsi"/>
              <w:b/>
              <w:noProof/>
              <w:sz w:val="22"/>
              <w:lang w:eastAsia="lv-LV"/>
            </w:rPr>
          </w:pPr>
          <w:hyperlink w:anchor="_Toc524977656" w:history="1">
            <w:r w:rsidR="00275CC5" w:rsidRPr="00275CC5">
              <w:rPr>
                <w:rStyle w:val="Hyperlink"/>
                <w:rFonts w:cs="Times New Roman"/>
                <w:b/>
                <w:noProof/>
              </w:rPr>
              <w:t>8.rīcības virziens – Konfiskācija</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_Toc524977656 \h </w:instrText>
            </w:r>
            <w:r w:rsidR="00275CC5" w:rsidRPr="00275CC5">
              <w:rPr>
                <w:b/>
                <w:noProof/>
                <w:webHidden/>
              </w:rPr>
            </w:r>
            <w:r w:rsidR="00275CC5" w:rsidRPr="00275CC5">
              <w:rPr>
                <w:b/>
                <w:noProof/>
                <w:webHidden/>
              </w:rPr>
              <w:fldChar w:fldCharType="separate"/>
            </w:r>
            <w:r w:rsidR="001E15FF">
              <w:rPr>
                <w:b/>
                <w:noProof/>
                <w:webHidden/>
              </w:rPr>
              <w:t>62</w:t>
            </w:r>
            <w:r w:rsidR="00275CC5" w:rsidRPr="00275CC5">
              <w:rPr>
                <w:b/>
                <w:noProof/>
                <w:webHidden/>
              </w:rPr>
              <w:fldChar w:fldCharType="end"/>
            </w:r>
          </w:hyperlink>
        </w:p>
        <w:p w14:paraId="50B2252D" w14:textId="4523CD15" w:rsidR="00275CC5" w:rsidRPr="00275CC5" w:rsidRDefault="00D37C29">
          <w:pPr>
            <w:pStyle w:val="TOC2"/>
            <w:tabs>
              <w:tab w:val="right" w:leader="dot" w:pos="13948"/>
            </w:tabs>
            <w:rPr>
              <w:rFonts w:asciiTheme="minorHAnsi" w:eastAsiaTheme="minorEastAsia" w:hAnsiTheme="minorHAnsi"/>
              <w:b/>
              <w:noProof/>
              <w:sz w:val="22"/>
              <w:lang w:eastAsia="lv-LV"/>
            </w:rPr>
          </w:pPr>
          <w:hyperlink w:anchor="_Toc524977657" w:history="1">
            <w:r w:rsidR="00275CC5" w:rsidRPr="00275CC5">
              <w:rPr>
                <w:rStyle w:val="Hyperlink"/>
                <w:rFonts w:cs="Times New Roman"/>
                <w:b/>
                <w:noProof/>
              </w:rPr>
              <w:t>9.rīcības virziens – Terorisma finansēšanas izmeklēšana un kriminālvajāšana</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_Toc524977657 \h </w:instrText>
            </w:r>
            <w:r w:rsidR="00275CC5" w:rsidRPr="00275CC5">
              <w:rPr>
                <w:b/>
                <w:noProof/>
                <w:webHidden/>
              </w:rPr>
            </w:r>
            <w:r w:rsidR="00275CC5" w:rsidRPr="00275CC5">
              <w:rPr>
                <w:b/>
                <w:noProof/>
                <w:webHidden/>
              </w:rPr>
              <w:fldChar w:fldCharType="separate"/>
            </w:r>
            <w:r w:rsidR="001E15FF">
              <w:rPr>
                <w:b/>
                <w:noProof/>
                <w:webHidden/>
              </w:rPr>
              <w:t>64</w:t>
            </w:r>
            <w:r w:rsidR="00275CC5" w:rsidRPr="00275CC5">
              <w:rPr>
                <w:b/>
                <w:noProof/>
                <w:webHidden/>
              </w:rPr>
              <w:fldChar w:fldCharType="end"/>
            </w:r>
          </w:hyperlink>
        </w:p>
        <w:p w14:paraId="5D491181" w14:textId="778B844D" w:rsidR="00275CC5" w:rsidRPr="00275CC5" w:rsidRDefault="00D37C29">
          <w:pPr>
            <w:pStyle w:val="TOC2"/>
            <w:tabs>
              <w:tab w:val="right" w:leader="dot" w:pos="13948"/>
            </w:tabs>
            <w:rPr>
              <w:rFonts w:asciiTheme="minorHAnsi" w:eastAsiaTheme="minorEastAsia" w:hAnsiTheme="minorHAnsi"/>
              <w:b/>
              <w:noProof/>
              <w:sz w:val="22"/>
              <w:lang w:eastAsia="lv-LV"/>
            </w:rPr>
          </w:pPr>
          <w:hyperlink w:anchor="_Toc524977658" w:history="1">
            <w:r w:rsidR="008673D9">
              <w:rPr>
                <w:rStyle w:val="Hyperlink"/>
                <w:rFonts w:cs="Times New Roman"/>
                <w:b/>
                <w:noProof/>
              </w:rPr>
              <w:t>10.rīcības virziens – T</w:t>
            </w:r>
            <w:r w:rsidR="00275CC5" w:rsidRPr="00275CC5">
              <w:rPr>
                <w:rStyle w:val="Hyperlink"/>
                <w:rFonts w:cs="Times New Roman"/>
                <w:b/>
                <w:noProof/>
              </w:rPr>
              <w:t>erorisma finansēšanas preventīvie pasākumi un finanšu sankcijas</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_Toc524977658 \h </w:instrText>
            </w:r>
            <w:r w:rsidR="00275CC5" w:rsidRPr="00275CC5">
              <w:rPr>
                <w:b/>
                <w:noProof/>
                <w:webHidden/>
              </w:rPr>
            </w:r>
            <w:r w:rsidR="00275CC5" w:rsidRPr="00275CC5">
              <w:rPr>
                <w:b/>
                <w:noProof/>
                <w:webHidden/>
              </w:rPr>
              <w:fldChar w:fldCharType="separate"/>
            </w:r>
            <w:r w:rsidR="001E15FF">
              <w:rPr>
                <w:b/>
                <w:noProof/>
                <w:webHidden/>
              </w:rPr>
              <w:t>67</w:t>
            </w:r>
            <w:r w:rsidR="00275CC5" w:rsidRPr="00275CC5">
              <w:rPr>
                <w:b/>
                <w:noProof/>
                <w:webHidden/>
              </w:rPr>
              <w:fldChar w:fldCharType="end"/>
            </w:r>
          </w:hyperlink>
        </w:p>
        <w:p w14:paraId="573159C1" w14:textId="6F25255A" w:rsidR="00275CC5" w:rsidRPr="00275CC5" w:rsidRDefault="00D37C29">
          <w:pPr>
            <w:pStyle w:val="TOC2"/>
            <w:tabs>
              <w:tab w:val="right" w:leader="dot" w:pos="13948"/>
            </w:tabs>
            <w:rPr>
              <w:rFonts w:asciiTheme="minorHAnsi" w:eastAsiaTheme="minorEastAsia" w:hAnsiTheme="minorHAnsi"/>
              <w:b/>
              <w:noProof/>
              <w:sz w:val="22"/>
              <w:lang w:eastAsia="lv-LV"/>
            </w:rPr>
          </w:pPr>
          <w:hyperlink w:anchor="_Toc524977659" w:history="1">
            <w:r w:rsidR="008673D9">
              <w:rPr>
                <w:rStyle w:val="Hyperlink"/>
                <w:rFonts w:cs="Times New Roman"/>
                <w:b/>
                <w:noProof/>
              </w:rPr>
              <w:t>11.rīcības virziens – M</w:t>
            </w:r>
            <w:r w:rsidR="00275CC5" w:rsidRPr="00275CC5">
              <w:rPr>
                <w:rStyle w:val="Hyperlink"/>
                <w:rFonts w:cs="Times New Roman"/>
                <w:b/>
                <w:noProof/>
              </w:rPr>
              <w:t>asu iznīcināšanas ieroču finanšu sankcijas</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_Toc524977659 \h </w:instrText>
            </w:r>
            <w:r w:rsidR="00275CC5" w:rsidRPr="00275CC5">
              <w:rPr>
                <w:b/>
                <w:noProof/>
                <w:webHidden/>
              </w:rPr>
            </w:r>
            <w:r w:rsidR="00275CC5" w:rsidRPr="00275CC5">
              <w:rPr>
                <w:b/>
                <w:noProof/>
                <w:webHidden/>
              </w:rPr>
              <w:fldChar w:fldCharType="separate"/>
            </w:r>
            <w:r w:rsidR="001E15FF">
              <w:rPr>
                <w:b/>
                <w:noProof/>
                <w:webHidden/>
              </w:rPr>
              <w:t>69</w:t>
            </w:r>
            <w:r w:rsidR="00275CC5" w:rsidRPr="00275CC5">
              <w:rPr>
                <w:b/>
                <w:noProof/>
                <w:webHidden/>
              </w:rPr>
              <w:fldChar w:fldCharType="end"/>
            </w:r>
          </w:hyperlink>
        </w:p>
        <w:p w14:paraId="1B4D1D6D" w14:textId="2CCE4C72" w:rsidR="00275CC5" w:rsidRDefault="00D37C29">
          <w:pPr>
            <w:pStyle w:val="TOC1"/>
            <w:tabs>
              <w:tab w:val="right" w:leader="dot" w:pos="13948"/>
            </w:tabs>
            <w:rPr>
              <w:rFonts w:asciiTheme="minorHAnsi" w:eastAsiaTheme="minorEastAsia" w:hAnsiTheme="minorHAnsi"/>
              <w:noProof/>
              <w:sz w:val="22"/>
              <w:lang w:eastAsia="lv-LV"/>
            </w:rPr>
          </w:pPr>
          <w:hyperlink w:anchor="_Toc524977660" w:history="1">
            <w:r w:rsidR="00275CC5" w:rsidRPr="00275CC5">
              <w:rPr>
                <w:rStyle w:val="Hyperlink"/>
                <w:b/>
                <w:noProof/>
              </w:rPr>
              <w:t>V. Ietekmes novērtējums uz valsts un pašvaldību budžetu</w:t>
            </w:r>
            <w:r w:rsidR="00275CC5" w:rsidRPr="00275CC5">
              <w:rPr>
                <w:b/>
                <w:noProof/>
                <w:webHidden/>
              </w:rPr>
              <w:tab/>
            </w:r>
            <w:r w:rsidR="00275CC5" w:rsidRPr="00275CC5">
              <w:rPr>
                <w:b/>
                <w:noProof/>
                <w:webHidden/>
              </w:rPr>
              <w:fldChar w:fldCharType="begin"/>
            </w:r>
            <w:r w:rsidR="00275CC5" w:rsidRPr="00275CC5">
              <w:rPr>
                <w:b/>
                <w:noProof/>
                <w:webHidden/>
              </w:rPr>
              <w:instrText xml:space="preserve"> PAGEREF _Toc524977660 \h </w:instrText>
            </w:r>
            <w:r w:rsidR="00275CC5" w:rsidRPr="00275CC5">
              <w:rPr>
                <w:b/>
                <w:noProof/>
                <w:webHidden/>
              </w:rPr>
            </w:r>
            <w:r w:rsidR="00275CC5" w:rsidRPr="00275CC5">
              <w:rPr>
                <w:b/>
                <w:noProof/>
                <w:webHidden/>
              </w:rPr>
              <w:fldChar w:fldCharType="separate"/>
            </w:r>
            <w:r w:rsidR="001E15FF">
              <w:rPr>
                <w:b/>
                <w:noProof/>
                <w:webHidden/>
              </w:rPr>
              <w:t>71</w:t>
            </w:r>
            <w:r w:rsidR="00275CC5" w:rsidRPr="00275CC5">
              <w:rPr>
                <w:b/>
                <w:noProof/>
                <w:webHidden/>
              </w:rPr>
              <w:fldChar w:fldCharType="end"/>
            </w:r>
          </w:hyperlink>
        </w:p>
        <w:p w14:paraId="786EB00B" w14:textId="77777777" w:rsidR="00B95F87" w:rsidRPr="00C65884" w:rsidRDefault="00B95F87">
          <w:pPr>
            <w:rPr>
              <w:b/>
            </w:rPr>
          </w:pPr>
          <w:r w:rsidRPr="00C65884">
            <w:rPr>
              <w:b/>
              <w:bCs/>
              <w:noProof/>
            </w:rPr>
            <w:fldChar w:fldCharType="end"/>
          </w:r>
        </w:p>
      </w:sdtContent>
    </w:sdt>
    <w:p w14:paraId="496480D8" w14:textId="77777777" w:rsidR="00E56FA2" w:rsidRDefault="00E56FA2" w:rsidP="00232E53">
      <w:pPr>
        <w:jc w:val="both"/>
        <w:rPr>
          <w:b/>
          <w:sz w:val="28"/>
          <w:szCs w:val="28"/>
        </w:rPr>
      </w:pPr>
    </w:p>
    <w:p w14:paraId="2FAFB935" w14:textId="77777777" w:rsidR="00E56FA2" w:rsidRDefault="00E56FA2" w:rsidP="00E56FA2">
      <w:pPr>
        <w:rPr>
          <w:sz w:val="28"/>
          <w:szCs w:val="28"/>
        </w:rPr>
      </w:pPr>
    </w:p>
    <w:p w14:paraId="0360FED3" w14:textId="77777777" w:rsidR="00E56FA2" w:rsidRDefault="00E56FA2" w:rsidP="00E56FA2">
      <w:pPr>
        <w:tabs>
          <w:tab w:val="left" w:pos="1650"/>
        </w:tabs>
        <w:rPr>
          <w:sz w:val="28"/>
          <w:szCs w:val="28"/>
        </w:rPr>
        <w:sectPr w:rsidR="00E56FA2" w:rsidSect="008B2CD4">
          <w:pgSz w:w="16838" w:h="11906" w:orient="landscape"/>
          <w:pgMar w:top="1276" w:right="1440" w:bottom="1800" w:left="1440" w:header="708" w:footer="708" w:gutter="0"/>
          <w:cols w:space="708"/>
          <w:docGrid w:linePitch="360"/>
        </w:sectPr>
      </w:pPr>
      <w:r>
        <w:rPr>
          <w:sz w:val="28"/>
          <w:szCs w:val="28"/>
        </w:rPr>
        <w:tab/>
      </w:r>
      <w:bookmarkStart w:id="0" w:name="_GoBack"/>
      <w:bookmarkEnd w:id="0"/>
    </w:p>
    <w:p w14:paraId="3B1C8C97" w14:textId="77777777" w:rsidR="00E56FA2" w:rsidRPr="00FB0D3A" w:rsidRDefault="00B95F87" w:rsidP="00C65884">
      <w:pPr>
        <w:pStyle w:val="Heading1"/>
        <w:rPr>
          <w:sz w:val="40"/>
          <w:szCs w:val="40"/>
        </w:rPr>
      </w:pPr>
      <w:bookmarkStart w:id="1" w:name="_Toc524977644"/>
      <w:r w:rsidRPr="00FB0D3A">
        <w:rPr>
          <w:sz w:val="40"/>
          <w:szCs w:val="40"/>
        </w:rPr>
        <w:lastRenderedPageBreak/>
        <w:t>Saīsinājumi</w:t>
      </w:r>
      <w:bookmarkEnd w:id="1"/>
      <w:r w:rsidRPr="00FB0D3A">
        <w:rPr>
          <w:sz w:val="40"/>
          <w:szCs w:val="40"/>
        </w:rPr>
        <w:t xml:space="preserve"> </w:t>
      </w:r>
    </w:p>
    <w:p w14:paraId="514A4F93" w14:textId="77777777" w:rsidR="00B95F87" w:rsidRDefault="00B95F87" w:rsidP="00C65884">
      <w:pPr>
        <w:tabs>
          <w:tab w:val="left" w:pos="1650"/>
        </w:tabs>
        <w:rPr>
          <w:sz w:val="28"/>
          <w:szCs w:val="28"/>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2959"/>
        <w:gridCol w:w="10999"/>
      </w:tblGrid>
      <w:tr w:rsidR="00B736CF" w:rsidRPr="00E01AB8" w14:paraId="13C039D1" w14:textId="77777777" w:rsidTr="00796432">
        <w:tc>
          <w:tcPr>
            <w:tcW w:w="1060" w:type="pct"/>
            <w:shd w:val="clear" w:color="auto" w:fill="FFFFFF"/>
            <w:hideMark/>
          </w:tcPr>
          <w:p w14:paraId="2ADBA8A0"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ABLV</w:t>
            </w:r>
          </w:p>
        </w:tc>
        <w:tc>
          <w:tcPr>
            <w:tcW w:w="3940" w:type="pct"/>
            <w:shd w:val="clear" w:color="auto" w:fill="FFFFFF"/>
            <w:hideMark/>
          </w:tcPr>
          <w:p w14:paraId="47E0BD05" w14:textId="77777777" w:rsidR="00B736CF" w:rsidRPr="00C65884" w:rsidRDefault="00275CC5" w:rsidP="0090763B">
            <w:pPr>
              <w:rPr>
                <w:rFonts w:eastAsia="Times New Roman" w:cs="Times New Roman"/>
                <w:color w:val="000000" w:themeColor="text1"/>
                <w:szCs w:val="24"/>
                <w:lang w:eastAsia="lv-LV"/>
              </w:rPr>
            </w:pPr>
            <w:r>
              <w:rPr>
                <w:rFonts w:eastAsia="Times New Roman" w:cs="Times New Roman"/>
                <w:color w:val="000000" w:themeColor="text1"/>
                <w:szCs w:val="24"/>
                <w:lang w:eastAsia="lv-LV"/>
              </w:rPr>
              <w:t>A</w:t>
            </w:r>
            <w:r w:rsidR="00B736CF" w:rsidRPr="00C65884">
              <w:rPr>
                <w:rFonts w:eastAsia="Times New Roman" w:cs="Times New Roman"/>
                <w:color w:val="000000" w:themeColor="text1"/>
                <w:szCs w:val="24"/>
                <w:lang w:eastAsia="lv-LV"/>
              </w:rPr>
              <w:t>kciju sabiedrība “ABLV Bank”</w:t>
            </w:r>
            <w:r w:rsidR="00212B02">
              <w:t xml:space="preserve"> </w:t>
            </w:r>
            <w:r w:rsidR="00212B02" w:rsidRPr="00212B02">
              <w:rPr>
                <w:rFonts w:eastAsia="Times New Roman" w:cs="Times New Roman"/>
                <w:color w:val="000000" w:themeColor="text1"/>
                <w:szCs w:val="24"/>
                <w:lang w:eastAsia="lv-LV"/>
              </w:rPr>
              <w:t>(likvidējamā akciju sabiedrība “ABLV Bank”)</w:t>
            </w:r>
          </w:p>
        </w:tc>
      </w:tr>
      <w:tr w:rsidR="00B736CF" w:rsidRPr="00E01AB8" w14:paraId="5140A25E" w14:textId="77777777" w:rsidTr="00796432">
        <w:tc>
          <w:tcPr>
            <w:tcW w:w="1060" w:type="pct"/>
            <w:shd w:val="clear" w:color="auto" w:fill="FFFFFF"/>
            <w:hideMark/>
          </w:tcPr>
          <w:p w14:paraId="5076C7F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ANO</w:t>
            </w:r>
          </w:p>
          <w:p w14:paraId="77E21BAE" w14:textId="77777777" w:rsidR="00F971F6" w:rsidRDefault="00F971F6" w:rsidP="0090763B">
            <w:pPr>
              <w:rPr>
                <w:rFonts w:eastAsia="Times New Roman" w:cs="Times New Roman"/>
                <w:color w:val="000000" w:themeColor="text1"/>
                <w:szCs w:val="24"/>
                <w:lang w:eastAsia="lv-LV"/>
              </w:rPr>
            </w:pPr>
            <w:r>
              <w:rPr>
                <w:rFonts w:eastAsia="Times New Roman" w:cs="Times New Roman"/>
                <w:color w:val="000000" w:themeColor="text1"/>
                <w:szCs w:val="24"/>
                <w:lang w:eastAsia="lv-LV"/>
              </w:rPr>
              <w:t>ARO</w:t>
            </w:r>
          </w:p>
          <w:p w14:paraId="384CD0F5"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ANO DP</w:t>
            </w:r>
          </w:p>
          <w:p w14:paraId="75F90C7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AML</w:t>
            </w:r>
          </w:p>
          <w:p w14:paraId="6E5FF351"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5 AMLD</w:t>
            </w:r>
          </w:p>
          <w:p w14:paraId="72064C5B" w14:textId="77777777" w:rsidR="00B736CF" w:rsidRPr="00C65884" w:rsidRDefault="00B736CF" w:rsidP="0090763B">
            <w:pPr>
              <w:rPr>
                <w:rFonts w:eastAsia="Times New Roman" w:cs="Times New Roman"/>
                <w:color w:val="000000" w:themeColor="text1"/>
                <w:szCs w:val="24"/>
                <w:lang w:eastAsia="lv-LV"/>
              </w:rPr>
            </w:pPr>
          </w:p>
          <w:p w14:paraId="76AC287B" w14:textId="77777777" w:rsidR="00B736CF" w:rsidRPr="00C65884" w:rsidRDefault="00B736CF" w:rsidP="0090763B">
            <w:pPr>
              <w:rPr>
                <w:rFonts w:eastAsia="Times New Roman" w:cs="Times New Roman"/>
                <w:color w:val="000000" w:themeColor="text1"/>
                <w:szCs w:val="24"/>
                <w:lang w:eastAsia="lv-LV"/>
              </w:rPr>
            </w:pPr>
          </w:p>
          <w:p w14:paraId="4599E667"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 xml:space="preserve">ASV </w:t>
            </w:r>
          </w:p>
          <w:p w14:paraId="3C28D0AA"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ĀM</w:t>
            </w:r>
          </w:p>
          <w:p w14:paraId="04D9DC08"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CNUE</w:t>
            </w:r>
          </w:p>
        </w:tc>
        <w:tc>
          <w:tcPr>
            <w:tcW w:w="3940" w:type="pct"/>
            <w:shd w:val="clear" w:color="auto" w:fill="FFFFFF"/>
            <w:hideMark/>
          </w:tcPr>
          <w:p w14:paraId="34DAE351" w14:textId="77777777" w:rsidR="00B736CF"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Apvienoto Nāciju Organizācija</w:t>
            </w:r>
          </w:p>
          <w:p w14:paraId="4C4F6E0C" w14:textId="77777777" w:rsidR="00F971F6" w:rsidRPr="00C65884" w:rsidRDefault="00F971F6" w:rsidP="0090763B">
            <w:pPr>
              <w:rPr>
                <w:rFonts w:eastAsia="Times New Roman" w:cs="Times New Roman"/>
                <w:color w:val="000000" w:themeColor="text1"/>
                <w:szCs w:val="24"/>
                <w:lang w:eastAsia="lv-LV"/>
              </w:rPr>
            </w:pPr>
            <w:r w:rsidRPr="00F971F6">
              <w:rPr>
                <w:rFonts w:eastAsia="Times New Roman" w:cs="Times New Roman"/>
                <w:i/>
                <w:color w:val="000000" w:themeColor="text1"/>
                <w:szCs w:val="24"/>
                <w:lang w:eastAsia="lv-LV"/>
              </w:rPr>
              <w:t>Asset Recovery Office</w:t>
            </w:r>
            <w:r>
              <w:rPr>
                <w:rFonts w:eastAsia="Times New Roman" w:cs="Times New Roman"/>
                <w:color w:val="000000" w:themeColor="text1"/>
                <w:szCs w:val="24"/>
                <w:lang w:eastAsia="lv-LV"/>
              </w:rPr>
              <w:t xml:space="preserve"> (Iek</w:t>
            </w:r>
            <w:r w:rsidR="00A146A5">
              <w:rPr>
                <w:rFonts w:eastAsia="Times New Roman" w:cs="Times New Roman"/>
                <w:color w:val="000000" w:themeColor="text1"/>
                <w:szCs w:val="24"/>
                <w:lang w:eastAsia="lv-LV"/>
              </w:rPr>
              <w:t>šlietu ministrijas A</w:t>
            </w:r>
            <w:r>
              <w:rPr>
                <w:rFonts w:eastAsia="Times New Roman" w:cs="Times New Roman"/>
                <w:color w:val="000000" w:themeColor="text1"/>
                <w:szCs w:val="24"/>
                <w:lang w:eastAsia="lv-LV"/>
              </w:rPr>
              <w:t>ktīvu atgūšanas pārvalde)</w:t>
            </w:r>
          </w:p>
          <w:p w14:paraId="1E3D911D"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Apvienoto Nāciju Organizācijas Drošības Padome</w:t>
            </w:r>
          </w:p>
          <w:p w14:paraId="3AF4B557"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Anti-Money laundering (naudas atmazgāšanas novēršana)</w:t>
            </w:r>
          </w:p>
          <w:p w14:paraId="58DDA019" w14:textId="77777777" w:rsidR="00B736CF" w:rsidRPr="00C65884" w:rsidRDefault="00B736CF" w:rsidP="0090763B">
            <w:pPr>
              <w:jc w:val="both"/>
              <w:rPr>
                <w:rFonts w:eastAsia="Times New Roman" w:cs="Times New Roman"/>
                <w:color w:val="000000" w:themeColor="text1"/>
                <w:szCs w:val="24"/>
                <w:lang w:eastAsia="lv-LV"/>
              </w:rPr>
            </w:pPr>
            <w:r w:rsidRPr="00C65884">
              <w:rPr>
                <w:rFonts w:eastAsia="Times New Roman" w:cs="Times New Roman"/>
                <w:i/>
                <w:color w:val="000000" w:themeColor="text1"/>
                <w:szCs w:val="24"/>
                <w:lang w:eastAsia="lv-LV"/>
              </w:rPr>
              <w:t>5th Anti-Money Laundering Directive</w:t>
            </w:r>
            <w:r w:rsidRPr="00C65884">
              <w:rPr>
                <w:rFonts w:eastAsia="Times New Roman" w:cs="Times New Roman"/>
                <w:color w:val="000000" w:themeColor="text1"/>
                <w:szCs w:val="24"/>
                <w:lang w:eastAsia="lv-LV"/>
              </w:rPr>
              <w:t xml:space="preserve"> (2018.gada 30.maija Eiropas Parlamenta un Padomes direktīva (ES) 2018/843 ar ko groza direktīvu (ES) 2015/849 par to, lai nepieļautu finanšu sistēmas izmantošanu nelikumīgi iegūtu līdzekļu legalizēšanai vai teroristu finansēšanai, un ar ko groza Direktīvas 2009/138/EK un 2013/36/ES)</w:t>
            </w:r>
          </w:p>
          <w:p w14:paraId="4953C29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Amerikas Savienotās Valstis</w:t>
            </w:r>
          </w:p>
          <w:p w14:paraId="2D5CD6BA"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Ārlietu ministrija</w:t>
            </w:r>
          </w:p>
          <w:p w14:paraId="5DA65611"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i/>
                <w:color w:val="000000" w:themeColor="text1"/>
                <w:szCs w:val="24"/>
                <w:lang w:eastAsia="lv-LV"/>
              </w:rPr>
              <w:t>The Council of the Notariats of the European Union </w:t>
            </w:r>
            <w:r w:rsidRPr="00C65884">
              <w:rPr>
                <w:rFonts w:eastAsia="Times New Roman" w:cs="Times New Roman"/>
                <w:color w:val="000000" w:themeColor="text1"/>
                <w:szCs w:val="24"/>
                <w:lang w:eastAsia="lv-LV"/>
              </w:rPr>
              <w:t>(Eiropas Savienības notāru padome)</w:t>
            </w:r>
          </w:p>
        </w:tc>
      </w:tr>
      <w:tr w:rsidR="00B736CF" w:rsidRPr="00E01AB8" w14:paraId="0350AB39" w14:textId="77777777" w:rsidTr="00796432">
        <w:tc>
          <w:tcPr>
            <w:tcW w:w="1060" w:type="pct"/>
            <w:shd w:val="clear" w:color="auto" w:fill="FFFFFF"/>
            <w:hideMark/>
          </w:tcPr>
          <w:p w14:paraId="37A1C1F9"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CRS</w:t>
            </w:r>
          </w:p>
        </w:tc>
        <w:tc>
          <w:tcPr>
            <w:tcW w:w="3940" w:type="pct"/>
            <w:shd w:val="clear" w:color="auto" w:fill="FFFFFF"/>
            <w:hideMark/>
          </w:tcPr>
          <w:p w14:paraId="539B2E6B"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i/>
                <w:color w:val="000000" w:themeColor="text1"/>
                <w:szCs w:val="24"/>
                <w:lang w:eastAsia="lv-LV"/>
              </w:rPr>
              <w:t xml:space="preserve">Common Reporting Standart </w:t>
            </w:r>
            <w:r w:rsidRPr="00C65884">
              <w:rPr>
                <w:rFonts w:eastAsia="Times New Roman" w:cs="Times New Roman"/>
                <w:color w:val="000000" w:themeColor="text1"/>
                <w:szCs w:val="24"/>
                <w:lang w:eastAsia="lv-LV"/>
              </w:rPr>
              <w:t>(Vienotais ziņošanas standarts nodokļu jomā)</w:t>
            </w:r>
          </w:p>
        </w:tc>
      </w:tr>
      <w:tr w:rsidR="00B736CF" w:rsidRPr="00E01AB8" w14:paraId="72B1E03D" w14:textId="77777777" w:rsidTr="00796432">
        <w:tc>
          <w:tcPr>
            <w:tcW w:w="1060" w:type="pct"/>
            <w:shd w:val="clear" w:color="auto" w:fill="FFFFFF"/>
            <w:hideMark/>
          </w:tcPr>
          <w:p w14:paraId="48C54FD8"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DP</w:t>
            </w:r>
          </w:p>
        </w:tc>
        <w:tc>
          <w:tcPr>
            <w:tcW w:w="3940" w:type="pct"/>
            <w:shd w:val="clear" w:color="auto" w:fill="FFFFFF"/>
            <w:hideMark/>
          </w:tcPr>
          <w:p w14:paraId="5494FCC4"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Drošības policija</w:t>
            </w:r>
          </w:p>
        </w:tc>
      </w:tr>
      <w:tr w:rsidR="00B736CF" w:rsidRPr="00E01AB8" w14:paraId="0EE0464B" w14:textId="77777777" w:rsidTr="00796432">
        <w:tc>
          <w:tcPr>
            <w:tcW w:w="1060" w:type="pct"/>
            <w:shd w:val="clear" w:color="auto" w:fill="FFFFFF"/>
            <w:hideMark/>
          </w:tcPr>
          <w:p w14:paraId="2CF479B9" w14:textId="77777777" w:rsidR="00B736CF" w:rsidRPr="00C65884" w:rsidRDefault="00B736CF" w:rsidP="0090763B">
            <w:pPr>
              <w:rPr>
                <w:rFonts w:eastAsia="Times New Roman" w:cs="Times New Roman"/>
                <w:color w:val="000000" w:themeColor="text1"/>
                <w:szCs w:val="24"/>
                <w:lang w:eastAsia="lv-LV"/>
              </w:rPr>
            </w:pPr>
          </w:p>
        </w:tc>
        <w:tc>
          <w:tcPr>
            <w:tcW w:w="3940" w:type="pct"/>
            <w:shd w:val="clear" w:color="auto" w:fill="FFFFFF"/>
            <w:hideMark/>
          </w:tcPr>
          <w:p w14:paraId="39EE87E6" w14:textId="77777777" w:rsidR="00B736CF" w:rsidRPr="00C65884" w:rsidRDefault="00B736CF" w:rsidP="0090763B">
            <w:pPr>
              <w:rPr>
                <w:rFonts w:eastAsia="Times New Roman" w:cs="Times New Roman"/>
                <w:color w:val="000000" w:themeColor="text1"/>
                <w:szCs w:val="24"/>
                <w:lang w:eastAsia="lv-LV"/>
              </w:rPr>
            </w:pPr>
          </w:p>
        </w:tc>
      </w:tr>
      <w:tr w:rsidR="00B736CF" w:rsidRPr="00E01AB8" w14:paraId="6ABD710D" w14:textId="77777777" w:rsidTr="00796432">
        <w:tc>
          <w:tcPr>
            <w:tcW w:w="1060" w:type="pct"/>
            <w:shd w:val="clear" w:color="auto" w:fill="FFFFFF"/>
            <w:hideMark/>
          </w:tcPr>
          <w:p w14:paraId="4CF56684"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ES</w:t>
            </w:r>
          </w:p>
          <w:p w14:paraId="7D6AA36D"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EST</w:t>
            </w:r>
          </w:p>
        </w:tc>
        <w:tc>
          <w:tcPr>
            <w:tcW w:w="3940" w:type="pct"/>
            <w:shd w:val="clear" w:color="auto" w:fill="FFFFFF"/>
            <w:hideMark/>
          </w:tcPr>
          <w:p w14:paraId="7F0C85C1"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Eiropas Savienība</w:t>
            </w:r>
          </w:p>
          <w:p w14:paraId="1E743261"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Eiropas Savienības tiesa</w:t>
            </w:r>
          </w:p>
        </w:tc>
      </w:tr>
      <w:tr w:rsidR="00B736CF" w:rsidRPr="00E01AB8" w14:paraId="34D0E776" w14:textId="77777777" w:rsidTr="00796432">
        <w:tc>
          <w:tcPr>
            <w:tcW w:w="1060" w:type="pct"/>
            <w:shd w:val="clear" w:color="auto" w:fill="FFFFFF"/>
            <w:hideMark/>
          </w:tcPr>
          <w:p w14:paraId="00A6FA4F"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ĢP</w:t>
            </w:r>
          </w:p>
          <w:p w14:paraId="20DD6279"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FATF</w:t>
            </w:r>
          </w:p>
          <w:p w14:paraId="68177128"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FAQs</w:t>
            </w:r>
          </w:p>
          <w:p w14:paraId="665CEF85"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FinCEN</w:t>
            </w:r>
          </w:p>
        </w:tc>
        <w:tc>
          <w:tcPr>
            <w:tcW w:w="3940" w:type="pct"/>
            <w:shd w:val="clear" w:color="auto" w:fill="FFFFFF"/>
            <w:hideMark/>
          </w:tcPr>
          <w:p w14:paraId="165DBDB3"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Ģenerālprokuratūra</w:t>
            </w:r>
          </w:p>
          <w:p w14:paraId="2543439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i/>
                <w:color w:val="000000" w:themeColor="text1"/>
                <w:szCs w:val="24"/>
                <w:lang w:eastAsia="lv-LV"/>
              </w:rPr>
              <w:t>Financial Action Task Force</w:t>
            </w:r>
            <w:r w:rsidRPr="00C65884">
              <w:rPr>
                <w:rFonts w:eastAsia="Times New Roman" w:cs="Times New Roman"/>
                <w:color w:val="000000" w:themeColor="text1"/>
                <w:szCs w:val="24"/>
                <w:lang w:eastAsia="lv-LV"/>
              </w:rPr>
              <w:t xml:space="preserve"> (Finanšu darījumu darba grupa)</w:t>
            </w:r>
          </w:p>
          <w:p w14:paraId="208496E1"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i/>
                <w:color w:val="000000" w:themeColor="text1"/>
                <w:szCs w:val="24"/>
                <w:lang w:eastAsia="lv-LV"/>
              </w:rPr>
              <w:t>Frequently asked questions</w:t>
            </w:r>
            <w:r w:rsidRPr="00C65884">
              <w:rPr>
                <w:rFonts w:eastAsia="Times New Roman" w:cs="Times New Roman"/>
                <w:color w:val="000000" w:themeColor="text1"/>
                <w:szCs w:val="24"/>
                <w:lang w:eastAsia="lv-LV"/>
              </w:rPr>
              <w:t xml:space="preserve"> (biežāk uzdotie jautājumi)</w:t>
            </w:r>
          </w:p>
          <w:p w14:paraId="199CF0DC"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ASV Finanšu ministrijas Finanšu noziegumu apkarošanas tīkls</w:t>
            </w:r>
          </w:p>
        </w:tc>
      </w:tr>
      <w:tr w:rsidR="00B736CF" w:rsidRPr="00E01AB8" w14:paraId="39B9A53D" w14:textId="77777777" w:rsidTr="00796432">
        <w:tc>
          <w:tcPr>
            <w:tcW w:w="1060" w:type="pct"/>
            <w:shd w:val="clear" w:color="auto" w:fill="FFFFFF"/>
            <w:hideMark/>
          </w:tcPr>
          <w:p w14:paraId="4D4C74E8"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FKTK</w:t>
            </w:r>
          </w:p>
        </w:tc>
        <w:tc>
          <w:tcPr>
            <w:tcW w:w="3940" w:type="pct"/>
            <w:shd w:val="clear" w:color="auto" w:fill="FFFFFF"/>
            <w:hideMark/>
          </w:tcPr>
          <w:p w14:paraId="092DB65C"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Finanšu un kapitāla tirgus komisija</w:t>
            </w:r>
          </w:p>
        </w:tc>
      </w:tr>
      <w:tr w:rsidR="00B736CF" w:rsidRPr="00E01AB8" w14:paraId="32862E13" w14:textId="77777777" w:rsidTr="00796432">
        <w:tc>
          <w:tcPr>
            <w:tcW w:w="1060" w:type="pct"/>
            <w:shd w:val="clear" w:color="auto" w:fill="FFFFFF"/>
            <w:hideMark/>
          </w:tcPr>
          <w:p w14:paraId="2204E962"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FM</w:t>
            </w:r>
          </w:p>
        </w:tc>
        <w:tc>
          <w:tcPr>
            <w:tcW w:w="3940" w:type="pct"/>
            <w:shd w:val="clear" w:color="auto" w:fill="FFFFFF"/>
            <w:hideMark/>
          </w:tcPr>
          <w:p w14:paraId="317A0E5F"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Finanšu ministrija</w:t>
            </w:r>
          </w:p>
        </w:tc>
      </w:tr>
      <w:tr w:rsidR="00B736CF" w:rsidRPr="00E01AB8" w14:paraId="7217AB6C" w14:textId="77777777" w:rsidTr="00796432">
        <w:tc>
          <w:tcPr>
            <w:tcW w:w="1060" w:type="pct"/>
            <w:shd w:val="clear" w:color="auto" w:fill="FFFFFF"/>
            <w:hideMark/>
          </w:tcPr>
          <w:p w14:paraId="60A26764"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FSAP</w:t>
            </w:r>
          </w:p>
          <w:p w14:paraId="5165550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IAUI</w:t>
            </w:r>
          </w:p>
          <w:p w14:paraId="377B9E0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IC</w:t>
            </w:r>
          </w:p>
          <w:p w14:paraId="1C6A13AA"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lastRenderedPageBreak/>
              <w:t>IDB</w:t>
            </w:r>
          </w:p>
        </w:tc>
        <w:tc>
          <w:tcPr>
            <w:tcW w:w="3940" w:type="pct"/>
            <w:shd w:val="clear" w:color="auto" w:fill="FFFFFF"/>
            <w:hideMark/>
          </w:tcPr>
          <w:p w14:paraId="2C811F2D"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lastRenderedPageBreak/>
              <w:t>Finanšu sektora attīstības padome</w:t>
            </w:r>
          </w:p>
          <w:p w14:paraId="7095C09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Izložu un azartspēļu uzraudzības inspekcija</w:t>
            </w:r>
          </w:p>
          <w:p w14:paraId="3C0A2005"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Iekšlietu ministrijas Informācij</w:t>
            </w:r>
            <w:r w:rsidR="00B846B1">
              <w:rPr>
                <w:rFonts w:eastAsia="Times New Roman" w:cs="Times New Roman"/>
                <w:color w:val="000000" w:themeColor="text1"/>
                <w:szCs w:val="24"/>
                <w:lang w:eastAsia="lv-LV"/>
              </w:rPr>
              <w:t>as</w:t>
            </w:r>
            <w:r w:rsidRPr="00C65884">
              <w:rPr>
                <w:rFonts w:eastAsia="Times New Roman" w:cs="Times New Roman"/>
                <w:color w:val="000000" w:themeColor="text1"/>
                <w:szCs w:val="24"/>
                <w:lang w:eastAsia="lv-LV"/>
              </w:rPr>
              <w:t xml:space="preserve"> centrs</w:t>
            </w:r>
          </w:p>
          <w:p w14:paraId="6B7B3E73"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lastRenderedPageBreak/>
              <w:t>Iekšietu ministrijas Iekšējās drošības birojs</w:t>
            </w:r>
          </w:p>
        </w:tc>
      </w:tr>
      <w:tr w:rsidR="00B736CF" w:rsidRPr="00E01AB8" w14:paraId="055B115D" w14:textId="77777777" w:rsidTr="00796432">
        <w:tc>
          <w:tcPr>
            <w:tcW w:w="1060" w:type="pct"/>
            <w:shd w:val="clear" w:color="auto" w:fill="FFFFFF"/>
            <w:hideMark/>
          </w:tcPr>
          <w:p w14:paraId="111852F0"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lastRenderedPageBreak/>
              <w:t>IeM</w:t>
            </w:r>
          </w:p>
          <w:p w14:paraId="6D3268AC"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IKS</w:t>
            </w:r>
          </w:p>
          <w:p w14:paraId="41E6841F"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IO</w:t>
            </w:r>
          </w:p>
          <w:p w14:paraId="436779FF"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IT</w:t>
            </w:r>
          </w:p>
        </w:tc>
        <w:tc>
          <w:tcPr>
            <w:tcW w:w="3940" w:type="pct"/>
            <w:shd w:val="clear" w:color="auto" w:fill="FFFFFF"/>
            <w:hideMark/>
          </w:tcPr>
          <w:p w14:paraId="73BFF237"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Iekšlietu ministrija</w:t>
            </w:r>
          </w:p>
          <w:p w14:paraId="25BC2C3B"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Iekšējā kontroles sistēma</w:t>
            </w:r>
          </w:p>
          <w:p w14:paraId="3EF99DD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i/>
                <w:color w:val="000000" w:themeColor="text1"/>
                <w:szCs w:val="24"/>
                <w:lang w:eastAsia="lv-LV"/>
              </w:rPr>
              <w:t>Immediate Outcome</w:t>
            </w:r>
            <w:r w:rsidRPr="00C65884">
              <w:rPr>
                <w:rFonts w:eastAsia="Times New Roman" w:cs="Times New Roman"/>
                <w:color w:val="000000" w:themeColor="text1"/>
                <w:szCs w:val="24"/>
                <w:lang w:eastAsia="lv-LV"/>
              </w:rPr>
              <w:t xml:space="preserve"> (Efektivitātes rādītājs)</w:t>
            </w:r>
          </w:p>
          <w:p w14:paraId="092902BF"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Informācijas tehnoloģijas</w:t>
            </w:r>
          </w:p>
        </w:tc>
      </w:tr>
      <w:tr w:rsidR="00B736CF" w:rsidRPr="00E01AB8" w14:paraId="4F0AF015" w14:textId="77777777" w:rsidTr="00796432">
        <w:tc>
          <w:tcPr>
            <w:tcW w:w="1060" w:type="pct"/>
            <w:shd w:val="clear" w:color="auto" w:fill="FFFFFF"/>
            <w:hideMark/>
          </w:tcPr>
          <w:p w14:paraId="11B5C433"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IUB</w:t>
            </w:r>
          </w:p>
        </w:tc>
        <w:tc>
          <w:tcPr>
            <w:tcW w:w="3940" w:type="pct"/>
            <w:shd w:val="clear" w:color="auto" w:fill="FFFFFF"/>
            <w:hideMark/>
          </w:tcPr>
          <w:p w14:paraId="0534A0D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Iepirkumu uzraudzības birojs</w:t>
            </w:r>
          </w:p>
        </w:tc>
      </w:tr>
      <w:tr w:rsidR="00B736CF" w:rsidRPr="00E01AB8" w14:paraId="4FD8E33F" w14:textId="77777777" w:rsidTr="00796432">
        <w:tc>
          <w:tcPr>
            <w:tcW w:w="1060" w:type="pct"/>
            <w:shd w:val="clear" w:color="auto" w:fill="FFFFFF"/>
            <w:hideMark/>
          </w:tcPr>
          <w:p w14:paraId="71A93443" w14:textId="77777777" w:rsidR="00B736CF" w:rsidRPr="00C65884" w:rsidRDefault="00B736CF" w:rsidP="0090763B">
            <w:pPr>
              <w:rPr>
                <w:rFonts w:eastAsia="Times New Roman" w:cs="Times New Roman"/>
                <w:color w:val="000000" w:themeColor="text1"/>
                <w:szCs w:val="24"/>
                <w:lang w:eastAsia="lv-LV"/>
              </w:rPr>
            </w:pPr>
          </w:p>
        </w:tc>
        <w:tc>
          <w:tcPr>
            <w:tcW w:w="3940" w:type="pct"/>
            <w:shd w:val="clear" w:color="auto" w:fill="FFFFFF"/>
            <w:hideMark/>
          </w:tcPr>
          <w:p w14:paraId="0346D7FE" w14:textId="77777777" w:rsidR="00B736CF" w:rsidRPr="00C65884" w:rsidRDefault="00B736CF" w:rsidP="0090763B">
            <w:pPr>
              <w:rPr>
                <w:rFonts w:eastAsia="Times New Roman" w:cs="Times New Roman"/>
                <w:color w:val="000000" w:themeColor="text1"/>
                <w:szCs w:val="24"/>
                <w:lang w:eastAsia="lv-LV"/>
              </w:rPr>
            </w:pPr>
          </w:p>
        </w:tc>
      </w:tr>
      <w:tr w:rsidR="00B736CF" w:rsidRPr="00E01AB8" w14:paraId="6112C705" w14:textId="77777777" w:rsidTr="00796432">
        <w:tc>
          <w:tcPr>
            <w:tcW w:w="1060" w:type="pct"/>
            <w:shd w:val="clear" w:color="auto" w:fill="FFFFFF"/>
            <w:hideMark/>
          </w:tcPr>
          <w:p w14:paraId="4E92B5AA"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KD</w:t>
            </w:r>
          </w:p>
          <w:p w14:paraId="6D501A10"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KDKP</w:t>
            </w:r>
          </w:p>
          <w:p w14:paraId="3504D9D0"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KL</w:t>
            </w:r>
          </w:p>
        </w:tc>
        <w:tc>
          <w:tcPr>
            <w:tcW w:w="3940" w:type="pct"/>
            <w:shd w:val="clear" w:color="auto" w:fill="FFFFFF"/>
            <w:hideMark/>
          </w:tcPr>
          <w:p w14:paraId="1624E019"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Noziedzīgi iegūtu līdzekļu legalizācijas novēršanas dienests (Kontroles dienests)</w:t>
            </w:r>
          </w:p>
          <w:p w14:paraId="1FB5E943"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Kontroles dienesta Konsultatīvā padome</w:t>
            </w:r>
          </w:p>
          <w:p w14:paraId="20C28270"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Krimināllikums</w:t>
            </w:r>
          </w:p>
        </w:tc>
      </w:tr>
      <w:tr w:rsidR="00B736CF" w:rsidRPr="00E01AB8" w14:paraId="43425DCF" w14:textId="77777777" w:rsidTr="00796432">
        <w:tc>
          <w:tcPr>
            <w:tcW w:w="1060" w:type="pct"/>
            <w:shd w:val="clear" w:color="auto" w:fill="FFFFFF"/>
            <w:hideMark/>
          </w:tcPr>
          <w:p w14:paraId="2869FDD5"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KNAB</w:t>
            </w:r>
          </w:p>
          <w:p w14:paraId="053BA741"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KPL</w:t>
            </w:r>
          </w:p>
          <w:p w14:paraId="5C8C180B"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KRASS</w:t>
            </w:r>
          </w:p>
          <w:p w14:paraId="05833704"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KYC facility</w:t>
            </w:r>
          </w:p>
          <w:p w14:paraId="15E23FD7"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KYC utility</w:t>
            </w:r>
          </w:p>
        </w:tc>
        <w:tc>
          <w:tcPr>
            <w:tcW w:w="3940" w:type="pct"/>
            <w:shd w:val="clear" w:color="auto" w:fill="FFFFFF"/>
            <w:hideMark/>
          </w:tcPr>
          <w:p w14:paraId="23B7D51A"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Korupcijas novēršanas un apkarošanas birojs</w:t>
            </w:r>
          </w:p>
          <w:p w14:paraId="5E77108C"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Kriminālprocesa likums</w:t>
            </w:r>
          </w:p>
          <w:p w14:paraId="18C2BD5A"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Kriminālprocesa informācijas sistēma</w:t>
            </w:r>
          </w:p>
          <w:p w14:paraId="01E6EE28"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i/>
                <w:color w:val="000000" w:themeColor="text1"/>
                <w:szCs w:val="24"/>
                <w:lang w:eastAsia="lv-LV"/>
              </w:rPr>
              <w:t>Know your customer facility</w:t>
            </w:r>
            <w:r w:rsidRPr="00C65884">
              <w:rPr>
                <w:rFonts w:eastAsia="Times New Roman" w:cs="Times New Roman"/>
                <w:color w:val="000000" w:themeColor="text1"/>
                <w:szCs w:val="24"/>
                <w:lang w:eastAsia="lv-LV"/>
              </w:rPr>
              <w:t xml:space="preserve"> (zini savu klientu objekts)</w:t>
            </w:r>
          </w:p>
          <w:p w14:paraId="134B1A73"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i/>
                <w:color w:val="000000" w:themeColor="text1"/>
                <w:szCs w:val="24"/>
                <w:lang w:eastAsia="lv-LV"/>
              </w:rPr>
              <w:t>Know your customer utility</w:t>
            </w:r>
            <w:r w:rsidRPr="00C65884">
              <w:rPr>
                <w:rFonts w:eastAsia="Times New Roman" w:cs="Times New Roman"/>
                <w:color w:val="000000" w:themeColor="text1"/>
                <w:szCs w:val="24"/>
                <w:lang w:eastAsia="lv-LV"/>
              </w:rPr>
              <w:t xml:space="preserve"> (zini savu klientu rīks)</w:t>
            </w:r>
          </w:p>
        </w:tc>
      </w:tr>
      <w:tr w:rsidR="00B736CF" w:rsidRPr="00E01AB8" w14:paraId="5DC17CF9" w14:textId="77777777" w:rsidTr="00796432">
        <w:tc>
          <w:tcPr>
            <w:tcW w:w="1060" w:type="pct"/>
            <w:shd w:val="clear" w:color="auto" w:fill="FFFFFF"/>
            <w:hideMark/>
          </w:tcPr>
          <w:p w14:paraId="6415A93C"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LFNA</w:t>
            </w:r>
          </w:p>
        </w:tc>
        <w:tc>
          <w:tcPr>
            <w:tcW w:w="3940" w:type="pct"/>
            <w:shd w:val="clear" w:color="auto" w:fill="FFFFFF"/>
            <w:hideMark/>
          </w:tcPr>
          <w:p w14:paraId="2E0A573D"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Latvijas finanšu nozaru asociācija</w:t>
            </w:r>
          </w:p>
        </w:tc>
      </w:tr>
      <w:tr w:rsidR="00B736CF" w:rsidRPr="00E01AB8" w14:paraId="34000CC4" w14:textId="77777777" w:rsidTr="00796432">
        <w:tc>
          <w:tcPr>
            <w:tcW w:w="1060" w:type="pct"/>
            <w:shd w:val="clear" w:color="auto" w:fill="FFFFFF"/>
            <w:hideMark/>
          </w:tcPr>
          <w:p w14:paraId="62E4570A" w14:textId="77777777" w:rsidR="00B736CF" w:rsidRPr="00C65884" w:rsidRDefault="00B736CF" w:rsidP="0090763B">
            <w:pPr>
              <w:rPr>
                <w:rFonts w:eastAsia="Times New Roman" w:cs="Times New Roman"/>
                <w:color w:val="000000" w:themeColor="text1"/>
                <w:szCs w:val="24"/>
                <w:lang w:eastAsia="lv-LV"/>
              </w:rPr>
            </w:pPr>
          </w:p>
        </w:tc>
        <w:tc>
          <w:tcPr>
            <w:tcW w:w="3940" w:type="pct"/>
            <w:shd w:val="clear" w:color="auto" w:fill="FFFFFF"/>
            <w:hideMark/>
          </w:tcPr>
          <w:p w14:paraId="6CEBFAC3" w14:textId="77777777" w:rsidR="00B736CF" w:rsidRPr="00C65884" w:rsidRDefault="00B736CF" w:rsidP="0090763B">
            <w:pPr>
              <w:rPr>
                <w:rFonts w:eastAsia="Times New Roman" w:cs="Times New Roman"/>
                <w:color w:val="000000" w:themeColor="text1"/>
                <w:szCs w:val="24"/>
                <w:lang w:eastAsia="lv-LV"/>
              </w:rPr>
            </w:pPr>
          </w:p>
        </w:tc>
      </w:tr>
      <w:tr w:rsidR="00B736CF" w:rsidRPr="00E01AB8" w14:paraId="29471343" w14:textId="77777777" w:rsidTr="00796432">
        <w:tc>
          <w:tcPr>
            <w:tcW w:w="1060" w:type="pct"/>
            <w:shd w:val="clear" w:color="auto" w:fill="FFFFFF"/>
            <w:hideMark/>
          </w:tcPr>
          <w:p w14:paraId="00F693D9"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LB</w:t>
            </w:r>
          </w:p>
        </w:tc>
        <w:tc>
          <w:tcPr>
            <w:tcW w:w="3940" w:type="pct"/>
            <w:shd w:val="clear" w:color="auto" w:fill="FFFFFF"/>
            <w:hideMark/>
          </w:tcPr>
          <w:p w14:paraId="0E929ABE"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Latvijas Banka</w:t>
            </w:r>
          </w:p>
        </w:tc>
      </w:tr>
      <w:tr w:rsidR="00B736CF" w:rsidRPr="00E01AB8" w14:paraId="086653E8" w14:textId="77777777" w:rsidTr="00796432">
        <w:tc>
          <w:tcPr>
            <w:tcW w:w="1060" w:type="pct"/>
            <w:shd w:val="clear" w:color="auto" w:fill="FFFFFF"/>
            <w:hideMark/>
          </w:tcPr>
          <w:p w14:paraId="26BAC513" w14:textId="77777777" w:rsidR="00B736CF" w:rsidRPr="00C65884" w:rsidRDefault="00B736CF" w:rsidP="0090763B">
            <w:pPr>
              <w:rPr>
                <w:rFonts w:eastAsia="Times New Roman" w:cs="Times New Roman"/>
                <w:color w:val="000000" w:themeColor="text1"/>
                <w:szCs w:val="24"/>
                <w:lang w:eastAsia="lv-LV"/>
              </w:rPr>
            </w:pPr>
          </w:p>
        </w:tc>
        <w:tc>
          <w:tcPr>
            <w:tcW w:w="3940" w:type="pct"/>
            <w:shd w:val="clear" w:color="auto" w:fill="FFFFFF"/>
            <w:hideMark/>
          </w:tcPr>
          <w:p w14:paraId="66272FEC" w14:textId="77777777" w:rsidR="00B736CF" w:rsidRPr="00C65884" w:rsidRDefault="00B736CF" w:rsidP="0090763B">
            <w:pPr>
              <w:rPr>
                <w:rFonts w:eastAsia="Times New Roman" w:cs="Times New Roman"/>
                <w:color w:val="000000" w:themeColor="text1"/>
                <w:szCs w:val="24"/>
                <w:lang w:eastAsia="lv-LV"/>
              </w:rPr>
            </w:pPr>
          </w:p>
        </w:tc>
      </w:tr>
      <w:tr w:rsidR="00B736CF" w:rsidRPr="00E01AB8" w14:paraId="7465EEC8" w14:textId="77777777" w:rsidTr="00796432">
        <w:tc>
          <w:tcPr>
            <w:tcW w:w="1060" w:type="pct"/>
            <w:shd w:val="clear" w:color="auto" w:fill="FFFFFF"/>
            <w:hideMark/>
          </w:tcPr>
          <w:p w14:paraId="58AD9AEF"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LZAP</w:t>
            </w:r>
          </w:p>
          <w:p w14:paraId="171DB0BF"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LZNP</w:t>
            </w:r>
          </w:p>
          <w:p w14:paraId="691254C5"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LZRA</w:t>
            </w:r>
          </w:p>
          <w:p w14:paraId="7F4AEB0B"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MK</w:t>
            </w:r>
          </w:p>
        </w:tc>
        <w:tc>
          <w:tcPr>
            <w:tcW w:w="3940" w:type="pct"/>
            <w:shd w:val="clear" w:color="auto" w:fill="FFFFFF"/>
            <w:hideMark/>
          </w:tcPr>
          <w:p w14:paraId="78281142"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Latvijas Zvērinātu advokātu padome</w:t>
            </w:r>
          </w:p>
          <w:p w14:paraId="342B1261"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Latvijas Zvērinātu notāru padome</w:t>
            </w:r>
          </w:p>
          <w:p w14:paraId="736CE163"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Latvijas Zvērinātu revidentu padome</w:t>
            </w:r>
          </w:p>
          <w:p w14:paraId="330F7E1D"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Ministru kabinets</w:t>
            </w:r>
          </w:p>
        </w:tc>
      </w:tr>
      <w:tr w:rsidR="00B736CF" w:rsidRPr="00E01AB8" w14:paraId="76E93CEF" w14:textId="77777777" w:rsidTr="00796432">
        <w:tc>
          <w:tcPr>
            <w:tcW w:w="1060" w:type="pct"/>
            <w:shd w:val="clear" w:color="auto" w:fill="FFFFFF"/>
            <w:hideMark/>
          </w:tcPr>
          <w:p w14:paraId="05865D1B"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MONEYVAL</w:t>
            </w:r>
          </w:p>
          <w:p w14:paraId="0EAE7E6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NILL</w:t>
            </w:r>
          </w:p>
          <w:p w14:paraId="5733BB43"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NILLN</w:t>
            </w:r>
          </w:p>
        </w:tc>
        <w:tc>
          <w:tcPr>
            <w:tcW w:w="3940" w:type="pct"/>
            <w:shd w:val="clear" w:color="auto" w:fill="FFFFFF"/>
            <w:hideMark/>
          </w:tcPr>
          <w:p w14:paraId="76A3D99F" w14:textId="77777777" w:rsidR="00B736CF" w:rsidRPr="00C65884" w:rsidRDefault="00B736CF" w:rsidP="0090763B">
            <w:pPr>
              <w:rPr>
                <w:rFonts w:eastAsia="Times New Roman" w:cs="Times New Roman"/>
                <w:i/>
                <w:color w:val="000000" w:themeColor="text1"/>
                <w:szCs w:val="24"/>
                <w:lang w:eastAsia="lv-LV"/>
              </w:rPr>
            </w:pPr>
            <w:r w:rsidRPr="00C65884">
              <w:rPr>
                <w:rFonts w:eastAsia="Times New Roman" w:cs="Times New Roman"/>
                <w:i/>
                <w:color w:val="000000" w:themeColor="text1"/>
                <w:szCs w:val="24"/>
                <w:lang w:eastAsia="lv-LV"/>
              </w:rPr>
              <w:t>Committee of experts on the evaluation of anti-money laundering measures and the financing of terrorism</w:t>
            </w:r>
          </w:p>
          <w:p w14:paraId="06E09244"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Noziedzīgi iegūtu līdzekļu legalizācija</w:t>
            </w:r>
          </w:p>
          <w:p w14:paraId="7057E496" w14:textId="77777777" w:rsidR="00B736CF" w:rsidRPr="00C65884" w:rsidRDefault="00762051" w:rsidP="0090763B">
            <w:pPr>
              <w:rPr>
                <w:rFonts w:eastAsia="Times New Roman" w:cs="Times New Roman"/>
                <w:color w:val="000000" w:themeColor="text1"/>
                <w:szCs w:val="24"/>
                <w:lang w:eastAsia="lv-LV"/>
              </w:rPr>
            </w:pPr>
            <w:r>
              <w:rPr>
                <w:rFonts w:eastAsia="Times New Roman" w:cs="Times New Roman"/>
                <w:color w:val="000000" w:themeColor="text1"/>
                <w:szCs w:val="24"/>
                <w:lang w:eastAsia="lv-LV"/>
              </w:rPr>
              <w:t>N</w:t>
            </w:r>
            <w:r w:rsidR="00B736CF" w:rsidRPr="00C65884">
              <w:rPr>
                <w:rFonts w:eastAsia="Times New Roman" w:cs="Times New Roman"/>
                <w:color w:val="000000" w:themeColor="text1"/>
                <w:szCs w:val="24"/>
                <w:lang w:eastAsia="lv-LV"/>
              </w:rPr>
              <w:t>oziedzīgi iegūtu līdzekļu legalizācijas novēršana</w:t>
            </w:r>
          </w:p>
        </w:tc>
      </w:tr>
      <w:tr w:rsidR="00B736CF" w:rsidRPr="00E01AB8" w14:paraId="71D648BF" w14:textId="77777777" w:rsidTr="00796432">
        <w:tc>
          <w:tcPr>
            <w:tcW w:w="1060" w:type="pct"/>
            <w:shd w:val="clear" w:color="auto" w:fill="FFFFFF"/>
            <w:hideMark/>
          </w:tcPr>
          <w:p w14:paraId="6CD39322"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NILLTF</w:t>
            </w:r>
          </w:p>
        </w:tc>
        <w:tc>
          <w:tcPr>
            <w:tcW w:w="3940" w:type="pct"/>
            <w:shd w:val="clear" w:color="auto" w:fill="FFFFFF"/>
            <w:hideMark/>
          </w:tcPr>
          <w:p w14:paraId="0BC0785D" w14:textId="77777777" w:rsidR="00B736CF" w:rsidRPr="00C65884" w:rsidRDefault="00762051" w:rsidP="0090763B">
            <w:pPr>
              <w:rPr>
                <w:rFonts w:eastAsia="Times New Roman" w:cs="Times New Roman"/>
                <w:color w:val="000000" w:themeColor="text1"/>
                <w:szCs w:val="24"/>
                <w:lang w:eastAsia="lv-LV"/>
              </w:rPr>
            </w:pPr>
            <w:r>
              <w:rPr>
                <w:rFonts w:eastAsia="Times New Roman" w:cs="Times New Roman"/>
                <w:color w:val="000000" w:themeColor="text1"/>
                <w:szCs w:val="24"/>
                <w:lang w:eastAsia="lv-LV"/>
              </w:rPr>
              <w:t>N</w:t>
            </w:r>
            <w:r w:rsidR="00B736CF" w:rsidRPr="00C65884">
              <w:rPr>
                <w:rFonts w:eastAsia="Times New Roman" w:cs="Times New Roman"/>
                <w:color w:val="000000" w:themeColor="text1"/>
                <w:szCs w:val="24"/>
                <w:lang w:eastAsia="lv-LV"/>
              </w:rPr>
              <w:t>oziedzīgi iegūtu līdzekļu legalizācijas un terorisma finansēšanas</w:t>
            </w:r>
          </w:p>
        </w:tc>
      </w:tr>
      <w:tr w:rsidR="00B736CF" w:rsidRPr="00E01AB8" w14:paraId="30C64CB4" w14:textId="77777777" w:rsidTr="00796432">
        <w:tc>
          <w:tcPr>
            <w:tcW w:w="1060" w:type="pct"/>
            <w:shd w:val="clear" w:color="auto" w:fill="FFFFFF"/>
            <w:hideMark/>
          </w:tcPr>
          <w:p w14:paraId="44B1B3BC"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NILLTFN</w:t>
            </w:r>
          </w:p>
          <w:p w14:paraId="7048FFF2"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NILLTFNL</w:t>
            </w:r>
          </w:p>
          <w:p w14:paraId="3B8FE02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NIS</w:t>
            </w:r>
          </w:p>
          <w:p w14:paraId="1996E7C0"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NKMP</w:t>
            </w:r>
          </w:p>
          <w:p w14:paraId="4D457156" w14:textId="77777777" w:rsidR="00B736CF" w:rsidRPr="00C65884" w:rsidRDefault="00762051"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lastRenderedPageBreak/>
              <w:t>N</w:t>
            </w:r>
            <w:r>
              <w:rPr>
                <w:rFonts w:eastAsia="Times New Roman" w:cs="Times New Roman"/>
                <w:color w:val="000000" w:themeColor="text1"/>
                <w:szCs w:val="24"/>
                <w:lang w:eastAsia="lv-LV"/>
              </w:rPr>
              <w:t>NDP</w:t>
            </w:r>
          </w:p>
          <w:p w14:paraId="7C19E01B" w14:textId="77777777" w:rsidR="00B736CF" w:rsidRPr="00C65884" w:rsidRDefault="00762051"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w:t>
            </w:r>
            <w:r>
              <w:rPr>
                <w:rFonts w:eastAsia="Times New Roman" w:cs="Times New Roman"/>
                <w:color w:val="000000" w:themeColor="text1"/>
                <w:szCs w:val="24"/>
                <w:lang w:eastAsia="lv-LV"/>
              </w:rPr>
              <w:t>MPP</w:t>
            </w:r>
          </w:p>
          <w:p w14:paraId="07B77348"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NRA</w:t>
            </w:r>
          </w:p>
        </w:tc>
        <w:tc>
          <w:tcPr>
            <w:tcW w:w="3940" w:type="pct"/>
            <w:shd w:val="clear" w:color="auto" w:fill="FFFFFF"/>
            <w:hideMark/>
          </w:tcPr>
          <w:p w14:paraId="23CE5438"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lastRenderedPageBreak/>
              <w:t>Noziedzīgi iegūtu līdzekļu legalizācijas un teroristu finansēšanas novēršana</w:t>
            </w:r>
          </w:p>
          <w:p w14:paraId="3D81B1A0"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Noziedzīgi iegūtu līdzekļu legalizācijas un teroristu finansēšanas novēršanas likums</w:t>
            </w:r>
          </w:p>
          <w:p w14:paraId="33881354"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Notāru informācijas sistēma</w:t>
            </w:r>
          </w:p>
          <w:p w14:paraId="065A4CF2"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Nacionālā kultūras mantojuma pārvalde</w:t>
            </w:r>
          </w:p>
          <w:p w14:paraId="514681B5"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lastRenderedPageBreak/>
              <w:t>Noteiktās nefinanšu darbības un profesijas</w:t>
            </w:r>
          </w:p>
          <w:p w14:paraId="18EAD38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Nodokļu un muitas policija pārvalde</w:t>
            </w:r>
          </w:p>
          <w:p w14:paraId="03C17C32"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Otrais nacionālo noziedzīgi iegūtu līdzekļu legalizācijas un terorisma finansēšanas risku novērtējums</w:t>
            </w:r>
          </w:p>
        </w:tc>
      </w:tr>
      <w:tr w:rsidR="00B736CF" w:rsidRPr="00E01AB8" w14:paraId="7BE9FE06" w14:textId="77777777" w:rsidTr="00796432">
        <w:tc>
          <w:tcPr>
            <w:tcW w:w="1060" w:type="pct"/>
            <w:shd w:val="clear" w:color="auto" w:fill="FFFFFF"/>
            <w:hideMark/>
          </w:tcPr>
          <w:p w14:paraId="42795441"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lastRenderedPageBreak/>
              <w:t>NVS valstis</w:t>
            </w:r>
          </w:p>
          <w:p w14:paraId="43A22AAA"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NVO</w:t>
            </w:r>
          </w:p>
        </w:tc>
        <w:tc>
          <w:tcPr>
            <w:tcW w:w="3940" w:type="pct"/>
            <w:shd w:val="clear" w:color="auto" w:fill="FFFFFF"/>
            <w:hideMark/>
          </w:tcPr>
          <w:p w14:paraId="3F4B888F"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Neatkarīgo valstu sadraudzības valstis</w:t>
            </w:r>
          </w:p>
          <w:p w14:paraId="4FC2B6C2"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Nevalstiskās organizācijas</w:t>
            </w:r>
          </w:p>
        </w:tc>
      </w:tr>
      <w:tr w:rsidR="00B736CF" w:rsidRPr="00E01AB8" w14:paraId="14BEE2D5" w14:textId="77777777" w:rsidTr="00796432">
        <w:tc>
          <w:tcPr>
            <w:tcW w:w="1060" w:type="pct"/>
            <w:shd w:val="clear" w:color="auto" w:fill="FFFFFF"/>
            <w:hideMark/>
          </w:tcPr>
          <w:p w14:paraId="5AC32C4E"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OFAC</w:t>
            </w:r>
          </w:p>
          <w:p w14:paraId="0C879D8E" w14:textId="77777777" w:rsidR="002D5092" w:rsidRDefault="002D5092" w:rsidP="0090763B">
            <w:pPr>
              <w:rPr>
                <w:rFonts w:eastAsia="Times New Roman" w:cs="Times New Roman"/>
                <w:color w:val="000000" w:themeColor="text1"/>
                <w:szCs w:val="24"/>
                <w:lang w:eastAsia="lv-LV"/>
              </w:rPr>
            </w:pPr>
            <w:r>
              <w:rPr>
                <w:rFonts w:eastAsia="Times New Roman" w:cs="Times New Roman"/>
                <w:color w:val="000000" w:themeColor="text1"/>
                <w:szCs w:val="24"/>
                <w:lang w:eastAsia="lv-LV"/>
              </w:rPr>
              <w:t>OECD</w:t>
            </w:r>
          </w:p>
          <w:p w14:paraId="49B415AB"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Pasākumu plāns 2017.-2019.gadam</w:t>
            </w:r>
          </w:p>
          <w:p w14:paraId="1CB02D18"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PLG</w:t>
            </w:r>
          </w:p>
        </w:tc>
        <w:tc>
          <w:tcPr>
            <w:tcW w:w="3940" w:type="pct"/>
            <w:shd w:val="clear" w:color="auto" w:fill="FFFFFF"/>
            <w:hideMark/>
          </w:tcPr>
          <w:p w14:paraId="2DBEC1BE" w14:textId="77777777" w:rsidR="002D5092" w:rsidRDefault="00B736CF" w:rsidP="0090763B">
            <w:pPr>
              <w:rPr>
                <w:rFonts w:eastAsia="Times New Roman" w:cs="Times New Roman"/>
                <w:color w:val="000000" w:themeColor="text1"/>
                <w:szCs w:val="24"/>
                <w:lang w:eastAsia="lv-LV"/>
              </w:rPr>
            </w:pPr>
            <w:r w:rsidRPr="00C65884">
              <w:rPr>
                <w:rFonts w:eastAsia="Times New Roman" w:cs="Times New Roman"/>
                <w:i/>
                <w:color w:val="000000" w:themeColor="text1"/>
                <w:szCs w:val="24"/>
                <w:lang w:eastAsia="lv-LV"/>
              </w:rPr>
              <w:t>The Office of Foreign Assets Control</w:t>
            </w:r>
            <w:r w:rsidRPr="00C65884">
              <w:rPr>
                <w:rFonts w:eastAsia="Times New Roman" w:cs="Times New Roman"/>
                <w:color w:val="000000" w:themeColor="text1"/>
                <w:szCs w:val="24"/>
                <w:lang w:eastAsia="lv-LV"/>
              </w:rPr>
              <w:t xml:space="preserve"> (Ārvalstu kapitāla kontroles birojs)</w:t>
            </w:r>
            <w:r w:rsidRPr="00C65884">
              <w:rPr>
                <w:rFonts w:eastAsia="Times New Roman" w:cs="Times New Roman"/>
                <w:color w:val="000000" w:themeColor="text1"/>
                <w:szCs w:val="24"/>
                <w:lang w:eastAsia="lv-LV"/>
              </w:rPr>
              <w:br/>
            </w:r>
            <w:r w:rsidR="002D5092">
              <w:rPr>
                <w:rFonts w:eastAsia="Times New Roman" w:cs="Times New Roman"/>
                <w:color w:val="000000" w:themeColor="text1"/>
                <w:szCs w:val="24"/>
                <w:lang w:eastAsia="lv-LV"/>
              </w:rPr>
              <w:t>Ekonomiskās sadarbības un attīstības organizācija</w:t>
            </w:r>
          </w:p>
          <w:p w14:paraId="0A1B6F91" w14:textId="77777777" w:rsidR="00B736CF" w:rsidRPr="00C65884" w:rsidRDefault="00B95F87"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P</w:t>
            </w:r>
            <w:r w:rsidR="00B736CF" w:rsidRPr="00C65884">
              <w:rPr>
                <w:rFonts w:eastAsia="Times New Roman" w:cs="Times New Roman"/>
                <w:color w:val="000000" w:themeColor="text1"/>
                <w:szCs w:val="24"/>
                <w:lang w:eastAsia="lv-LV"/>
              </w:rPr>
              <w:t>asākumu plānu noziedzīgi iegūtu līdzekļu legalizācijas un terorisma finansēšanas risku ierobežošanai 2017.-2019.gadam</w:t>
            </w:r>
          </w:p>
          <w:p w14:paraId="5993C379"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Patiesais labuma guvējs</w:t>
            </w:r>
          </w:p>
        </w:tc>
      </w:tr>
      <w:tr w:rsidR="00B736CF" w:rsidRPr="00E01AB8" w14:paraId="6285C50D" w14:textId="77777777" w:rsidTr="00796432">
        <w:tc>
          <w:tcPr>
            <w:tcW w:w="1060" w:type="pct"/>
            <w:shd w:val="clear" w:color="auto" w:fill="FFFFFF"/>
            <w:hideMark/>
          </w:tcPr>
          <w:p w14:paraId="7A10D21A"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PNP</w:t>
            </w:r>
          </w:p>
        </w:tc>
        <w:tc>
          <w:tcPr>
            <w:tcW w:w="3940" w:type="pct"/>
            <w:shd w:val="clear" w:color="auto" w:fill="FFFFFF"/>
            <w:hideMark/>
          </w:tcPr>
          <w:p w14:paraId="72592FA5"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Politiski nozīmīga persona</w:t>
            </w:r>
          </w:p>
        </w:tc>
      </w:tr>
      <w:tr w:rsidR="00B736CF" w:rsidRPr="00E01AB8" w14:paraId="26A2B951" w14:textId="77777777" w:rsidTr="00796432">
        <w:tc>
          <w:tcPr>
            <w:tcW w:w="1060" w:type="pct"/>
            <w:shd w:val="clear" w:color="auto" w:fill="FFFFFF"/>
            <w:hideMark/>
          </w:tcPr>
          <w:p w14:paraId="40E56428" w14:textId="77777777" w:rsidR="00B736CF" w:rsidRPr="00C65884" w:rsidRDefault="00B736CF" w:rsidP="0090763B">
            <w:pPr>
              <w:rPr>
                <w:rFonts w:eastAsia="Times New Roman" w:cs="Times New Roman"/>
                <w:color w:val="000000" w:themeColor="text1"/>
                <w:szCs w:val="24"/>
                <w:lang w:eastAsia="lv-LV"/>
              </w:rPr>
            </w:pPr>
          </w:p>
        </w:tc>
        <w:tc>
          <w:tcPr>
            <w:tcW w:w="3940" w:type="pct"/>
            <w:shd w:val="clear" w:color="auto" w:fill="FFFFFF"/>
            <w:hideMark/>
          </w:tcPr>
          <w:p w14:paraId="3B40239B" w14:textId="77777777" w:rsidR="00B736CF" w:rsidRPr="00C65884" w:rsidRDefault="00B736CF" w:rsidP="0090763B">
            <w:pPr>
              <w:rPr>
                <w:rFonts w:eastAsia="Times New Roman" w:cs="Times New Roman"/>
                <w:color w:val="000000" w:themeColor="text1"/>
                <w:szCs w:val="24"/>
                <w:lang w:eastAsia="lv-LV"/>
              </w:rPr>
            </w:pPr>
          </w:p>
        </w:tc>
      </w:tr>
      <w:tr w:rsidR="00B736CF" w:rsidRPr="00E01AB8" w14:paraId="10AF37B8" w14:textId="77777777" w:rsidTr="00796432">
        <w:tc>
          <w:tcPr>
            <w:tcW w:w="1060" w:type="pct"/>
            <w:shd w:val="clear" w:color="auto" w:fill="FFFFFF"/>
            <w:hideMark/>
          </w:tcPr>
          <w:p w14:paraId="4BAC2141"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PTAC</w:t>
            </w:r>
          </w:p>
          <w:p w14:paraId="2584A9BC"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SAB</w:t>
            </w:r>
          </w:p>
          <w:p w14:paraId="6D705315"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SIA</w:t>
            </w:r>
          </w:p>
        </w:tc>
        <w:tc>
          <w:tcPr>
            <w:tcW w:w="3940" w:type="pct"/>
            <w:shd w:val="clear" w:color="auto" w:fill="FFFFFF"/>
            <w:hideMark/>
          </w:tcPr>
          <w:p w14:paraId="093038E7"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Patērētāju tiesību aizsardzības centrs</w:t>
            </w:r>
          </w:p>
          <w:p w14:paraId="1A03BB87"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Satversmes aizsardzības birojs</w:t>
            </w:r>
          </w:p>
          <w:p w14:paraId="1C3DFA12"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Sabiedrības ar ierobežotu atbildību</w:t>
            </w:r>
          </w:p>
        </w:tc>
      </w:tr>
      <w:tr w:rsidR="00B736CF" w:rsidRPr="00E01AB8" w14:paraId="5B7732DE" w14:textId="77777777" w:rsidTr="00796432">
        <w:tc>
          <w:tcPr>
            <w:tcW w:w="1060" w:type="pct"/>
            <w:shd w:val="clear" w:color="auto" w:fill="FFFFFF"/>
            <w:hideMark/>
          </w:tcPr>
          <w:p w14:paraId="2CF943A5"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SM</w:t>
            </w:r>
          </w:p>
        </w:tc>
        <w:tc>
          <w:tcPr>
            <w:tcW w:w="3940" w:type="pct"/>
            <w:shd w:val="clear" w:color="auto" w:fill="FFFFFF"/>
            <w:hideMark/>
          </w:tcPr>
          <w:p w14:paraId="71A4D473"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Satiksmes ministrija</w:t>
            </w:r>
          </w:p>
        </w:tc>
      </w:tr>
      <w:tr w:rsidR="00B736CF" w:rsidRPr="00E01AB8" w14:paraId="0B8BFCA9" w14:textId="77777777" w:rsidTr="00796432">
        <w:tc>
          <w:tcPr>
            <w:tcW w:w="1060" w:type="pct"/>
            <w:shd w:val="clear" w:color="auto" w:fill="FFFFFF"/>
            <w:hideMark/>
          </w:tcPr>
          <w:p w14:paraId="06E7487E"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TA</w:t>
            </w:r>
          </w:p>
          <w:p w14:paraId="71D4B514"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TF</w:t>
            </w:r>
          </w:p>
          <w:p w14:paraId="0833C00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TIS</w:t>
            </w:r>
          </w:p>
        </w:tc>
        <w:tc>
          <w:tcPr>
            <w:tcW w:w="3940" w:type="pct"/>
            <w:shd w:val="clear" w:color="auto" w:fill="FFFFFF"/>
            <w:hideMark/>
          </w:tcPr>
          <w:p w14:paraId="445A4E1E"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Tiesu administrācija</w:t>
            </w:r>
          </w:p>
          <w:p w14:paraId="5773A79E"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Terorisma finansēšana</w:t>
            </w:r>
          </w:p>
          <w:p w14:paraId="0AF2469F"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Tiesu informācijas sistēma</w:t>
            </w:r>
          </w:p>
        </w:tc>
      </w:tr>
      <w:tr w:rsidR="00B736CF" w:rsidRPr="00E01AB8" w14:paraId="0208AA38" w14:textId="77777777" w:rsidTr="00796432">
        <w:tc>
          <w:tcPr>
            <w:tcW w:w="1060" w:type="pct"/>
            <w:shd w:val="clear" w:color="auto" w:fill="FFFFFF"/>
            <w:hideMark/>
          </w:tcPr>
          <w:p w14:paraId="14688A08"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TM</w:t>
            </w:r>
          </w:p>
          <w:p w14:paraId="098415F3"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UKI</w:t>
            </w:r>
          </w:p>
        </w:tc>
        <w:tc>
          <w:tcPr>
            <w:tcW w:w="3940" w:type="pct"/>
            <w:shd w:val="clear" w:color="auto" w:fill="FFFFFF"/>
            <w:hideMark/>
          </w:tcPr>
          <w:p w14:paraId="2B4AB1DE"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Tieslietu ministrija</w:t>
            </w:r>
          </w:p>
          <w:p w14:paraId="6B965A07"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Uzraudzības un kontroles iestādes</w:t>
            </w:r>
          </w:p>
        </w:tc>
      </w:tr>
      <w:tr w:rsidR="00B736CF" w:rsidRPr="00E01AB8" w14:paraId="4763D6AB" w14:textId="77777777" w:rsidTr="00796432">
        <w:tc>
          <w:tcPr>
            <w:tcW w:w="1060" w:type="pct"/>
            <w:shd w:val="clear" w:color="auto" w:fill="FFFFFF"/>
            <w:hideMark/>
          </w:tcPr>
          <w:p w14:paraId="2176DA92"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UR</w:t>
            </w:r>
          </w:p>
        </w:tc>
        <w:tc>
          <w:tcPr>
            <w:tcW w:w="3940" w:type="pct"/>
            <w:shd w:val="clear" w:color="auto" w:fill="FFFFFF"/>
            <w:hideMark/>
          </w:tcPr>
          <w:p w14:paraId="67ABDDAB"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Uzņēmumu reģistrs</w:t>
            </w:r>
          </w:p>
        </w:tc>
      </w:tr>
      <w:tr w:rsidR="00B736CF" w:rsidRPr="00E01AB8" w14:paraId="47989FBB" w14:textId="77777777" w:rsidTr="00796432">
        <w:tc>
          <w:tcPr>
            <w:tcW w:w="1060" w:type="pct"/>
            <w:shd w:val="clear" w:color="auto" w:fill="FFFFFF"/>
            <w:hideMark/>
          </w:tcPr>
          <w:p w14:paraId="5C2F2706"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VAS</w:t>
            </w:r>
          </w:p>
        </w:tc>
        <w:tc>
          <w:tcPr>
            <w:tcW w:w="3940" w:type="pct"/>
            <w:shd w:val="clear" w:color="auto" w:fill="FFFFFF"/>
            <w:hideMark/>
          </w:tcPr>
          <w:p w14:paraId="17F90745"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Valsts administrācijas skola</w:t>
            </w:r>
          </w:p>
        </w:tc>
      </w:tr>
      <w:tr w:rsidR="00B736CF" w:rsidRPr="00E01AB8" w14:paraId="77185AE3" w14:textId="77777777" w:rsidTr="00796432">
        <w:tc>
          <w:tcPr>
            <w:tcW w:w="1060" w:type="pct"/>
            <w:shd w:val="clear" w:color="auto" w:fill="FFFFFF"/>
            <w:hideMark/>
          </w:tcPr>
          <w:p w14:paraId="4534B594"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VID</w:t>
            </w:r>
          </w:p>
        </w:tc>
        <w:tc>
          <w:tcPr>
            <w:tcW w:w="3940" w:type="pct"/>
            <w:shd w:val="clear" w:color="auto" w:fill="FFFFFF"/>
            <w:hideMark/>
          </w:tcPr>
          <w:p w14:paraId="1226D725"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Valsts ieņēmumu dienests</w:t>
            </w:r>
          </w:p>
        </w:tc>
      </w:tr>
      <w:tr w:rsidR="00B736CF" w:rsidRPr="00E01AB8" w14:paraId="7B7A87C5" w14:textId="77777777" w:rsidTr="00796432">
        <w:tc>
          <w:tcPr>
            <w:tcW w:w="1060" w:type="pct"/>
            <w:shd w:val="clear" w:color="auto" w:fill="FFFFFF"/>
            <w:hideMark/>
          </w:tcPr>
          <w:p w14:paraId="7C63BC5C"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VP</w:t>
            </w:r>
          </w:p>
        </w:tc>
        <w:tc>
          <w:tcPr>
            <w:tcW w:w="3940" w:type="pct"/>
            <w:shd w:val="clear" w:color="auto" w:fill="FFFFFF"/>
            <w:hideMark/>
          </w:tcPr>
          <w:p w14:paraId="193E060B" w14:textId="77777777" w:rsidR="00B736CF" w:rsidRPr="00C65884" w:rsidRDefault="00B736CF"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Valsts policija</w:t>
            </w:r>
          </w:p>
        </w:tc>
      </w:tr>
      <w:tr w:rsidR="00B736CF" w:rsidRPr="00E01AB8" w14:paraId="5B5A6984" w14:textId="77777777" w:rsidTr="00796432">
        <w:tc>
          <w:tcPr>
            <w:tcW w:w="1060" w:type="pct"/>
            <w:shd w:val="clear" w:color="auto" w:fill="FFFFFF"/>
          </w:tcPr>
          <w:p w14:paraId="26B77E1D" w14:textId="77777777" w:rsidR="00B736CF" w:rsidRPr="00C65884" w:rsidRDefault="00B95F87" w:rsidP="00C65884">
            <w:pPr>
              <w:tabs>
                <w:tab w:val="left" w:pos="1814"/>
              </w:tabs>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VRS</w:t>
            </w:r>
          </w:p>
        </w:tc>
        <w:tc>
          <w:tcPr>
            <w:tcW w:w="3940" w:type="pct"/>
            <w:shd w:val="clear" w:color="auto" w:fill="FFFFFF"/>
          </w:tcPr>
          <w:p w14:paraId="686DE797" w14:textId="77777777" w:rsidR="00B736CF" w:rsidRPr="00C65884" w:rsidRDefault="00B95F87"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Valsts robežsardze</w:t>
            </w:r>
          </w:p>
        </w:tc>
      </w:tr>
      <w:tr w:rsidR="00B95F87" w:rsidRPr="00E01AB8" w14:paraId="104E426C" w14:textId="77777777" w:rsidTr="00796432">
        <w:tc>
          <w:tcPr>
            <w:tcW w:w="1060" w:type="pct"/>
            <w:shd w:val="clear" w:color="auto" w:fill="FFFFFF"/>
          </w:tcPr>
          <w:p w14:paraId="368EC8BE" w14:textId="77777777" w:rsidR="00B95F87" w:rsidRPr="00C65884" w:rsidRDefault="00B95F87" w:rsidP="00B95F87">
            <w:pPr>
              <w:tabs>
                <w:tab w:val="left" w:pos="1814"/>
              </w:tabs>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VSS</w:t>
            </w:r>
          </w:p>
        </w:tc>
        <w:tc>
          <w:tcPr>
            <w:tcW w:w="3940" w:type="pct"/>
            <w:shd w:val="clear" w:color="auto" w:fill="FFFFFF"/>
          </w:tcPr>
          <w:p w14:paraId="1EB7E80F" w14:textId="77777777" w:rsidR="00B95F87" w:rsidRPr="00C65884" w:rsidRDefault="00B95F87" w:rsidP="0090763B">
            <w:pPr>
              <w:rPr>
                <w:rFonts w:eastAsia="Times New Roman" w:cs="Times New Roman"/>
                <w:color w:val="000000" w:themeColor="text1"/>
                <w:szCs w:val="24"/>
                <w:lang w:eastAsia="lv-LV"/>
              </w:rPr>
            </w:pPr>
            <w:r w:rsidRPr="00C65884">
              <w:rPr>
                <w:rFonts w:eastAsia="Times New Roman" w:cs="Times New Roman"/>
                <w:color w:val="000000" w:themeColor="text1"/>
                <w:szCs w:val="24"/>
                <w:lang w:eastAsia="lv-LV"/>
              </w:rPr>
              <w:t>Valsts sekretāru sanāksme</w:t>
            </w:r>
          </w:p>
        </w:tc>
      </w:tr>
    </w:tbl>
    <w:p w14:paraId="2556DAD7" w14:textId="77777777" w:rsidR="00B736CF" w:rsidRDefault="00B736CF" w:rsidP="00232E53">
      <w:pPr>
        <w:jc w:val="both"/>
        <w:rPr>
          <w:b/>
          <w:sz w:val="28"/>
          <w:szCs w:val="28"/>
        </w:rPr>
        <w:sectPr w:rsidR="00B736CF" w:rsidSect="00A401DB">
          <w:pgSz w:w="16838" w:h="11906" w:orient="landscape"/>
          <w:pgMar w:top="1276" w:right="1440" w:bottom="1800" w:left="1440" w:header="708" w:footer="708" w:gutter="0"/>
          <w:cols w:space="708"/>
          <w:docGrid w:linePitch="360"/>
        </w:sectPr>
      </w:pPr>
    </w:p>
    <w:p w14:paraId="10162707" w14:textId="77777777" w:rsidR="00796432" w:rsidRPr="00662356" w:rsidRDefault="00796432" w:rsidP="00796432">
      <w:pPr>
        <w:pStyle w:val="Heading1"/>
        <w:rPr>
          <w:sz w:val="40"/>
          <w:szCs w:val="40"/>
        </w:rPr>
      </w:pPr>
      <w:bookmarkStart w:id="2" w:name="_Toc524977645"/>
      <w:r w:rsidRPr="00662356">
        <w:rPr>
          <w:sz w:val="40"/>
          <w:szCs w:val="40"/>
        </w:rPr>
        <w:lastRenderedPageBreak/>
        <w:t>I. Kopsavilkums</w:t>
      </w:r>
      <w:bookmarkEnd w:id="2"/>
      <w:r w:rsidRPr="00662356">
        <w:rPr>
          <w:sz w:val="40"/>
          <w:szCs w:val="40"/>
        </w:rPr>
        <w:t xml:space="preserve"> </w:t>
      </w:r>
    </w:p>
    <w:p w14:paraId="3CE3DE82" w14:textId="77777777" w:rsidR="00796432" w:rsidRPr="00EE1B29" w:rsidRDefault="00796432" w:rsidP="00796432">
      <w:pPr>
        <w:jc w:val="both"/>
        <w:rPr>
          <w:rFonts w:eastAsia="Calibri" w:cs="Times New Roman"/>
          <w:sz w:val="28"/>
          <w:szCs w:val="28"/>
        </w:rPr>
      </w:pPr>
      <w:r>
        <w:rPr>
          <w:rFonts w:eastAsia="Calibri" w:cs="Times New Roman"/>
          <w:sz w:val="28"/>
          <w:szCs w:val="28"/>
        </w:rPr>
        <w:tab/>
      </w:r>
      <w:r w:rsidRPr="00EE1B29">
        <w:rPr>
          <w:rFonts w:eastAsia="Calibri" w:cs="Times New Roman"/>
          <w:sz w:val="28"/>
          <w:szCs w:val="28"/>
        </w:rPr>
        <w:t xml:space="preserve">Noziedzīgi iegūtu līdzekļu legalizācijas un terorisma finansēšanas novēršanas sistēma </w:t>
      </w:r>
      <w:r>
        <w:rPr>
          <w:rFonts w:eastAsia="Calibri" w:cs="Times New Roman"/>
          <w:sz w:val="28"/>
          <w:szCs w:val="28"/>
        </w:rPr>
        <w:t xml:space="preserve">Eiropas Savienībā </w:t>
      </w:r>
      <w:r w:rsidRPr="00EE1B29">
        <w:rPr>
          <w:rFonts w:eastAsia="Calibri" w:cs="Times New Roman"/>
          <w:sz w:val="28"/>
          <w:szCs w:val="28"/>
        </w:rPr>
        <w:t>ir veidota, lai novērstu iespēju izmantot finanšu un nefinanšu sektoru noziedzīgi iegūtu līdzekļu legalizācijai un terorisma finansēšanai, nodrošinot uz risku balstītu pieeju, kas paredz preventīvo, uzraudzības un kontroles pasākumu ieviešanu atbilstoši riska līmenim.</w:t>
      </w:r>
      <w:r>
        <w:rPr>
          <w:rFonts w:eastAsia="Calibri" w:cs="Times New Roman"/>
          <w:sz w:val="28"/>
          <w:szCs w:val="28"/>
        </w:rPr>
        <w:t xml:space="preserve"> Latvija ar šā plānu pieņemšanu apliecina</w:t>
      </w:r>
      <w:r w:rsidR="009B7E09">
        <w:rPr>
          <w:rFonts w:eastAsia="Calibri" w:cs="Times New Roman"/>
          <w:sz w:val="28"/>
          <w:szCs w:val="28"/>
        </w:rPr>
        <w:t>, ka darīs visu iespējam</w:t>
      </w:r>
      <w:r w:rsidR="00D02EBB">
        <w:rPr>
          <w:rFonts w:eastAsia="Calibri" w:cs="Times New Roman"/>
          <w:sz w:val="28"/>
          <w:szCs w:val="28"/>
        </w:rPr>
        <w:t>o</w:t>
      </w:r>
      <w:r w:rsidR="009B7E09">
        <w:rPr>
          <w:rFonts w:eastAsia="Calibri" w:cs="Times New Roman"/>
          <w:sz w:val="28"/>
          <w:szCs w:val="28"/>
        </w:rPr>
        <w:t>, lai</w:t>
      </w:r>
      <w:r>
        <w:rPr>
          <w:rFonts w:eastAsia="Calibri" w:cs="Times New Roman"/>
          <w:sz w:val="28"/>
          <w:szCs w:val="28"/>
        </w:rPr>
        <w:t xml:space="preserve"> </w:t>
      </w:r>
      <w:r w:rsidR="009B7E09">
        <w:rPr>
          <w:rFonts w:eastAsia="Calibri" w:cs="Times New Roman"/>
          <w:sz w:val="28"/>
          <w:szCs w:val="28"/>
        </w:rPr>
        <w:t>nepieļautu</w:t>
      </w:r>
      <w:r>
        <w:rPr>
          <w:rFonts w:eastAsia="Calibri" w:cs="Times New Roman"/>
          <w:sz w:val="28"/>
          <w:szCs w:val="28"/>
        </w:rPr>
        <w:t xml:space="preserve"> valsts finanšu </w:t>
      </w:r>
      <w:r w:rsidR="00D1576B">
        <w:rPr>
          <w:rFonts w:eastAsia="Calibri" w:cs="Times New Roman"/>
          <w:sz w:val="28"/>
          <w:szCs w:val="28"/>
        </w:rPr>
        <w:t xml:space="preserve">un nefinanšu </w:t>
      </w:r>
      <w:r>
        <w:rPr>
          <w:rFonts w:eastAsia="Calibri" w:cs="Times New Roman"/>
          <w:sz w:val="28"/>
          <w:szCs w:val="28"/>
        </w:rPr>
        <w:t xml:space="preserve">sistēmas izmantošanu </w:t>
      </w:r>
      <w:r w:rsidRPr="00EE1B29">
        <w:rPr>
          <w:rFonts w:eastAsia="Calibri" w:cs="Times New Roman"/>
          <w:sz w:val="28"/>
          <w:szCs w:val="28"/>
        </w:rPr>
        <w:t>noziedzī</w:t>
      </w:r>
      <w:r>
        <w:rPr>
          <w:rFonts w:eastAsia="Calibri" w:cs="Times New Roman"/>
          <w:sz w:val="28"/>
          <w:szCs w:val="28"/>
        </w:rPr>
        <w:t>gi iegūtu līdzekļu legalizācijai</w:t>
      </w:r>
      <w:r w:rsidRPr="00EE1B29">
        <w:rPr>
          <w:rFonts w:eastAsia="Calibri" w:cs="Times New Roman"/>
          <w:sz w:val="28"/>
          <w:szCs w:val="28"/>
        </w:rPr>
        <w:t xml:space="preserve"> un terorisma finansēšan</w:t>
      </w:r>
      <w:r>
        <w:rPr>
          <w:rFonts w:eastAsia="Calibri" w:cs="Times New Roman"/>
          <w:sz w:val="28"/>
          <w:szCs w:val="28"/>
        </w:rPr>
        <w:t xml:space="preserve">ai un apņemas nodrošināt ievērojamu progresu </w:t>
      </w:r>
      <w:r w:rsidR="00D02EBB">
        <w:rPr>
          <w:rFonts w:eastAsia="Calibri" w:cs="Times New Roman"/>
          <w:sz w:val="28"/>
          <w:szCs w:val="28"/>
        </w:rPr>
        <w:t xml:space="preserve">tiesiskās </w:t>
      </w:r>
      <w:r>
        <w:rPr>
          <w:rFonts w:eastAsia="Calibri" w:cs="Times New Roman"/>
          <w:sz w:val="28"/>
          <w:szCs w:val="28"/>
        </w:rPr>
        <w:t>vides un tās rezult</w:t>
      </w:r>
      <w:r w:rsidR="00D02EBB">
        <w:rPr>
          <w:rFonts w:eastAsia="Calibri" w:cs="Times New Roman"/>
          <w:sz w:val="28"/>
          <w:szCs w:val="28"/>
        </w:rPr>
        <w:t>at</w:t>
      </w:r>
      <w:r>
        <w:rPr>
          <w:rFonts w:eastAsia="Calibri" w:cs="Times New Roman"/>
          <w:sz w:val="28"/>
          <w:szCs w:val="28"/>
        </w:rPr>
        <w:t xml:space="preserve">ivitātes uzlabošanai jau 2018. un 2019.gadā. </w:t>
      </w:r>
    </w:p>
    <w:p w14:paraId="0CDBE617" w14:textId="69881288" w:rsidR="00796432" w:rsidRDefault="00796432" w:rsidP="00796432">
      <w:pPr>
        <w:jc w:val="both"/>
        <w:rPr>
          <w:rFonts w:eastAsia="Calibri" w:cs="Times New Roman"/>
          <w:sz w:val="28"/>
          <w:szCs w:val="28"/>
        </w:rPr>
      </w:pPr>
      <w:r>
        <w:rPr>
          <w:rFonts w:eastAsia="Calibri" w:cs="Times New Roman"/>
          <w:sz w:val="28"/>
          <w:szCs w:val="28"/>
        </w:rPr>
        <w:tab/>
      </w:r>
      <w:r w:rsidRPr="00EE1B29">
        <w:rPr>
          <w:rFonts w:eastAsia="Calibri" w:cs="Times New Roman"/>
          <w:sz w:val="28"/>
          <w:szCs w:val="28"/>
        </w:rPr>
        <w:t>Pasākum</w:t>
      </w:r>
      <w:r>
        <w:rPr>
          <w:rFonts w:eastAsia="Calibri" w:cs="Times New Roman"/>
          <w:sz w:val="28"/>
          <w:szCs w:val="28"/>
        </w:rPr>
        <w:t>u</w:t>
      </w:r>
      <w:r w:rsidRPr="00EE1B29">
        <w:rPr>
          <w:rFonts w:eastAsia="Calibri" w:cs="Times New Roman"/>
          <w:sz w:val="28"/>
          <w:szCs w:val="28"/>
        </w:rPr>
        <w:t xml:space="preserve"> plāns noziedzīgi iegūtu līdzekļu legalizācijas un terorisma finansēšanas novēršanai laikp</w:t>
      </w:r>
      <w:r w:rsidR="001E15FF">
        <w:rPr>
          <w:rFonts w:eastAsia="Calibri" w:cs="Times New Roman"/>
          <w:sz w:val="28"/>
          <w:szCs w:val="28"/>
        </w:rPr>
        <w:t>osm</w:t>
      </w:r>
      <w:r w:rsidRPr="00EE1B29">
        <w:rPr>
          <w:rFonts w:eastAsia="Calibri" w:cs="Times New Roman"/>
          <w:sz w:val="28"/>
          <w:szCs w:val="28"/>
        </w:rPr>
        <w:t xml:space="preserve">am līdz 2019.gada 31.decembrim (turpmāk – plāns) izstrādāts, lai </w:t>
      </w:r>
      <w:r>
        <w:rPr>
          <w:rFonts w:eastAsia="Calibri" w:cs="Times New Roman"/>
          <w:sz w:val="28"/>
          <w:szCs w:val="28"/>
        </w:rPr>
        <w:t>pilnībā ievestu</w:t>
      </w:r>
      <w:r w:rsidRPr="00EE1B29">
        <w:rPr>
          <w:rFonts w:eastAsia="Calibri" w:cs="Times New Roman"/>
          <w:sz w:val="28"/>
          <w:szCs w:val="28"/>
        </w:rPr>
        <w:t xml:space="preserve"> Finanšu sektora attīstības plāna 2017.-2019.gadam horizontālo prioritāti  -  </w:t>
      </w:r>
      <w:r>
        <w:rPr>
          <w:rFonts w:eastAsia="Calibri" w:cs="Times New Roman"/>
          <w:sz w:val="28"/>
          <w:szCs w:val="28"/>
        </w:rPr>
        <w:t xml:space="preserve">novērst </w:t>
      </w:r>
      <w:r w:rsidRPr="00EE1B29">
        <w:rPr>
          <w:rFonts w:eastAsia="Calibri" w:cs="Times New Roman"/>
          <w:sz w:val="28"/>
          <w:szCs w:val="28"/>
        </w:rPr>
        <w:t>noziedzīgi iegūtu līdzekļu legalizācijas un terorisma finansēšan</w:t>
      </w:r>
      <w:r>
        <w:rPr>
          <w:rFonts w:eastAsia="Calibri" w:cs="Times New Roman"/>
          <w:sz w:val="28"/>
          <w:szCs w:val="28"/>
        </w:rPr>
        <w:t>as riskus, paaugstinot valsts starptautisko reputāciju finanšu tirgos un institūcijās</w:t>
      </w:r>
      <w:r w:rsidRPr="00EE1B29">
        <w:rPr>
          <w:rFonts w:eastAsia="Calibri" w:cs="Times New Roman"/>
          <w:sz w:val="28"/>
          <w:szCs w:val="28"/>
        </w:rPr>
        <w:t>. Plāna mērķis ir stiprināt spējas cīnīties ar noziedzīgi iegūtu līdzekļu legalizāciju, terorisma finansēšanu un proliferāciju un samazināt vispārējos noziedzīgi iegūtu līdzekļu legalizācijas un terorisma finansēšanas  (turpmāk - NILLTF) riskus, nodrošinot atbilstību starptautiskajām saistībām un standartiem NILLTF novēršanas jomā un veicinot sabiedrisko drošību, ekonomiskas vides konkurētspēju un uzticamību Latvijas jurisdikcijai.</w:t>
      </w:r>
      <w:r>
        <w:rPr>
          <w:rFonts w:eastAsia="Calibri" w:cs="Times New Roman"/>
          <w:sz w:val="28"/>
          <w:szCs w:val="28"/>
        </w:rPr>
        <w:t xml:space="preserve"> </w:t>
      </w:r>
      <w:r w:rsidRPr="00EE1B29">
        <w:rPr>
          <w:rFonts w:eastAsia="Calibri" w:cs="Times New Roman"/>
          <w:sz w:val="28"/>
          <w:szCs w:val="28"/>
        </w:rPr>
        <w:t xml:space="preserve">Plānā iekļautie pasākumi izstrādāti, lai sasniegtu šo mērķi.  </w:t>
      </w:r>
    </w:p>
    <w:p w14:paraId="6B16B10E" w14:textId="77777777" w:rsidR="00796432" w:rsidRPr="00BD42F9" w:rsidRDefault="00796432" w:rsidP="00796432">
      <w:pPr>
        <w:ind w:firstLine="709"/>
        <w:jc w:val="both"/>
        <w:rPr>
          <w:sz w:val="28"/>
          <w:szCs w:val="28"/>
        </w:rPr>
      </w:pPr>
      <w:r w:rsidRPr="00BD42F9">
        <w:rPr>
          <w:sz w:val="28"/>
          <w:szCs w:val="28"/>
        </w:rPr>
        <w:t>Noziedzīgi iegūtu līdzekļu legalizācijas un terorisma finansēšanas novēršana kā nozīmīga prioritāte izriet gan no valdības rīcības plāna Deklarācijas par Māra Kučinska vadītā Ministru kabineta iecerēto darbību īstenošanai, gan no Finanšu sektora attīstības plāna 2017. – 2019.gadam, kas skaidri definē, ka ir nepieciešama labākai starptautiskajai praksei un standartiem atbilstošu risku pārvaldīšanas un atbilstības principu bezierunu un izlēmīga ieviešana un neiecietība pret pārkāpumiem un prettiesisku rīcību. </w:t>
      </w:r>
    </w:p>
    <w:p w14:paraId="609368D6" w14:textId="77777777" w:rsidR="00796432" w:rsidRPr="004B60BF" w:rsidRDefault="00796432" w:rsidP="00796432">
      <w:pPr>
        <w:ind w:firstLine="709"/>
        <w:jc w:val="both"/>
        <w:rPr>
          <w:sz w:val="28"/>
          <w:szCs w:val="28"/>
        </w:rPr>
      </w:pPr>
      <w:r>
        <w:rPr>
          <w:sz w:val="28"/>
          <w:szCs w:val="28"/>
        </w:rPr>
        <w:t xml:space="preserve">Ministru kabinets ar 2017.gada 24.maija rīkojumu Nr.246 apstiprināja pasākumu plānu noziedzīgi iegūtu līdzekļu legalizācijas un terorisma finansēšanas risku ierobežošanai 2017.-2019.gadam (turpmāk – pasākumu plāns 2017.-2019.gadam), kuram par pamatu tika ņemts otrais nacionālais noziedzīgi iegūtu līdzekļu legalizācijas un terorisma finansēšanas risku novērtēšanas ziņojumu (turpmāk – NRA). </w:t>
      </w:r>
    </w:p>
    <w:p w14:paraId="1229B23C" w14:textId="77777777" w:rsidR="00796432" w:rsidRDefault="00796432" w:rsidP="00796432">
      <w:pPr>
        <w:ind w:firstLine="709"/>
        <w:jc w:val="both"/>
        <w:rPr>
          <w:sz w:val="28"/>
          <w:szCs w:val="28"/>
        </w:rPr>
      </w:pPr>
      <w:r>
        <w:rPr>
          <w:sz w:val="28"/>
          <w:szCs w:val="28"/>
        </w:rPr>
        <w:lastRenderedPageBreak/>
        <w:t>Kopš pasākumu plāna 2017. – 2019.gadam apstiprināšanas</w:t>
      </w:r>
      <w:r w:rsidR="00762051">
        <w:rPr>
          <w:sz w:val="28"/>
          <w:szCs w:val="28"/>
        </w:rPr>
        <w:t>,</w:t>
      </w:r>
      <w:r>
        <w:rPr>
          <w:sz w:val="28"/>
          <w:szCs w:val="28"/>
        </w:rPr>
        <w:t xml:space="preserve"> ir notikuši vairāki būtiski notikumi, kuru rezultātā šobrīd ir nepieciešams atkārtoti pārskatīt 2017.gadā apstiprināto plānu, lai 2018. un 2019.gada laikā sasniegtu būtisku progresu noziedzīgi iegūtu līdzekļu legalizācijas un terorisma finansēšanas novēršanas sistēmas pilnveidošanā. </w:t>
      </w:r>
    </w:p>
    <w:p w14:paraId="64A76F20" w14:textId="77777777" w:rsidR="00796432" w:rsidRDefault="00796432" w:rsidP="00796432">
      <w:pPr>
        <w:ind w:firstLine="709"/>
        <w:jc w:val="both"/>
        <w:rPr>
          <w:sz w:val="28"/>
          <w:szCs w:val="28"/>
        </w:rPr>
      </w:pPr>
      <w:r>
        <w:rPr>
          <w:sz w:val="28"/>
          <w:szCs w:val="28"/>
        </w:rPr>
        <w:t>2018.gada 4.jūlijā Eiropas Padomes Moneyval komitejas plenārsēdē tika apstiprināts 5.kārtas ziņojums par Latvijas noziedzīgi iegūtu līdzekļu legalizācijas un terorisma novēršanas sistēmas efektivitāti, kurš tika publicēts 2018.gada 23.augustā. Šo novērtējumu, atbilstoši starptautiskajiem Finanšu darījumu darba grupas (FATF) standartiem veica Eiropas Padomes Moneyval komitejas eksperti vizītes laikā no 2017.gada 30.oktobra līdz 8.novembrim</w:t>
      </w:r>
      <w:r w:rsidR="00762051">
        <w:rPr>
          <w:sz w:val="28"/>
          <w:szCs w:val="28"/>
        </w:rPr>
        <w:t>. L</w:t>
      </w:r>
      <w:r>
        <w:rPr>
          <w:sz w:val="28"/>
          <w:szCs w:val="28"/>
        </w:rPr>
        <w:t xml:space="preserve">īdz ar to ziņojumā ir ietverta situācijas analīze, balstoties uz to regulējumu un darbības rezultātiem, kādi bija 2017.gada 8.novembrī. 5.kārtas ietvaros pirmo reizi Moneyval komitejas dalībvalstis tiek vērtētas ne tikai attiecībā uz to normatīvo aktu atbilstību FATF standartiem, bet arī, vērtējot sistēmas efektivitāti. Tādējādi ziņojums sniedz novērtējumu par Latvijas atbilstību FATF 40.rekomendācijām, kā arī novērtē sistēmas efektivitāti atbilstoši 11 efektivitātes rādītājiem. </w:t>
      </w:r>
    </w:p>
    <w:p w14:paraId="065F1BD6" w14:textId="77777777" w:rsidR="00796432" w:rsidRDefault="00796432" w:rsidP="00796432">
      <w:pPr>
        <w:ind w:firstLine="709"/>
        <w:jc w:val="both"/>
        <w:rPr>
          <w:sz w:val="28"/>
          <w:szCs w:val="28"/>
        </w:rPr>
      </w:pPr>
      <w:r>
        <w:rPr>
          <w:sz w:val="28"/>
          <w:szCs w:val="28"/>
        </w:rPr>
        <w:t>Finanšu sektora attīstības padome, kas ir augstākā līmeņa politikas koordinācijas grupa finanšu sektora attīstības un noziedzīgi iegūtu līdzekļu legalizācijas un terorisma finansēšanas novēršanas jomā, 2018.gada 21.marta sēdē apstiprināja papildu pasākumus finanšu sektora noziedzīgi iegūtu līdzekļu legalizācijas un terorisma finansēšanas novēršanas atbilstības līmeņa paaugstināšanai, tostarp steidzamības kārtā īstenojamus pasākumus uz risku balstītas uzraudzības pasākumu pilnveidošanai un augsta riska biznesa modeļu straujākai pārskatīšanai, uzraugošo, kontrolējošo un izmeklējošo iestāžu kapacitātes stiprināšanai, kā arī informācijas apmaiņas mehānismu uzlabošanai starp finanšu sektoru un valsti.  Šis plāns ir veidots ciešā sadarbībā ar nevalstisko sektoru – nozares organizācijām, kas nodrošināja gan nozares, gan lēmumu pieņēmēju saskaņotu rīcību un rezultāta ātru sasniegšanu.</w:t>
      </w:r>
    </w:p>
    <w:p w14:paraId="09BB81DD" w14:textId="77777777" w:rsidR="00796432" w:rsidRDefault="00796432" w:rsidP="00796432">
      <w:pPr>
        <w:ind w:firstLine="709"/>
        <w:jc w:val="both"/>
        <w:rPr>
          <w:sz w:val="28"/>
          <w:szCs w:val="28"/>
        </w:rPr>
      </w:pPr>
      <w:r>
        <w:rPr>
          <w:sz w:val="28"/>
          <w:szCs w:val="28"/>
        </w:rPr>
        <w:t>Būtiskākais šā papildu pasākuma plāna punkts ir a</w:t>
      </w:r>
      <w:r w:rsidRPr="00C414DD">
        <w:rPr>
          <w:sz w:val="28"/>
          <w:szCs w:val="28"/>
        </w:rPr>
        <w:t>ugsta riska klientu finanšu operācij</w:t>
      </w:r>
      <w:r w:rsidRPr="002524BC">
        <w:rPr>
          <w:sz w:val="28"/>
          <w:szCs w:val="28"/>
        </w:rPr>
        <w:t>u pārtraukšana vai ierobežošana</w:t>
      </w:r>
      <w:r w:rsidR="005E6E99">
        <w:rPr>
          <w:sz w:val="28"/>
          <w:szCs w:val="28"/>
        </w:rPr>
        <w:t>, kura īstenošanai</w:t>
      </w:r>
      <w:r w:rsidRPr="002524BC">
        <w:rPr>
          <w:sz w:val="28"/>
          <w:szCs w:val="28"/>
        </w:rPr>
        <w:t xml:space="preserve"> </w:t>
      </w:r>
      <w:r>
        <w:rPr>
          <w:sz w:val="28"/>
          <w:szCs w:val="28"/>
        </w:rPr>
        <w:t>2018.gada 9.maijā stājās spēkā g</w:t>
      </w:r>
      <w:r w:rsidRPr="00C414DD">
        <w:rPr>
          <w:sz w:val="28"/>
          <w:szCs w:val="28"/>
        </w:rPr>
        <w:t xml:space="preserve">rozījumi Noziedzīgi iegūtu līdzekļu legalizācijas un terorisma finansēšanas novēršanas likumā, </w:t>
      </w:r>
      <w:r w:rsidR="005E6E99">
        <w:rPr>
          <w:sz w:val="28"/>
          <w:szCs w:val="28"/>
        </w:rPr>
        <w:t>paredzot</w:t>
      </w:r>
      <w:r w:rsidRPr="00C414DD">
        <w:rPr>
          <w:sz w:val="28"/>
          <w:szCs w:val="28"/>
        </w:rPr>
        <w:t xml:space="preserve"> aizliegumu bankām un maksājumu iestādēm sadarbību ar čaulas veidojumiem, ja tie atbilst noteiktam pazīmju kopumam – nav ekonomiskas darbības un tas reģistrēts jurisdikcijā, kas neparedz finanšu pārskatu iesniegšanu</w:t>
      </w:r>
      <w:r w:rsidRPr="004B60BF">
        <w:rPr>
          <w:sz w:val="28"/>
          <w:szCs w:val="28"/>
        </w:rPr>
        <w:t xml:space="preserve">. </w:t>
      </w:r>
    </w:p>
    <w:p w14:paraId="7971B9B2" w14:textId="77777777" w:rsidR="00685709" w:rsidRDefault="00796432" w:rsidP="00685709">
      <w:pPr>
        <w:ind w:firstLine="709"/>
        <w:jc w:val="both"/>
        <w:rPr>
          <w:sz w:val="28"/>
          <w:szCs w:val="28"/>
        </w:rPr>
      </w:pPr>
      <w:r>
        <w:rPr>
          <w:sz w:val="28"/>
          <w:szCs w:val="28"/>
        </w:rPr>
        <w:t xml:space="preserve">Koordinēta un efektīva atbildīgu institūciju darbība </w:t>
      </w:r>
      <w:r w:rsidR="009B7E09">
        <w:rPr>
          <w:sz w:val="28"/>
          <w:szCs w:val="28"/>
        </w:rPr>
        <w:t>ir nodrošinājusi</w:t>
      </w:r>
      <w:r>
        <w:rPr>
          <w:sz w:val="28"/>
          <w:szCs w:val="28"/>
        </w:rPr>
        <w:t xml:space="preserve"> ievērojamu riskanto darījumu samazinājumu finanšu sektorā, kas ilgstoši ir bijis viens no finanšu sistēmas repu</w:t>
      </w:r>
      <w:r w:rsidRPr="00296D1D">
        <w:rPr>
          <w:sz w:val="28"/>
          <w:szCs w:val="28"/>
        </w:rPr>
        <w:t>t</w:t>
      </w:r>
      <w:r>
        <w:rPr>
          <w:sz w:val="28"/>
          <w:szCs w:val="28"/>
        </w:rPr>
        <w:t>ācijas un ilgtspējīgas attīstības</w:t>
      </w:r>
      <w:r w:rsidR="005E6E99">
        <w:rPr>
          <w:sz w:val="28"/>
          <w:szCs w:val="28"/>
        </w:rPr>
        <w:t xml:space="preserve"> </w:t>
      </w:r>
      <w:r w:rsidR="00762051">
        <w:rPr>
          <w:sz w:val="28"/>
          <w:szCs w:val="28"/>
        </w:rPr>
        <w:t xml:space="preserve">bremzējošiem </w:t>
      </w:r>
      <w:r>
        <w:rPr>
          <w:sz w:val="28"/>
          <w:szCs w:val="28"/>
        </w:rPr>
        <w:t xml:space="preserve"> jautājumiem. </w:t>
      </w:r>
      <w:r>
        <w:rPr>
          <w:sz w:val="28"/>
          <w:szCs w:val="28"/>
        </w:rPr>
        <w:lastRenderedPageBreak/>
        <w:t>Samazinājums, kurš ir sācies 2016.gadā, ievērojami paātrinājies, uzlabojot valsts institūciju iespējas nodrošināt adekvātus kontroles un uzraudzības pasākumus.</w:t>
      </w:r>
    </w:p>
    <w:p w14:paraId="1AEDEDA2" w14:textId="77777777" w:rsidR="00796432" w:rsidRPr="00685709" w:rsidRDefault="00C13B89" w:rsidP="00685709">
      <w:pPr>
        <w:ind w:firstLine="709"/>
        <w:jc w:val="center"/>
        <w:rPr>
          <w:sz w:val="28"/>
          <w:szCs w:val="28"/>
        </w:rPr>
      </w:pPr>
      <w:r>
        <w:rPr>
          <w:b/>
          <w:sz w:val="28"/>
          <w:szCs w:val="28"/>
        </w:rPr>
        <w:t xml:space="preserve">1.tabula </w:t>
      </w:r>
      <w:r w:rsidR="00104BBC">
        <w:rPr>
          <w:b/>
          <w:sz w:val="28"/>
          <w:szCs w:val="28"/>
        </w:rPr>
        <w:t>–</w:t>
      </w:r>
      <w:r>
        <w:rPr>
          <w:b/>
          <w:sz w:val="28"/>
          <w:szCs w:val="28"/>
        </w:rPr>
        <w:t xml:space="preserve"> </w:t>
      </w:r>
      <w:r w:rsidR="00104BBC">
        <w:rPr>
          <w:b/>
          <w:sz w:val="28"/>
          <w:szCs w:val="28"/>
        </w:rPr>
        <w:t>Finanšu sektora p</w:t>
      </w:r>
      <w:r w:rsidR="00796432" w:rsidRPr="00796432">
        <w:rPr>
          <w:b/>
          <w:sz w:val="28"/>
          <w:szCs w:val="28"/>
        </w:rPr>
        <w:t>ārmaiņu vadība 2015.-2018.</w:t>
      </w:r>
      <w:r>
        <w:rPr>
          <w:b/>
          <w:sz w:val="28"/>
          <w:szCs w:val="28"/>
        </w:rPr>
        <w:t>gadā</w:t>
      </w:r>
    </w:p>
    <w:p w14:paraId="34C21F04" w14:textId="77777777" w:rsidR="00685709" w:rsidRDefault="00685709" w:rsidP="00796432">
      <w:pPr>
        <w:ind w:firstLine="709"/>
        <w:jc w:val="both"/>
        <w:rPr>
          <w:sz w:val="28"/>
          <w:szCs w:val="28"/>
        </w:rPr>
      </w:pPr>
    </w:p>
    <w:p w14:paraId="162CBB04" w14:textId="77777777" w:rsidR="00796432" w:rsidRDefault="00796432" w:rsidP="00796432">
      <w:pPr>
        <w:tabs>
          <w:tab w:val="left" w:pos="1152"/>
        </w:tabs>
        <w:jc w:val="both"/>
        <w:rPr>
          <w:sz w:val="28"/>
          <w:szCs w:val="28"/>
        </w:rPr>
      </w:pPr>
      <w:r>
        <w:rPr>
          <w:noProof/>
          <w:sz w:val="28"/>
          <w:szCs w:val="28"/>
          <w:lang w:eastAsia="lv-LV"/>
        </w:rPr>
        <w:drawing>
          <wp:inline distT="0" distB="0" distL="0" distR="0" wp14:anchorId="09238168" wp14:editId="3228353E">
            <wp:extent cx="4176403" cy="3481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6702" cy="3490291"/>
                    </a:xfrm>
                    <a:prstGeom prst="rect">
                      <a:avLst/>
                    </a:prstGeom>
                    <a:noFill/>
                  </pic:spPr>
                </pic:pic>
              </a:graphicData>
            </a:graphic>
          </wp:inline>
        </w:drawing>
      </w:r>
      <w:r>
        <w:rPr>
          <w:noProof/>
          <w:sz w:val="28"/>
          <w:szCs w:val="28"/>
          <w:lang w:eastAsia="lv-LV"/>
        </w:rPr>
        <w:drawing>
          <wp:inline distT="0" distB="0" distL="0" distR="0" wp14:anchorId="4B8F69C8" wp14:editId="57DA0AD3">
            <wp:extent cx="4132053" cy="3482010"/>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2415" cy="3482315"/>
                    </a:xfrm>
                    <a:prstGeom prst="rect">
                      <a:avLst/>
                    </a:prstGeom>
                    <a:noFill/>
                  </pic:spPr>
                </pic:pic>
              </a:graphicData>
            </a:graphic>
          </wp:inline>
        </w:drawing>
      </w:r>
    </w:p>
    <w:p w14:paraId="4D0F44C5" w14:textId="77777777" w:rsidR="00796432" w:rsidRDefault="00796432" w:rsidP="00796432">
      <w:pPr>
        <w:ind w:firstLine="720"/>
        <w:jc w:val="both"/>
        <w:rPr>
          <w:rFonts w:eastAsia="Calibri" w:cs="Times New Roman"/>
          <w:sz w:val="28"/>
          <w:szCs w:val="28"/>
        </w:rPr>
      </w:pPr>
    </w:p>
    <w:p w14:paraId="5DCE1BDF" w14:textId="77777777" w:rsidR="00685709" w:rsidRDefault="00685709" w:rsidP="00796432">
      <w:pPr>
        <w:ind w:firstLine="720"/>
        <w:jc w:val="both"/>
        <w:rPr>
          <w:rFonts w:eastAsia="Calibri" w:cs="Times New Roman"/>
          <w:sz w:val="28"/>
          <w:szCs w:val="28"/>
        </w:rPr>
      </w:pPr>
    </w:p>
    <w:p w14:paraId="47101FD7" w14:textId="77777777" w:rsidR="00685709" w:rsidRDefault="00685709" w:rsidP="00796432">
      <w:pPr>
        <w:ind w:firstLine="720"/>
        <w:jc w:val="both"/>
        <w:rPr>
          <w:rFonts w:eastAsia="Calibri" w:cs="Times New Roman"/>
          <w:sz w:val="28"/>
          <w:szCs w:val="28"/>
        </w:rPr>
      </w:pPr>
    </w:p>
    <w:p w14:paraId="50A24F2D" w14:textId="77777777" w:rsidR="00685709" w:rsidRDefault="00685709" w:rsidP="00796432">
      <w:pPr>
        <w:ind w:firstLine="720"/>
        <w:jc w:val="both"/>
        <w:rPr>
          <w:rFonts w:eastAsia="Calibri" w:cs="Times New Roman"/>
          <w:sz w:val="28"/>
          <w:szCs w:val="28"/>
        </w:rPr>
      </w:pPr>
    </w:p>
    <w:p w14:paraId="7DC4438A" w14:textId="77777777" w:rsidR="00685709" w:rsidRDefault="00685709" w:rsidP="00796432">
      <w:pPr>
        <w:ind w:firstLine="720"/>
        <w:jc w:val="both"/>
        <w:rPr>
          <w:rFonts w:eastAsia="Calibri" w:cs="Times New Roman"/>
          <w:sz w:val="28"/>
          <w:szCs w:val="28"/>
        </w:rPr>
      </w:pPr>
    </w:p>
    <w:p w14:paraId="6D600F4C" w14:textId="77777777" w:rsidR="00685709" w:rsidRDefault="00685709" w:rsidP="00796432">
      <w:pPr>
        <w:ind w:firstLine="720"/>
        <w:jc w:val="both"/>
        <w:rPr>
          <w:rFonts w:eastAsia="Calibri" w:cs="Times New Roman"/>
          <w:sz w:val="28"/>
          <w:szCs w:val="28"/>
        </w:rPr>
      </w:pPr>
    </w:p>
    <w:p w14:paraId="1937D4B7" w14:textId="77777777" w:rsidR="00685709" w:rsidRDefault="00685709" w:rsidP="00796432">
      <w:pPr>
        <w:ind w:firstLine="720"/>
        <w:jc w:val="both"/>
        <w:rPr>
          <w:rFonts w:eastAsia="Calibri" w:cs="Times New Roman"/>
          <w:sz w:val="28"/>
          <w:szCs w:val="28"/>
        </w:rPr>
      </w:pPr>
    </w:p>
    <w:p w14:paraId="0DE83EEF" w14:textId="77777777" w:rsidR="00685709" w:rsidRDefault="00685709" w:rsidP="00796432">
      <w:pPr>
        <w:ind w:firstLine="720"/>
        <w:jc w:val="both"/>
        <w:rPr>
          <w:rFonts w:eastAsia="Calibri" w:cs="Times New Roman"/>
          <w:sz w:val="28"/>
          <w:szCs w:val="28"/>
        </w:rPr>
      </w:pPr>
    </w:p>
    <w:p w14:paraId="21C3111F" w14:textId="77777777" w:rsidR="00685709" w:rsidRDefault="00685709" w:rsidP="00796432">
      <w:pPr>
        <w:ind w:firstLine="720"/>
        <w:jc w:val="both"/>
        <w:rPr>
          <w:rFonts w:eastAsia="Calibri" w:cs="Times New Roman"/>
          <w:sz w:val="28"/>
          <w:szCs w:val="28"/>
        </w:rPr>
      </w:pPr>
      <w:r w:rsidRPr="00685709">
        <w:rPr>
          <w:rFonts w:ascii="Calibri" w:eastAsia="Calibri" w:hAnsi="Calibri" w:cs="Times New Roman"/>
          <w:noProof/>
          <w:sz w:val="22"/>
          <w:lang w:eastAsia="lv-LV"/>
        </w:rPr>
        <w:drawing>
          <wp:inline distT="0" distB="0" distL="0" distR="0" wp14:anchorId="62DE3371" wp14:editId="01685A62">
            <wp:extent cx="7239000" cy="3890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41431" cy="3891316"/>
                    </a:xfrm>
                    <a:prstGeom prst="rect">
                      <a:avLst/>
                    </a:prstGeom>
                    <a:noFill/>
                    <a:ln>
                      <a:noFill/>
                    </a:ln>
                  </pic:spPr>
                </pic:pic>
              </a:graphicData>
            </a:graphic>
          </wp:inline>
        </w:drawing>
      </w:r>
    </w:p>
    <w:p w14:paraId="537491E0" w14:textId="77777777" w:rsidR="00685709" w:rsidRPr="00505985" w:rsidRDefault="00685709" w:rsidP="00685709">
      <w:pPr>
        <w:jc w:val="both"/>
        <w:rPr>
          <w:rFonts w:eastAsia="Calibri" w:cs="Times New Roman"/>
          <w:i/>
          <w:sz w:val="20"/>
          <w:szCs w:val="20"/>
        </w:rPr>
      </w:pPr>
    </w:p>
    <w:p w14:paraId="3A0D2062" w14:textId="77777777" w:rsidR="00C82F77" w:rsidRPr="00505985" w:rsidRDefault="00C82F77" w:rsidP="00796432">
      <w:pPr>
        <w:ind w:firstLine="720"/>
        <w:jc w:val="both"/>
        <w:rPr>
          <w:rFonts w:eastAsia="Calibri" w:cs="Times New Roman"/>
          <w:i/>
          <w:sz w:val="20"/>
          <w:szCs w:val="20"/>
        </w:rPr>
      </w:pPr>
      <w:r w:rsidRPr="00505985">
        <w:rPr>
          <w:rFonts w:eastAsia="Calibri" w:cs="Times New Roman"/>
          <w:i/>
          <w:sz w:val="20"/>
          <w:szCs w:val="20"/>
        </w:rPr>
        <w:t xml:space="preserve">Informācijas avots – Finanšu un kapitāla tirgus komisija. </w:t>
      </w:r>
    </w:p>
    <w:p w14:paraId="24A0198F" w14:textId="77777777" w:rsidR="00C82F77" w:rsidRDefault="00C82F77" w:rsidP="00796432">
      <w:pPr>
        <w:ind w:firstLine="720"/>
        <w:jc w:val="both"/>
        <w:rPr>
          <w:rFonts w:eastAsia="Calibri" w:cs="Times New Roman"/>
          <w:sz w:val="28"/>
          <w:szCs w:val="28"/>
        </w:rPr>
      </w:pPr>
    </w:p>
    <w:p w14:paraId="2D014124" w14:textId="77777777" w:rsidR="00796432" w:rsidRDefault="00796432" w:rsidP="00796432">
      <w:pPr>
        <w:ind w:firstLine="720"/>
        <w:jc w:val="both"/>
        <w:rPr>
          <w:rFonts w:eastAsia="Calibri" w:cs="Times New Roman"/>
          <w:sz w:val="28"/>
          <w:szCs w:val="28"/>
        </w:rPr>
      </w:pPr>
      <w:r>
        <w:rPr>
          <w:rFonts w:eastAsia="Calibri" w:cs="Times New Roman"/>
          <w:sz w:val="28"/>
          <w:szCs w:val="28"/>
        </w:rPr>
        <w:t>Turpmāka progresa</w:t>
      </w:r>
      <w:r w:rsidRPr="00EE1B29">
        <w:rPr>
          <w:rFonts w:eastAsia="Calibri" w:cs="Times New Roman"/>
          <w:sz w:val="28"/>
          <w:szCs w:val="28"/>
        </w:rPr>
        <w:t xml:space="preserve"> sasniegšanai būtisk</w:t>
      </w:r>
      <w:r w:rsidR="00D02EBB">
        <w:rPr>
          <w:rFonts w:eastAsia="Calibri" w:cs="Times New Roman"/>
          <w:sz w:val="28"/>
          <w:szCs w:val="28"/>
        </w:rPr>
        <w:t>a</w:t>
      </w:r>
      <w:r w:rsidRPr="00EE1B29">
        <w:rPr>
          <w:rFonts w:eastAsia="Calibri" w:cs="Times New Roman"/>
          <w:sz w:val="28"/>
          <w:szCs w:val="28"/>
        </w:rPr>
        <w:t xml:space="preserve"> ir Moneyval efektivitātes un tehniskās atbilstības novērtējuma procesā konstatēto trūkumu novēršana un novērtējuma ietvaros izteikto rekomendāciju ieviešana, plānojot veicamās darbības līdz 2019.gada nogalei. Tāpat plānā iekļauti atsevišķi pasākumi, kas iziet no iepriekš apstiprinātā pasākuma plāna 2017.-</w:t>
      </w:r>
      <w:r w:rsidRPr="00EE1B29">
        <w:rPr>
          <w:rFonts w:eastAsia="Calibri" w:cs="Times New Roman"/>
          <w:sz w:val="28"/>
          <w:szCs w:val="28"/>
        </w:rPr>
        <w:lastRenderedPageBreak/>
        <w:t>2019.gadam, kā arī no 2018.gada 21.martā apstiprinātā papildu pasākumu plāna finanšu sektora noziedzīgi iegūtu līdzekļu legalizācijas un terorisma finansēšanas novēršanas atbilstības līmeņa paaugstināšanai, kuru ieviešana vēl turpinās.</w:t>
      </w:r>
      <w:r w:rsidR="009B7E09">
        <w:rPr>
          <w:rFonts w:eastAsia="Calibri" w:cs="Times New Roman"/>
          <w:sz w:val="28"/>
          <w:szCs w:val="28"/>
        </w:rPr>
        <w:t xml:space="preserve"> Plānā </w:t>
      </w:r>
      <w:r w:rsidR="00613676">
        <w:rPr>
          <w:rFonts w:eastAsia="Calibri" w:cs="Times New Roman"/>
          <w:sz w:val="28"/>
          <w:szCs w:val="28"/>
        </w:rPr>
        <w:t xml:space="preserve">noteikts, ka </w:t>
      </w:r>
      <w:r w:rsidR="009B7E09">
        <w:rPr>
          <w:rFonts w:eastAsia="Calibri" w:cs="Times New Roman"/>
          <w:sz w:val="28"/>
          <w:szCs w:val="28"/>
        </w:rPr>
        <w:t>uzraudzība</w:t>
      </w:r>
      <w:r w:rsidR="00D02EBB">
        <w:rPr>
          <w:rFonts w:eastAsia="Calibri" w:cs="Times New Roman"/>
          <w:sz w:val="28"/>
          <w:szCs w:val="28"/>
        </w:rPr>
        <w:t>s</w:t>
      </w:r>
      <w:r w:rsidR="009B7E09">
        <w:rPr>
          <w:rFonts w:eastAsia="Calibri" w:cs="Times New Roman"/>
          <w:sz w:val="28"/>
          <w:szCs w:val="28"/>
        </w:rPr>
        <w:t xml:space="preserve"> un kontroles pasākum</w:t>
      </w:r>
      <w:r w:rsidR="00613676">
        <w:rPr>
          <w:rFonts w:eastAsia="Calibri" w:cs="Times New Roman"/>
          <w:sz w:val="28"/>
          <w:szCs w:val="28"/>
        </w:rPr>
        <w:t>i</w:t>
      </w:r>
      <w:r w:rsidR="009B7E09">
        <w:rPr>
          <w:rFonts w:eastAsia="Calibri" w:cs="Times New Roman"/>
          <w:sz w:val="28"/>
          <w:szCs w:val="28"/>
        </w:rPr>
        <w:t xml:space="preserve"> ir ievērojam</w:t>
      </w:r>
      <w:r w:rsidR="00613676">
        <w:rPr>
          <w:rFonts w:eastAsia="Calibri" w:cs="Times New Roman"/>
          <w:sz w:val="28"/>
          <w:szCs w:val="28"/>
        </w:rPr>
        <w:t>i</w:t>
      </w:r>
      <w:r w:rsidR="009B7E09">
        <w:rPr>
          <w:rFonts w:eastAsia="Calibri" w:cs="Times New Roman"/>
          <w:sz w:val="28"/>
          <w:szCs w:val="28"/>
        </w:rPr>
        <w:t xml:space="preserve"> </w:t>
      </w:r>
      <w:r w:rsidR="00613676">
        <w:rPr>
          <w:rFonts w:eastAsia="Calibri" w:cs="Times New Roman"/>
          <w:sz w:val="28"/>
          <w:szCs w:val="28"/>
        </w:rPr>
        <w:t>jā</w:t>
      </w:r>
      <w:r w:rsidR="009B7E09">
        <w:rPr>
          <w:rFonts w:eastAsia="Calibri" w:cs="Times New Roman"/>
          <w:sz w:val="28"/>
          <w:szCs w:val="28"/>
        </w:rPr>
        <w:t>pilnveido arī ārpus finanšu (banku) sektora.</w:t>
      </w:r>
      <w:r>
        <w:rPr>
          <w:rFonts w:eastAsia="Calibri" w:cs="Times New Roman"/>
          <w:sz w:val="28"/>
          <w:szCs w:val="28"/>
        </w:rPr>
        <w:t xml:space="preserve"> </w:t>
      </w:r>
    </w:p>
    <w:p w14:paraId="242CD2C7" w14:textId="77777777" w:rsidR="00796432" w:rsidRPr="00EE1B29" w:rsidRDefault="00796432" w:rsidP="00796432">
      <w:pPr>
        <w:ind w:firstLine="720"/>
        <w:jc w:val="both"/>
        <w:rPr>
          <w:rFonts w:eastAsia="Calibri" w:cs="Times New Roman"/>
          <w:sz w:val="28"/>
          <w:szCs w:val="28"/>
        </w:rPr>
      </w:pPr>
      <w:r w:rsidRPr="00EE1B29">
        <w:rPr>
          <w:rFonts w:eastAsia="Calibri" w:cs="Times New Roman"/>
          <w:sz w:val="28"/>
          <w:szCs w:val="28"/>
        </w:rPr>
        <w:t xml:space="preserve">Moneyval 5.kārtas novērtēšana balstās uz noziedzīgi iegūtu līdzekļu legalizācijas un terorisma finansēšanas sistēmas efektivitātes vērtējumu pēc 11 rādītājiem. </w:t>
      </w:r>
      <w:r w:rsidR="00613676">
        <w:rPr>
          <w:rFonts w:eastAsia="Calibri" w:cs="Times New Roman"/>
          <w:sz w:val="28"/>
          <w:szCs w:val="28"/>
        </w:rPr>
        <w:t>Ņemot vērā starptautiski atzītu FATF metodoloģiju, šis plāns ir strukturēts atbilstoši tai un p</w:t>
      </w:r>
      <w:r w:rsidRPr="00EE1B29">
        <w:rPr>
          <w:rFonts w:eastAsia="Calibri" w:cs="Times New Roman"/>
          <w:sz w:val="28"/>
          <w:szCs w:val="28"/>
        </w:rPr>
        <w:t xml:space="preserve">lāna rīcības virzieni atbilst Moneyval novērtējuma sistēmas 11 efektivitātes rādītājiem, izvirzot šādas galvenās prioritātes: </w:t>
      </w:r>
    </w:p>
    <w:p w14:paraId="669EE7D2" w14:textId="77777777" w:rsidR="00796432" w:rsidRPr="009E4308" w:rsidRDefault="009B7E09" w:rsidP="00796432">
      <w:pPr>
        <w:numPr>
          <w:ilvl w:val="0"/>
          <w:numId w:val="39"/>
        </w:numPr>
        <w:contextualSpacing/>
        <w:jc w:val="both"/>
        <w:rPr>
          <w:rFonts w:eastAsia="Calibri" w:cs="Times New Roman"/>
          <w:sz w:val="28"/>
          <w:szCs w:val="28"/>
        </w:rPr>
      </w:pPr>
      <w:r>
        <w:rPr>
          <w:rFonts w:eastAsia="Calibri" w:cs="Times New Roman"/>
          <w:sz w:val="28"/>
          <w:szCs w:val="28"/>
        </w:rPr>
        <w:t>u</w:t>
      </w:r>
      <w:r w:rsidR="00796432" w:rsidRPr="009E4308">
        <w:rPr>
          <w:rFonts w:eastAsia="Calibri" w:cs="Times New Roman"/>
          <w:sz w:val="28"/>
          <w:szCs w:val="28"/>
        </w:rPr>
        <w:t>z risku balstītas uzraudzības stiprināšana un preventīvo pasākumu ieviešana</w:t>
      </w:r>
      <w:r w:rsidR="00796432">
        <w:rPr>
          <w:rFonts w:eastAsia="Calibri" w:cs="Times New Roman"/>
          <w:sz w:val="28"/>
          <w:szCs w:val="28"/>
        </w:rPr>
        <w:t xml:space="preserve">, t.sk. </w:t>
      </w:r>
      <w:r w:rsidR="00796432" w:rsidRPr="00EE1B29">
        <w:rPr>
          <w:rFonts w:eastAsia="Calibri" w:cs="Times New Roman"/>
          <w:sz w:val="28"/>
          <w:szCs w:val="28"/>
        </w:rPr>
        <w:t>ABLV bankas kontrolēta</w:t>
      </w:r>
      <w:r w:rsidR="00796432">
        <w:rPr>
          <w:rFonts w:eastAsia="Calibri" w:cs="Times New Roman"/>
          <w:sz w:val="28"/>
          <w:szCs w:val="28"/>
        </w:rPr>
        <w:t>, caurspīdīga un profesionāla</w:t>
      </w:r>
      <w:r w:rsidR="00796432" w:rsidRPr="00EE1B29">
        <w:rPr>
          <w:rFonts w:eastAsia="Calibri" w:cs="Times New Roman"/>
          <w:sz w:val="28"/>
          <w:szCs w:val="28"/>
        </w:rPr>
        <w:t xml:space="preserve"> likvidācijas procesa </w:t>
      </w:r>
      <w:r w:rsidR="00796432">
        <w:rPr>
          <w:rFonts w:eastAsia="Calibri" w:cs="Times New Roman"/>
          <w:sz w:val="28"/>
          <w:szCs w:val="28"/>
        </w:rPr>
        <w:t>vadība</w:t>
      </w:r>
      <w:r w:rsidR="00796432" w:rsidRPr="009E4308">
        <w:rPr>
          <w:rFonts w:eastAsia="Calibri" w:cs="Times New Roman"/>
          <w:sz w:val="28"/>
          <w:szCs w:val="28"/>
        </w:rPr>
        <w:t>;</w:t>
      </w:r>
    </w:p>
    <w:p w14:paraId="793040B9" w14:textId="77777777" w:rsidR="00796432" w:rsidRPr="00EE1B29" w:rsidRDefault="009B7E09" w:rsidP="00796432">
      <w:pPr>
        <w:numPr>
          <w:ilvl w:val="0"/>
          <w:numId w:val="39"/>
        </w:numPr>
        <w:contextualSpacing/>
        <w:jc w:val="both"/>
        <w:rPr>
          <w:rFonts w:eastAsia="Calibri" w:cs="Times New Roman"/>
          <w:sz w:val="28"/>
          <w:szCs w:val="28"/>
        </w:rPr>
      </w:pPr>
      <w:r>
        <w:rPr>
          <w:rFonts w:eastAsia="Calibri" w:cs="Times New Roman"/>
          <w:sz w:val="28"/>
          <w:szCs w:val="28"/>
        </w:rPr>
        <w:t>e</w:t>
      </w:r>
      <w:r w:rsidR="00796432" w:rsidRPr="00EE1B29">
        <w:rPr>
          <w:rFonts w:eastAsia="Calibri" w:cs="Times New Roman"/>
          <w:sz w:val="28"/>
          <w:szCs w:val="28"/>
        </w:rPr>
        <w:t>fektīva informācijas apmaiņa izmeklēšanas veicināšanai</w:t>
      </w:r>
      <w:r w:rsidR="00796432">
        <w:rPr>
          <w:rFonts w:eastAsia="Calibri" w:cs="Times New Roman"/>
          <w:sz w:val="28"/>
          <w:szCs w:val="28"/>
        </w:rPr>
        <w:t>, pieeju un vadlīniju vienādošana;</w:t>
      </w:r>
      <w:r w:rsidR="00796432" w:rsidRPr="00EE1B29">
        <w:rPr>
          <w:rFonts w:eastAsia="Calibri" w:cs="Times New Roman"/>
          <w:sz w:val="28"/>
          <w:szCs w:val="28"/>
        </w:rPr>
        <w:t xml:space="preserve"> </w:t>
      </w:r>
    </w:p>
    <w:p w14:paraId="4B2FE674" w14:textId="77777777" w:rsidR="00796432" w:rsidRPr="00EE1B29" w:rsidRDefault="009B7E09" w:rsidP="00796432">
      <w:pPr>
        <w:numPr>
          <w:ilvl w:val="0"/>
          <w:numId w:val="39"/>
        </w:numPr>
        <w:contextualSpacing/>
        <w:jc w:val="both"/>
        <w:rPr>
          <w:rFonts w:eastAsia="Calibri" w:cs="Times New Roman"/>
          <w:sz w:val="28"/>
          <w:szCs w:val="28"/>
        </w:rPr>
      </w:pPr>
      <w:r>
        <w:rPr>
          <w:rFonts w:eastAsia="Calibri" w:cs="Times New Roman"/>
          <w:sz w:val="28"/>
          <w:szCs w:val="28"/>
        </w:rPr>
        <w:t>a</w:t>
      </w:r>
      <w:r w:rsidR="00796432" w:rsidRPr="00EE1B29">
        <w:rPr>
          <w:rFonts w:eastAsia="Calibri" w:cs="Times New Roman"/>
          <w:sz w:val="28"/>
          <w:szCs w:val="28"/>
        </w:rPr>
        <w:t>tbilstoš</w:t>
      </w:r>
      <w:r w:rsidR="00796432">
        <w:rPr>
          <w:rFonts w:eastAsia="Calibri" w:cs="Times New Roman"/>
          <w:sz w:val="28"/>
          <w:szCs w:val="28"/>
        </w:rPr>
        <w:t>u</w:t>
      </w:r>
      <w:r w:rsidR="00796432" w:rsidRPr="00EE1B29">
        <w:rPr>
          <w:rFonts w:eastAsia="Calibri" w:cs="Times New Roman"/>
          <w:sz w:val="28"/>
          <w:szCs w:val="28"/>
        </w:rPr>
        <w:t xml:space="preserve"> cilvēkresursu nodrošināšana uzraudzības, kontrolējošām un tiesību aizsardzības iestādēm</w:t>
      </w:r>
      <w:r w:rsidR="00796432">
        <w:rPr>
          <w:rFonts w:eastAsia="Calibri" w:cs="Times New Roman"/>
          <w:sz w:val="28"/>
          <w:szCs w:val="28"/>
        </w:rPr>
        <w:t>, paaugstinot to analītisko kapacitāti un rīcībspēju;</w:t>
      </w:r>
      <w:r w:rsidR="00796432" w:rsidRPr="00EE1B29">
        <w:rPr>
          <w:rFonts w:eastAsia="Calibri" w:cs="Times New Roman"/>
          <w:sz w:val="28"/>
          <w:szCs w:val="28"/>
        </w:rPr>
        <w:t xml:space="preserve"> </w:t>
      </w:r>
    </w:p>
    <w:p w14:paraId="07A8C3B0" w14:textId="77777777" w:rsidR="00796432" w:rsidRDefault="009B7E09" w:rsidP="00796432">
      <w:pPr>
        <w:numPr>
          <w:ilvl w:val="0"/>
          <w:numId w:val="39"/>
        </w:numPr>
        <w:contextualSpacing/>
        <w:jc w:val="both"/>
        <w:rPr>
          <w:rFonts w:eastAsia="Calibri" w:cs="Times New Roman"/>
          <w:sz w:val="28"/>
          <w:szCs w:val="28"/>
        </w:rPr>
      </w:pPr>
      <w:r>
        <w:rPr>
          <w:rFonts w:eastAsia="Calibri" w:cs="Times New Roman"/>
          <w:sz w:val="28"/>
          <w:szCs w:val="28"/>
        </w:rPr>
        <w:t>i</w:t>
      </w:r>
      <w:r w:rsidR="00796432" w:rsidRPr="00D01F6D">
        <w:rPr>
          <w:rFonts w:eastAsia="Calibri" w:cs="Times New Roman"/>
          <w:sz w:val="28"/>
          <w:szCs w:val="28"/>
        </w:rPr>
        <w:t>nformācijas tehnoloģiju risinājumu ieviešana</w:t>
      </w:r>
      <w:r w:rsidR="00796432">
        <w:rPr>
          <w:rFonts w:eastAsia="Calibri" w:cs="Times New Roman"/>
          <w:sz w:val="28"/>
          <w:szCs w:val="28"/>
        </w:rPr>
        <w:t xml:space="preserve"> savlaicīgai un efektīvai datu pārvaldībai;</w:t>
      </w:r>
      <w:r w:rsidR="00796432" w:rsidRPr="00D01F6D">
        <w:rPr>
          <w:rFonts w:eastAsia="Calibri" w:cs="Times New Roman"/>
          <w:sz w:val="28"/>
          <w:szCs w:val="28"/>
        </w:rPr>
        <w:t xml:space="preserve"> </w:t>
      </w:r>
    </w:p>
    <w:p w14:paraId="7067FEB7" w14:textId="77777777" w:rsidR="00796432" w:rsidRDefault="009B7E09" w:rsidP="00796432">
      <w:pPr>
        <w:numPr>
          <w:ilvl w:val="0"/>
          <w:numId w:val="39"/>
        </w:numPr>
        <w:contextualSpacing/>
        <w:jc w:val="both"/>
        <w:rPr>
          <w:rFonts w:eastAsia="Calibri" w:cs="Times New Roman"/>
          <w:sz w:val="28"/>
          <w:szCs w:val="28"/>
        </w:rPr>
      </w:pPr>
      <w:r>
        <w:rPr>
          <w:rFonts w:eastAsia="Calibri" w:cs="Times New Roman"/>
          <w:sz w:val="28"/>
          <w:szCs w:val="28"/>
        </w:rPr>
        <w:t>m</w:t>
      </w:r>
      <w:r w:rsidR="00796432" w:rsidRPr="00D01F6D">
        <w:rPr>
          <w:rFonts w:eastAsia="Calibri" w:cs="Times New Roman"/>
          <w:sz w:val="28"/>
          <w:szCs w:val="28"/>
        </w:rPr>
        <w:t>ērķētu finanšu sankciju sistēmas pilnveidošana</w:t>
      </w:r>
      <w:r w:rsidR="00796432">
        <w:rPr>
          <w:rFonts w:eastAsia="Calibri" w:cs="Times New Roman"/>
          <w:sz w:val="28"/>
          <w:szCs w:val="28"/>
        </w:rPr>
        <w:t>, vei</w:t>
      </w:r>
      <w:r w:rsidR="00972F42">
        <w:rPr>
          <w:rFonts w:eastAsia="Calibri" w:cs="Times New Roman"/>
          <w:sz w:val="28"/>
          <w:szCs w:val="28"/>
        </w:rPr>
        <w:t>dojot</w:t>
      </w:r>
      <w:r w:rsidR="00796432">
        <w:rPr>
          <w:rFonts w:eastAsia="Calibri" w:cs="Times New Roman"/>
          <w:sz w:val="28"/>
          <w:szCs w:val="28"/>
        </w:rPr>
        <w:t xml:space="preserve"> sadarbības partneru vienotu izpratni par šo sistēmu un tās darbības nepieciešamību</w:t>
      </w:r>
      <w:r w:rsidR="00796432" w:rsidRPr="009E4308">
        <w:rPr>
          <w:rFonts w:eastAsia="Calibri" w:cs="Times New Roman"/>
          <w:sz w:val="28"/>
          <w:szCs w:val="28"/>
        </w:rPr>
        <w:t>.</w:t>
      </w:r>
    </w:p>
    <w:p w14:paraId="60A3B321" w14:textId="77777777" w:rsidR="00BF7024" w:rsidRDefault="00972F42" w:rsidP="00BF7024">
      <w:pPr>
        <w:ind w:firstLine="425"/>
        <w:contextualSpacing/>
        <w:jc w:val="both"/>
        <w:rPr>
          <w:rFonts w:eastAsia="Calibri" w:cs="Times New Roman"/>
          <w:sz w:val="28"/>
          <w:szCs w:val="28"/>
        </w:rPr>
      </w:pPr>
      <w:r>
        <w:rPr>
          <w:rFonts w:eastAsia="Calibri" w:cs="Times New Roman"/>
          <w:sz w:val="28"/>
          <w:szCs w:val="28"/>
        </w:rPr>
        <w:tab/>
      </w:r>
      <w:r w:rsidR="00BF7024" w:rsidRPr="00BF7024">
        <w:rPr>
          <w:rFonts w:eastAsia="Calibri" w:cs="Times New Roman"/>
          <w:sz w:val="28"/>
          <w:szCs w:val="28"/>
        </w:rPr>
        <w:t>Vienlaikus saistībā ar normatīvā regulējuma ieviešanu, Latvija ir pirms termiņa pārņēmusi virkni prasīb</w:t>
      </w:r>
      <w:r w:rsidR="00613676">
        <w:rPr>
          <w:rFonts w:eastAsia="Calibri" w:cs="Times New Roman"/>
          <w:sz w:val="28"/>
          <w:szCs w:val="28"/>
        </w:rPr>
        <w:t>as sistēmas pilnveidošanai</w:t>
      </w:r>
      <w:r w:rsidR="00BF7024" w:rsidRPr="00BF7024">
        <w:rPr>
          <w:rFonts w:eastAsia="Calibri" w:cs="Times New Roman"/>
          <w:sz w:val="28"/>
          <w:szCs w:val="28"/>
        </w:rPr>
        <w:t xml:space="preserve">, kas ietvertas AMLD5 direktīvā – centralizētais banku kontu reģistrs, virtuālo valūtu </w:t>
      </w:r>
      <w:r>
        <w:rPr>
          <w:rFonts w:eastAsia="Calibri" w:cs="Times New Roman"/>
          <w:sz w:val="28"/>
          <w:szCs w:val="28"/>
        </w:rPr>
        <w:t xml:space="preserve">uzraudzības </w:t>
      </w:r>
      <w:r w:rsidR="00BF7024" w:rsidRPr="00BF7024">
        <w:rPr>
          <w:rFonts w:eastAsia="Calibri" w:cs="Times New Roman"/>
          <w:sz w:val="28"/>
          <w:szCs w:val="28"/>
        </w:rPr>
        <w:t xml:space="preserve">regulējums, ieviests patiesā labuma guvēju atklātības princips, pazemināti uzraudzības sliekšņi elektroniskās naudas apritei, to samazinot līdz 150 </w:t>
      </w:r>
      <w:r w:rsidR="00BF7024" w:rsidRPr="00505985">
        <w:rPr>
          <w:rFonts w:eastAsia="Calibri" w:cs="Times New Roman"/>
          <w:i/>
          <w:sz w:val="28"/>
          <w:szCs w:val="28"/>
        </w:rPr>
        <w:t>euro</w:t>
      </w:r>
      <w:r w:rsidR="00BF7024" w:rsidRPr="00BF7024">
        <w:rPr>
          <w:rFonts w:eastAsia="Calibri" w:cs="Times New Roman"/>
          <w:sz w:val="28"/>
          <w:szCs w:val="28"/>
        </w:rPr>
        <w:t>. Ministru kabinets, pieņemot šo plānu, apņemas nodrošināt pilnīgu AMLD5 direktīvas ieviešanu pirms noteiktā obligāt</w:t>
      </w:r>
      <w:r w:rsidR="00613676">
        <w:rPr>
          <w:rFonts w:eastAsia="Calibri" w:cs="Times New Roman"/>
          <w:sz w:val="28"/>
          <w:szCs w:val="28"/>
        </w:rPr>
        <w:t>ā</w:t>
      </w:r>
      <w:r w:rsidR="00BF7024" w:rsidRPr="00BF7024">
        <w:rPr>
          <w:rFonts w:eastAsia="Calibri" w:cs="Times New Roman"/>
          <w:sz w:val="28"/>
          <w:szCs w:val="28"/>
        </w:rPr>
        <w:t xml:space="preserve"> ieviešanas termiņa, izskatot sagatavotos dokumentus līdz 2019.gada 1.jūnijam un nodot to</w:t>
      </w:r>
      <w:r w:rsidR="009B7E09">
        <w:rPr>
          <w:rFonts w:eastAsia="Calibri" w:cs="Times New Roman"/>
          <w:sz w:val="28"/>
          <w:szCs w:val="28"/>
        </w:rPr>
        <w:t>s</w:t>
      </w:r>
      <w:r w:rsidR="00BF7024" w:rsidRPr="00BF7024">
        <w:rPr>
          <w:rFonts w:eastAsia="Calibri" w:cs="Times New Roman"/>
          <w:sz w:val="28"/>
          <w:szCs w:val="28"/>
        </w:rPr>
        <w:t xml:space="preserve"> tālākai vērtēšanai Saeimai.</w:t>
      </w:r>
    </w:p>
    <w:p w14:paraId="031BF48D" w14:textId="77777777" w:rsidR="00BF7024" w:rsidRPr="00D01F6D" w:rsidRDefault="00972F42" w:rsidP="00BF7024">
      <w:pPr>
        <w:ind w:firstLine="425"/>
        <w:contextualSpacing/>
        <w:jc w:val="both"/>
        <w:rPr>
          <w:rFonts w:eastAsia="Calibri" w:cs="Times New Roman"/>
          <w:sz w:val="28"/>
          <w:szCs w:val="28"/>
        </w:rPr>
      </w:pPr>
      <w:r>
        <w:rPr>
          <w:rFonts w:eastAsia="Calibri" w:cs="Times New Roman"/>
          <w:sz w:val="28"/>
          <w:szCs w:val="28"/>
        </w:rPr>
        <w:tab/>
      </w:r>
      <w:r w:rsidR="009B7E09">
        <w:rPr>
          <w:rFonts w:eastAsia="Calibri" w:cs="Times New Roman"/>
          <w:sz w:val="28"/>
          <w:szCs w:val="28"/>
        </w:rPr>
        <w:t>Galvenie šā plāna pasākumi un sasniedzamie rezultāti ir apkopoti 2.tabulā.</w:t>
      </w:r>
    </w:p>
    <w:p w14:paraId="6281667D" w14:textId="77777777" w:rsidR="00796432" w:rsidRDefault="00796432" w:rsidP="00796432">
      <w:pPr>
        <w:ind w:firstLine="720"/>
        <w:jc w:val="both"/>
        <w:rPr>
          <w:rFonts w:eastAsia="Calibri" w:cs="Times New Roman"/>
          <w:sz w:val="28"/>
          <w:szCs w:val="28"/>
        </w:rPr>
      </w:pPr>
    </w:p>
    <w:p w14:paraId="1945BC21" w14:textId="77777777" w:rsidR="007C471A" w:rsidRPr="000D0FCD" w:rsidRDefault="007C471A" w:rsidP="00C94E2B">
      <w:pPr>
        <w:ind w:firstLine="720"/>
        <w:jc w:val="center"/>
        <w:rPr>
          <w:rFonts w:eastAsia="Calibri" w:cs="Times New Roman"/>
          <w:b/>
          <w:sz w:val="28"/>
          <w:szCs w:val="28"/>
        </w:rPr>
      </w:pPr>
      <w:r w:rsidRPr="000D0FCD">
        <w:rPr>
          <w:rFonts w:eastAsia="Calibri" w:cs="Times New Roman"/>
          <w:b/>
          <w:sz w:val="28"/>
          <w:szCs w:val="28"/>
        </w:rPr>
        <w:t xml:space="preserve">2.tabula </w:t>
      </w:r>
      <w:r w:rsidR="000D0FCD" w:rsidRPr="000D0FCD">
        <w:rPr>
          <w:rFonts w:eastAsia="Calibri" w:cs="Times New Roman"/>
          <w:b/>
          <w:sz w:val="28"/>
          <w:szCs w:val="28"/>
        </w:rPr>
        <w:t>–</w:t>
      </w:r>
      <w:r w:rsidRPr="000D0FCD">
        <w:rPr>
          <w:rFonts w:eastAsia="Calibri" w:cs="Times New Roman"/>
          <w:b/>
          <w:sz w:val="28"/>
          <w:szCs w:val="28"/>
        </w:rPr>
        <w:t xml:space="preserve"> </w:t>
      </w:r>
      <w:r w:rsidR="000D0FCD" w:rsidRPr="000D0FCD">
        <w:rPr>
          <w:rFonts w:eastAsia="Calibri" w:cs="Times New Roman"/>
          <w:b/>
          <w:sz w:val="28"/>
          <w:szCs w:val="28"/>
        </w:rPr>
        <w:t>Plāna rīcības virzieni</w:t>
      </w:r>
    </w:p>
    <w:tbl>
      <w:tblPr>
        <w:tblpPr w:leftFromText="180" w:rightFromText="180" w:vertAnchor="text" w:horzAnchor="margin" w:tblpXSpec="center" w:tblpY="196"/>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544"/>
        <w:gridCol w:w="5812"/>
        <w:gridCol w:w="5245"/>
      </w:tblGrid>
      <w:tr w:rsidR="00CE354E" w:rsidRPr="009C78E0" w14:paraId="5BF8D2B4" w14:textId="77777777" w:rsidTr="005545EE">
        <w:trPr>
          <w:trHeight w:val="416"/>
        </w:trPr>
        <w:tc>
          <w:tcPr>
            <w:tcW w:w="3544" w:type="dxa"/>
            <w:hideMark/>
          </w:tcPr>
          <w:p w14:paraId="234F0BFE" w14:textId="77777777" w:rsidR="00CE354E" w:rsidRPr="009C78E0" w:rsidRDefault="00CE354E" w:rsidP="0077246A">
            <w:pPr>
              <w:tabs>
                <w:tab w:val="left" w:pos="0"/>
              </w:tabs>
              <w:jc w:val="center"/>
              <w:rPr>
                <w:rFonts w:eastAsia="Calibri" w:cs="Times New Roman"/>
                <w:b/>
                <w:sz w:val="28"/>
                <w:szCs w:val="28"/>
              </w:rPr>
            </w:pPr>
            <w:r w:rsidRPr="009C78E0">
              <w:rPr>
                <w:rFonts w:eastAsia="Calibri" w:cs="Times New Roman"/>
                <w:b/>
                <w:sz w:val="28"/>
                <w:szCs w:val="28"/>
              </w:rPr>
              <w:t>Moneyval</w:t>
            </w:r>
            <w:r w:rsidRPr="009C78E0">
              <w:rPr>
                <w:rFonts w:eastAsia="Calibri" w:cs="Times New Roman"/>
                <w:b/>
                <w:bCs/>
                <w:sz w:val="28"/>
                <w:szCs w:val="28"/>
              </w:rPr>
              <w:t xml:space="preserve"> efektivitātes rādītājs</w:t>
            </w:r>
          </w:p>
        </w:tc>
        <w:tc>
          <w:tcPr>
            <w:tcW w:w="5812" w:type="dxa"/>
          </w:tcPr>
          <w:p w14:paraId="2A8BC61F" w14:textId="77777777" w:rsidR="00CE354E" w:rsidRPr="009C78E0" w:rsidRDefault="00CE354E" w:rsidP="0077246A">
            <w:pPr>
              <w:tabs>
                <w:tab w:val="left" w:pos="0"/>
              </w:tabs>
              <w:jc w:val="center"/>
              <w:rPr>
                <w:rFonts w:eastAsia="Calibri" w:cs="Times New Roman"/>
                <w:b/>
                <w:sz w:val="28"/>
                <w:szCs w:val="28"/>
              </w:rPr>
            </w:pPr>
            <w:r w:rsidRPr="009C78E0">
              <w:rPr>
                <w:rFonts w:eastAsia="Calibri" w:cs="Times New Roman"/>
                <w:b/>
                <w:sz w:val="28"/>
                <w:szCs w:val="28"/>
              </w:rPr>
              <w:t>Galvenie rīcības virzieni</w:t>
            </w:r>
          </w:p>
        </w:tc>
        <w:tc>
          <w:tcPr>
            <w:tcW w:w="5245" w:type="dxa"/>
          </w:tcPr>
          <w:p w14:paraId="4F3C6B9A" w14:textId="77777777" w:rsidR="00CE354E" w:rsidRPr="009C78E0" w:rsidRDefault="00CE354E" w:rsidP="0077246A">
            <w:pPr>
              <w:tabs>
                <w:tab w:val="left" w:pos="0"/>
              </w:tabs>
              <w:jc w:val="center"/>
              <w:rPr>
                <w:rFonts w:eastAsia="Calibri" w:cs="Times New Roman"/>
                <w:b/>
                <w:sz w:val="28"/>
                <w:szCs w:val="28"/>
              </w:rPr>
            </w:pPr>
            <w:r w:rsidRPr="009C78E0">
              <w:rPr>
                <w:rFonts w:eastAsia="Calibri" w:cs="Times New Roman"/>
                <w:b/>
                <w:sz w:val="28"/>
                <w:szCs w:val="28"/>
              </w:rPr>
              <w:t>Galvenie sasniedzamie rezultāti būtisko prioritāšu īstenošanai</w:t>
            </w:r>
          </w:p>
        </w:tc>
      </w:tr>
      <w:tr w:rsidR="00CE354E" w:rsidRPr="009C78E0" w14:paraId="4679E83B" w14:textId="77777777" w:rsidTr="005545EE">
        <w:trPr>
          <w:trHeight w:val="680"/>
        </w:trPr>
        <w:tc>
          <w:tcPr>
            <w:tcW w:w="3544" w:type="dxa"/>
            <w:hideMark/>
          </w:tcPr>
          <w:p w14:paraId="73B82279"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lastRenderedPageBreak/>
              <w:t>IO.1 NILLTFN risku novērtējums, politika un koordinācija</w:t>
            </w:r>
          </w:p>
        </w:tc>
        <w:tc>
          <w:tcPr>
            <w:tcW w:w="5812" w:type="dxa"/>
          </w:tcPr>
          <w:p w14:paraId="7A0F690D"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Līdz 2019.gada 15.augustam tiks izstrādāts jauns NRA, ņemot vērā Moneyval rekomendācijas un secinājumus no iepriekšējā NRA procesa</w:t>
            </w:r>
            <w:r w:rsidR="008E55BD">
              <w:rPr>
                <w:rFonts w:eastAsia="Calibri" w:cs="Times New Roman"/>
                <w:sz w:val="28"/>
                <w:szCs w:val="28"/>
              </w:rPr>
              <w:t>.</w:t>
            </w:r>
          </w:p>
          <w:p w14:paraId="3C3E038C"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Tiks izstrādāta komunikācijas stratēģija par noziedzīgi iegūtu līdzekļu legalizācijas, terorisma finansēšanas un proliferācijas novēršanu.</w:t>
            </w:r>
          </w:p>
          <w:p w14:paraId="321AD406" w14:textId="77777777" w:rsidR="00CE354E" w:rsidRPr="009C78E0" w:rsidRDefault="00CE354E" w:rsidP="0077246A">
            <w:pPr>
              <w:tabs>
                <w:tab w:val="left" w:pos="0"/>
              </w:tabs>
              <w:jc w:val="both"/>
              <w:rPr>
                <w:rFonts w:eastAsia="Calibri" w:cs="Times New Roman"/>
                <w:sz w:val="28"/>
                <w:szCs w:val="28"/>
              </w:rPr>
            </w:pPr>
          </w:p>
        </w:tc>
        <w:tc>
          <w:tcPr>
            <w:tcW w:w="5245" w:type="dxa"/>
          </w:tcPr>
          <w:p w14:paraId="4A44AC91" w14:textId="77777777" w:rsidR="0077246A" w:rsidRDefault="00CE354E" w:rsidP="0077246A">
            <w:pPr>
              <w:tabs>
                <w:tab w:val="left" w:pos="0"/>
              </w:tabs>
              <w:jc w:val="both"/>
              <w:rPr>
                <w:rFonts w:eastAsia="Calibri" w:cs="Times New Roman"/>
                <w:sz w:val="28"/>
                <w:szCs w:val="28"/>
              </w:rPr>
            </w:pPr>
            <w:r w:rsidRPr="009C78E0">
              <w:rPr>
                <w:rFonts w:eastAsia="Calibri" w:cs="Times New Roman"/>
                <w:sz w:val="28"/>
                <w:szCs w:val="28"/>
              </w:rPr>
              <w:t xml:space="preserve">Latvijai piemītošie NILLTF riski tiek identificēti, novērtēti un izprasti.  </w:t>
            </w:r>
          </w:p>
          <w:p w14:paraId="479D0DF8"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 xml:space="preserve">Nacionālā līmenī tiek koordinēta rīcība NILLTF risku novēršanai.  </w:t>
            </w:r>
          </w:p>
          <w:p w14:paraId="6F2DAE05"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Veiktie pasākumi ir atbilstoši identificētajiem NILLTF riskiem.</w:t>
            </w:r>
          </w:p>
        </w:tc>
      </w:tr>
      <w:tr w:rsidR="00CE354E" w:rsidRPr="009C78E0" w14:paraId="135A37B2" w14:textId="77777777" w:rsidTr="005545EE">
        <w:trPr>
          <w:trHeight w:val="454"/>
        </w:trPr>
        <w:tc>
          <w:tcPr>
            <w:tcW w:w="3544" w:type="dxa"/>
            <w:hideMark/>
          </w:tcPr>
          <w:p w14:paraId="4DCF075C"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IO.2 Starptautiskā sadarbība</w:t>
            </w:r>
          </w:p>
        </w:tc>
        <w:tc>
          <w:tcPr>
            <w:tcW w:w="5812" w:type="dxa"/>
          </w:tcPr>
          <w:p w14:paraId="1A5A2BCA" w14:textId="77777777" w:rsidR="00CE354E" w:rsidRDefault="00CE354E" w:rsidP="0077246A">
            <w:pPr>
              <w:tabs>
                <w:tab w:val="left" w:pos="0"/>
              </w:tabs>
              <w:jc w:val="both"/>
              <w:rPr>
                <w:rFonts w:eastAsia="Calibri" w:cs="Times New Roman"/>
                <w:sz w:val="28"/>
                <w:szCs w:val="28"/>
              </w:rPr>
            </w:pPr>
            <w:r w:rsidRPr="009C78E0">
              <w:rPr>
                <w:rFonts w:eastAsia="Calibri" w:cs="Times New Roman"/>
                <w:sz w:val="28"/>
                <w:szCs w:val="28"/>
              </w:rPr>
              <w:t xml:space="preserve">Tiks veikts izvērtējums par normatīvo regulējumu attiecībā uz uzraugu starptautisko sadarbību. </w:t>
            </w:r>
          </w:p>
          <w:p w14:paraId="104EB648" w14:textId="77777777" w:rsidR="00613676" w:rsidRPr="009C78E0" w:rsidRDefault="00613676" w:rsidP="0077246A">
            <w:pPr>
              <w:tabs>
                <w:tab w:val="left" w:pos="0"/>
              </w:tabs>
              <w:jc w:val="both"/>
              <w:rPr>
                <w:rFonts w:eastAsia="Calibri" w:cs="Times New Roman"/>
                <w:sz w:val="28"/>
                <w:szCs w:val="28"/>
              </w:rPr>
            </w:pPr>
          </w:p>
          <w:p w14:paraId="36B3B017"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Balstoties uz secinājumiem, tiks organizēta diskusija sadarbībā ar KD un Datu valsts inspekciju par datu apmaiņu ar trešajām valstīm un TM vadībā tiks izstrādāti pamatprincipi starptautiskai sadarbībai, kuri tālāk tiks iestrādāti uzraugu iekšējos normatīvajos aktos</w:t>
            </w:r>
            <w:r w:rsidR="00613676">
              <w:rPr>
                <w:rFonts w:eastAsia="Calibri" w:cs="Times New Roman"/>
                <w:sz w:val="28"/>
                <w:szCs w:val="28"/>
              </w:rPr>
              <w:t>.</w:t>
            </w:r>
          </w:p>
          <w:p w14:paraId="26772438"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Tiks pārskatīts Kriminālprocesa likuma regulējums attiecībā uz iespēju noteikt deleģējumu izstrādāt normatīvo aktu par tiesiskās palīdzības lūgumu prioritizēšanu.</w:t>
            </w:r>
          </w:p>
          <w:p w14:paraId="43B54538" w14:textId="77777777" w:rsidR="00CE354E" w:rsidRPr="009C78E0" w:rsidRDefault="00A31F27" w:rsidP="00A31F27">
            <w:pPr>
              <w:tabs>
                <w:tab w:val="left" w:pos="0"/>
              </w:tabs>
              <w:jc w:val="both"/>
              <w:rPr>
                <w:rFonts w:eastAsia="Calibri" w:cs="Times New Roman"/>
                <w:sz w:val="28"/>
                <w:szCs w:val="28"/>
              </w:rPr>
            </w:pPr>
            <w:r>
              <w:rPr>
                <w:rFonts w:eastAsia="Calibri" w:cs="Times New Roman"/>
                <w:sz w:val="28"/>
                <w:szCs w:val="28"/>
              </w:rPr>
              <w:t>I</w:t>
            </w:r>
            <w:r w:rsidR="00CE354E" w:rsidRPr="009C78E0">
              <w:rPr>
                <w:rFonts w:eastAsia="Calibri" w:cs="Times New Roman"/>
                <w:sz w:val="28"/>
                <w:szCs w:val="28"/>
              </w:rPr>
              <w:t xml:space="preserve">zvērtētas iespējas pilnveidot esošo Starptautiskās krimināltiesiskās sadarbības lūgumu informācijas sistēmu, lai nodrošinātu starptautiskās lūgumu vadības sistēmu. </w:t>
            </w:r>
          </w:p>
        </w:tc>
        <w:tc>
          <w:tcPr>
            <w:tcW w:w="5245" w:type="dxa"/>
          </w:tcPr>
          <w:p w14:paraId="1C2D5D1F"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Novērsti trūkumi tiesiskajā regulējumā attiecībā uz starptautisko sadarbību noziedzīgi iegūtu līdzekļu legalizācijas novēršanā un apkarošanā.</w:t>
            </w:r>
          </w:p>
        </w:tc>
      </w:tr>
      <w:tr w:rsidR="00CE354E" w:rsidRPr="009C78E0" w14:paraId="5B9E6727" w14:textId="77777777" w:rsidTr="005545EE">
        <w:trPr>
          <w:trHeight w:val="454"/>
        </w:trPr>
        <w:tc>
          <w:tcPr>
            <w:tcW w:w="3544" w:type="dxa"/>
            <w:hideMark/>
          </w:tcPr>
          <w:p w14:paraId="07175B71"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IO.3 Uzraudzība</w:t>
            </w:r>
          </w:p>
        </w:tc>
        <w:tc>
          <w:tcPr>
            <w:tcW w:w="5812" w:type="dxa"/>
          </w:tcPr>
          <w:p w14:paraId="261BC53C" w14:textId="77777777" w:rsidR="00CE354E" w:rsidRDefault="00CE354E" w:rsidP="0077246A">
            <w:pPr>
              <w:tabs>
                <w:tab w:val="left" w:pos="0"/>
              </w:tabs>
              <w:jc w:val="both"/>
              <w:rPr>
                <w:rFonts w:eastAsia="Calibri" w:cs="Times New Roman"/>
                <w:sz w:val="28"/>
                <w:szCs w:val="28"/>
              </w:rPr>
            </w:pPr>
            <w:r w:rsidRPr="009C78E0">
              <w:rPr>
                <w:rFonts w:eastAsia="Calibri" w:cs="Times New Roman"/>
                <w:sz w:val="28"/>
                <w:szCs w:val="28"/>
              </w:rPr>
              <w:t>Tiks turpināts darbs pie kredītiestāžu biznesa modeļ</w:t>
            </w:r>
            <w:r w:rsidR="00A31F27">
              <w:rPr>
                <w:rFonts w:eastAsia="Calibri" w:cs="Times New Roman"/>
                <w:sz w:val="28"/>
                <w:szCs w:val="28"/>
              </w:rPr>
              <w:t>u</w:t>
            </w:r>
            <w:r w:rsidRPr="009C78E0">
              <w:rPr>
                <w:rFonts w:eastAsia="Calibri" w:cs="Times New Roman"/>
                <w:sz w:val="28"/>
                <w:szCs w:val="28"/>
              </w:rPr>
              <w:t xml:space="preserve"> maiņas</w:t>
            </w:r>
            <w:r w:rsidR="008E55BD">
              <w:rPr>
                <w:rFonts w:eastAsia="Calibri" w:cs="Times New Roman"/>
                <w:sz w:val="28"/>
                <w:szCs w:val="28"/>
              </w:rPr>
              <w:t>.</w:t>
            </w:r>
          </w:p>
          <w:p w14:paraId="126A57B5" w14:textId="77777777" w:rsidR="00613676" w:rsidRDefault="00613676" w:rsidP="0077246A">
            <w:pPr>
              <w:tabs>
                <w:tab w:val="left" w:pos="0"/>
              </w:tabs>
              <w:jc w:val="both"/>
              <w:rPr>
                <w:rFonts w:eastAsia="Calibri" w:cs="Times New Roman"/>
                <w:sz w:val="28"/>
                <w:szCs w:val="28"/>
              </w:rPr>
            </w:pPr>
          </w:p>
          <w:p w14:paraId="14B3641E" w14:textId="77777777" w:rsidR="00613676" w:rsidRPr="009C78E0" w:rsidRDefault="00A31F27" w:rsidP="0077246A">
            <w:pPr>
              <w:tabs>
                <w:tab w:val="left" w:pos="0"/>
              </w:tabs>
              <w:jc w:val="both"/>
              <w:rPr>
                <w:rFonts w:eastAsia="Calibri" w:cs="Times New Roman"/>
                <w:sz w:val="28"/>
                <w:szCs w:val="28"/>
              </w:rPr>
            </w:pPr>
            <w:r>
              <w:rPr>
                <w:rFonts w:eastAsia="Calibri" w:cs="Times New Roman"/>
                <w:sz w:val="28"/>
                <w:szCs w:val="28"/>
              </w:rPr>
              <w:lastRenderedPageBreak/>
              <w:t xml:space="preserve">ABLV bankas </w:t>
            </w:r>
            <w:r w:rsidR="00585760">
              <w:rPr>
                <w:rFonts w:eastAsia="Calibri" w:cs="Times New Roman"/>
                <w:sz w:val="28"/>
                <w:szCs w:val="28"/>
              </w:rPr>
              <w:t>kontrolēta pašlikvidācijas procesa ieviešana</w:t>
            </w:r>
          </w:p>
          <w:p w14:paraId="41149091"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Uz risku balstītas pieejas ieviešana visās uzraudzības iestādēs, palielināts klātienes un neklātienes pārbaužu skaits</w:t>
            </w:r>
            <w:r w:rsidR="008E55BD">
              <w:rPr>
                <w:rFonts w:eastAsia="Calibri" w:cs="Times New Roman"/>
                <w:sz w:val="28"/>
                <w:szCs w:val="28"/>
              </w:rPr>
              <w:t>.</w:t>
            </w:r>
          </w:p>
          <w:p w14:paraId="4CFAD0F5"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 xml:space="preserve">Stiprinot uzraudzības institūcijām pieejamos resursus, paredzēts, ka tiks izveidotas 6 jaunas amata vietas FKTK*, 25 – VID un 3 NKMP. </w:t>
            </w:r>
          </w:p>
          <w:p w14:paraId="4D2F2F61"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w:t>
            </w:r>
            <w:r w:rsidRPr="009C78E0">
              <w:rPr>
                <w:rFonts w:eastAsia="Calibri" w:cs="Times New Roman"/>
                <w:sz w:val="20"/>
                <w:szCs w:val="20"/>
              </w:rPr>
              <w:t>Pēc OECD sistēmas izvērtējuma veikšanas</w:t>
            </w:r>
          </w:p>
          <w:p w14:paraId="2639770E" w14:textId="77777777" w:rsidR="00CE354E" w:rsidRPr="009C78E0" w:rsidRDefault="00CE354E" w:rsidP="0077246A">
            <w:pPr>
              <w:tabs>
                <w:tab w:val="left" w:pos="0"/>
              </w:tabs>
              <w:jc w:val="both"/>
              <w:rPr>
                <w:rFonts w:eastAsia="Calibri" w:cs="Times New Roman"/>
                <w:sz w:val="28"/>
                <w:szCs w:val="28"/>
              </w:rPr>
            </w:pPr>
          </w:p>
        </w:tc>
        <w:tc>
          <w:tcPr>
            <w:tcW w:w="5245" w:type="dxa"/>
          </w:tcPr>
          <w:p w14:paraId="05990D43"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lastRenderedPageBreak/>
              <w:t xml:space="preserve">Ieviesta uz risku balstīta pieeja uzraudzībā visās uzraudzības un kontroles institūcijās, nodrošinot pietiekamu un riskam atbilstošu </w:t>
            </w:r>
            <w:r w:rsidRPr="009C78E0">
              <w:rPr>
                <w:rFonts w:eastAsia="Calibri" w:cs="Times New Roman"/>
                <w:sz w:val="28"/>
                <w:szCs w:val="28"/>
              </w:rPr>
              <w:lastRenderedPageBreak/>
              <w:t>pārbaužu veikšanu un pārkāpumu gadījumā veicot proporcionālus, no tālākiem pārkāpumiem atturošus pasākumus.</w:t>
            </w:r>
          </w:p>
        </w:tc>
      </w:tr>
      <w:tr w:rsidR="00CE354E" w:rsidRPr="009C78E0" w14:paraId="4A5A9BA4" w14:textId="77777777" w:rsidTr="005545EE">
        <w:trPr>
          <w:trHeight w:val="454"/>
        </w:trPr>
        <w:tc>
          <w:tcPr>
            <w:tcW w:w="3544" w:type="dxa"/>
            <w:hideMark/>
          </w:tcPr>
          <w:p w14:paraId="66E83CA0"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lastRenderedPageBreak/>
              <w:t>IO.4 Preventīvie pasākumi</w:t>
            </w:r>
          </w:p>
        </w:tc>
        <w:tc>
          <w:tcPr>
            <w:tcW w:w="5812" w:type="dxa"/>
          </w:tcPr>
          <w:p w14:paraId="766AB0D2" w14:textId="77777777" w:rsidR="00CE354E" w:rsidRPr="009C78E0" w:rsidRDefault="00585760" w:rsidP="0077246A">
            <w:pPr>
              <w:tabs>
                <w:tab w:val="left" w:pos="0"/>
              </w:tabs>
              <w:jc w:val="both"/>
              <w:rPr>
                <w:rFonts w:eastAsia="Calibri" w:cs="Times New Roman"/>
                <w:sz w:val="28"/>
                <w:szCs w:val="28"/>
              </w:rPr>
            </w:pPr>
            <w:r>
              <w:rPr>
                <w:rFonts w:eastAsia="Calibri" w:cs="Times New Roman"/>
                <w:sz w:val="28"/>
                <w:szCs w:val="28"/>
              </w:rPr>
              <w:t>P</w:t>
            </w:r>
            <w:r w:rsidR="00CE354E" w:rsidRPr="009C78E0">
              <w:rPr>
                <w:rFonts w:eastAsia="Calibri" w:cs="Times New Roman"/>
                <w:sz w:val="28"/>
                <w:szCs w:val="28"/>
              </w:rPr>
              <w:t>ārskatīta neparasto un aizdomīgo darījumu ziņošanas sistēma</w:t>
            </w:r>
            <w:r w:rsidR="008E55BD">
              <w:rPr>
                <w:rFonts w:eastAsia="Calibri" w:cs="Times New Roman"/>
                <w:sz w:val="28"/>
                <w:szCs w:val="28"/>
              </w:rPr>
              <w:t>.</w:t>
            </w:r>
          </w:p>
          <w:p w14:paraId="760E5B4D" w14:textId="77777777" w:rsidR="00CE354E" w:rsidRPr="009C78E0" w:rsidRDefault="00CE354E" w:rsidP="0077246A">
            <w:pPr>
              <w:tabs>
                <w:tab w:val="left" w:pos="0"/>
              </w:tabs>
              <w:jc w:val="both"/>
              <w:rPr>
                <w:rFonts w:eastAsia="Calibri" w:cs="Times New Roman"/>
                <w:sz w:val="28"/>
                <w:szCs w:val="28"/>
              </w:rPr>
            </w:pPr>
          </w:p>
          <w:p w14:paraId="1FD19249"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Klientu izpētei nepieciešamās informācijas pieejamības pilnveidošana (informācija par P</w:t>
            </w:r>
            <w:r>
              <w:rPr>
                <w:rFonts w:eastAsia="Calibri" w:cs="Times New Roman"/>
                <w:sz w:val="28"/>
                <w:szCs w:val="28"/>
              </w:rPr>
              <w:t>N</w:t>
            </w:r>
            <w:r w:rsidRPr="009C78E0">
              <w:rPr>
                <w:rFonts w:eastAsia="Calibri" w:cs="Times New Roman"/>
                <w:sz w:val="28"/>
                <w:szCs w:val="28"/>
              </w:rPr>
              <w:t xml:space="preserve">P, KYC </w:t>
            </w:r>
            <w:r w:rsidR="008E55BD">
              <w:rPr>
                <w:rFonts w:eastAsia="Calibri" w:cs="Times New Roman"/>
                <w:i/>
                <w:sz w:val="28"/>
                <w:szCs w:val="28"/>
              </w:rPr>
              <w:t xml:space="preserve"> utility</w:t>
            </w:r>
            <w:r w:rsidRPr="009C78E0">
              <w:rPr>
                <w:rFonts w:eastAsia="Calibri" w:cs="Times New Roman"/>
                <w:sz w:val="28"/>
                <w:szCs w:val="28"/>
              </w:rPr>
              <w:t>, pieeja valsts reģistriem)</w:t>
            </w:r>
            <w:r w:rsidR="008E55BD">
              <w:rPr>
                <w:rFonts w:eastAsia="Calibri" w:cs="Times New Roman"/>
                <w:sz w:val="28"/>
                <w:szCs w:val="28"/>
              </w:rPr>
              <w:t>.</w:t>
            </w:r>
          </w:p>
          <w:p w14:paraId="45E5B0FE"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Aktīva likuma subjektu informēšana, aktualizētas vadlīnijas, apmācības, informācijas sniegšana.</w:t>
            </w:r>
          </w:p>
          <w:p w14:paraId="17C3DC23" w14:textId="77777777" w:rsidR="00CE354E" w:rsidRPr="009C78E0" w:rsidRDefault="00CE354E" w:rsidP="0077246A">
            <w:pPr>
              <w:tabs>
                <w:tab w:val="left" w:pos="0"/>
              </w:tabs>
              <w:jc w:val="both"/>
              <w:rPr>
                <w:rFonts w:eastAsia="Calibri" w:cs="Times New Roman"/>
                <w:sz w:val="28"/>
                <w:szCs w:val="28"/>
              </w:rPr>
            </w:pPr>
          </w:p>
          <w:p w14:paraId="4FE0F8B7" w14:textId="77777777" w:rsidR="00CE354E" w:rsidRPr="009C78E0" w:rsidRDefault="00CE354E" w:rsidP="0077246A">
            <w:pPr>
              <w:tabs>
                <w:tab w:val="left" w:pos="0"/>
              </w:tabs>
              <w:jc w:val="both"/>
              <w:rPr>
                <w:rFonts w:eastAsia="Calibri" w:cs="Times New Roman"/>
                <w:sz w:val="28"/>
                <w:szCs w:val="28"/>
              </w:rPr>
            </w:pPr>
          </w:p>
        </w:tc>
        <w:tc>
          <w:tcPr>
            <w:tcW w:w="5245" w:type="dxa"/>
          </w:tcPr>
          <w:p w14:paraId="04B261B2"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 xml:space="preserve">Likuma subjekti izprot tiem piemītošos NILLTF riskus un </w:t>
            </w:r>
            <w:r w:rsidRPr="009C78E0">
              <w:rPr>
                <w:rFonts w:eastAsia="Calibri" w:cs="Times New Roman"/>
              </w:rPr>
              <w:t xml:space="preserve"> </w:t>
            </w:r>
            <w:r w:rsidRPr="009C78E0">
              <w:rPr>
                <w:rFonts w:eastAsia="Calibri" w:cs="Times New Roman"/>
                <w:sz w:val="28"/>
                <w:szCs w:val="28"/>
              </w:rPr>
              <w:t>piemēro  NILLTFN pasākumus atbilstoši tiem piemītošajam NILLTF riska līmenim.</w:t>
            </w:r>
          </w:p>
        </w:tc>
      </w:tr>
      <w:tr w:rsidR="00CE354E" w:rsidRPr="009C78E0" w14:paraId="28239B36" w14:textId="77777777" w:rsidTr="005545EE">
        <w:trPr>
          <w:trHeight w:val="523"/>
        </w:trPr>
        <w:tc>
          <w:tcPr>
            <w:tcW w:w="3544" w:type="dxa"/>
            <w:hideMark/>
          </w:tcPr>
          <w:p w14:paraId="1111C257"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IO.5 Juridiskās personas un veidojumi</w:t>
            </w:r>
          </w:p>
        </w:tc>
        <w:tc>
          <w:tcPr>
            <w:tcW w:w="5812" w:type="dxa"/>
          </w:tcPr>
          <w:p w14:paraId="71593C53" w14:textId="77777777" w:rsidR="00CE354E" w:rsidRDefault="00CE354E" w:rsidP="0077246A">
            <w:pPr>
              <w:tabs>
                <w:tab w:val="left" w:pos="0"/>
              </w:tabs>
              <w:jc w:val="both"/>
              <w:rPr>
                <w:rFonts w:eastAsia="Calibri" w:cs="Times New Roman"/>
                <w:sz w:val="28"/>
                <w:szCs w:val="28"/>
              </w:rPr>
            </w:pPr>
            <w:r w:rsidRPr="009C78E0">
              <w:rPr>
                <w:rFonts w:eastAsia="Calibri" w:cs="Times New Roman"/>
                <w:sz w:val="28"/>
                <w:szCs w:val="28"/>
              </w:rPr>
              <w:t>Tiks veikta UR vesto reģistru modernizācija un nodrošināta UR reģistrācijai iesniegtās informācijas pārbaude</w:t>
            </w:r>
            <w:r w:rsidR="008E55BD">
              <w:rPr>
                <w:rFonts w:eastAsia="Calibri" w:cs="Times New Roman"/>
                <w:sz w:val="28"/>
                <w:szCs w:val="28"/>
              </w:rPr>
              <w:t>.</w:t>
            </w:r>
          </w:p>
          <w:p w14:paraId="076C2940" w14:textId="77777777" w:rsidR="00585760" w:rsidRPr="009C78E0" w:rsidRDefault="00585760" w:rsidP="0077246A">
            <w:pPr>
              <w:tabs>
                <w:tab w:val="left" w:pos="0"/>
              </w:tabs>
              <w:jc w:val="both"/>
              <w:rPr>
                <w:rFonts w:eastAsia="Calibri" w:cs="Times New Roman"/>
                <w:sz w:val="28"/>
                <w:szCs w:val="28"/>
              </w:rPr>
            </w:pPr>
          </w:p>
          <w:p w14:paraId="5B7741B5"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Īpaši augsta riska komercsabiedrības, kas nebūs atklājušas PLG tiks izslēgtas no komercreģistra vai pieteikumi par to izslēgšanu iesniegti tiesā</w:t>
            </w:r>
            <w:r w:rsidR="008E55BD">
              <w:rPr>
                <w:rFonts w:eastAsia="Calibri" w:cs="Times New Roman"/>
                <w:sz w:val="28"/>
                <w:szCs w:val="28"/>
              </w:rPr>
              <w:t>.</w:t>
            </w:r>
          </w:p>
          <w:p w14:paraId="0920A535" w14:textId="77777777" w:rsidR="00CE354E" w:rsidRPr="009C78E0" w:rsidRDefault="00CE354E" w:rsidP="0077246A">
            <w:pPr>
              <w:tabs>
                <w:tab w:val="left" w:pos="0"/>
              </w:tabs>
              <w:jc w:val="both"/>
              <w:rPr>
                <w:rFonts w:eastAsia="Calibri" w:cs="Times New Roman"/>
                <w:sz w:val="28"/>
                <w:szCs w:val="28"/>
              </w:rPr>
            </w:pPr>
          </w:p>
          <w:p w14:paraId="446E9DAC"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Uzraudzības institūcijas nodrošinās vienotas metodoloģijas piemērošanu attiecībā uz klientu izpēti, īpaši pievērošot uzmanību PLG</w:t>
            </w:r>
            <w:r w:rsidR="008E55BD">
              <w:rPr>
                <w:rFonts w:eastAsia="Calibri" w:cs="Times New Roman"/>
                <w:sz w:val="28"/>
                <w:szCs w:val="28"/>
              </w:rPr>
              <w:t>.</w:t>
            </w:r>
          </w:p>
          <w:p w14:paraId="62A3AAE5" w14:textId="77777777" w:rsidR="00CE354E" w:rsidRPr="009C78E0" w:rsidRDefault="00CE354E" w:rsidP="0077246A">
            <w:pPr>
              <w:tabs>
                <w:tab w:val="left" w:pos="0"/>
              </w:tabs>
              <w:jc w:val="both"/>
              <w:rPr>
                <w:rFonts w:eastAsia="Calibri" w:cs="Times New Roman"/>
                <w:sz w:val="28"/>
                <w:szCs w:val="28"/>
              </w:rPr>
            </w:pPr>
          </w:p>
          <w:p w14:paraId="3BE0041C"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Tiks veiktas uzraudzības institūciju mērķtiecīgas pārbaudes, jo īpaši attiecībā uz tiem saimnieciskās darbības veidiem, kas pakļauti augstākam NILLTF riskam.</w:t>
            </w:r>
          </w:p>
          <w:p w14:paraId="1C0A75C0" w14:textId="77777777" w:rsidR="00CE354E" w:rsidRPr="009C78E0" w:rsidRDefault="00CE354E" w:rsidP="0077246A">
            <w:pPr>
              <w:tabs>
                <w:tab w:val="left" w:pos="0"/>
              </w:tabs>
              <w:jc w:val="both"/>
              <w:rPr>
                <w:rFonts w:eastAsia="Calibri" w:cs="Times New Roman"/>
                <w:sz w:val="28"/>
                <w:szCs w:val="28"/>
              </w:rPr>
            </w:pPr>
          </w:p>
        </w:tc>
        <w:tc>
          <w:tcPr>
            <w:tcW w:w="5245" w:type="dxa"/>
          </w:tcPr>
          <w:p w14:paraId="5853F67A"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lastRenderedPageBreak/>
              <w:t xml:space="preserve">Nodrošināta NILLTFNL prasībām atbilstoša juridisko personu patieso labuma guvēju informācijas reģistrācija un pieejamība. </w:t>
            </w:r>
            <w:r w:rsidRPr="009C78E0">
              <w:rPr>
                <w:rFonts w:eastAsia="Calibri" w:cs="Times New Roman"/>
              </w:rPr>
              <w:t xml:space="preserve"> </w:t>
            </w:r>
            <w:r w:rsidRPr="009C78E0">
              <w:rPr>
                <w:rFonts w:eastAsia="Calibri" w:cs="Times New Roman"/>
                <w:sz w:val="28"/>
                <w:szCs w:val="28"/>
              </w:rPr>
              <w:t>Novērsta juridisko personu ar augstāko riska pakāpi izmantošana noziedzīgiem mērķiem.</w:t>
            </w:r>
          </w:p>
        </w:tc>
      </w:tr>
      <w:tr w:rsidR="00CE354E" w:rsidRPr="009C78E0" w14:paraId="7BE4191F" w14:textId="77777777" w:rsidTr="005545EE">
        <w:trPr>
          <w:trHeight w:val="454"/>
        </w:trPr>
        <w:tc>
          <w:tcPr>
            <w:tcW w:w="3544" w:type="dxa"/>
            <w:hideMark/>
          </w:tcPr>
          <w:p w14:paraId="790627E0"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IO.6 Finanšu izlūkošana</w:t>
            </w:r>
          </w:p>
        </w:tc>
        <w:tc>
          <w:tcPr>
            <w:tcW w:w="5812" w:type="dxa"/>
          </w:tcPr>
          <w:p w14:paraId="7C34C497" w14:textId="77777777" w:rsidR="008E55BD" w:rsidRDefault="00CE354E" w:rsidP="0077246A">
            <w:pPr>
              <w:tabs>
                <w:tab w:val="left" w:pos="0"/>
              </w:tabs>
              <w:jc w:val="both"/>
              <w:rPr>
                <w:rFonts w:eastAsia="Calibri" w:cs="Times New Roman"/>
                <w:sz w:val="28"/>
                <w:szCs w:val="28"/>
              </w:rPr>
            </w:pPr>
            <w:r w:rsidRPr="009C78E0">
              <w:rPr>
                <w:rFonts w:eastAsia="Calibri" w:cs="Times New Roman"/>
                <w:sz w:val="28"/>
                <w:szCs w:val="28"/>
              </w:rPr>
              <w:t>Tiks veikta KD statusa maiņa (pēc saskaņošanas ar Egmont grupu), nodrošinot KD autonomiju un operatīvo neatkarību</w:t>
            </w:r>
            <w:r w:rsidR="008E55BD">
              <w:rPr>
                <w:rFonts w:eastAsia="Calibri" w:cs="Times New Roman"/>
                <w:sz w:val="28"/>
                <w:szCs w:val="28"/>
              </w:rPr>
              <w:t>.</w:t>
            </w:r>
          </w:p>
          <w:p w14:paraId="0F66DDC1" w14:textId="77777777" w:rsidR="00CE354E" w:rsidRPr="009C78E0" w:rsidRDefault="00CE354E" w:rsidP="0077246A">
            <w:pPr>
              <w:tabs>
                <w:tab w:val="left" w:pos="0"/>
              </w:tabs>
              <w:jc w:val="both"/>
              <w:rPr>
                <w:rFonts w:eastAsia="Calibri" w:cs="Times New Roman"/>
                <w:sz w:val="28"/>
                <w:szCs w:val="28"/>
              </w:rPr>
            </w:pPr>
          </w:p>
          <w:p w14:paraId="7855E331" w14:textId="77777777" w:rsidR="008E55BD" w:rsidRDefault="00CE354E" w:rsidP="0077246A">
            <w:pPr>
              <w:tabs>
                <w:tab w:val="left" w:pos="0"/>
              </w:tabs>
              <w:jc w:val="both"/>
              <w:rPr>
                <w:rFonts w:eastAsia="Calibri" w:cs="Times New Roman"/>
                <w:sz w:val="28"/>
                <w:szCs w:val="28"/>
              </w:rPr>
            </w:pPr>
            <w:r w:rsidRPr="009C78E0">
              <w:rPr>
                <w:rFonts w:eastAsia="Calibri" w:cs="Times New Roman"/>
                <w:sz w:val="28"/>
                <w:szCs w:val="28"/>
              </w:rPr>
              <w:t>Pilnveidots KD konsultatīvās padomes darbs</w:t>
            </w:r>
            <w:r w:rsidR="008E55BD">
              <w:rPr>
                <w:rFonts w:eastAsia="Calibri" w:cs="Times New Roman"/>
                <w:sz w:val="28"/>
                <w:szCs w:val="28"/>
              </w:rPr>
              <w:t>.</w:t>
            </w:r>
          </w:p>
          <w:p w14:paraId="11F9C3D8" w14:textId="77777777" w:rsidR="00CE354E" w:rsidRPr="009C78E0" w:rsidRDefault="00CE354E" w:rsidP="0077246A">
            <w:pPr>
              <w:tabs>
                <w:tab w:val="left" w:pos="0"/>
              </w:tabs>
              <w:jc w:val="both"/>
              <w:rPr>
                <w:rFonts w:eastAsia="Calibri" w:cs="Times New Roman"/>
                <w:sz w:val="28"/>
                <w:szCs w:val="28"/>
              </w:rPr>
            </w:pPr>
          </w:p>
          <w:p w14:paraId="35DADE75" w14:textId="77777777" w:rsidR="008E55BD" w:rsidRDefault="00CE354E" w:rsidP="0077246A">
            <w:pPr>
              <w:tabs>
                <w:tab w:val="left" w:pos="0"/>
              </w:tabs>
              <w:jc w:val="both"/>
              <w:rPr>
                <w:rFonts w:eastAsia="Calibri" w:cs="Times New Roman"/>
                <w:sz w:val="28"/>
                <w:szCs w:val="28"/>
              </w:rPr>
            </w:pPr>
            <w:r w:rsidRPr="009C78E0">
              <w:rPr>
                <w:rFonts w:eastAsia="Calibri" w:cs="Times New Roman"/>
                <w:sz w:val="28"/>
                <w:szCs w:val="28"/>
              </w:rPr>
              <w:t xml:space="preserve">Izveidota sadarbības koordinācijas grupa ar privātā sektora un tiesību aizsardzības iestāžu dalību, </w:t>
            </w:r>
            <w:r w:rsidR="008E55BD">
              <w:rPr>
                <w:rFonts w:eastAsia="Calibri" w:cs="Times New Roman"/>
                <w:sz w:val="28"/>
                <w:szCs w:val="28"/>
              </w:rPr>
              <w:t xml:space="preserve">nodrošinot </w:t>
            </w:r>
            <w:r w:rsidRPr="009C78E0">
              <w:rPr>
                <w:rFonts w:eastAsia="Calibri" w:cs="Times New Roman"/>
                <w:sz w:val="28"/>
                <w:szCs w:val="28"/>
              </w:rPr>
              <w:t xml:space="preserve"> regulāras sanāksmes</w:t>
            </w:r>
            <w:r w:rsidR="008E55BD">
              <w:rPr>
                <w:rFonts w:eastAsia="Calibri" w:cs="Times New Roman"/>
                <w:sz w:val="28"/>
                <w:szCs w:val="28"/>
              </w:rPr>
              <w:t>.</w:t>
            </w:r>
          </w:p>
          <w:p w14:paraId="2894EFB1" w14:textId="77777777" w:rsidR="00CE354E" w:rsidRPr="009C78E0" w:rsidRDefault="00CE354E" w:rsidP="0077246A">
            <w:pPr>
              <w:tabs>
                <w:tab w:val="left" w:pos="0"/>
              </w:tabs>
              <w:jc w:val="both"/>
              <w:rPr>
                <w:rFonts w:eastAsia="Calibri" w:cs="Times New Roman"/>
                <w:sz w:val="28"/>
                <w:szCs w:val="28"/>
              </w:rPr>
            </w:pPr>
          </w:p>
          <w:p w14:paraId="74BC3430" w14:textId="77777777" w:rsidR="00CE354E" w:rsidRDefault="00CE354E" w:rsidP="0077246A">
            <w:pPr>
              <w:tabs>
                <w:tab w:val="left" w:pos="0"/>
              </w:tabs>
              <w:jc w:val="both"/>
              <w:rPr>
                <w:rFonts w:eastAsia="Calibri" w:cs="Times New Roman"/>
                <w:sz w:val="28"/>
                <w:szCs w:val="28"/>
              </w:rPr>
            </w:pPr>
            <w:r w:rsidRPr="009C78E0">
              <w:rPr>
                <w:rFonts w:eastAsia="Calibri" w:cs="Times New Roman"/>
                <w:sz w:val="28"/>
                <w:szCs w:val="28"/>
              </w:rPr>
              <w:t>Tiks palielināta uzraugu un subjektu informētība, apmācība un atgriezeniskā saite. Pārskatīta aizdomīgu un neparastu darījumu ziņošanas kārtība.</w:t>
            </w:r>
          </w:p>
          <w:p w14:paraId="732AFBF0" w14:textId="77777777" w:rsidR="002A3E26" w:rsidRPr="009C78E0" w:rsidRDefault="002A3E26" w:rsidP="0077246A">
            <w:pPr>
              <w:tabs>
                <w:tab w:val="left" w:pos="0"/>
              </w:tabs>
              <w:jc w:val="both"/>
              <w:rPr>
                <w:rFonts w:eastAsia="Calibri" w:cs="Times New Roman"/>
                <w:sz w:val="28"/>
                <w:szCs w:val="28"/>
              </w:rPr>
            </w:pPr>
          </w:p>
          <w:p w14:paraId="5310129C" w14:textId="77777777" w:rsidR="002A3E26" w:rsidRDefault="00CE354E" w:rsidP="0077246A">
            <w:pPr>
              <w:tabs>
                <w:tab w:val="left" w:pos="0"/>
              </w:tabs>
              <w:jc w:val="both"/>
              <w:rPr>
                <w:rFonts w:eastAsia="Calibri" w:cs="Times New Roman"/>
                <w:sz w:val="28"/>
                <w:szCs w:val="28"/>
              </w:rPr>
            </w:pPr>
            <w:r w:rsidRPr="009C78E0">
              <w:rPr>
                <w:rFonts w:eastAsia="Calibri" w:cs="Times New Roman"/>
                <w:sz w:val="28"/>
                <w:szCs w:val="28"/>
              </w:rPr>
              <w:t xml:space="preserve">ABLV bankas pašlikvidācijas kontroles vajadzībām, stiprinot KD operatīvās un </w:t>
            </w:r>
            <w:r w:rsidRPr="009C78E0">
              <w:rPr>
                <w:rFonts w:eastAsia="Calibri" w:cs="Times New Roman"/>
                <w:sz w:val="28"/>
                <w:szCs w:val="28"/>
              </w:rPr>
              <w:lastRenderedPageBreak/>
              <w:t>stratēģiskās analīzes kapacitāti, piešķirti resursi ārpakalpojumu ekspertu piesaistei</w:t>
            </w:r>
            <w:r w:rsidR="002A3E26">
              <w:rPr>
                <w:rFonts w:eastAsia="Calibri" w:cs="Times New Roman"/>
                <w:sz w:val="28"/>
                <w:szCs w:val="28"/>
              </w:rPr>
              <w:t>.</w:t>
            </w:r>
          </w:p>
          <w:p w14:paraId="2AA6BE38" w14:textId="77777777" w:rsidR="00CE354E" w:rsidRPr="009C78E0" w:rsidRDefault="00CE354E" w:rsidP="0077246A">
            <w:pPr>
              <w:tabs>
                <w:tab w:val="left" w:pos="0"/>
              </w:tabs>
              <w:jc w:val="both"/>
              <w:rPr>
                <w:rFonts w:eastAsia="Calibri" w:cs="Times New Roman"/>
                <w:sz w:val="28"/>
                <w:szCs w:val="28"/>
              </w:rPr>
            </w:pPr>
          </w:p>
          <w:p w14:paraId="59DC3220"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Stiprināta KD kapacitāte, izveidojot jaunas amata vietas, palielinot esošo darbinieku atlīdzību, nodrošināta apmācība un IT  resursu pilnveidošana.</w:t>
            </w:r>
          </w:p>
        </w:tc>
        <w:tc>
          <w:tcPr>
            <w:tcW w:w="5245" w:type="dxa"/>
          </w:tcPr>
          <w:p w14:paraId="6F7BCFE9"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lastRenderedPageBreak/>
              <w:t>Uzlabot</w:t>
            </w:r>
            <w:r>
              <w:rPr>
                <w:rFonts w:eastAsia="Calibri" w:cs="Times New Roman"/>
                <w:sz w:val="28"/>
                <w:szCs w:val="28"/>
              </w:rPr>
              <w:t>a</w:t>
            </w:r>
            <w:r w:rsidRPr="009C78E0">
              <w:rPr>
                <w:rFonts w:eastAsia="Calibri" w:cs="Times New Roman"/>
                <w:sz w:val="28"/>
                <w:szCs w:val="28"/>
              </w:rPr>
              <w:t xml:space="preserve"> aizdomīgu un nep</w:t>
            </w:r>
            <w:r w:rsidR="0077246A">
              <w:rPr>
                <w:rFonts w:eastAsia="Calibri" w:cs="Times New Roman"/>
                <w:sz w:val="28"/>
                <w:szCs w:val="28"/>
              </w:rPr>
              <w:t>a</w:t>
            </w:r>
            <w:r w:rsidRPr="009C78E0">
              <w:rPr>
                <w:rFonts w:eastAsia="Calibri" w:cs="Times New Roman"/>
                <w:sz w:val="28"/>
                <w:szCs w:val="28"/>
              </w:rPr>
              <w:t>rastu darījumu ziņošanas sis</w:t>
            </w:r>
            <w:r>
              <w:rPr>
                <w:rFonts w:eastAsia="Calibri" w:cs="Times New Roman"/>
                <w:sz w:val="28"/>
                <w:szCs w:val="28"/>
              </w:rPr>
              <w:t>tēma</w:t>
            </w:r>
            <w:r w:rsidRPr="009C78E0">
              <w:rPr>
                <w:rFonts w:eastAsia="Calibri" w:cs="Times New Roman"/>
                <w:sz w:val="28"/>
                <w:szCs w:val="28"/>
              </w:rPr>
              <w:t xml:space="preserve">. </w:t>
            </w:r>
            <w:r w:rsidRPr="009C78E0">
              <w:rPr>
                <w:rFonts w:eastAsia="Calibri" w:cs="Times New Roman"/>
              </w:rPr>
              <w:t xml:space="preserve"> </w:t>
            </w:r>
            <w:r w:rsidRPr="009C78E0">
              <w:rPr>
                <w:rFonts w:eastAsia="Calibri" w:cs="Times New Roman"/>
                <w:sz w:val="28"/>
                <w:szCs w:val="28"/>
              </w:rPr>
              <w:t>Nodrošināt</w:t>
            </w:r>
            <w:r>
              <w:rPr>
                <w:rFonts w:eastAsia="Calibri" w:cs="Times New Roman"/>
                <w:sz w:val="28"/>
                <w:szCs w:val="28"/>
              </w:rPr>
              <w:t>a koordinācija</w:t>
            </w:r>
            <w:r w:rsidRPr="009C78E0">
              <w:rPr>
                <w:rFonts w:eastAsia="Calibri" w:cs="Times New Roman"/>
                <w:sz w:val="28"/>
                <w:szCs w:val="28"/>
              </w:rPr>
              <w:t xml:space="preserve"> starp KD, uzraugošām un kontrolējošām institūcijām, tiesību aizsardzības iestādēm un likuma subjektiem.</w:t>
            </w:r>
          </w:p>
        </w:tc>
      </w:tr>
      <w:tr w:rsidR="00CE354E" w:rsidRPr="009C78E0" w14:paraId="228A1E4F" w14:textId="77777777" w:rsidTr="005545EE">
        <w:trPr>
          <w:trHeight w:val="454"/>
        </w:trPr>
        <w:tc>
          <w:tcPr>
            <w:tcW w:w="3544" w:type="dxa"/>
            <w:hideMark/>
          </w:tcPr>
          <w:p w14:paraId="78A4C7A6"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IO.7 Izmeklēšana un kriminālvajāšana</w:t>
            </w:r>
          </w:p>
        </w:tc>
        <w:tc>
          <w:tcPr>
            <w:tcW w:w="5812" w:type="dxa"/>
          </w:tcPr>
          <w:p w14:paraId="648C2237"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NIL</w:t>
            </w:r>
            <w:r w:rsidR="000A28C2">
              <w:rPr>
                <w:rFonts w:eastAsia="Calibri" w:cs="Times New Roman"/>
                <w:sz w:val="28"/>
                <w:szCs w:val="28"/>
              </w:rPr>
              <w:t>L</w:t>
            </w:r>
            <w:r w:rsidR="002A3E26">
              <w:rPr>
                <w:rFonts w:eastAsia="Calibri" w:cs="Times New Roman"/>
                <w:sz w:val="28"/>
                <w:szCs w:val="28"/>
              </w:rPr>
              <w:t xml:space="preserve"> novēršana</w:t>
            </w:r>
            <w:r w:rsidR="000A28C2">
              <w:rPr>
                <w:rFonts w:eastAsia="Calibri" w:cs="Times New Roman"/>
                <w:sz w:val="28"/>
                <w:szCs w:val="28"/>
              </w:rPr>
              <w:t xml:space="preserve"> noteikta kā prioritāte un</w:t>
            </w:r>
            <w:r w:rsidRPr="009C78E0">
              <w:rPr>
                <w:rFonts w:eastAsia="Calibri" w:cs="Times New Roman"/>
                <w:sz w:val="28"/>
                <w:szCs w:val="28"/>
              </w:rPr>
              <w:t xml:space="preserve"> izstrādātas vadlīnijas NILL lietu prioritizēšanā </w:t>
            </w:r>
            <w:r w:rsidRPr="009C78E0">
              <w:rPr>
                <w:rFonts w:eastAsia="Calibri" w:cs="Times New Roman"/>
                <w:i/>
                <w:iCs/>
                <w:sz w:val="28"/>
                <w:szCs w:val="28"/>
              </w:rPr>
              <w:t>(Risk Based A</w:t>
            </w:r>
            <w:r w:rsidR="00B846B1">
              <w:rPr>
                <w:rFonts w:eastAsia="Calibri" w:cs="Times New Roman"/>
                <w:i/>
                <w:iCs/>
                <w:sz w:val="28"/>
                <w:szCs w:val="28"/>
              </w:rPr>
              <w:t>p</w:t>
            </w:r>
            <w:r w:rsidRPr="009C78E0">
              <w:rPr>
                <w:rFonts w:eastAsia="Calibri" w:cs="Times New Roman"/>
                <w:i/>
                <w:iCs/>
                <w:sz w:val="28"/>
                <w:szCs w:val="28"/>
              </w:rPr>
              <w:t xml:space="preserve">proach), </w:t>
            </w:r>
            <w:r w:rsidRPr="009C78E0">
              <w:rPr>
                <w:rFonts w:eastAsia="Calibri" w:cs="Times New Roman"/>
                <w:sz w:val="28"/>
                <w:szCs w:val="28"/>
              </w:rPr>
              <w:t>nosakot kopīgus principus un kritērijus, pēc kuriem veicama informācijas vākšana, analīze un izvērtēšana visās informācijas analīzes, izmeklēšanas un kriminālvajāšanas stadijās</w:t>
            </w:r>
            <w:r w:rsidR="002A3E26">
              <w:rPr>
                <w:rFonts w:eastAsia="Calibri" w:cs="Times New Roman"/>
                <w:sz w:val="28"/>
                <w:szCs w:val="28"/>
              </w:rPr>
              <w:t>.</w:t>
            </w:r>
          </w:p>
          <w:p w14:paraId="6F097C02" w14:textId="77777777" w:rsidR="00CE354E" w:rsidRPr="009C78E0" w:rsidRDefault="00CE354E" w:rsidP="0077246A">
            <w:pPr>
              <w:tabs>
                <w:tab w:val="left" w:pos="0"/>
              </w:tabs>
              <w:jc w:val="both"/>
              <w:rPr>
                <w:rFonts w:eastAsia="Calibri" w:cs="Times New Roman"/>
                <w:sz w:val="28"/>
                <w:szCs w:val="28"/>
              </w:rPr>
            </w:pPr>
          </w:p>
          <w:p w14:paraId="59E7455F"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Definētas prioritārās nozares un lietas, kurās jāveic izmeklēšana un kriminālvajāšana, nodrošinot, ka līdz 2019.gada trešajam ceturksnim vairākas būtiskas, liela apjoma lietas tiek nodotas iztiesāšanai</w:t>
            </w:r>
            <w:r w:rsidR="002A3E26">
              <w:rPr>
                <w:rFonts w:eastAsia="Calibri" w:cs="Times New Roman"/>
                <w:sz w:val="28"/>
                <w:szCs w:val="28"/>
              </w:rPr>
              <w:t>.</w:t>
            </w:r>
          </w:p>
          <w:p w14:paraId="185D360A" w14:textId="77777777" w:rsidR="00CE354E" w:rsidRPr="009C78E0" w:rsidRDefault="00CE354E" w:rsidP="0077246A">
            <w:pPr>
              <w:tabs>
                <w:tab w:val="left" w:pos="0"/>
              </w:tabs>
              <w:jc w:val="both"/>
              <w:rPr>
                <w:rFonts w:eastAsia="Calibri" w:cs="Times New Roman"/>
                <w:sz w:val="28"/>
                <w:szCs w:val="28"/>
              </w:rPr>
            </w:pPr>
          </w:p>
          <w:p w14:paraId="4AEEE005" w14:textId="77777777" w:rsidR="00CE354E" w:rsidRPr="009C78E0" w:rsidRDefault="00AF7507" w:rsidP="0077246A">
            <w:pPr>
              <w:tabs>
                <w:tab w:val="left" w:pos="0"/>
              </w:tabs>
              <w:jc w:val="both"/>
              <w:rPr>
                <w:rFonts w:eastAsia="Calibri" w:cs="Times New Roman"/>
                <w:sz w:val="28"/>
                <w:szCs w:val="28"/>
              </w:rPr>
            </w:pPr>
            <w:r>
              <w:rPr>
                <w:rFonts w:eastAsia="Calibri" w:cs="Times New Roman"/>
                <w:sz w:val="28"/>
                <w:szCs w:val="28"/>
              </w:rPr>
              <w:t>Nodrošināt</w:t>
            </w:r>
            <w:r w:rsidR="00B846B1">
              <w:rPr>
                <w:rFonts w:eastAsia="Calibri" w:cs="Times New Roman"/>
                <w:sz w:val="28"/>
                <w:szCs w:val="28"/>
              </w:rPr>
              <w:t xml:space="preserve"> tiesnešu, prokuroru un izmeklētāju apmācību par noziedzīgi iegūtu līdzekļu legalizācijai nepieciešamā pierādījumu apjoma nodrošināšanu, tajā skaitā, a</w:t>
            </w:r>
            <w:r w:rsidR="00CE354E" w:rsidRPr="009C78E0">
              <w:rPr>
                <w:rFonts w:eastAsia="Calibri" w:cs="Times New Roman"/>
                <w:sz w:val="28"/>
                <w:szCs w:val="28"/>
              </w:rPr>
              <w:t>pmācību ietvaros tiesnešiem ietvert tematu par sodu politiku</w:t>
            </w:r>
            <w:r w:rsidR="002A3E26">
              <w:rPr>
                <w:rFonts w:eastAsia="Calibri" w:cs="Times New Roman"/>
                <w:sz w:val="28"/>
                <w:szCs w:val="28"/>
              </w:rPr>
              <w:t>.</w:t>
            </w:r>
          </w:p>
          <w:p w14:paraId="4914F71C" w14:textId="77777777" w:rsidR="00CE354E" w:rsidRPr="009C78E0" w:rsidRDefault="00CE354E" w:rsidP="0077246A">
            <w:pPr>
              <w:tabs>
                <w:tab w:val="left" w:pos="0"/>
              </w:tabs>
              <w:jc w:val="both"/>
              <w:rPr>
                <w:rFonts w:eastAsia="Calibri" w:cs="Times New Roman"/>
                <w:sz w:val="28"/>
                <w:szCs w:val="28"/>
              </w:rPr>
            </w:pPr>
          </w:p>
          <w:p w14:paraId="4458B81A"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lastRenderedPageBreak/>
              <w:t>Kontroles pastiprināšana pār prokuroru rīcību saistībā ar viedokļa izteikšanu (protests) par nosakāmo soda veidu un apmēru krimināllietās par NILL.</w:t>
            </w:r>
          </w:p>
          <w:p w14:paraId="1A9B8980" w14:textId="77777777" w:rsidR="00CE354E" w:rsidRPr="009C78E0" w:rsidRDefault="00CE354E" w:rsidP="0077246A">
            <w:pPr>
              <w:tabs>
                <w:tab w:val="left" w:pos="0"/>
              </w:tabs>
              <w:jc w:val="both"/>
              <w:rPr>
                <w:rFonts w:eastAsia="Calibri" w:cs="Times New Roman"/>
                <w:sz w:val="28"/>
                <w:szCs w:val="28"/>
              </w:rPr>
            </w:pPr>
          </w:p>
        </w:tc>
        <w:tc>
          <w:tcPr>
            <w:tcW w:w="5245" w:type="dxa"/>
          </w:tcPr>
          <w:p w14:paraId="5BF6B4FC"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lastRenderedPageBreak/>
              <w:t xml:space="preserve">Noziedzīgi iegūtu līdzekļu legalizēšanas apkarošanai un izmeklēšanai piešķirta prioritāra nozīme. Izveidota paraugprakse atsevišķu kategoriju NILL lietu izmeklēšanā. </w:t>
            </w:r>
          </w:p>
        </w:tc>
      </w:tr>
      <w:tr w:rsidR="00CE354E" w:rsidRPr="009C78E0" w14:paraId="6E9ED38A" w14:textId="77777777" w:rsidTr="005545EE">
        <w:trPr>
          <w:trHeight w:val="454"/>
        </w:trPr>
        <w:tc>
          <w:tcPr>
            <w:tcW w:w="3544" w:type="dxa"/>
            <w:hideMark/>
          </w:tcPr>
          <w:p w14:paraId="27B992B8"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IO.8 Konfiskācija</w:t>
            </w:r>
          </w:p>
        </w:tc>
        <w:tc>
          <w:tcPr>
            <w:tcW w:w="5812" w:type="dxa"/>
          </w:tcPr>
          <w:p w14:paraId="153E6467"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Tiks izstrādāti grozījumi normatīvajos aktos, lai efektīvi apkarotu NILL uz robežas, kā arī nodrošinātu atturošu sistēmu attiecībā uz robežas nedeklarētās vai nepatiesi deklarētās skaidras naudas arestēšanai un konfiskācijai.</w:t>
            </w:r>
          </w:p>
          <w:p w14:paraId="159E88CE" w14:textId="77777777" w:rsidR="00CE354E" w:rsidRPr="009C78E0" w:rsidRDefault="00CE354E" w:rsidP="0077246A">
            <w:pPr>
              <w:tabs>
                <w:tab w:val="left" w:pos="0"/>
              </w:tabs>
              <w:jc w:val="both"/>
              <w:rPr>
                <w:rFonts w:eastAsia="Calibri" w:cs="Times New Roman"/>
                <w:sz w:val="28"/>
                <w:szCs w:val="28"/>
              </w:rPr>
            </w:pPr>
          </w:p>
        </w:tc>
        <w:tc>
          <w:tcPr>
            <w:tcW w:w="5245" w:type="dxa"/>
          </w:tcPr>
          <w:p w14:paraId="7DF301F3"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Izstrādāta un ieviesta vienotā pieeja “apgrieztās pierādīšanas nastas” pielietošanā mantas konfiskācijas jautājumos.</w:t>
            </w:r>
          </w:p>
        </w:tc>
      </w:tr>
      <w:tr w:rsidR="00CE354E" w:rsidRPr="009C78E0" w14:paraId="06F63D63" w14:textId="77777777" w:rsidTr="005545EE">
        <w:trPr>
          <w:trHeight w:val="454"/>
        </w:trPr>
        <w:tc>
          <w:tcPr>
            <w:tcW w:w="3544" w:type="dxa"/>
            <w:hideMark/>
          </w:tcPr>
          <w:p w14:paraId="5E265688"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IO.9 Terorisma finansēšanas izmeklēšana un kriminālvajāšana</w:t>
            </w:r>
          </w:p>
        </w:tc>
        <w:tc>
          <w:tcPr>
            <w:tcW w:w="5812" w:type="dxa"/>
          </w:tcPr>
          <w:p w14:paraId="7FD293EB"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Tiks izstrādāts atsevišķs ziņojums par TF/PF nacionālajiem riskiem. Balstoties uz ziņojumu tiks veidota TF/PF novēršanas stratēģija</w:t>
            </w:r>
            <w:r w:rsidR="002A3E26">
              <w:rPr>
                <w:rFonts w:eastAsia="Calibri" w:cs="Times New Roman"/>
                <w:sz w:val="28"/>
                <w:szCs w:val="28"/>
              </w:rPr>
              <w:t>.</w:t>
            </w:r>
          </w:p>
          <w:p w14:paraId="4C818985" w14:textId="77777777" w:rsidR="00CE354E" w:rsidRPr="009C78E0" w:rsidRDefault="00CE354E" w:rsidP="0077246A">
            <w:pPr>
              <w:tabs>
                <w:tab w:val="left" w:pos="0"/>
              </w:tabs>
              <w:jc w:val="both"/>
              <w:rPr>
                <w:rFonts w:eastAsia="Calibri" w:cs="Times New Roman"/>
                <w:sz w:val="28"/>
                <w:szCs w:val="28"/>
              </w:rPr>
            </w:pPr>
          </w:p>
          <w:p w14:paraId="20858391" w14:textId="77777777" w:rsidR="002A3E26" w:rsidRDefault="00CE354E" w:rsidP="0077246A">
            <w:pPr>
              <w:tabs>
                <w:tab w:val="left" w:pos="0"/>
              </w:tabs>
              <w:jc w:val="both"/>
              <w:rPr>
                <w:rFonts w:eastAsia="Calibri" w:cs="Times New Roman"/>
                <w:sz w:val="28"/>
                <w:szCs w:val="28"/>
              </w:rPr>
            </w:pPr>
            <w:r w:rsidRPr="009C78E0">
              <w:rPr>
                <w:rFonts w:eastAsia="Calibri" w:cs="Times New Roman"/>
                <w:sz w:val="28"/>
                <w:szCs w:val="28"/>
              </w:rPr>
              <w:t xml:space="preserve">DP un KD nodrošinās apmācības un uzraudzības vadlīnijas, kā arī </w:t>
            </w:r>
            <w:r w:rsidR="002A3E26">
              <w:rPr>
                <w:rFonts w:eastAsia="Calibri" w:cs="Times New Roman"/>
                <w:sz w:val="28"/>
                <w:szCs w:val="28"/>
              </w:rPr>
              <w:t xml:space="preserve">sagatavos </w:t>
            </w:r>
            <w:r w:rsidRPr="009C78E0">
              <w:rPr>
                <w:rFonts w:eastAsia="Calibri" w:cs="Times New Roman"/>
                <w:sz w:val="28"/>
                <w:szCs w:val="28"/>
              </w:rPr>
              <w:t xml:space="preserve">informatīvo materiālu un </w:t>
            </w:r>
            <w:r w:rsidR="002A3E26">
              <w:rPr>
                <w:rFonts w:eastAsia="Calibri" w:cs="Times New Roman"/>
                <w:sz w:val="28"/>
                <w:szCs w:val="28"/>
              </w:rPr>
              <w:t xml:space="preserve">sniegs </w:t>
            </w:r>
            <w:r w:rsidRPr="009C78E0">
              <w:rPr>
                <w:rFonts w:eastAsia="Calibri" w:cs="Times New Roman"/>
                <w:sz w:val="28"/>
                <w:szCs w:val="28"/>
              </w:rPr>
              <w:t>informācij</w:t>
            </w:r>
            <w:r w:rsidR="002A3E26">
              <w:rPr>
                <w:rFonts w:eastAsia="Calibri" w:cs="Times New Roman"/>
                <w:sz w:val="28"/>
                <w:szCs w:val="28"/>
              </w:rPr>
              <w:t>u</w:t>
            </w:r>
            <w:r w:rsidRPr="009C78E0">
              <w:rPr>
                <w:rFonts w:eastAsia="Calibri" w:cs="Times New Roman"/>
                <w:sz w:val="28"/>
                <w:szCs w:val="28"/>
              </w:rPr>
              <w:t xml:space="preserve"> likuma subjektiem</w:t>
            </w:r>
            <w:r w:rsidR="002A3E26">
              <w:rPr>
                <w:rFonts w:eastAsia="Calibri" w:cs="Times New Roman"/>
                <w:sz w:val="28"/>
                <w:szCs w:val="28"/>
              </w:rPr>
              <w:t>.</w:t>
            </w:r>
          </w:p>
          <w:p w14:paraId="3D1519C2" w14:textId="77777777" w:rsidR="00CE354E" w:rsidRPr="009C78E0" w:rsidRDefault="00CE354E" w:rsidP="0077246A">
            <w:pPr>
              <w:tabs>
                <w:tab w:val="left" w:pos="0"/>
              </w:tabs>
              <w:jc w:val="both"/>
              <w:rPr>
                <w:rFonts w:eastAsia="Calibri" w:cs="Times New Roman"/>
                <w:sz w:val="28"/>
                <w:szCs w:val="28"/>
              </w:rPr>
            </w:pPr>
          </w:p>
          <w:p w14:paraId="6D89F746"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Tiks izstrādāts NVO sektora risku novērtējums un definētas paaugstināta TF riska grupas</w:t>
            </w:r>
            <w:r w:rsidR="002A3E26">
              <w:rPr>
                <w:rFonts w:eastAsia="Calibri" w:cs="Times New Roman"/>
                <w:sz w:val="28"/>
                <w:szCs w:val="28"/>
              </w:rPr>
              <w:t>.</w:t>
            </w:r>
          </w:p>
          <w:p w14:paraId="60E0236D" w14:textId="77777777" w:rsidR="00CE354E" w:rsidRPr="009C78E0" w:rsidRDefault="00CE354E" w:rsidP="0077246A">
            <w:pPr>
              <w:tabs>
                <w:tab w:val="left" w:pos="0"/>
              </w:tabs>
              <w:jc w:val="both"/>
              <w:rPr>
                <w:rFonts w:eastAsia="Calibri" w:cs="Times New Roman"/>
                <w:sz w:val="28"/>
                <w:szCs w:val="28"/>
              </w:rPr>
            </w:pPr>
          </w:p>
          <w:p w14:paraId="11BBF520"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Tiks nodrošināta sadarbības koordinācijas platformas un Pretterorisma koordinācijas centra aktīva darbība.</w:t>
            </w:r>
          </w:p>
        </w:tc>
        <w:tc>
          <w:tcPr>
            <w:tcW w:w="5245" w:type="dxa"/>
          </w:tcPr>
          <w:p w14:paraId="72B78F02"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 xml:space="preserve">Pieejams aktuāls nacionāla līmeņa NILL risku izvērtējums un </w:t>
            </w:r>
            <w:r w:rsidRPr="009C78E0">
              <w:rPr>
                <w:rFonts w:eastAsia="Calibri" w:cs="Times New Roman"/>
              </w:rPr>
              <w:t xml:space="preserve"> </w:t>
            </w:r>
            <w:r w:rsidRPr="009C78E0">
              <w:rPr>
                <w:rFonts w:eastAsia="Calibri" w:cs="Times New Roman"/>
                <w:sz w:val="28"/>
                <w:szCs w:val="28"/>
              </w:rPr>
              <w:t xml:space="preserve">terorisma finansēšanas risku izvērtējums. </w:t>
            </w:r>
            <w:r w:rsidRPr="009C78E0">
              <w:rPr>
                <w:rFonts w:eastAsia="Calibri" w:cs="Times New Roman"/>
              </w:rPr>
              <w:t xml:space="preserve"> </w:t>
            </w:r>
            <w:r w:rsidRPr="009C78E0">
              <w:rPr>
                <w:rFonts w:eastAsia="Calibri" w:cs="Times New Roman"/>
                <w:sz w:val="28"/>
                <w:szCs w:val="28"/>
              </w:rPr>
              <w:t xml:space="preserve">Paaugstināta izpratne iesaistīto institūciju starpā par aktuālajām terorisma finansēšanas lietām. </w:t>
            </w:r>
          </w:p>
        </w:tc>
      </w:tr>
      <w:tr w:rsidR="00CE354E" w:rsidRPr="009C78E0" w14:paraId="3C1B6425" w14:textId="77777777" w:rsidTr="005545EE">
        <w:trPr>
          <w:trHeight w:val="585"/>
        </w:trPr>
        <w:tc>
          <w:tcPr>
            <w:tcW w:w="3544" w:type="dxa"/>
            <w:hideMark/>
          </w:tcPr>
          <w:p w14:paraId="2F9DA39B"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lastRenderedPageBreak/>
              <w:t>IO.10 Terorisma finansēšanas preventīvie pasākumi un finanšu sankcijas</w:t>
            </w:r>
          </w:p>
        </w:tc>
        <w:tc>
          <w:tcPr>
            <w:tcW w:w="5812" w:type="dxa"/>
          </w:tcPr>
          <w:p w14:paraId="4D9A4454" w14:textId="77777777" w:rsidR="00CE354E" w:rsidRDefault="00CE354E" w:rsidP="0077246A">
            <w:pPr>
              <w:tabs>
                <w:tab w:val="left" w:pos="0"/>
              </w:tabs>
              <w:jc w:val="both"/>
              <w:rPr>
                <w:rFonts w:eastAsia="Calibri" w:cs="Times New Roman"/>
                <w:sz w:val="28"/>
                <w:szCs w:val="28"/>
              </w:rPr>
            </w:pPr>
            <w:r w:rsidRPr="009C78E0">
              <w:rPr>
                <w:rFonts w:eastAsia="Calibri" w:cs="Times New Roman"/>
                <w:sz w:val="28"/>
                <w:szCs w:val="28"/>
              </w:rPr>
              <w:t>Tiks novērstas nepilnības tiesiskajā regulējumā (Starptautisko un Latvijas Republikas nacionālo sankciju likumā, Krimināllikumā un saistītajos Ministru kabineta noteikumos).</w:t>
            </w:r>
          </w:p>
          <w:p w14:paraId="323C2E3F" w14:textId="77777777" w:rsidR="00585760" w:rsidRPr="009C78E0" w:rsidRDefault="00585760" w:rsidP="0077246A">
            <w:pPr>
              <w:tabs>
                <w:tab w:val="left" w:pos="0"/>
              </w:tabs>
              <w:jc w:val="both"/>
              <w:rPr>
                <w:rFonts w:eastAsia="Calibri" w:cs="Times New Roman"/>
                <w:sz w:val="28"/>
                <w:szCs w:val="28"/>
              </w:rPr>
            </w:pPr>
          </w:p>
          <w:p w14:paraId="49C6F7A9" w14:textId="77777777" w:rsidR="00CE354E" w:rsidRPr="009C78E0" w:rsidRDefault="00CE354E" w:rsidP="002A3E26">
            <w:pPr>
              <w:tabs>
                <w:tab w:val="left" w:pos="0"/>
              </w:tabs>
              <w:jc w:val="both"/>
              <w:rPr>
                <w:rFonts w:eastAsia="Calibri" w:cs="Times New Roman"/>
                <w:sz w:val="28"/>
                <w:szCs w:val="28"/>
              </w:rPr>
            </w:pPr>
            <w:r w:rsidRPr="009C78E0">
              <w:rPr>
                <w:rFonts w:eastAsia="Calibri" w:cs="Times New Roman"/>
                <w:sz w:val="28"/>
                <w:szCs w:val="28"/>
              </w:rPr>
              <w:t xml:space="preserve">Organizēts lekciju cikls par sankcijām un pēdējiem grozījumiem  Starptautisko un Latvijas Republikas nacionālo sankciju likumā, kurā paredzētas gan publiskas lekcijas finanšu sektoram, uzņēmējiem un plašākai sabiedrībai, gan slēgtas lekcijas citu institūciju pārstāvjiem. </w:t>
            </w:r>
          </w:p>
        </w:tc>
        <w:tc>
          <w:tcPr>
            <w:tcW w:w="5245" w:type="dxa"/>
          </w:tcPr>
          <w:p w14:paraId="7117E0E3"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 xml:space="preserve">Sakārtots juridiskais ietvars, </w:t>
            </w:r>
            <w:r w:rsidRPr="009C78E0">
              <w:rPr>
                <w:rFonts w:eastAsia="Calibri" w:cs="Times New Roman"/>
              </w:rPr>
              <w:t xml:space="preserve"> </w:t>
            </w:r>
            <w:r w:rsidRPr="009C78E0">
              <w:rPr>
                <w:rFonts w:eastAsia="Calibri" w:cs="Times New Roman"/>
                <w:sz w:val="28"/>
                <w:szCs w:val="28"/>
              </w:rPr>
              <w:t xml:space="preserve">skaidras vadlīnijas visiem subjektiem, </w:t>
            </w:r>
            <w:r w:rsidRPr="009C78E0">
              <w:rPr>
                <w:rFonts w:eastAsia="Calibri" w:cs="Times New Roman"/>
              </w:rPr>
              <w:t xml:space="preserve"> </w:t>
            </w:r>
            <w:r w:rsidRPr="009C78E0">
              <w:rPr>
                <w:rFonts w:eastAsia="Calibri" w:cs="Times New Roman"/>
                <w:sz w:val="28"/>
                <w:szCs w:val="28"/>
              </w:rPr>
              <w:t xml:space="preserve">paaugstināta līmeņa informētība par riskiem, </w:t>
            </w:r>
            <w:r w:rsidRPr="009C78E0">
              <w:rPr>
                <w:rFonts w:eastAsia="Calibri" w:cs="Times New Roman"/>
              </w:rPr>
              <w:t xml:space="preserve"> </w:t>
            </w:r>
            <w:r w:rsidRPr="009C78E0">
              <w:rPr>
                <w:rFonts w:eastAsia="Calibri" w:cs="Times New Roman"/>
                <w:sz w:val="28"/>
                <w:szCs w:val="28"/>
              </w:rPr>
              <w:t xml:space="preserve">iekšējās kontroles sistēmas (IKS) likuma subjektiem, uz risku balstītas izpratnes attīstīšana likuma subjektos. </w:t>
            </w:r>
          </w:p>
        </w:tc>
      </w:tr>
      <w:tr w:rsidR="00CE354E" w:rsidRPr="009C78E0" w14:paraId="11CD15BE" w14:textId="77777777" w:rsidTr="005545EE">
        <w:trPr>
          <w:trHeight w:val="567"/>
        </w:trPr>
        <w:tc>
          <w:tcPr>
            <w:tcW w:w="3544" w:type="dxa"/>
            <w:hideMark/>
          </w:tcPr>
          <w:p w14:paraId="01DDA6B4"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IO.11 Mērķētas finanšu sankcijas proliferācijas finansēšanas apkarošanai</w:t>
            </w:r>
          </w:p>
        </w:tc>
        <w:tc>
          <w:tcPr>
            <w:tcW w:w="5812" w:type="dxa"/>
          </w:tcPr>
          <w:p w14:paraId="2F50F0E7" w14:textId="77777777" w:rsidR="002A3E26" w:rsidRDefault="00CE354E" w:rsidP="0077246A">
            <w:pPr>
              <w:tabs>
                <w:tab w:val="left" w:pos="0"/>
              </w:tabs>
              <w:jc w:val="both"/>
              <w:rPr>
                <w:rFonts w:eastAsia="Calibri" w:cs="Times New Roman"/>
                <w:sz w:val="28"/>
                <w:szCs w:val="28"/>
              </w:rPr>
            </w:pPr>
            <w:r w:rsidRPr="009C78E0">
              <w:rPr>
                <w:rFonts w:eastAsia="Calibri" w:cs="Times New Roman"/>
                <w:sz w:val="28"/>
                <w:szCs w:val="28"/>
              </w:rPr>
              <w:t>Esošās juridiskās bāzes revīzija attiecībā uz proliferācijas novēršanas sankciju ieviešanu,  Starptautisko un Latvijas Republikas nacionālo sankciju likumā un saistītajos Ministru kabineta noteikumos, lai precizētu uzraudzības iestāžu atbildību un kompetences proliferācijas jautājumos</w:t>
            </w:r>
            <w:r w:rsidR="002A3E26">
              <w:rPr>
                <w:rFonts w:eastAsia="Calibri" w:cs="Times New Roman"/>
                <w:sz w:val="28"/>
                <w:szCs w:val="28"/>
              </w:rPr>
              <w:t>.</w:t>
            </w:r>
          </w:p>
          <w:p w14:paraId="4F369986" w14:textId="77777777" w:rsidR="00CE354E" w:rsidRPr="009C78E0" w:rsidRDefault="00CE354E" w:rsidP="0077246A">
            <w:pPr>
              <w:tabs>
                <w:tab w:val="left" w:pos="0"/>
              </w:tabs>
              <w:jc w:val="both"/>
              <w:rPr>
                <w:rFonts w:eastAsia="Calibri" w:cs="Times New Roman"/>
                <w:sz w:val="28"/>
                <w:szCs w:val="28"/>
              </w:rPr>
            </w:pPr>
          </w:p>
          <w:p w14:paraId="7CAC7EB8"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t>Paplašināt  Starptautisko un Latvijas Republikas nacionālo sankciju likuma subjektu pienākumi iekšējās kontroles sistēmas izveidē</w:t>
            </w:r>
            <w:r w:rsidR="002A3E26">
              <w:rPr>
                <w:rFonts w:eastAsia="Calibri" w:cs="Times New Roman"/>
                <w:sz w:val="28"/>
                <w:szCs w:val="28"/>
              </w:rPr>
              <w:t>.</w:t>
            </w:r>
          </w:p>
          <w:p w14:paraId="00865F45" w14:textId="77777777" w:rsidR="00CE354E" w:rsidRDefault="00CE354E" w:rsidP="0077246A">
            <w:pPr>
              <w:tabs>
                <w:tab w:val="left" w:pos="0"/>
              </w:tabs>
              <w:jc w:val="both"/>
              <w:rPr>
                <w:rFonts w:eastAsia="Calibri" w:cs="Times New Roman"/>
                <w:sz w:val="28"/>
                <w:szCs w:val="28"/>
              </w:rPr>
            </w:pPr>
            <w:r w:rsidRPr="009C78E0">
              <w:rPr>
                <w:rFonts w:eastAsia="Calibri" w:cs="Times New Roman"/>
                <w:sz w:val="28"/>
                <w:szCs w:val="28"/>
              </w:rPr>
              <w:t>KD sadarbībā ar Moneyval sekretariātu rīkos starptautiska līmeņa konferenci proliferācijas finansēšanas apkarošanas jautājumos</w:t>
            </w:r>
            <w:r w:rsidR="002A3E26">
              <w:rPr>
                <w:rFonts w:eastAsia="Calibri" w:cs="Times New Roman"/>
                <w:sz w:val="28"/>
                <w:szCs w:val="28"/>
              </w:rPr>
              <w:t>.</w:t>
            </w:r>
          </w:p>
          <w:p w14:paraId="3E018873" w14:textId="77777777" w:rsidR="002A3E26" w:rsidRPr="009C78E0" w:rsidRDefault="002A3E26" w:rsidP="0077246A">
            <w:pPr>
              <w:tabs>
                <w:tab w:val="left" w:pos="0"/>
              </w:tabs>
              <w:jc w:val="both"/>
              <w:rPr>
                <w:rFonts w:eastAsia="Calibri" w:cs="Times New Roman"/>
                <w:sz w:val="28"/>
                <w:szCs w:val="28"/>
              </w:rPr>
            </w:pPr>
          </w:p>
          <w:p w14:paraId="5BDC67F6" w14:textId="77777777" w:rsidR="00CE354E" w:rsidRPr="009C78E0" w:rsidRDefault="002A3E26" w:rsidP="0077246A">
            <w:pPr>
              <w:tabs>
                <w:tab w:val="left" w:pos="0"/>
              </w:tabs>
              <w:jc w:val="both"/>
              <w:rPr>
                <w:rFonts w:eastAsia="Calibri" w:cs="Times New Roman"/>
                <w:sz w:val="28"/>
                <w:szCs w:val="28"/>
              </w:rPr>
            </w:pPr>
            <w:r>
              <w:rPr>
                <w:rFonts w:eastAsia="Calibri" w:cs="Times New Roman"/>
                <w:sz w:val="28"/>
                <w:szCs w:val="28"/>
              </w:rPr>
              <w:lastRenderedPageBreak/>
              <w:t xml:space="preserve">Paplašināts </w:t>
            </w:r>
            <w:r w:rsidR="00CE354E" w:rsidRPr="009C78E0">
              <w:rPr>
                <w:rFonts w:eastAsia="Calibri" w:cs="Times New Roman"/>
                <w:sz w:val="28"/>
                <w:szCs w:val="28"/>
              </w:rPr>
              <w:t>Stratēģiskas nozīmes preču kontroles komitejas sastāv</w:t>
            </w:r>
            <w:r>
              <w:rPr>
                <w:rFonts w:eastAsia="Calibri" w:cs="Times New Roman"/>
                <w:sz w:val="28"/>
                <w:szCs w:val="28"/>
              </w:rPr>
              <w:t xml:space="preserve">s, </w:t>
            </w:r>
            <w:r w:rsidR="00CE354E" w:rsidRPr="009C78E0">
              <w:rPr>
                <w:rFonts w:eastAsia="Calibri" w:cs="Times New Roman"/>
                <w:sz w:val="28"/>
                <w:szCs w:val="28"/>
              </w:rPr>
              <w:t xml:space="preserve"> iekļau</w:t>
            </w:r>
            <w:r>
              <w:rPr>
                <w:rFonts w:eastAsia="Calibri" w:cs="Times New Roman"/>
                <w:sz w:val="28"/>
                <w:szCs w:val="28"/>
              </w:rPr>
              <w:t>jot pārstāvjus no</w:t>
            </w:r>
            <w:r w:rsidR="00CE354E" w:rsidRPr="009C78E0">
              <w:rPr>
                <w:rFonts w:eastAsia="Calibri" w:cs="Times New Roman"/>
                <w:sz w:val="28"/>
                <w:szCs w:val="28"/>
              </w:rPr>
              <w:t xml:space="preserve"> KD un FKTK. </w:t>
            </w:r>
          </w:p>
        </w:tc>
        <w:tc>
          <w:tcPr>
            <w:tcW w:w="5245" w:type="dxa"/>
          </w:tcPr>
          <w:p w14:paraId="318D38E9" w14:textId="77777777" w:rsidR="00CE354E" w:rsidRPr="009C78E0" w:rsidRDefault="00CE354E" w:rsidP="0077246A">
            <w:pPr>
              <w:tabs>
                <w:tab w:val="left" w:pos="0"/>
              </w:tabs>
              <w:jc w:val="both"/>
              <w:rPr>
                <w:rFonts w:eastAsia="Calibri" w:cs="Times New Roman"/>
                <w:sz w:val="28"/>
                <w:szCs w:val="28"/>
              </w:rPr>
            </w:pPr>
            <w:r w:rsidRPr="009C78E0">
              <w:rPr>
                <w:rFonts w:eastAsia="Calibri" w:cs="Times New Roman"/>
                <w:sz w:val="28"/>
                <w:szCs w:val="28"/>
              </w:rPr>
              <w:lastRenderedPageBreak/>
              <w:t xml:space="preserve">Uzlabots juridiskais ietvars proliferācijas finansēšanas apkarošanai, </w:t>
            </w:r>
            <w:r w:rsidRPr="009C78E0">
              <w:rPr>
                <w:rFonts w:eastAsia="Calibri" w:cs="Times New Roman"/>
              </w:rPr>
              <w:t xml:space="preserve"> </w:t>
            </w:r>
            <w:r w:rsidRPr="009C78E0">
              <w:rPr>
                <w:rFonts w:eastAsia="Calibri" w:cs="Times New Roman"/>
                <w:sz w:val="28"/>
                <w:szCs w:val="28"/>
              </w:rPr>
              <w:t xml:space="preserve">nodrošināti pienācīgi resursi finanšu sankciju ieviešanas uzraudzībai, uzlikts par pienākumu subjektiem nodrošināt iekšējās kontroles sistēmu izveidi, </w:t>
            </w:r>
            <w:r w:rsidRPr="009C78E0">
              <w:rPr>
                <w:rFonts w:eastAsia="Calibri" w:cs="Times New Roman"/>
              </w:rPr>
              <w:t xml:space="preserve"> </w:t>
            </w:r>
            <w:r w:rsidRPr="009C78E0">
              <w:rPr>
                <w:rFonts w:eastAsia="Calibri" w:cs="Times New Roman"/>
                <w:sz w:val="28"/>
                <w:szCs w:val="28"/>
              </w:rPr>
              <w:t>paplašināts Stratēģiskas nozīmes p</w:t>
            </w:r>
            <w:r w:rsidR="005545EE">
              <w:rPr>
                <w:rFonts w:eastAsia="Calibri" w:cs="Times New Roman"/>
                <w:sz w:val="28"/>
                <w:szCs w:val="28"/>
              </w:rPr>
              <w:t>reču kontroles komitejas sastāvs</w:t>
            </w:r>
            <w:r w:rsidRPr="009C78E0">
              <w:rPr>
                <w:rFonts w:eastAsia="Calibri" w:cs="Times New Roman"/>
                <w:sz w:val="28"/>
                <w:szCs w:val="28"/>
              </w:rPr>
              <w:t>, attīstīt</w:t>
            </w:r>
            <w:r w:rsidR="005545EE">
              <w:rPr>
                <w:rFonts w:eastAsia="Calibri" w:cs="Times New Roman"/>
                <w:sz w:val="28"/>
                <w:szCs w:val="28"/>
              </w:rPr>
              <w:t>a starptautiskā sadarbība</w:t>
            </w:r>
            <w:r w:rsidRPr="009C78E0">
              <w:rPr>
                <w:rFonts w:eastAsia="Calibri" w:cs="Times New Roman"/>
                <w:sz w:val="28"/>
                <w:szCs w:val="28"/>
              </w:rPr>
              <w:t xml:space="preserve"> proliferācijas finansēšanas apkarošanā. </w:t>
            </w:r>
          </w:p>
        </w:tc>
      </w:tr>
    </w:tbl>
    <w:p w14:paraId="03C7DE5D" w14:textId="77777777" w:rsidR="002A3E26" w:rsidRDefault="002A3E26" w:rsidP="00796432">
      <w:pPr>
        <w:ind w:left="720" w:firstLine="720"/>
        <w:jc w:val="both"/>
        <w:rPr>
          <w:rFonts w:eastAsia="Calibri" w:cs="Times New Roman"/>
          <w:sz w:val="28"/>
          <w:szCs w:val="28"/>
        </w:rPr>
      </w:pPr>
    </w:p>
    <w:p w14:paraId="25AA3C13" w14:textId="77777777" w:rsidR="00796432" w:rsidRDefault="00796432" w:rsidP="00505985">
      <w:pPr>
        <w:ind w:firstLine="720"/>
        <w:jc w:val="both"/>
        <w:rPr>
          <w:rFonts w:eastAsia="Calibri" w:cs="Times New Roman"/>
          <w:sz w:val="28"/>
          <w:szCs w:val="28"/>
        </w:rPr>
      </w:pPr>
      <w:r>
        <w:rPr>
          <w:rFonts w:eastAsia="Calibri" w:cs="Times New Roman"/>
          <w:sz w:val="28"/>
          <w:szCs w:val="28"/>
        </w:rPr>
        <w:t>Plāns ietver plašu risinājumu kompleksu, kuru rezultāts ir sasniedzams tikai sadarbībā institūciju starpā un īstenojot šos pasākumus atbilstoši plānā paredzētajā termiņā. Pieņemot šo plānu, kas ir izstrādāts visu Latvijas atbildīgo institūciju profesionālajā un uz rezultātu vērstajā sadarbībā, Ministru kabinets:</w:t>
      </w:r>
    </w:p>
    <w:p w14:paraId="0ECF77C7" w14:textId="77777777" w:rsidR="00796432" w:rsidRDefault="009B7E09" w:rsidP="00796432">
      <w:pPr>
        <w:pStyle w:val="ListParagraph"/>
        <w:numPr>
          <w:ilvl w:val="0"/>
          <w:numId w:val="41"/>
        </w:numPr>
        <w:jc w:val="both"/>
        <w:rPr>
          <w:rFonts w:eastAsia="Calibri" w:cs="Times New Roman"/>
          <w:sz w:val="28"/>
          <w:szCs w:val="28"/>
        </w:rPr>
      </w:pPr>
      <w:r>
        <w:rPr>
          <w:rFonts w:eastAsia="Calibri" w:cs="Times New Roman"/>
          <w:sz w:val="28"/>
          <w:szCs w:val="28"/>
        </w:rPr>
        <w:t>s</w:t>
      </w:r>
      <w:r w:rsidR="00796432">
        <w:rPr>
          <w:rFonts w:eastAsia="Calibri" w:cs="Times New Roman"/>
          <w:sz w:val="28"/>
          <w:szCs w:val="28"/>
        </w:rPr>
        <w:t>agaida no visām iesaistītajām institūcijām kvalitatīvu un saskaņotu pasākumu izpildi, iesaistot lēmuma pieņemšanā labākos nozares profesionāļus;</w:t>
      </w:r>
    </w:p>
    <w:p w14:paraId="4832BCB9" w14:textId="77777777" w:rsidR="00796432" w:rsidRDefault="009B7E09" w:rsidP="00796432">
      <w:pPr>
        <w:pStyle w:val="ListParagraph"/>
        <w:numPr>
          <w:ilvl w:val="0"/>
          <w:numId w:val="41"/>
        </w:numPr>
        <w:jc w:val="both"/>
        <w:rPr>
          <w:rFonts w:eastAsia="Calibri" w:cs="Times New Roman"/>
          <w:sz w:val="28"/>
          <w:szCs w:val="28"/>
        </w:rPr>
      </w:pPr>
      <w:r>
        <w:rPr>
          <w:rFonts w:eastAsia="Calibri" w:cs="Times New Roman"/>
          <w:sz w:val="28"/>
          <w:szCs w:val="28"/>
        </w:rPr>
        <w:t>a</w:t>
      </w:r>
      <w:r w:rsidR="00796432">
        <w:rPr>
          <w:rFonts w:eastAsia="Calibri" w:cs="Times New Roman"/>
          <w:sz w:val="28"/>
          <w:szCs w:val="28"/>
        </w:rPr>
        <w:t xml:space="preserve">icina institūciju vadītājus nodrošināt savu padoto un darbinieku informēšanu par plāna pieņemšanu, uzsverot tā nozīmīgumu valsts starptautiskai reputācijai un  katra </w:t>
      </w:r>
      <w:r w:rsidR="00D02EBB">
        <w:rPr>
          <w:rFonts w:eastAsia="Calibri" w:cs="Times New Roman"/>
          <w:sz w:val="28"/>
          <w:szCs w:val="28"/>
        </w:rPr>
        <w:t xml:space="preserve">iesaistītā </w:t>
      </w:r>
      <w:r w:rsidR="00796432">
        <w:rPr>
          <w:rFonts w:eastAsia="Calibri" w:cs="Times New Roman"/>
          <w:sz w:val="28"/>
          <w:szCs w:val="28"/>
        </w:rPr>
        <w:t>darbinieka iespēju to ietekmēt;</w:t>
      </w:r>
    </w:p>
    <w:p w14:paraId="5D7EDE38" w14:textId="77777777" w:rsidR="009B7E09" w:rsidRDefault="009B7E09" w:rsidP="00796432">
      <w:pPr>
        <w:pStyle w:val="ListParagraph"/>
        <w:numPr>
          <w:ilvl w:val="0"/>
          <w:numId w:val="41"/>
        </w:numPr>
        <w:jc w:val="both"/>
        <w:rPr>
          <w:rFonts w:eastAsia="Calibri" w:cs="Times New Roman"/>
          <w:sz w:val="28"/>
          <w:szCs w:val="28"/>
        </w:rPr>
      </w:pPr>
      <w:r>
        <w:rPr>
          <w:rFonts w:eastAsia="Calibri" w:cs="Times New Roman"/>
          <w:sz w:val="28"/>
          <w:szCs w:val="28"/>
        </w:rPr>
        <w:t>u</w:t>
      </w:r>
      <w:r w:rsidR="00796432">
        <w:rPr>
          <w:rFonts w:eastAsia="Calibri" w:cs="Times New Roman"/>
          <w:sz w:val="28"/>
          <w:szCs w:val="28"/>
        </w:rPr>
        <w:t xml:space="preserve">zsver, ka </w:t>
      </w:r>
      <w:r w:rsidR="00D02EBB">
        <w:rPr>
          <w:rFonts w:eastAsia="Calibri" w:cs="Times New Roman"/>
          <w:sz w:val="28"/>
          <w:szCs w:val="28"/>
        </w:rPr>
        <w:t xml:space="preserve">plānotā </w:t>
      </w:r>
      <w:r w:rsidR="00796432">
        <w:rPr>
          <w:rFonts w:eastAsia="Calibri" w:cs="Times New Roman"/>
          <w:sz w:val="28"/>
          <w:szCs w:val="28"/>
        </w:rPr>
        <w:t>rezultāta sasniegšanai nav pieļaujams atkāpes no plānā paredzētajiem termiņiem, uzdevumu atlikšana vai nepildīšana</w:t>
      </w:r>
      <w:r w:rsidR="00D02EBB">
        <w:rPr>
          <w:rFonts w:eastAsia="Calibri" w:cs="Times New Roman"/>
          <w:sz w:val="28"/>
          <w:szCs w:val="28"/>
        </w:rPr>
        <w:t>,</w:t>
      </w:r>
      <w:r w:rsidR="00796432">
        <w:rPr>
          <w:rFonts w:eastAsia="Calibri" w:cs="Times New Roman"/>
          <w:sz w:val="28"/>
          <w:szCs w:val="28"/>
        </w:rPr>
        <w:t xml:space="preserve"> un aicina iesaistītās institūcijas ņemt to vērā, plānojot savus darbus</w:t>
      </w:r>
      <w:r>
        <w:rPr>
          <w:rFonts w:eastAsia="Calibri" w:cs="Times New Roman"/>
          <w:sz w:val="28"/>
          <w:szCs w:val="28"/>
        </w:rPr>
        <w:t>;</w:t>
      </w:r>
    </w:p>
    <w:p w14:paraId="67200274" w14:textId="77777777" w:rsidR="00796432" w:rsidRPr="00296D1D" w:rsidRDefault="009B7E09" w:rsidP="00796432">
      <w:pPr>
        <w:pStyle w:val="ListParagraph"/>
        <w:numPr>
          <w:ilvl w:val="0"/>
          <w:numId w:val="41"/>
        </w:numPr>
        <w:jc w:val="both"/>
        <w:rPr>
          <w:rFonts w:eastAsia="Calibri" w:cs="Times New Roman"/>
          <w:sz w:val="28"/>
          <w:szCs w:val="28"/>
        </w:rPr>
      </w:pPr>
      <w:r>
        <w:rPr>
          <w:rFonts w:eastAsia="Calibri" w:cs="Times New Roman"/>
          <w:sz w:val="28"/>
          <w:szCs w:val="28"/>
        </w:rPr>
        <w:t>aicinās Saeimu izskatīt tās kompetenc</w:t>
      </w:r>
      <w:r w:rsidR="005063F0">
        <w:rPr>
          <w:rFonts w:eastAsia="Calibri" w:cs="Times New Roman"/>
          <w:sz w:val="28"/>
          <w:szCs w:val="28"/>
        </w:rPr>
        <w:t>ē</w:t>
      </w:r>
      <w:r>
        <w:rPr>
          <w:rFonts w:eastAsia="Calibri" w:cs="Times New Roman"/>
          <w:sz w:val="28"/>
          <w:szCs w:val="28"/>
        </w:rPr>
        <w:t xml:space="preserve"> esošos jautājumus prioritārā kārtībā</w:t>
      </w:r>
      <w:r w:rsidR="00796432">
        <w:rPr>
          <w:rFonts w:eastAsia="Calibri" w:cs="Times New Roman"/>
          <w:sz w:val="28"/>
          <w:szCs w:val="28"/>
        </w:rPr>
        <w:t>.</w:t>
      </w:r>
    </w:p>
    <w:p w14:paraId="520AFC7F" w14:textId="77777777" w:rsidR="00796432" w:rsidRPr="001A6E65" w:rsidRDefault="00796432" w:rsidP="00796432">
      <w:pPr>
        <w:pStyle w:val="Heading1"/>
        <w:rPr>
          <w:sz w:val="40"/>
          <w:szCs w:val="40"/>
          <w:lang w:val="lv-LV"/>
        </w:rPr>
      </w:pPr>
      <w:r w:rsidRPr="009B7E09">
        <w:rPr>
          <w:rFonts w:eastAsia="Calibri"/>
          <w:sz w:val="28"/>
          <w:szCs w:val="28"/>
          <w:lang w:val="lv-LV"/>
        </w:rPr>
        <w:tab/>
      </w:r>
      <w:bookmarkStart w:id="3" w:name="_Toc524977646"/>
      <w:r w:rsidRPr="001A6E65">
        <w:rPr>
          <w:sz w:val="40"/>
          <w:szCs w:val="40"/>
          <w:lang w:val="lv-LV"/>
        </w:rPr>
        <w:t>II. Noziedzīgi iegūtu līdzekļu legalizācijas un terorisma finansēšanas risku novērtējums</w:t>
      </w:r>
      <w:bookmarkEnd w:id="3"/>
      <w:r w:rsidRPr="001A6E65">
        <w:rPr>
          <w:sz w:val="40"/>
          <w:szCs w:val="40"/>
          <w:lang w:val="lv-LV"/>
        </w:rPr>
        <w:t xml:space="preserve"> </w:t>
      </w:r>
    </w:p>
    <w:p w14:paraId="0A85849C" w14:textId="32CA08F1" w:rsidR="00796432" w:rsidRDefault="00796432" w:rsidP="00796432">
      <w:pPr>
        <w:jc w:val="both"/>
        <w:rPr>
          <w:rFonts w:cs="Times New Roman"/>
          <w:bCs/>
          <w:sz w:val="28"/>
          <w:szCs w:val="28"/>
        </w:rPr>
      </w:pPr>
      <w:r>
        <w:rPr>
          <w:rFonts w:cs="Times New Roman"/>
          <w:bCs/>
          <w:sz w:val="28"/>
          <w:szCs w:val="28"/>
        </w:rPr>
        <w:tab/>
        <w:t xml:space="preserve">2017.gadā apstiprinātais </w:t>
      </w:r>
      <w:r w:rsidRPr="00AD7EF1">
        <w:rPr>
          <w:rFonts w:cs="Times New Roman"/>
          <w:bCs/>
          <w:sz w:val="28"/>
          <w:szCs w:val="28"/>
        </w:rPr>
        <w:t>NRA</w:t>
      </w:r>
      <w:r>
        <w:rPr>
          <w:rFonts w:cs="Times New Roman"/>
          <w:bCs/>
          <w:sz w:val="28"/>
          <w:szCs w:val="28"/>
        </w:rPr>
        <w:t xml:space="preserve"> tika</w:t>
      </w:r>
      <w:r w:rsidRPr="00AD7EF1">
        <w:rPr>
          <w:rFonts w:cs="Times New Roman"/>
          <w:bCs/>
          <w:sz w:val="28"/>
          <w:szCs w:val="28"/>
        </w:rPr>
        <w:t xml:space="preserve"> </w:t>
      </w:r>
      <w:r>
        <w:rPr>
          <w:rFonts w:cs="Times New Roman"/>
          <w:bCs/>
          <w:sz w:val="28"/>
          <w:szCs w:val="28"/>
        </w:rPr>
        <w:t>sagatavots</w:t>
      </w:r>
      <w:r w:rsidRPr="00AD7EF1">
        <w:rPr>
          <w:rFonts w:cs="Times New Roman"/>
          <w:bCs/>
          <w:sz w:val="28"/>
          <w:szCs w:val="28"/>
        </w:rPr>
        <w:t xml:space="preserve"> </w:t>
      </w:r>
      <w:r>
        <w:rPr>
          <w:rFonts w:cs="Times New Roman"/>
          <w:bCs/>
          <w:sz w:val="28"/>
          <w:szCs w:val="28"/>
        </w:rPr>
        <w:t xml:space="preserve">saskaņā ar </w:t>
      </w:r>
      <w:r w:rsidRPr="00E50F96">
        <w:rPr>
          <w:rFonts w:cs="Times New Roman"/>
          <w:bCs/>
          <w:sz w:val="28"/>
          <w:szCs w:val="28"/>
        </w:rPr>
        <w:t xml:space="preserve">metodoloģiju, kas </w:t>
      </w:r>
      <w:r>
        <w:rPr>
          <w:rFonts w:cs="Times New Roman"/>
          <w:bCs/>
          <w:sz w:val="28"/>
          <w:szCs w:val="28"/>
        </w:rPr>
        <w:t xml:space="preserve">risku novērtēšanai </w:t>
      </w:r>
      <w:r w:rsidRPr="00AD7EF1">
        <w:rPr>
          <w:rFonts w:cs="Times New Roman"/>
          <w:bCs/>
          <w:sz w:val="28"/>
          <w:szCs w:val="28"/>
        </w:rPr>
        <w:t xml:space="preserve">satur deviņus atsevišķus savstarpēji saistītus moduļus – nacionālais </w:t>
      </w:r>
      <w:r>
        <w:rPr>
          <w:rFonts w:cs="Times New Roman"/>
          <w:bCs/>
          <w:sz w:val="28"/>
          <w:szCs w:val="28"/>
        </w:rPr>
        <w:t xml:space="preserve">NILL </w:t>
      </w:r>
      <w:r w:rsidRPr="00AD7EF1">
        <w:rPr>
          <w:rFonts w:cs="Times New Roman"/>
          <w:bCs/>
          <w:sz w:val="28"/>
          <w:szCs w:val="28"/>
        </w:rPr>
        <w:t>draudu novērtējums</w:t>
      </w:r>
      <w:r>
        <w:rPr>
          <w:rFonts w:cs="Times New Roman"/>
          <w:bCs/>
          <w:sz w:val="28"/>
          <w:szCs w:val="28"/>
        </w:rPr>
        <w:t>, nacionālais NILL ievainojamības novērtējums, banku sektora, vērtspapīru sektora, apdrošināšanas sektora, citu finanšu iestāžu, nefinanšu sektora ievainojamības novērtējums, terorisma finansēšanas risku novērtējums un finanšu pakalpojumu pieejamības risku novērtējums. NRA sniedz informāciju par situāciju NILLTF apkarošanas jomās, izmantojot statistikas datus par laikp</w:t>
      </w:r>
      <w:r w:rsidR="001E15FF">
        <w:rPr>
          <w:rFonts w:cs="Times New Roman"/>
          <w:bCs/>
          <w:sz w:val="28"/>
          <w:szCs w:val="28"/>
        </w:rPr>
        <w:t>osm</w:t>
      </w:r>
      <w:r>
        <w:rPr>
          <w:rFonts w:cs="Times New Roman"/>
          <w:bCs/>
          <w:sz w:val="28"/>
          <w:szCs w:val="28"/>
        </w:rPr>
        <w:t>u no 2013.gada līdz 2016.gadam, kā arī informāciju par identificētajiem riskiem un nepieciešamo rīcību identificēto risku ierobežošanai.</w:t>
      </w:r>
    </w:p>
    <w:p w14:paraId="3F3CFA70" w14:textId="77777777" w:rsidR="00796432" w:rsidRPr="0008471B" w:rsidRDefault="00796432" w:rsidP="00796432">
      <w:pPr>
        <w:jc w:val="both"/>
        <w:rPr>
          <w:rFonts w:cs="Times New Roman"/>
          <w:bCs/>
          <w:sz w:val="28"/>
          <w:szCs w:val="28"/>
        </w:rPr>
      </w:pPr>
      <w:r>
        <w:rPr>
          <w:rFonts w:cs="Times New Roman"/>
          <w:bCs/>
          <w:sz w:val="28"/>
          <w:szCs w:val="28"/>
        </w:rPr>
        <w:lastRenderedPageBreak/>
        <w:tab/>
      </w:r>
      <w:r w:rsidRPr="0008471B">
        <w:rPr>
          <w:rFonts w:cs="Times New Roman"/>
          <w:bCs/>
          <w:sz w:val="28"/>
          <w:szCs w:val="28"/>
        </w:rPr>
        <w:t>NRA ir konstatēts, ka NILL jomā visbūtiskākos draudus rada šādi noziedzīgi nodarījumi:</w:t>
      </w:r>
      <w:r w:rsidRPr="0008471B">
        <w:rPr>
          <w:rStyle w:val="FootnoteReference"/>
          <w:rFonts w:cs="Times New Roman"/>
          <w:bCs/>
          <w:sz w:val="28"/>
          <w:szCs w:val="28"/>
        </w:rPr>
        <w:footnoteReference w:id="2"/>
      </w:r>
    </w:p>
    <w:p w14:paraId="21606325" w14:textId="77777777" w:rsidR="00796432" w:rsidRDefault="00796432" w:rsidP="00796432">
      <w:pPr>
        <w:jc w:val="both"/>
        <w:rPr>
          <w:rFonts w:cs="Times New Roman"/>
          <w:bCs/>
          <w:sz w:val="28"/>
          <w:szCs w:val="28"/>
        </w:rPr>
      </w:pPr>
      <w:r>
        <w:rPr>
          <w:rFonts w:cs="Times New Roman"/>
          <w:bCs/>
          <w:sz w:val="28"/>
          <w:szCs w:val="28"/>
        </w:rPr>
        <w:tab/>
        <w:t>- korupcija un kukuļošana (amatnoziegumi);</w:t>
      </w:r>
    </w:p>
    <w:p w14:paraId="09C84EB9" w14:textId="77777777" w:rsidR="00796432" w:rsidRDefault="00796432" w:rsidP="00796432">
      <w:pPr>
        <w:jc w:val="both"/>
        <w:rPr>
          <w:rFonts w:cs="Times New Roman"/>
          <w:bCs/>
          <w:sz w:val="28"/>
          <w:szCs w:val="28"/>
        </w:rPr>
      </w:pPr>
      <w:r>
        <w:rPr>
          <w:rFonts w:cs="Times New Roman"/>
          <w:bCs/>
          <w:sz w:val="28"/>
          <w:szCs w:val="28"/>
        </w:rPr>
        <w:tab/>
        <w:t xml:space="preserve">- noziedzīgi nodarījumi nodokļu jomā; </w:t>
      </w:r>
    </w:p>
    <w:p w14:paraId="6480BF3C" w14:textId="77777777" w:rsidR="00796432" w:rsidRDefault="00796432" w:rsidP="00796432">
      <w:pPr>
        <w:jc w:val="both"/>
        <w:rPr>
          <w:rFonts w:cs="Times New Roman"/>
          <w:bCs/>
          <w:sz w:val="28"/>
          <w:szCs w:val="28"/>
        </w:rPr>
      </w:pPr>
      <w:r>
        <w:rPr>
          <w:rFonts w:cs="Times New Roman"/>
          <w:bCs/>
          <w:sz w:val="28"/>
          <w:szCs w:val="28"/>
        </w:rPr>
        <w:tab/>
        <w:t>- krāpšana;</w:t>
      </w:r>
    </w:p>
    <w:p w14:paraId="3A354B32" w14:textId="77777777" w:rsidR="00796432" w:rsidRDefault="00796432" w:rsidP="00796432">
      <w:pPr>
        <w:jc w:val="both"/>
        <w:rPr>
          <w:rFonts w:cs="Times New Roman"/>
          <w:bCs/>
          <w:sz w:val="28"/>
          <w:szCs w:val="28"/>
        </w:rPr>
      </w:pPr>
      <w:r>
        <w:rPr>
          <w:rFonts w:cs="Times New Roman"/>
          <w:bCs/>
          <w:sz w:val="28"/>
          <w:szCs w:val="28"/>
        </w:rPr>
        <w:tab/>
        <w:t>- kontrabanda;</w:t>
      </w:r>
    </w:p>
    <w:p w14:paraId="2992944F" w14:textId="77777777" w:rsidR="00796432" w:rsidRDefault="00796432" w:rsidP="00796432">
      <w:pPr>
        <w:jc w:val="both"/>
        <w:rPr>
          <w:rFonts w:cs="Times New Roman"/>
          <w:bCs/>
          <w:sz w:val="28"/>
          <w:szCs w:val="28"/>
        </w:rPr>
      </w:pPr>
      <w:r>
        <w:rPr>
          <w:rFonts w:cs="Times New Roman"/>
          <w:bCs/>
          <w:sz w:val="28"/>
          <w:szCs w:val="28"/>
        </w:rPr>
        <w:tab/>
        <w:t>- noziedzīgi nodarījumi, kas veikti lielos apmēros un/vai organizētā grupā;</w:t>
      </w:r>
    </w:p>
    <w:p w14:paraId="775057B0" w14:textId="77777777" w:rsidR="00796432" w:rsidRDefault="00796432" w:rsidP="00796432">
      <w:pPr>
        <w:ind w:left="720"/>
        <w:jc w:val="both"/>
        <w:rPr>
          <w:rFonts w:cs="Times New Roman"/>
          <w:bCs/>
          <w:sz w:val="28"/>
          <w:szCs w:val="28"/>
        </w:rPr>
      </w:pPr>
      <w:r>
        <w:rPr>
          <w:rFonts w:cs="Times New Roman"/>
          <w:bCs/>
          <w:sz w:val="28"/>
          <w:szCs w:val="28"/>
        </w:rPr>
        <w:t>- proporcionāli lielāks apdraudējums rodas no ārvalstīs izdarītiem noziedzīgiem nodarījumiem, kā rezultātā NILL notiek Latvijā vai ļaunprātīgi izmantojot Latvijas banku sistēmu;</w:t>
      </w:r>
    </w:p>
    <w:p w14:paraId="6040F598" w14:textId="77777777" w:rsidR="00796432" w:rsidRDefault="00796432" w:rsidP="00796432">
      <w:pPr>
        <w:ind w:left="720"/>
        <w:jc w:val="both"/>
        <w:rPr>
          <w:rFonts w:cs="Times New Roman"/>
          <w:bCs/>
          <w:sz w:val="28"/>
          <w:szCs w:val="28"/>
        </w:rPr>
      </w:pPr>
      <w:r>
        <w:rPr>
          <w:rFonts w:cs="Times New Roman"/>
          <w:bCs/>
          <w:sz w:val="28"/>
          <w:szCs w:val="28"/>
        </w:rPr>
        <w:t>- nefinanšu sektora NILLTFN likuma subjektu loma nekustamo īpašumu, juridisko un grāmatvedības pakalpojumu nozarēs, sniedzot atbalstu NILL;</w:t>
      </w:r>
    </w:p>
    <w:p w14:paraId="371AAF65" w14:textId="77777777" w:rsidR="00796432" w:rsidRDefault="00796432" w:rsidP="00796432">
      <w:pPr>
        <w:jc w:val="both"/>
        <w:rPr>
          <w:rFonts w:cs="Times New Roman"/>
          <w:bCs/>
          <w:sz w:val="28"/>
          <w:szCs w:val="28"/>
        </w:rPr>
      </w:pPr>
      <w:r>
        <w:rPr>
          <w:rFonts w:cs="Times New Roman"/>
          <w:bCs/>
          <w:sz w:val="28"/>
          <w:szCs w:val="28"/>
        </w:rPr>
        <w:tab/>
        <w:t>- kredītiestāžu ārvalstu klientu bāzes paaugstināta koncentrācija</w:t>
      </w:r>
      <w:r>
        <w:rPr>
          <w:rStyle w:val="FootnoteReference"/>
          <w:rFonts w:cs="Times New Roman"/>
          <w:bCs/>
          <w:sz w:val="28"/>
          <w:szCs w:val="28"/>
        </w:rPr>
        <w:footnoteReference w:id="3"/>
      </w:r>
      <w:r>
        <w:rPr>
          <w:rFonts w:cs="Times New Roman"/>
          <w:bCs/>
          <w:sz w:val="28"/>
          <w:szCs w:val="28"/>
        </w:rPr>
        <w:t>;</w:t>
      </w:r>
    </w:p>
    <w:p w14:paraId="15C7941B" w14:textId="77777777" w:rsidR="00796432" w:rsidRDefault="00796432" w:rsidP="00796432">
      <w:pPr>
        <w:ind w:left="720"/>
        <w:jc w:val="both"/>
        <w:rPr>
          <w:rFonts w:cs="Times New Roman"/>
          <w:bCs/>
          <w:sz w:val="28"/>
          <w:szCs w:val="28"/>
        </w:rPr>
      </w:pPr>
      <w:r>
        <w:rPr>
          <w:rFonts w:cs="Times New Roman"/>
          <w:bCs/>
          <w:sz w:val="28"/>
          <w:szCs w:val="28"/>
        </w:rPr>
        <w:t>- Latvijas, Eiropas Savienības, Apvienoto Nāciju organizācijas noteikto sankciju pārkāpumu vai apiešanas īstenošana, izmantojot Latvijas finanšu sistēmu;</w:t>
      </w:r>
    </w:p>
    <w:p w14:paraId="24897E31" w14:textId="77777777" w:rsidR="00796432" w:rsidRPr="00E356C6" w:rsidRDefault="00796432" w:rsidP="00796432">
      <w:pPr>
        <w:ind w:left="720"/>
        <w:jc w:val="both"/>
        <w:rPr>
          <w:rFonts w:cs="Times New Roman"/>
          <w:bCs/>
          <w:sz w:val="28"/>
          <w:szCs w:val="28"/>
        </w:rPr>
      </w:pPr>
      <w:r>
        <w:rPr>
          <w:rFonts w:cs="Times New Roman"/>
          <w:bCs/>
          <w:sz w:val="28"/>
          <w:szCs w:val="28"/>
        </w:rPr>
        <w:t>- manipulatīvi darījumi (gan “</w:t>
      </w:r>
      <w:r w:rsidRPr="00646C16">
        <w:rPr>
          <w:rFonts w:cs="Times New Roman"/>
          <w:bCs/>
          <w:i/>
          <w:sz w:val="28"/>
          <w:szCs w:val="28"/>
        </w:rPr>
        <w:t>market manipulation</w:t>
      </w:r>
      <w:r>
        <w:rPr>
          <w:rFonts w:cs="Times New Roman"/>
          <w:bCs/>
          <w:sz w:val="28"/>
          <w:szCs w:val="28"/>
        </w:rPr>
        <w:t>”, gan tie, kas veikti ar mērķi izdarīt pretlikumīgas manipulācijas ar ārvalstu uzņēmumu, tai skaitā banku, finanšu informāciju).</w:t>
      </w:r>
    </w:p>
    <w:p w14:paraId="49BAE1FC" w14:textId="77777777" w:rsidR="00796432" w:rsidRPr="0008471B" w:rsidRDefault="00796432" w:rsidP="00796432">
      <w:pPr>
        <w:jc w:val="both"/>
        <w:rPr>
          <w:rFonts w:cs="Times New Roman"/>
          <w:bCs/>
          <w:sz w:val="28"/>
          <w:szCs w:val="28"/>
        </w:rPr>
      </w:pPr>
      <w:r>
        <w:rPr>
          <w:rFonts w:cs="Times New Roman"/>
          <w:bCs/>
          <w:sz w:val="28"/>
          <w:szCs w:val="28"/>
        </w:rPr>
        <w:tab/>
      </w:r>
      <w:r w:rsidRPr="0008471B">
        <w:rPr>
          <w:rFonts w:cs="Times New Roman"/>
          <w:bCs/>
          <w:sz w:val="28"/>
          <w:szCs w:val="28"/>
        </w:rPr>
        <w:t>Nozīmīgākie terorisma finansēšanas draudi:</w:t>
      </w:r>
    </w:p>
    <w:p w14:paraId="217C65A1" w14:textId="77777777" w:rsidR="00796432" w:rsidRDefault="00796432" w:rsidP="00796432">
      <w:pPr>
        <w:jc w:val="both"/>
        <w:rPr>
          <w:rFonts w:cs="Times New Roman"/>
          <w:bCs/>
          <w:sz w:val="28"/>
          <w:szCs w:val="28"/>
        </w:rPr>
      </w:pPr>
      <w:r>
        <w:rPr>
          <w:rFonts w:cs="Times New Roman"/>
          <w:bCs/>
          <w:sz w:val="28"/>
          <w:szCs w:val="28"/>
        </w:rPr>
        <w:tab/>
        <w:t>- Latvijas iedzīvotāju iespējamā pievienošanās teroristiskiem grupējumiem;</w:t>
      </w:r>
    </w:p>
    <w:p w14:paraId="3C53863D" w14:textId="77777777" w:rsidR="00796432" w:rsidRDefault="00796432" w:rsidP="00796432">
      <w:pPr>
        <w:ind w:left="720"/>
        <w:jc w:val="both"/>
        <w:rPr>
          <w:rFonts w:cs="Times New Roman"/>
          <w:bCs/>
          <w:sz w:val="28"/>
          <w:szCs w:val="28"/>
        </w:rPr>
      </w:pPr>
      <w:r>
        <w:rPr>
          <w:rFonts w:cs="Times New Roman"/>
          <w:bCs/>
          <w:sz w:val="28"/>
          <w:szCs w:val="28"/>
        </w:rPr>
        <w:t>- nevalstisko organizāciju un uzņēmējdarbības vides iespējama izmantošana terorisma finansēšanai un slēpta vai maskēta likumīgiem mērķiem paredzētu līdzekļu novirzīšana teroristiskām organizācijām vai to dalībniekiem;</w:t>
      </w:r>
    </w:p>
    <w:p w14:paraId="6B51A734" w14:textId="77777777" w:rsidR="00796432" w:rsidRDefault="00796432" w:rsidP="00796432">
      <w:pPr>
        <w:ind w:left="720"/>
        <w:jc w:val="both"/>
        <w:rPr>
          <w:rFonts w:cs="Times New Roman"/>
          <w:bCs/>
          <w:sz w:val="28"/>
          <w:szCs w:val="28"/>
        </w:rPr>
      </w:pPr>
      <w:r>
        <w:rPr>
          <w:rFonts w:cs="Times New Roman"/>
          <w:bCs/>
          <w:sz w:val="28"/>
          <w:szCs w:val="28"/>
        </w:rPr>
        <w:t xml:space="preserve">- atsevišķu NILLTFN likuma subjektu, iespējamā izmantošana naudas līdzekļu iegūšanai un novirzīšanai teroristu organizācijām vai to dalībniekiem.  </w:t>
      </w:r>
    </w:p>
    <w:p w14:paraId="368855F3" w14:textId="77777777" w:rsidR="00796432" w:rsidRPr="0008471B" w:rsidRDefault="00796432" w:rsidP="00796432">
      <w:pPr>
        <w:jc w:val="both"/>
        <w:rPr>
          <w:rFonts w:cs="Times New Roman"/>
          <w:bCs/>
          <w:sz w:val="28"/>
          <w:szCs w:val="28"/>
        </w:rPr>
      </w:pPr>
      <w:r w:rsidRPr="0008471B">
        <w:rPr>
          <w:rFonts w:cs="Times New Roman"/>
          <w:bCs/>
          <w:sz w:val="28"/>
          <w:szCs w:val="28"/>
        </w:rPr>
        <w:lastRenderedPageBreak/>
        <w:tab/>
        <w:t>Saskaņā ar NRA NILL legalizācijas draudu līmenis novērtēts kā vidēji augsts un terorisma finansēšanas draudu līmenis kā zems.</w:t>
      </w:r>
    </w:p>
    <w:p w14:paraId="27562006" w14:textId="77777777" w:rsidR="00796432" w:rsidRPr="0008471B" w:rsidRDefault="00796432" w:rsidP="00796432">
      <w:pPr>
        <w:rPr>
          <w:rFonts w:cs="Times New Roman"/>
          <w:bCs/>
          <w:sz w:val="28"/>
          <w:szCs w:val="28"/>
        </w:rPr>
      </w:pPr>
    </w:p>
    <w:p w14:paraId="2E174A5E" w14:textId="77777777" w:rsidR="00796432" w:rsidRPr="00EE1B29" w:rsidRDefault="00796432" w:rsidP="00796432">
      <w:pPr>
        <w:jc w:val="both"/>
        <w:rPr>
          <w:rFonts w:cs="Times New Roman"/>
          <w:b/>
          <w:bCs/>
          <w:sz w:val="28"/>
          <w:szCs w:val="28"/>
        </w:rPr>
      </w:pPr>
      <w:r w:rsidRPr="00EE1B29">
        <w:rPr>
          <w:rFonts w:cs="Times New Roman"/>
          <w:b/>
          <w:bCs/>
          <w:sz w:val="28"/>
          <w:szCs w:val="28"/>
        </w:rPr>
        <w:t>Nacionālā ievainojamība</w:t>
      </w:r>
      <w:r w:rsidRPr="00EE1B29">
        <w:rPr>
          <w:rStyle w:val="FootnoteReference"/>
          <w:rFonts w:cs="Times New Roman"/>
          <w:b/>
          <w:bCs/>
          <w:sz w:val="28"/>
          <w:szCs w:val="28"/>
        </w:rPr>
        <w:footnoteReference w:id="4"/>
      </w:r>
      <w:r w:rsidRPr="00EE1B29">
        <w:rPr>
          <w:rFonts w:cs="Times New Roman"/>
          <w:b/>
          <w:bCs/>
          <w:sz w:val="28"/>
          <w:szCs w:val="28"/>
        </w:rPr>
        <w:t>:</w:t>
      </w:r>
    </w:p>
    <w:p w14:paraId="4E8CB6DD" w14:textId="77777777" w:rsidR="00796432" w:rsidRDefault="00796432" w:rsidP="00796432">
      <w:pPr>
        <w:jc w:val="both"/>
        <w:rPr>
          <w:rFonts w:cs="Times New Roman"/>
          <w:b/>
          <w:bCs/>
          <w:sz w:val="28"/>
          <w:szCs w:val="28"/>
        </w:rPr>
      </w:pPr>
    </w:p>
    <w:p w14:paraId="07501767" w14:textId="77777777" w:rsidR="00796432" w:rsidRPr="00113E8B" w:rsidRDefault="00796432" w:rsidP="00796432">
      <w:pPr>
        <w:jc w:val="both"/>
        <w:rPr>
          <w:rFonts w:cs="Times New Roman"/>
          <w:bCs/>
          <w:sz w:val="28"/>
          <w:szCs w:val="28"/>
        </w:rPr>
      </w:pPr>
      <w:r>
        <w:rPr>
          <w:rFonts w:cs="Times New Roman"/>
          <w:bCs/>
          <w:sz w:val="28"/>
          <w:szCs w:val="28"/>
        </w:rPr>
        <w:tab/>
      </w:r>
      <w:r w:rsidRPr="00113E8B">
        <w:rPr>
          <w:rFonts w:cs="Times New Roman"/>
          <w:bCs/>
          <w:sz w:val="28"/>
          <w:szCs w:val="28"/>
        </w:rPr>
        <w:t>Vērtējot nacionālās ievainojamības riskus, tika apzinātas valsts institucionālās sistēmas spējas NILLTF apkarošanas jomā, vērtēta normatīvā regulējuma pietiekamība un piemērošanas efektivitāte, vērtēta NILLTF apkarošanā iesaistīto institūciju un amatpersonu kapacitāte un gatavība adekvāti reaģēt uz draud</w:t>
      </w:r>
      <w:r>
        <w:rPr>
          <w:rFonts w:cs="Times New Roman"/>
          <w:bCs/>
          <w:sz w:val="28"/>
          <w:szCs w:val="28"/>
        </w:rPr>
        <w:t>iem</w:t>
      </w:r>
      <w:r w:rsidRPr="00113E8B">
        <w:rPr>
          <w:rFonts w:cs="Times New Roman"/>
          <w:bCs/>
          <w:sz w:val="28"/>
          <w:szCs w:val="28"/>
        </w:rPr>
        <w:t xml:space="preserve">. </w:t>
      </w:r>
    </w:p>
    <w:p w14:paraId="269E791A" w14:textId="77777777" w:rsidR="00796432" w:rsidRPr="00113E8B" w:rsidRDefault="00796432" w:rsidP="00796432">
      <w:pPr>
        <w:pStyle w:val="ListParagraph"/>
        <w:numPr>
          <w:ilvl w:val="0"/>
          <w:numId w:val="2"/>
        </w:numPr>
        <w:jc w:val="both"/>
        <w:rPr>
          <w:rFonts w:cs="Times New Roman"/>
          <w:bCs/>
          <w:sz w:val="28"/>
          <w:szCs w:val="28"/>
        </w:rPr>
      </w:pPr>
      <w:r w:rsidRPr="00113E8B">
        <w:rPr>
          <w:rFonts w:cs="Times New Roman"/>
          <w:bCs/>
          <w:sz w:val="28"/>
          <w:szCs w:val="28"/>
        </w:rPr>
        <w:t>NILLTF</w:t>
      </w:r>
      <w:r>
        <w:rPr>
          <w:rFonts w:cs="Times New Roman"/>
          <w:bCs/>
          <w:sz w:val="28"/>
          <w:szCs w:val="28"/>
        </w:rPr>
        <w:t>N</w:t>
      </w:r>
      <w:r w:rsidRPr="00113E8B">
        <w:rPr>
          <w:rFonts w:cs="Times New Roman"/>
          <w:bCs/>
          <w:sz w:val="28"/>
          <w:szCs w:val="28"/>
        </w:rPr>
        <w:t xml:space="preserve"> jomā politika tiek veidota sadrumstaloti, ne vienmēr nodrošinot pietiekamu koordināciju iesaistīto institūciju vidū</w:t>
      </w:r>
      <w:r>
        <w:rPr>
          <w:rFonts w:cs="Times New Roman"/>
          <w:bCs/>
          <w:sz w:val="28"/>
          <w:szCs w:val="28"/>
        </w:rPr>
        <w:t>, kas kavē savlaicīgu esošo un nākotnes draudu un ievainojamības NILLTFN jomā apzināšanos un savlaicīgas novēršanas iespējas</w:t>
      </w:r>
      <w:r w:rsidRPr="00113E8B">
        <w:rPr>
          <w:rFonts w:cs="Times New Roman"/>
          <w:bCs/>
          <w:sz w:val="28"/>
          <w:szCs w:val="28"/>
        </w:rPr>
        <w:t>;</w:t>
      </w:r>
    </w:p>
    <w:p w14:paraId="28989424" w14:textId="77777777" w:rsidR="00796432" w:rsidRDefault="00796432" w:rsidP="00796432">
      <w:pPr>
        <w:pStyle w:val="ListParagraph"/>
        <w:numPr>
          <w:ilvl w:val="0"/>
          <w:numId w:val="2"/>
        </w:numPr>
        <w:jc w:val="both"/>
        <w:rPr>
          <w:rFonts w:cs="Times New Roman"/>
          <w:bCs/>
          <w:sz w:val="28"/>
          <w:szCs w:val="28"/>
        </w:rPr>
      </w:pPr>
      <w:r w:rsidRPr="00113E8B">
        <w:rPr>
          <w:rFonts w:cs="Times New Roman"/>
          <w:bCs/>
          <w:sz w:val="28"/>
          <w:szCs w:val="28"/>
        </w:rPr>
        <w:t>atšķirīga izpratne un prakse NILLTF</w:t>
      </w:r>
      <w:r>
        <w:rPr>
          <w:rFonts w:cs="Times New Roman"/>
          <w:bCs/>
          <w:sz w:val="28"/>
          <w:szCs w:val="28"/>
        </w:rPr>
        <w:t>N</w:t>
      </w:r>
      <w:r w:rsidRPr="00113E8B">
        <w:rPr>
          <w:rFonts w:cs="Times New Roman"/>
          <w:bCs/>
          <w:sz w:val="28"/>
          <w:szCs w:val="28"/>
        </w:rPr>
        <w:t xml:space="preserve"> </w:t>
      </w:r>
      <w:r>
        <w:rPr>
          <w:rFonts w:cs="Times New Roman"/>
          <w:bCs/>
          <w:sz w:val="28"/>
          <w:szCs w:val="28"/>
        </w:rPr>
        <w:t xml:space="preserve">un apkarošanas </w:t>
      </w:r>
      <w:r w:rsidRPr="00113E8B">
        <w:rPr>
          <w:rFonts w:cs="Times New Roman"/>
          <w:bCs/>
          <w:sz w:val="28"/>
          <w:szCs w:val="28"/>
        </w:rPr>
        <w:t>jautājumos izmeklēšanas iestādē, prokuratūrā un tiesā</w:t>
      </w:r>
      <w:r>
        <w:rPr>
          <w:rFonts w:cs="Times New Roman"/>
          <w:bCs/>
          <w:sz w:val="28"/>
          <w:szCs w:val="28"/>
        </w:rPr>
        <w:t>;</w:t>
      </w:r>
    </w:p>
    <w:p w14:paraId="0077FDAD" w14:textId="77777777" w:rsidR="00796432" w:rsidRPr="00113E8B" w:rsidRDefault="00796432" w:rsidP="00796432">
      <w:pPr>
        <w:pStyle w:val="ListParagraph"/>
        <w:numPr>
          <w:ilvl w:val="0"/>
          <w:numId w:val="2"/>
        </w:numPr>
        <w:jc w:val="both"/>
        <w:rPr>
          <w:rFonts w:cs="Times New Roman"/>
          <w:bCs/>
          <w:sz w:val="28"/>
          <w:szCs w:val="28"/>
        </w:rPr>
      </w:pPr>
      <w:r>
        <w:rPr>
          <w:rFonts w:cs="Times New Roman"/>
          <w:bCs/>
          <w:sz w:val="28"/>
          <w:szCs w:val="28"/>
        </w:rPr>
        <w:t>privātā sektora nepietiekama iesaistīšana NILLTFN sistēmas pilnveidošanā</w:t>
      </w:r>
      <w:r w:rsidRPr="00113E8B">
        <w:rPr>
          <w:rFonts w:cs="Times New Roman"/>
          <w:bCs/>
          <w:sz w:val="28"/>
          <w:szCs w:val="28"/>
        </w:rPr>
        <w:t>.</w:t>
      </w:r>
    </w:p>
    <w:p w14:paraId="164B8C19" w14:textId="77777777" w:rsidR="00796432" w:rsidRDefault="00796432" w:rsidP="00796432">
      <w:pPr>
        <w:jc w:val="both"/>
        <w:rPr>
          <w:rFonts w:cs="Times New Roman"/>
          <w:b/>
          <w:bCs/>
          <w:sz w:val="28"/>
          <w:szCs w:val="28"/>
        </w:rPr>
      </w:pPr>
    </w:p>
    <w:p w14:paraId="6B4A620A" w14:textId="77777777" w:rsidR="00796432" w:rsidRPr="00EE1B29" w:rsidRDefault="00796432" w:rsidP="00796432">
      <w:pPr>
        <w:jc w:val="both"/>
        <w:rPr>
          <w:rFonts w:cs="Times New Roman"/>
          <w:b/>
          <w:bCs/>
          <w:sz w:val="28"/>
          <w:szCs w:val="28"/>
        </w:rPr>
      </w:pPr>
      <w:r w:rsidRPr="00EE1B29">
        <w:rPr>
          <w:rFonts w:cs="Times New Roman"/>
          <w:b/>
          <w:bCs/>
          <w:sz w:val="28"/>
          <w:szCs w:val="28"/>
        </w:rPr>
        <w:t>Finanšu sektora ievainojamība:</w:t>
      </w:r>
    </w:p>
    <w:p w14:paraId="1F9FFF80" w14:textId="77777777" w:rsidR="00796432" w:rsidRPr="00113E8B" w:rsidRDefault="00796432" w:rsidP="00796432">
      <w:pPr>
        <w:jc w:val="both"/>
        <w:rPr>
          <w:rFonts w:cs="Times New Roman"/>
          <w:bCs/>
          <w:sz w:val="28"/>
          <w:szCs w:val="28"/>
        </w:rPr>
      </w:pPr>
    </w:p>
    <w:p w14:paraId="581995E9" w14:textId="77777777" w:rsidR="00796432" w:rsidRDefault="00796432" w:rsidP="00796432">
      <w:pPr>
        <w:jc w:val="both"/>
        <w:rPr>
          <w:rFonts w:cs="Times New Roman"/>
          <w:bCs/>
          <w:sz w:val="28"/>
          <w:szCs w:val="28"/>
        </w:rPr>
      </w:pPr>
      <w:r w:rsidRPr="00113E8B">
        <w:rPr>
          <w:rFonts w:cs="Times New Roman"/>
          <w:bCs/>
          <w:sz w:val="28"/>
          <w:szCs w:val="28"/>
        </w:rPr>
        <w:t>Kredītiestāžu, kas darbojas paaugstināta NILLTF riska zonā (ārvalstu klientu apkalpošana), paaugstināta NILLTF riska uzņemšanās, kas neatbilst spējai nodrošināt minētā riska pietiekamu pārvaldību, kā arī:</w:t>
      </w:r>
    </w:p>
    <w:p w14:paraId="6898DF43" w14:textId="77777777" w:rsidR="00796432" w:rsidRDefault="00796432" w:rsidP="00796432">
      <w:pPr>
        <w:ind w:left="720" w:hanging="360"/>
        <w:jc w:val="both"/>
        <w:rPr>
          <w:rFonts w:cs="Times New Roman"/>
          <w:bCs/>
          <w:sz w:val="28"/>
          <w:szCs w:val="28"/>
        </w:rPr>
      </w:pPr>
      <w:r>
        <w:rPr>
          <w:rFonts w:cs="Times New Roman"/>
          <w:bCs/>
          <w:sz w:val="28"/>
          <w:szCs w:val="28"/>
        </w:rPr>
        <w:t xml:space="preserve">- </w:t>
      </w:r>
      <w:r>
        <w:rPr>
          <w:rFonts w:cs="Times New Roman"/>
          <w:bCs/>
          <w:sz w:val="28"/>
          <w:szCs w:val="28"/>
        </w:rPr>
        <w:tab/>
        <w:t>ievērojamu banku sektora daļu veido kredītiestādes, kas koncentrējušās uz ārvalstu klientu apkalpošanu, kam raksturīga virkne paaugstinātu riska faktoru</w:t>
      </w:r>
      <w:r>
        <w:rPr>
          <w:rStyle w:val="FootnoteReference"/>
          <w:rFonts w:cs="Times New Roman"/>
          <w:bCs/>
          <w:sz w:val="28"/>
          <w:szCs w:val="28"/>
        </w:rPr>
        <w:footnoteReference w:id="5"/>
      </w:r>
      <w:r>
        <w:rPr>
          <w:rFonts w:cs="Times New Roman"/>
          <w:bCs/>
          <w:sz w:val="28"/>
          <w:szCs w:val="28"/>
        </w:rPr>
        <w:t>;</w:t>
      </w:r>
    </w:p>
    <w:p w14:paraId="4BBA0274" w14:textId="77777777" w:rsidR="00796432" w:rsidRDefault="00796432" w:rsidP="00796432">
      <w:pPr>
        <w:ind w:left="720" w:hanging="360"/>
        <w:jc w:val="both"/>
        <w:rPr>
          <w:rFonts w:cs="Times New Roman"/>
          <w:bCs/>
          <w:sz w:val="28"/>
          <w:szCs w:val="28"/>
        </w:rPr>
      </w:pPr>
      <w:r>
        <w:rPr>
          <w:rFonts w:cs="Times New Roman"/>
          <w:bCs/>
          <w:sz w:val="28"/>
          <w:szCs w:val="28"/>
        </w:rPr>
        <w:t>-  ārvalstu klientu apkalpojošo banku korespondējošās attiecības ar NVS valstu kredītiestādēm, kas kā neatņemama sastāvdaļa figurē visās lielās apjoma krāpnieciskās shēmās, kurās pēdējo gadu laikā ir minētas Latvijas kredītiestādes, kas apkalpo ārvalstu klientus;</w:t>
      </w:r>
    </w:p>
    <w:p w14:paraId="39FCF24F" w14:textId="77777777" w:rsidR="00796432" w:rsidRPr="00113E8B" w:rsidRDefault="00796432" w:rsidP="00796432">
      <w:pPr>
        <w:ind w:left="720" w:hanging="360"/>
        <w:jc w:val="both"/>
        <w:rPr>
          <w:rFonts w:cs="Times New Roman"/>
          <w:bCs/>
          <w:sz w:val="28"/>
          <w:szCs w:val="28"/>
        </w:rPr>
      </w:pPr>
      <w:r>
        <w:rPr>
          <w:rFonts w:cs="Times New Roman"/>
          <w:bCs/>
          <w:sz w:val="28"/>
          <w:szCs w:val="28"/>
        </w:rPr>
        <w:t>-    kredītiestāžu vēlme gūt peļņu augsta NILLTF riska darījumos, neveicot adekv</w:t>
      </w:r>
      <w:r w:rsidR="00B846B1">
        <w:rPr>
          <w:rFonts w:cs="Times New Roman"/>
          <w:bCs/>
          <w:sz w:val="28"/>
          <w:szCs w:val="28"/>
        </w:rPr>
        <w:t>ā</w:t>
      </w:r>
      <w:r>
        <w:rPr>
          <w:rFonts w:cs="Times New Roman"/>
          <w:bCs/>
          <w:sz w:val="28"/>
          <w:szCs w:val="28"/>
        </w:rPr>
        <w:t>tu riska ierobežošanu;</w:t>
      </w:r>
    </w:p>
    <w:p w14:paraId="37E89631" w14:textId="77777777" w:rsidR="00796432" w:rsidRPr="00113E8B" w:rsidRDefault="00796432" w:rsidP="00796432">
      <w:pPr>
        <w:pStyle w:val="ListParagraph"/>
        <w:numPr>
          <w:ilvl w:val="0"/>
          <w:numId w:val="2"/>
        </w:numPr>
        <w:jc w:val="both"/>
        <w:rPr>
          <w:rFonts w:cs="Times New Roman"/>
          <w:bCs/>
          <w:sz w:val="28"/>
          <w:szCs w:val="28"/>
        </w:rPr>
      </w:pPr>
      <w:r w:rsidRPr="00113E8B">
        <w:rPr>
          <w:rFonts w:cs="Times New Roman"/>
          <w:bCs/>
          <w:sz w:val="28"/>
          <w:szCs w:val="28"/>
        </w:rPr>
        <w:lastRenderedPageBreak/>
        <w:t>iekšējās kontroles sistēmu (turpmāk – IKS) nepietiekama neatkarība, ko rada būtiski trūkumi organizatoriskajā struktūrā (korporatīvās pārvaldības principu nepietiekama ievērošana, tai skaitā banku akcionāru iesaiste IKS vadībā);</w:t>
      </w:r>
    </w:p>
    <w:p w14:paraId="70D6B94E" w14:textId="77777777" w:rsidR="00796432" w:rsidRPr="00113E8B" w:rsidRDefault="00796432" w:rsidP="00796432">
      <w:pPr>
        <w:pStyle w:val="ListParagraph"/>
        <w:numPr>
          <w:ilvl w:val="0"/>
          <w:numId w:val="2"/>
        </w:numPr>
        <w:jc w:val="both"/>
        <w:rPr>
          <w:rFonts w:cs="Times New Roman"/>
          <w:bCs/>
          <w:sz w:val="28"/>
          <w:szCs w:val="28"/>
        </w:rPr>
      </w:pPr>
      <w:r w:rsidRPr="00113E8B">
        <w:rPr>
          <w:rFonts w:cs="Times New Roman"/>
          <w:bCs/>
          <w:sz w:val="28"/>
          <w:szCs w:val="28"/>
        </w:rPr>
        <w:t>nepietiekama personāla kompetence</w:t>
      </w:r>
      <w:r>
        <w:rPr>
          <w:rFonts w:cs="Times New Roman"/>
          <w:bCs/>
          <w:sz w:val="28"/>
          <w:szCs w:val="28"/>
        </w:rPr>
        <w:t xml:space="preserve"> IKS ietvaros</w:t>
      </w:r>
      <w:r w:rsidRPr="00113E8B">
        <w:rPr>
          <w:rFonts w:cs="Times New Roman"/>
          <w:bCs/>
          <w:sz w:val="28"/>
          <w:szCs w:val="28"/>
        </w:rPr>
        <w:t xml:space="preserve"> un trūkumi personiskās atbildības nodrošinājuma jomā;</w:t>
      </w:r>
    </w:p>
    <w:p w14:paraId="788FC790" w14:textId="77777777" w:rsidR="00796432" w:rsidRPr="00113E8B" w:rsidRDefault="00796432" w:rsidP="00796432">
      <w:pPr>
        <w:pStyle w:val="ListParagraph"/>
        <w:numPr>
          <w:ilvl w:val="0"/>
          <w:numId w:val="2"/>
        </w:numPr>
        <w:jc w:val="both"/>
        <w:rPr>
          <w:rFonts w:cs="Times New Roman"/>
          <w:bCs/>
          <w:sz w:val="28"/>
          <w:szCs w:val="28"/>
        </w:rPr>
      </w:pPr>
      <w:r w:rsidRPr="00113E8B">
        <w:rPr>
          <w:rFonts w:cs="Times New Roman"/>
          <w:bCs/>
          <w:sz w:val="28"/>
          <w:szCs w:val="28"/>
        </w:rPr>
        <w:t xml:space="preserve">neatbilstošas IT sistēmas NILLTF risku pārvaldībā; </w:t>
      </w:r>
    </w:p>
    <w:p w14:paraId="3EE7E49C" w14:textId="77777777" w:rsidR="00796432" w:rsidRPr="00113E8B" w:rsidRDefault="00796432" w:rsidP="00796432">
      <w:pPr>
        <w:pStyle w:val="ListParagraph"/>
        <w:numPr>
          <w:ilvl w:val="0"/>
          <w:numId w:val="2"/>
        </w:numPr>
        <w:jc w:val="both"/>
        <w:rPr>
          <w:rFonts w:cs="Times New Roman"/>
          <w:bCs/>
          <w:sz w:val="28"/>
          <w:szCs w:val="28"/>
        </w:rPr>
      </w:pPr>
      <w:r w:rsidRPr="00113E8B">
        <w:rPr>
          <w:rFonts w:cs="Times New Roman"/>
          <w:bCs/>
          <w:sz w:val="28"/>
          <w:szCs w:val="28"/>
        </w:rPr>
        <w:t>formāla klientu padziļinātās izpētes prasību izpilde.</w:t>
      </w:r>
    </w:p>
    <w:p w14:paraId="613A13E7" w14:textId="77777777" w:rsidR="00796432" w:rsidRPr="00113E8B" w:rsidRDefault="00796432" w:rsidP="00796432">
      <w:pPr>
        <w:jc w:val="both"/>
        <w:rPr>
          <w:rFonts w:cs="Times New Roman"/>
          <w:bCs/>
          <w:sz w:val="28"/>
          <w:szCs w:val="28"/>
        </w:rPr>
      </w:pPr>
      <w:r>
        <w:rPr>
          <w:rFonts w:cs="Times New Roman"/>
          <w:bCs/>
          <w:sz w:val="28"/>
          <w:szCs w:val="28"/>
        </w:rPr>
        <w:tab/>
      </w:r>
      <w:r w:rsidRPr="00113E8B">
        <w:rPr>
          <w:rFonts w:cs="Times New Roman"/>
          <w:bCs/>
          <w:sz w:val="28"/>
          <w:szCs w:val="28"/>
        </w:rPr>
        <w:t xml:space="preserve">Maksājumu iestāžu un investīciju pakalpojumu jomā ievainojamību rada </w:t>
      </w:r>
      <w:r>
        <w:rPr>
          <w:rFonts w:cs="Times New Roman"/>
          <w:bCs/>
          <w:sz w:val="28"/>
          <w:szCs w:val="28"/>
        </w:rPr>
        <w:t>iepriekš</w:t>
      </w:r>
      <w:r w:rsidRPr="00113E8B">
        <w:rPr>
          <w:rFonts w:cs="Times New Roman"/>
          <w:bCs/>
          <w:sz w:val="28"/>
          <w:szCs w:val="28"/>
        </w:rPr>
        <w:t xml:space="preserve"> minētajiem faktoriem līdzīgi apstākļi.</w:t>
      </w:r>
    </w:p>
    <w:p w14:paraId="0C1A7FF4" w14:textId="77777777" w:rsidR="00796432" w:rsidRPr="0008471B" w:rsidRDefault="00796432" w:rsidP="00796432">
      <w:pPr>
        <w:jc w:val="both"/>
        <w:rPr>
          <w:rFonts w:cs="Times New Roman"/>
          <w:bCs/>
          <w:sz w:val="28"/>
          <w:szCs w:val="28"/>
        </w:rPr>
      </w:pPr>
      <w:r w:rsidRPr="00113E8B">
        <w:rPr>
          <w:rFonts w:cs="Times New Roman"/>
          <w:bCs/>
          <w:sz w:val="28"/>
          <w:szCs w:val="28"/>
        </w:rPr>
        <w:t xml:space="preserve">Normatīvajos aktos </w:t>
      </w:r>
      <w:r>
        <w:rPr>
          <w:rFonts w:cs="Times New Roman"/>
          <w:bCs/>
          <w:sz w:val="28"/>
          <w:szCs w:val="28"/>
        </w:rPr>
        <w:t>nav skaidri noteiktas atsevišķu finanšu pakalpojumu sniedzēju NILLTFN pasākumu īstenošanas uzrau</w:t>
      </w:r>
      <w:r w:rsidRPr="0008471B">
        <w:rPr>
          <w:rFonts w:cs="Times New Roman"/>
          <w:bCs/>
          <w:sz w:val="28"/>
          <w:szCs w:val="28"/>
        </w:rPr>
        <w:t>dzības un kontroles institūcijas.</w:t>
      </w:r>
    </w:p>
    <w:p w14:paraId="6FAB70DB" w14:textId="77777777" w:rsidR="00796432" w:rsidRPr="0008471B" w:rsidRDefault="00796432" w:rsidP="00796432">
      <w:pPr>
        <w:jc w:val="both"/>
        <w:rPr>
          <w:rFonts w:cs="Times New Roman"/>
          <w:bCs/>
          <w:sz w:val="28"/>
          <w:szCs w:val="28"/>
        </w:rPr>
      </w:pPr>
    </w:p>
    <w:p w14:paraId="1F156AC3" w14:textId="77777777" w:rsidR="00796432" w:rsidRPr="00EE1B29" w:rsidRDefault="00796432" w:rsidP="00796432">
      <w:pPr>
        <w:jc w:val="both"/>
        <w:rPr>
          <w:rFonts w:cs="Times New Roman"/>
          <w:b/>
          <w:bCs/>
          <w:sz w:val="28"/>
          <w:szCs w:val="28"/>
        </w:rPr>
      </w:pPr>
      <w:r w:rsidRPr="00EE1B29">
        <w:rPr>
          <w:rFonts w:cs="Times New Roman"/>
          <w:b/>
          <w:bCs/>
          <w:sz w:val="28"/>
          <w:szCs w:val="28"/>
        </w:rPr>
        <w:t>Nefinanšu sektora ievainojamība:</w:t>
      </w:r>
    </w:p>
    <w:p w14:paraId="13AD6F38" w14:textId="77777777" w:rsidR="00796432" w:rsidRDefault="00796432" w:rsidP="00796432">
      <w:pPr>
        <w:pStyle w:val="ListParagraph"/>
        <w:numPr>
          <w:ilvl w:val="0"/>
          <w:numId w:val="2"/>
        </w:numPr>
        <w:jc w:val="both"/>
        <w:rPr>
          <w:rFonts w:cs="Times New Roman"/>
          <w:bCs/>
          <w:sz w:val="28"/>
          <w:szCs w:val="28"/>
        </w:rPr>
      </w:pPr>
      <w:r>
        <w:rPr>
          <w:rFonts w:cs="Times New Roman"/>
          <w:bCs/>
          <w:sz w:val="28"/>
          <w:szCs w:val="28"/>
        </w:rPr>
        <w:t>nepietiekama nefinanšu sektora subjektu uzraudzības un kontroles institūciju uzraudzības kapacitāte;</w:t>
      </w:r>
    </w:p>
    <w:p w14:paraId="7F90698B" w14:textId="77777777" w:rsidR="00796432" w:rsidRPr="00113E8B" w:rsidRDefault="00796432" w:rsidP="00796432">
      <w:pPr>
        <w:pStyle w:val="ListParagraph"/>
        <w:numPr>
          <w:ilvl w:val="0"/>
          <w:numId w:val="2"/>
        </w:numPr>
        <w:jc w:val="both"/>
        <w:rPr>
          <w:rFonts w:cs="Times New Roman"/>
          <w:bCs/>
          <w:sz w:val="28"/>
          <w:szCs w:val="28"/>
        </w:rPr>
      </w:pPr>
      <w:r w:rsidRPr="00113E8B">
        <w:rPr>
          <w:rFonts w:cs="Times New Roman"/>
          <w:bCs/>
          <w:sz w:val="28"/>
          <w:szCs w:val="28"/>
        </w:rPr>
        <w:t>izpratnes trūkums un vājas zināšanas NILLTFN jomā;</w:t>
      </w:r>
    </w:p>
    <w:p w14:paraId="622DEE28" w14:textId="77777777" w:rsidR="00796432" w:rsidRPr="00113E8B" w:rsidRDefault="00796432" w:rsidP="00796432">
      <w:pPr>
        <w:pStyle w:val="ListParagraph"/>
        <w:numPr>
          <w:ilvl w:val="0"/>
          <w:numId w:val="2"/>
        </w:numPr>
        <w:jc w:val="both"/>
        <w:rPr>
          <w:rFonts w:cs="Times New Roman"/>
          <w:bCs/>
          <w:sz w:val="28"/>
          <w:szCs w:val="28"/>
        </w:rPr>
      </w:pPr>
      <w:r w:rsidRPr="00113E8B">
        <w:rPr>
          <w:rFonts w:cs="Times New Roman"/>
          <w:bCs/>
          <w:sz w:val="28"/>
          <w:szCs w:val="28"/>
        </w:rPr>
        <w:t xml:space="preserve">nepietiekams </w:t>
      </w:r>
      <w:r>
        <w:rPr>
          <w:rFonts w:cs="Times New Roman"/>
          <w:bCs/>
          <w:sz w:val="28"/>
          <w:szCs w:val="28"/>
        </w:rPr>
        <w:t xml:space="preserve">NILLTFN </w:t>
      </w:r>
      <w:r w:rsidRPr="00113E8B">
        <w:rPr>
          <w:rFonts w:cs="Times New Roman"/>
          <w:bCs/>
          <w:sz w:val="28"/>
          <w:szCs w:val="28"/>
        </w:rPr>
        <w:t xml:space="preserve">regulējums un vāja uzraudzība; </w:t>
      </w:r>
    </w:p>
    <w:p w14:paraId="17166DB1" w14:textId="77777777" w:rsidR="00796432" w:rsidRPr="00113E8B" w:rsidRDefault="00796432" w:rsidP="00796432">
      <w:pPr>
        <w:pStyle w:val="ListParagraph"/>
        <w:numPr>
          <w:ilvl w:val="0"/>
          <w:numId w:val="2"/>
        </w:numPr>
        <w:jc w:val="both"/>
        <w:rPr>
          <w:rFonts w:cs="Times New Roman"/>
          <w:b/>
          <w:bCs/>
          <w:sz w:val="28"/>
          <w:szCs w:val="28"/>
        </w:rPr>
      </w:pPr>
      <w:r w:rsidRPr="00113E8B">
        <w:rPr>
          <w:rFonts w:cs="Times New Roman"/>
          <w:bCs/>
          <w:sz w:val="28"/>
          <w:szCs w:val="28"/>
        </w:rPr>
        <w:t>nepietiekamas NILLTFN procedūras, t.sk. IKS nepilnības</w:t>
      </w:r>
      <w:r>
        <w:rPr>
          <w:rFonts w:cs="Times New Roman"/>
          <w:bCs/>
          <w:sz w:val="28"/>
          <w:szCs w:val="28"/>
        </w:rPr>
        <w:t>.</w:t>
      </w:r>
    </w:p>
    <w:p w14:paraId="527AEE20" w14:textId="77777777" w:rsidR="00796432" w:rsidRPr="00441FD6" w:rsidRDefault="00796432" w:rsidP="00796432">
      <w:pPr>
        <w:ind w:left="360"/>
        <w:jc w:val="both"/>
        <w:rPr>
          <w:rFonts w:cs="Times New Roman"/>
          <w:b/>
          <w:bCs/>
          <w:sz w:val="28"/>
          <w:szCs w:val="28"/>
        </w:rPr>
      </w:pPr>
    </w:p>
    <w:p w14:paraId="510E1EC3" w14:textId="77777777" w:rsidR="00796432" w:rsidRPr="00685709" w:rsidRDefault="00796432" w:rsidP="00685709">
      <w:pPr>
        <w:ind w:firstLine="720"/>
        <w:jc w:val="both"/>
        <w:rPr>
          <w:rFonts w:eastAsia="Calibri" w:cs="Times New Roman"/>
          <w:sz w:val="28"/>
          <w:szCs w:val="28"/>
        </w:rPr>
      </w:pPr>
      <w:r w:rsidRPr="0008471B">
        <w:rPr>
          <w:sz w:val="28"/>
          <w:szCs w:val="28"/>
        </w:rPr>
        <w:t>Saskaņā ar NRA nacionālā NILL ievainojamība novērtēta kā vidēja un vispārējais nacionālais NILL risks kā vidēji augsts.</w:t>
      </w:r>
    </w:p>
    <w:p w14:paraId="25BEF037" w14:textId="77777777" w:rsidR="00796432" w:rsidRPr="00685709" w:rsidRDefault="00796432" w:rsidP="00685709">
      <w:pPr>
        <w:pStyle w:val="Heading1"/>
        <w:rPr>
          <w:sz w:val="40"/>
          <w:szCs w:val="40"/>
          <w:lang w:val="lv-LV"/>
        </w:rPr>
      </w:pPr>
      <w:bookmarkStart w:id="4" w:name="_Toc524977647"/>
      <w:r w:rsidRPr="001A6E65">
        <w:rPr>
          <w:sz w:val="40"/>
          <w:szCs w:val="40"/>
          <w:lang w:val="lv-LV"/>
        </w:rPr>
        <w:t>III. Esošās situācijas raksturojums</w:t>
      </w:r>
      <w:bookmarkEnd w:id="4"/>
    </w:p>
    <w:p w14:paraId="29122B80" w14:textId="77777777" w:rsidR="00796432" w:rsidRPr="00BD42F9" w:rsidRDefault="00796432" w:rsidP="00796432">
      <w:pPr>
        <w:ind w:firstLine="709"/>
        <w:jc w:val="both"/>
        <w:rPr>
          <w:sz w:val="28"/>
          <w:szCs w:val="28"/>
        </w:rPr>
      </w:pPr>
      <w:r w:rsidRPr="00BD42F9">
        <w:rPr>
          <w:sz w:val="28"/>
          <w:szCs w:val="28"/>
        </w:rPr>
        <w:t>Noziedzīgi iegūtu līdzekļu legalizācijas un terorisma finansēšanas novēršana kā nozīmīga prioritāte izriet gan no valdības rīcības plāna Deklarācijas par Māra Kučinska vadītā Ministru kabineta iecerēto darbību īstenošanai, gan no Finanšu sektora attīstības plāna 2017. – 2019.gadam, kas skaidri definē, ka ir nepieciešama labākai starptautiskajai praksei un standartiem atbilstošu risku pārvaldīšanas un atbilstības principu bezierunu un izlēmīga ieviešana un neiecietība pret pārkāpumiem un prettiesisku rīcību. </w:t>
      </w:r>
    </w:p>
    <w:p w14:paraId="391B85D9" w14:textId="77777777" w:rsidR="00796432" w:rsidRDefault="00796432" w:rsidP="00796432">
      <w:pPr>
        <w:ind w:firstLine="709"/>
        <w:jc w:val="both"/>
        <w:rPr>
          <w:sz w:val="28"/>
          <w:szCs w:val="28"/>
        </w:rPr>
      </w:pPr>
      <w:r w:rsidRPr="00FC0326">
        <w:rPr>
          <w:sz w:val="28"/>
          <w:szCs w:val="28"/>
        </w:rPr>
        <w:t xml:space="preserve">Atbilstoši deklarācijai par Māra Kučinska vadītā Ministru kabineta iecerēto darbību, kas nosaka valdības prioritātes, tā ir apņēmusies koordinēti īstenot steidzamus finanšu sektora politikas sakārtošanas pasākumus, definējot sektora vidēja un </w:t>
      </w:r>
      <w:r w:rsidRPr="00FC0326">
        <w:rPr>
          <w:sz w:val="28"/>
          <w:szCs w:val="28"/>
        </w:rPr>
        <w:lastRenderedPageBreak/>
        <w:t xml:space="preserve">ilgtermiņa attīstības redzējumu, īpašu uzmanību pievēršot noziedzīgi iegūtu līdzekļu legalizēšanas un terorisma </w:t>
      </w:r>
      <w:r>
        <w:rPr>
          <w:sz w:val="28"/>
          <w:szCs w:val="28"/>
        </w:rPr>
        <w:t xml:space="preserve">finansēšanas risku mazināšanai. </w:t>
      </w:r>
    </w:p>
    <w:p w14:paraId="6FEAA015" w14:textId="77777777" w:rsidR="00796432" w:rsidRDefault="00796432" w:rsidP="00796432">
      <w:pPr>
        <w:ind w:firstLine="709"/>
        <w:jc w:val="both"/>
        <w:rPr>
          <w:sz w:val="28"/>
          <w:szCs w:val="28"/>
        </w:rPr>
      </w:pPr>
      <w:r>
        <w:rPr>
          <w:sz w:val="28"/>
          <w:szCs w:val="28"/>
        </w:rPr>
        <w:t>2017.gada 21.martā Ministru kabinets apstiprināja Finanšu sektora attīstības plānu 2017.-2019.gadam, kurā ietverto pasākumu īstenošanas mērķis ir attīstīt stabilu, drošu un starptautiski konkurētspējīgu finanšu sektoru ar inovatīvu finanšu pakalpojumu pieejamību, kas nodrošina ilgtspējīgu Latvijas tautsaimniecības izaugsmi</w:t>
      </w:r>
      <w:r w:rsidR="002A3E26">
        <w:rPr>
          <w:sz w:val="28"/>
          <w:szCs w:val="28"/>
        </w:rPr>
        <w:t>.</w:t>
      </w:r>
      <w:r>
        <w:rPr>
          <w:sz w:val="28"/>
          <w:szCs w:val="28"/>
        </w:rPr>
        <w:t xml:space="preserve"> Kā viena no Finanšu sektora attīstības plāna horizontālām prioritātēm ir izvirzīta noziedzīgi iegūtu līdzekļu legalizācijas un terorisma finansēšanas novēršanas atbilstības un valsts reputācijas paaugstināšan</w:t>
      </w:r>
      <w:r w:rsidR="002A3E26">
        <w:rPr>
          <w:sz w:val="28"/>
          <w:szCs w:val="28"/>
        </w:rPr>
        <w:t>a</w:t>
      </w:r>
      <w:r>
        <w:rPr>
          <w:sz w:val="28"/>
          <w:szCs w:val="28"/>
        </w:rPr>
        <w:t xml:space="preserve">. Lai nodrošinātu šīs prioritātes ieviešanu, Finanšu ministrijai tika uzdots sadarbībā ar iesaistītajām institūcijām izstrādāt visaptverošu politikas plānošanas dokumentu noziedzīgi iegūtu līdzekļu legalizācijas un terorisma finansēšanas novēršanas jomā. </w:t>
      </w:r>
    </w:p>
    <w:p w14:paraId="170C460F" w14:textId="11BF1C99" w:rsidR="00796432" w:rsidRDefault="00796432" w:rsidP="00796432">
      <w:pPr>
        <w:ind w:firstLine="709"/>
        <w:jc w:val="both"/>
        <w:rPr>
          <w:sz w:val="28"/>
          <w:szCs w:val="28"/>
        </w:rPr>
      </w:pPr>
      <w:r>
        <w:rPr>
          <w:sz w:val="28"/>
          <w:szCs w:val="28"/>
        </w:rPr>
        <w:t>Ministru kabinets ar 2017.gada 24.maija rīkojumu Nr.246 apstiprināja pasākumu plānu noziedzīgi iegūtu līdzekļu legalizācijas un terorisma finansēšanas risku ierobežošanai 2017.-2019.gadam (turpmāk – pasākumu plāns 2017.-2019.gadam), kuram par pamatu tika ņemts otrais nacionālais noziedzīgi iegūtu līdzekļu legalizācijas un terorisma finansēšanas risku novērtēšanas ziņojumu. NRA sniedz informāciju par situāciju noziedzīgi iegūtu līdzekļu legalizācijas un terorisma finansēšanas apkarošanas jomās, izmantojot statistikas datus par laikp</w:t>
      </w:r>
      <w:r w:rsidR="001E15FF">
        <w:rPr>
          <w:sz w:val="28"/>
          <w:szCs w:val="28"/>
        </w:rPr>
        <w:t>osm</w:t>
      </w:r>
      <w:r>
        <w:rPr>
          <w:sz w:val="28"/>
          <w:szCs w:val="28"/>
        </w:rPr>
        <w:t xml:space="preserve">u no 2013.gada līdz 2016.gadam, kā arī informāciju par identificētajiem riskiem un nepieciešamo rīcību identificēto risku ierobežošanai. </w:t>
      </w:r>
    </w:p>
    <w:p w14:paraId="4CE86DD0" w14:textId="77777777" w:rsidR="00796432" w:rsidRPr="00C93EFE" w:rsidRDefault="00796432" w:rsidP="00796432">
      <w:pPr>
        <w:ind w:firstLine="720"/>
        <w:jc w:val="both"/>
        <w:rPr>
          <w:sz w:val="28"/>
          <w:szCs w:val="28"/>
        </w:rPr>
      </w:pPr>
      <w:r w:rsidRPr="00C93EFE">
        <w:rPr>
          <w:sz w:val="28"/>
          <w:szCs w:val="28"/>
        </w:rPr>
        <w:t>Pirmajā rīcības virzienā  “Pilnveidot NILLTF novēršanas stratēģijas un politikas izstrādes un ieviešanas koordināciju” paveiktais - 2017.gada 9.novembrī ir stājušies spēkā likumi "Grozījumi Apdrošināšanas un pārapdrošināšanas likumā", "Grozījumi Apdrošināšanas un pārapdrošināšanas starpnieku darbības likumā", "Grozījumi Finanšu instrumentu tirgus likumā", "Grozījumi Ieguldījumu pārvaldes sabiedrību likumā", "Grozījumi Kredītiestāžu likumā", "Grozījumi Krājaizdevu sabiedrību likumā", lai nodrošinātu atbilstošu sankcionēšanas mehānismu NILLTFN likuma subjektiem finanšu sektorā attiecībā uz  normatīvajos aktos noteikto prasību  pārkāpumiem saistībā ar noziedzīgi iegūtu līdzekļu legalizāciju un terorisma finansēšanas novēršanu.</w:t>
      </w:r>
    </w:p>
    <w:p w14:paraId="0BC99F87" w14:textId="77777777" w:rsidR="00796432" w:rsidRPr="00C93EFE" w:rsidRDefault="00796432" w:rsidP="00796432">
      <w:pPr>
        <w:ind w:firstLine="720"/>
        <w:jc w:val="both"/>
        <w:rPr>
          <w:sz w:val="28"/>
          <w:szCs w:val="28"/>
        </w:rPr>
      </w:pPr>
      <w:r w:rsidRPr="00C93EFE">
        <w:rPr>
          <w:sz w:val="28"/>
          <w:szCs w:val="28"/>
        </w:rPr>
        <w:t>Otrajā rīcības virzienā “Pilnveidot NILLTFN normatīvo regulējumu” paveiktais - 2017.gada 9. novembrī stājās spēkā likums “Grozījumi Noziedzīgi iegūtu līdzekļu legalizācijas un terorisma finansēšanas novēršanas likumā”.</w:t>
      </w:r>
      <w:r>
        <w:rPr>
          <w:sz w:val="28"/>
          <w:szCs w:val="28"/>
        </w:rPr>
        <w:t xml:space="preserve"> Saistībā ar normatīvā regulējuma ieviešanu, Latvija ir pirms termiņa pārņēmusi virkni ar prasībām, kas ietvertas AMLD5 direktīvā – centralizētais banku kontu reģistrs, virtuālo valūtu regulējums, ieviests patiesā labuma guvēju atklātības princips, pazemināti uzraudzības sliekšņi elektroniskās naudas apritei, to samazinot līdz 150 </w:t>
      </w:r>
      <w:r w:rsidRPr="00296D1D">
        <w:rPr>
          <w:i/>
          <w:sz w:val="28"/>
          <w:szCs w:val="28"/>
        </w:rPr>
        <w:t>euro</w:t>
      </w:r>
      <w:r>
        <w:rPr>
          <w:sz w:val="28"/>
          <w:szCs w:val="28"/>
        </w:rPr>
        <w:t xml:space="preserve">. </w:t>
      </w:r>
    </w:p>
    <w:p w14:paraId="50F9C526" w14:textId="77777777" w:rsidR="00796432" w:rsidRPr="00C93EFE" w:rsidRDefault="00796432" w:rsidP="00796432">
      <w:pPr>
        <w:ind w:firstLine="720"/>
        <w:jc w:val="both"/>
        <w:rPr>
          <w:sz w:val="28"/>
          <w:szCs w:val="28"/>
        </w:rPr>
      </w:pPr>
      <w:r w:rsidRPr="00C93EFE">
        <w:rPr>
          <w:sz w:val="28"/>
          <w:szCs w:val="28"/>
        </w:rPr>
        <w:lastRenderedPageBreak/>
        <w:t>Trešajā rīcības virzienā “Uzlabot izmeklēšanas, apsūdzības un iztiesāšanas efektivitāti un nodrošināt preventīvo pasākumu un sodu efektīvu piemērošanu” paveiktais - nodrošināta kapacitātes stiprināšana, veicot starptautiskajiem standartiem un labākajai praksei atbilstošas apmācības NILLTFN jomā, izveidots mehānisms konfiscēto noziedzīgi iegūtu finanšu līdzekļu un līdzekļu, kas iegūti noziedzīgi iegūtas mantas realizācijas rezultātā, izmantošanai.</w:t>
      </w:r>
    </w:p>
    <w:p w14:paraId="190D2B1C" w14:textId="77777777" w:rsidR="00796432" w:rsidRPr="00C93EFE" w:rsidRDefault="00796432" w:rsidP="00796432">
      <w:pPr>
        <w:ind w:firstLine="720"/>
        <w:jc w:val="both"/>
        <w:rPr>
          <w:sz w:val="28"/>
          <w:szCs w:val="28"/>
        </w:rPr>
      </w:pPr>
      <w:r w:rsidRPr="00C93EFE">
        <w:rPr>
          <w:sz w:val="28"/>
          <w:szCs w:val="28"/>
        </w:rPr>
        <w:t>Ceturtajā rīcības virzienā “Uzlabot Kontroles dienesta darbības efektivitāti” paveiktais -  definēti Kontroles dienesta stratēģiskie mērķi un uzdevumi, lai nodrošinātu tā darbības efektivitātes uzlabošanu un nacionālās sadarbības stiprināšanu, izvērtēta Kontroles dienesta programmnodrošinājuma efektivitāte un veikti secinājumi par nepieciešamajiem uzlabojumiem datu apstrādei, veicināta aizdomīgo vai neparasto darījumu ziņojumu kvalitāte, izveidotas divas papildus amata vietas,  samazināts Kontroles dienesta resursu patēriņš.</w:t>
      </w:r>
    </w:p>
    <w:p w14:paraId="293B7EA8" w14:textId="77777777" w:rsidR="00796432" w:rsidRPr="00664A91" w:rsidRDefault="00796432" w:rsidP="00796432">
      <w:pPr>
        <w:ind w:firstLine="720"/>
        <w:jc w:val="both"/>
        <w:rPr>
          <w:sz w:val="28"/>
          <w:szCs w:val="28"/>
        </w:rPr>
      </w:pPr>
      <w:r w:rsidRPr="00C93EFE">
        <w:rPr>
          <w:sz w:val="28"/>
          <w:szCs w:val="28"/>
        </w:rPr>
        <w:t>Piektajā rīcības virzienā “Stiprināt subjektu kapacitāti NILLTFN jomā” paveiktais - organizētas apmācības NILLTFN likuma subjektiem un to darbiniekiem.</w:t>
      </w:r>
      <w:r>
        <w:rPr>
          <w:sz w:val="28"/>
          <w:szCs w:val="28"/>
        </w:rPr>
        <w:t xml:space="preserve"> VID vismaz reizi mēnesī organizē un vada seminārus</w:t>
      </w:r>
      <w:r w:rsidRPr="007B26C3">
        <w:rPr>
          <w:sz w:val="28"/>
          <w:szCs w:val="28"/>
        </w:rPr>
        <w:t xml:space="preserve"> par NILLTFN likuma piemērošanu nodokļu maksātājiem un uzra</w:t>
      </w:r>
      <w:r>
        <w:rPr>
          <w:sz w:val="28"/>
          <w:szCs w:val="28"/>
        </w:rPr>
        <w:t>udzības institūciju pārstāvjiem, no 2017.gada janvāra līdz 2018. gada maijam notika 24 semināri. Finanšu ministrija noorganizēja Eiropas Komisijas Strukturālo reformu dienesta finansētas</w:t>
      </w:r>
      <w:r w:rsidRPr="00664A91">
        <w:rPr>
          <w:sz w:val="28"/>
          <w:szCs w:val="28"/>
        </w:rPr>
        <w:t xml:space="preserve"> apmācības par izpratnes stiprināšanu NILLN jomā nebanku sektoram (apmeklēja 126 dalībnieki)</w:t>
      </w:r>
      <w:r>
        <w:rPr>
          <w:sz w:val="28"/>
          <w:szCs w:val="28"/>
        </w:rPr>
        <w:t>. 2018.gadā Izložu un azartspēļu uzraudzības inspekcija</w:t>
      </w:r>
      <w:r w:rsidRPr="00BB2D97">
        <w:rPr>
          <w:sz w:val="28"/>
          <w:szCs w:val="28"/>
        </w:rPr>
        <w:t xml:space="preserve"> sadarbībā ar Kontroles dienestu azartspēļu un izložu organizētājiem organizēja praktiskās nodarbības par ziņošanas kārtību, kvalitātes uzlabošanu un biežāko kļūdu analīzi un to mazināšanu vai novēršanu.</w:t>
      </w:r>
      <w:r>
        <w:rPr>
          <w:sz w:val="28"/>
          <w:szCs w:val="28"/>
        </w:rPr>
        <w:t xml:space="preserve"> Latvijas Bankas</w:t>
      </w:r>
      <w:r w:rsidRPr="00BB2D97">
        <w:rPr>
          <w:sz w:val="28"/>
          <w:szCs w:val="28"/>
        </w:rPr>
        <w:t xml:space="preserve"> organizētajā seminārā 2017. gada novembrī valūtas maiņas kapitālsabiedrību pārstāvji tika informēti par aktualitātēm NILLTFN jomā, t.sk. skaidrojot NILLTFN prasību piemērošanu sektorā.</w:t>
      </w:r>
      <w:r>
        <w:rPr>
          <w:sz w:val="28"/>
          <w:szCs w:val="28"/>
        </w:rPr>
        <w:t xml:space="preserve"> </w:t>
      </w:r>
    </w:p>
    <w:p w14:paraId="6A76B052" w14:textId="77777777" w:rsidR="00796432" w:rsidRPr="004B60BF" w:rsidRDefault="00796432" w:rsidP="00796432">
      <w:pPr>
        <w:ind w:firstLine="709"/>
        <w:jc w:val="both"/>
        <w:rPr>
          <w:sz w:val="28"/>
          <w:szCs w:val="28"/>
        </w:rPr>
      </w:pPr>
      <w:r w:rsidRPr="00C93EFE">
        <w:rPr>
          <w:sz w:val="28"/>
          <w:szCs w:val="28"/>
        </w:rPr>
        <w:t>Sestajā rīcības virzienā “Stiprināt uzraudzības un kontroles institūciju kapacitāti NILLTFN jomā” paveiktais -  veiktas izmaiņas Valsts ieņēmumu dienesta struktūrā, izveidojot struktūrvienību ar 21 amata vietām, tajā skaitā 10 jaunas amata vietas, palielināts klātienes uzraudzības pārbaužu skaits; Izložu un azartspēļu uzraudzības inspekcijā izveidota jauna amata vieta ar specializāciju NILLTFN jautājumos; Patērētāju tiesību aizsardzības centrā izveidota jauna nodaļa, kuras pienākumos ietilps Patērētāju tiesību aizsardzības centra licencēto komercsabiedrību uzraudzība NILLTFN jomā, izveidotas 8 jaunas amata vietas, ieviesta un īstenota uz risku balstīta pieeja uzraudzībā, izstrādātas un aktualizētas vadlīnijas par tipoloģijām; Finanšu un kapitāla tirgus komisija ir veikusi kredītiestāžu jauno IT darījumu uzraudzības sistēmas efektivitātes pārbaudi pēc to ieviešanas, paaugstināta uzraudzības procesu efektivitāte</w:t>
      </w:r>
      <w:r>
        <w:rPr>
          <w:sz w:val="28"/>
          <w:szCs w:val="28"/>
        </w:rPr>
        <w:t>.</w:t>
      </w:r>
    </w:p>
    <w:p w14:paraId="665729F4" w14:textId="77777777" w:rsidR="00796432" w:rsidRDefault="00796432" w:rsidP="00796432">
      <w:pPr>
        <w:ind w:firstLine="709"/>
        <w:jc w:val="both"/>
        <w:rPr>
          <w:sz w:val="28"/>
          <w:szCs w:val="28"/>
        </w:rPr>
      </w:pPr>
      <w:r w:rsidRPr="00BD42F9">
        <w:rPr>
          <w:sz w:val="28"/>
          <w:szCs w:val="28"/>
        </w:rPr>
        <w:lastRenderedPageBreak/>
        <w:t>ASV Finanšu ministrijas Finanšu noziegumu apkarošanas tīkls (turpmāk – FinCEN) š.g. 13.februārī publicēja lēmuma projektu par īpašu pasākumu piemērošanu akciju sabiedrībai “ABLV Bank”, ar kuru paredz aizliegt ASV finanšu iestādēm atvērt vai uzturēt korespondējošās attiecībās ar akciju sabiedrību “ABLV Bank” (turpmāk – ABLV) vai tās vārdā</w:t>
      </w:r>
      <w:r>
        <w:rPr>
          <w:sz w:val="28"/>
          <w:szCs w:val="28"/>
        </w:rPr>
        <w:t xml:space="preserve">. </w:t>
      </w:r>
      <w:r w:rsidRPr="00BD42F9">
        <w:rPr>
          <w:sz w:val="28"/>
          <w:szCs w:val="28"/>
        </w:rPr>
        <w:t>FinCEN ziņojumā</w:t>
      </w:r>
      <w:r>
        <w:rPr>
          <w:sz w:val="28"/>
          <w:szCs w:val="28"/>
        </w:rPr>
        <w:t xml:space="preserve"> bija ietverta </w:t>
      </w:r>
      <w:r w:rsidRPr="00BD42F9">
        <w:rPr>
          <w:sz w:val="28"/>
          <w:szCs w:val="28"/>
        </w:rPr>
        <w:t xml:space="preserve">virkne </w:t>
      </w:r>
      <w:r>
        <w:rPr>
          <w:sz w:val="28"/>
          <w:szCs w:val="28"/>
        </w:rPr>
        <w:t xml:space="preserve">ļoti būtisku pārmetumu, tostarp, ka </w:t>
      </w:r>
      <w:r w:rsidRPr="00C52392">
        <w:rPr>
          <w:sz w:val="28"/>
          <w:szCs w:val="28"/>
        </w:rPr>
        <w:t>ABLV vadība, akcionāri un darbinieki ir pārvērtuši noziedzīgi iegūtu līdzekļu legalizāciju par vi</w:t>
      </w:r>
      <w:r>
        <w:rPr>
          <w:sz w:val="28"/>
          <w:szCs w:val="28"/>
        </w:rPr>
        <w:t xml:space="preserve">enu no bankas biznesa pīlāriem un ka </w:t>
      </w:r>
      <w:r w:rsidRPr="00BD42F9">
        <w:rPr>
          <w:sz w:val="28"/>
          <w:szCs w:val="28"/>
        </w:rPr>
        <w:t>ABLV ir tikusi izmantota noziedzīgi finanšu aktivitāšu ietvaros, tai skaitā veikti darījumi ar pusēm, kas ir saistītas ar ASV un ANO sankciju sarakstā esošām institūcijām.</w:t>
      </w:r>
    </w:p>
    <w:p w14:paraId="38F1729F" w14:textId="77777777" w:rsidR="00796432" w:rsidRDefault="00796432" w:rsidP="00796432">
      <w:pPr>
        <w:ind w:firstLine="709"/>
        <w:jc w:val="both"/>
        <w:rPr>
          <w:sz w:val="28"/>
          <w:szCs w:val="28"/>
        </w:rPr>
      </w:pPr>
      <w:r>
        <w:rPr>
          <w:sz w:val="28"/>
          <w:szCs w:val="28"/>
        </w:rPr>
        <w:t xml:space="preserve">Lai arī pēdējo gadu laikā jau ir nozīmīgi stiprināts noziedzīgi iegūtu līdzekļu legalizācijas un terorisma finansēšanas normatīvais ietvars, FinCEN paziņojums norādīja uz to, ka ir nepieciešams vēl aktīvāk vērsties pret iespējām izmantot Latvijas finanšu sistēmu noziedzīgiem mērķiem. Ņemot vērā nepieciešamību pēc ātras un koordinētas rīcības Finanšu sektora attīstības padome, kas ir augstākā līmeņa politikas koordinācijas grupa finanšu sektora attīstības un noziedzīgi iegūtu līdzekļu legalizācijas un terorisma finansēšanas novēršanas jomā, 2018.gada 21.marta sēdē apstiprināja papildu pasākumus finanšu sektora noziedzīgi iegūtu līdzekļu legalizācijas un terorisma finansēšanas novēršanas atbilstības līmeņa paaugstināšanai, tostarp steidzamības kārtā īstenojamus pasākumus uz risku balstītas uzraudzības pasākumu pilnveidošanai un augsta riska biznesa modeļu straujākai pārskatīšanai, uzraugošo, kontrolējošo un izmeklējošo iestāžu kapacitātes stiprināšanai, kā arī informācijas apmaiņas mehānismu uzlabošanai starp finanšu sektoru un valsti. Daļa no </w:t>
      </w:r>
      <w:r w:rsidRPr="004B60BF">
        <w:rPr>
          <w:sz w:val="28"/>
          <w:szCs w:val="28"/>
        </w:rPr>
        <w:t>papildu pasākumiem finanšu sektora noziedzīgi iegūtu līdzekļu legalizācijas un terorisma finansēšanas novēršanas atbilstības līmeņa paaugstināšanai</w:t>
      </w:r>
      <w:r>
        <w:rPr>
          <w:sz w:val="28"/>
          <w:szCs w:val="28"/>
        </w:rPr>
        <w:t xml:space="preserve"> ir jau izpildīti:</w:t>
      </w:r>
    </w:p>
    <w:p w14:paraId="21C716B4" w14:textId="77777777" w:rsidR="00796432" w:rsidRDefault="00796432" w:rsidP="00796432">
      <w:pPr>
        <w:pStyle w:val="ListParagraph"/>
        <w:numPr>
          <w:ilvl w:val="0"/>
          <w:numId w:val="31"/>
        </w:numPr>
        <w:jc w:val="both"/>
        <w:rPr>
          <w:sz w:val="28"/>
          <w:szCs w:val="28"/>
        </w:rPr>
      </w:pPr>
      <w:r w:rsidRPr="00C414DD">
        <w:rPr>
          <w:sz w:val="28"/>
          <w:szCs w:val="28"/>
        </w:rPr>
        <w:t>Augsta riska klientu finanšu operācij</w:t>
      </w:r>
      <w:r w:rsidRPr="002524BC">
        <w:rPr>
          <w:sz w:val="28"/>
          <w:szCs w:val="28"/>
        </w:rPr>
        <w:t xml:space="preserve">u pārtraukšana vai ierobežošana - </w:t>
      </w:r>
      <w:r w:rsidRPr="00C414DD">
        <w:rPr>
          <w:sz w:val="28"/>
          <w:szCs w:val="28"/>
        </w:rPr>
        <w:t xml:space="preserve">2018.gada 9.maijā stājās spēkā </w:t>
      </w:r>
      <w:r>
        <w:rPr>
          <w:sz w:val="28"/>
          <w:szCs w:val="28"/>
        </w:rPr>
        <w:t>g</w:t>
      </w:r>
      <w:r w:rsidRPr="00C414DD">
        <w:rPr>
          <w:sz w:val="28"/>
          <w:szCs w:val="28"/>
        </w:rPr>
        <w:t>rozījumi Noziedzīgi iegūtu līdzekļu legalizācijas un terorisma finansēšanas novēršanas likumā, kas paredz aizliegumu bankām un maksājumu iestādēm sadarbību ar čaulas veidojumiem, ja tie atbilst noteiktam pazīmju kopumam – nav ekonomiskas darbības un tas reģistrēts jurisdikcijā, kas neparedz finanšu pārskatu iesniegšanu</w:t>
      </w:r>
      <w:r w:rsidRPr="004B60BF">
        <w:rPr>
          <w:sz w:val="28"/>
          <w:szCs w:val="28"/>
        </w:rPr>
        <w:t xml:space="preserve">. </w:t>
      </w:r>
    </w:p>
    <w:p w14:paraId="6DBEC22B" w14:textId="77777777" w:rsidR="00796432" w:rsidRPr="00F42E56" w:rsidRDefault="00796432" w:rsidP="00796432">
      <w:pPr>
        <w:pStyle w:val="ListParagraph"/>
        <w:numPr>
          <w:ilvl w:val="0"/>
          <w:numId w:val="31"/>
        </w:numPr>
        <w:jc w:val="both"/>
        <w:rPr>
          <w:sz w:val="28"/>
          <w:szCs w:val="28"/>
        </w:rPr>
      </w:pPr>
      <w:r w:rsidRPr="004B60BF">
        <w:rPr>
          <w:sz w:val="28"/>
          <w:szCs w:val="28"/>
        </w:rPr>
        <w:t>Finanšu noziegumu atklā</w:t>
      </w:r>
      <w:r>
        <w:rPr>
          <w:sz w:val="28"/>
          <w:szCs w:val="28"/>
        </w:rPr>
        <w:t xml:space="preserve">šanas speciālo uzdevumu vienība - </w:t>
      </w:r>
      <w:r w:rsidRPr="00C414DD">
        <w:rPr>
          <w:sz w:val="28"/>
          <w:szCs w:val="28"/>
        </w:rPr>
        <w:t>2018.gada 9.maija Grozījumi Noziedzīgi iegūtu līdzekļu legalizācijas un terorisma finansēšanas novēršanas likumā paredz ieviest publisko un privāto partnerību cīņā ar finanšu noziegumiem. Grozījumi likumā paredz, ka Kontroles dienests, sasaucot sadarbības koordinācijas grupu, koordinē operatīvās darbības subjektu, izmeklēšanas iestāžu, prokuratūras, Valsts ieņēmumu dienesta</w:t>
      </w:r>
      <w:r w:rsidR="00214CAE">
        <w:rPr>
          <w:sz w:val="28"/>
          <w:szCs w:val="28"/>
        </w:rPr>
        <w:t>,</w:t>
      </w:r>
      <w:r w:rsidRPr="00C414DD">
        <w:rPr>
          <w:sz w:val="28"/>
          <w:szCs w:val="28"/>
        </w:rPr>
        <w:t xml:space="preserve"> k</w:t>
      </w:r>
      <w:r w:rsidRPr="00F42E56">
        <w:rPr>
          <w:sz w:val="28"/>
          <w:szCs w:val="28"/>
        </w:rPr>
        <w:t>ā arī likuma subjektu sadarbību;</w:t>
      </w:r>
    </w:p>
    <w:p w14:paraId="4A2BD01A" w14:textId="77777777" w:rsidR="00796432" w:rsidRPr="00F42E56" w:rsidRDefault="00796432" w:rsidP="00796432">
      <w:pPr>
        <w:pStyle w:val="ListParagraph"/>
        <w:numPr>
          <w:ilvl w:val="0"/>
          <w:numId w:val="31"/>
        </w:numPr>
        <w:jc w:val="both"/>
        <w:rPr>
          <w:sz w:val="28"/>
          <w:szCs w:val="28"/>
        </w:rPr>
      </w:pPr>
      <w:r w:rsidRPr="00F42E56">
        <w:rPr>
          <w:sz w:val="28"/>
          <w:szCs w:val="28"/>
        </w:rPr>
        <w:lastRenderedPageBreak/>
        <w:t>Informācijas apmaiņa ar Krieviju atbilstoši Globālajam standartam par automātisko informācijas apmaiņu par finanšu kontiem nodokļu jomā (CRS)</w:t>
      </w:r>
      <w:r>
        <w:rPr>
          <w:sz w:val="28"/>
          <w:szCs w:val="28"/>
        </w:rPr>
        <w:t xml:space="preserve"> - </w:t>
      </w:r>
      <w:r w:rsidRPr="00C414DD">
        <w:rPr>
          <w:sz w:val="28"/>
          <w:szCs w:val="28"/>
        </w:rPr>
        <w:t>2018.gada 10.aprīlī Ministru kabinetā tika apstiprināti grozījumi 2016.gada 5.janvāra noteikumos Nr.20 “Kārtība, kādā finanšu iestāde izpilda finanšu kontu pienācīgas pārbaudes procedūras un sniedz Valsts ieņēmumu dienestam i</w:t>
      </w:r>
      <w:r w:rsidRPr="00F42E56">
        <w:rPr>
          <w:sz w:val="28"/>
          <w:szCs w:val="28"/>
        </w:rPr>
        <w:t>nformāciju par finanšu kontiem”;</w:t>
      </w:r>
    </w:p>
    <w:p w14:paraId="0DDB3F41" w14:textId="77777777" w:rsidR="00796432" w:rsidRPr="00F42E56" w:rsidRDefault="00796432" w:rsidP="00796432">
      <w:pPr>
        <w:pStyle w:val="ListParagraph"/>
        <w:numPr>
          <w:ilvl w:val="0"/>
          <w:numId w:val="31"/>
        </w:numPr>
        <w:jc w:val="both"/>
        <w:rPr>
          <w:sz w:val="28"/>
          <w:szCs w:val="28"/>
        </w:rPr>
      </w:pPr>
      <w:r w:rsidRPr="00F42E56">
        <w:rPr>
          <w:sz w:val="28"/>
          <w:szCs w:val="28"/>
        </w:rPr>
        <w:t>Kon</w:t>
      </w:r>
      <w:r>
        <w:rPr>
          <w:sz w:val="28"/>
          <w:szCs w:val="28"/>
        </w:rPr>
        <w:t xml:space="preserve">troles dienesta vadītāja atlase - </w:t>
      </w:r>
      <w:r w:rsidRPr="00C414DD">
        <w:rPr>
          <w:sz w:val="28"/>
          <w:szCs w:val="28"/>
        </w:rPr>
        <w:t>Kontroles dienesta priekšnieka amatu no 2018.g</w:t>
      </w:r>
      <w:r w:rsidRPr="00F42E56">
        <w:rPr>
          <w:sz w:val="28"/>
          <w:szCs w:val="28"/>
        </w:rPr>
        <w:t>ada 1.jūnija ieņem Ilze Znotiņa;</w:t>
      </w:r>
    </w:p>
    <w:p w14:paraId="2F1650DE" w14:textId="77777777" w:rsidR="00796432" w:rsidRDefault="00796432" w:rsidP="00796432">
      <w:pPr>
        <w:pStyle w:val="ListParagraph"/>
        <w:numPr>
          <w:ilvl w:val="0"/>
          <w:numId w:val="31"/>
        </w:numPr>
        <w:jc w:val="both"/>
        <w:rPr>
          <w:sz w:val="28"/>
          <w:szCs w:val="28"/>
        </w:rPr>
      </w:pPr>
      <w:r w:rsidRPr="00F42E56">
        <w:rPr>
          <w:sz w:val="28"/>
          <w:szCs w:val="28"/>
        </w:rPr>
        <w:t>Starptautisko sankciju regulējuma pilnveidošana</w:t>
      </w:r>
      <w:r>
        <w:rPr>
          <w:sz w:val="28"/>
          <w:szCs w:val="28"/>
        </w:rPr>
        <w:t xml:space="preserve"> - </w:t>
      </w:r>
      <w:r w:rsidRPr="00C414DD">
        <w:rPr>
          <w:sz w:val="28"/>
          <w:szCs w:val="28"/>
        </w:rPr>
        <w:t>Grozījumi Starptautisko un Latvijas Republikas nacionālo sankciju likumā tika apstiprināti Saeimā 2018.gada 21.jūnijā un s</w:t>
      </w:r>
      <w:r w:rsidRPr="00F42E56">
        <w:rPr>
          <w:sz w:val="28"/>
          <w:szCs w:val="28"/>
        </w:rPr>
        <w:t>tājās spēkā 2018.gada 12.jūlijā;</w:t>
      </w:r>
    </w:p>
    <w:p w14:paraId="06292D98" w14:textId="77777777" w:rsidR="00796432" w:rsidRPr="00C414DD" w:rsidRDefault="00796432" w:rsidP="00796432">
      <w:pPr>
        <w:pStyle w:val="ListParagraph"/>
        <w:numPr>
          <w:ilvl w:val="0"/>
          <w:numId w:val="31"/>
        </w:numPr>
        <w:jc w:val="both"/>
        <w:rPr>
          <w:sz w:val="28"/>
          <w:szCs w:val="28"/>
        </w:rPr>
      </w:pPr>
      <w:r w:rsidRPr="00F42E56">
        <w:rPr>
          <w:sz w:val="28"/>
          <w:szCs w:val="28"/>
        </w:rPr>
        <w:t>Prasības kredītiestāžu darbiniekiem.</w:t>
      </w:r>
      <w:r>
        <w:rPr>
          <w:sz w:val="28"/>
          <w:szCs w:val="28"/>
        </w:rPr>
        <w:t xml:space="preserve"> </w:t>
      </w:r>
      <w:r w:rsidRPr="00F42E56">
        <w:rPr>
          <w:sz w:val="28"/>
          <w:szCs w:val="28"/>
        </w:rPr>
        <w:t>Ierobežojumi kļūt par kredītiestādes valdes locekli, valdes priekšsēdētāju vai padomes priekšsēdētāju.  Informācijas apmaiņas uzlabošana starp kredītiestā</w:t>
      </w:r>
      <w:r>
        <w:rPr>
          <w:sz w:val="28"/>
          <w:szCs w:val="28"/>
        </w:rPr>
        <w:t xml:space="preserve">dēm un Valsts ieņēmumu dienestu -  </w:t>
      </w:r>
      <w:r w:rsidRPr="00F42E56">
        <w:rPr>
          <w:sz w:val="28"/>
          <w:szCs w:val="28"/>
        </w:rPr>
        <w:t xml:space="preserve">Likumprojekts “Grozījumi Kredītiestāžu likumā” </w:t>
      </w:r>
      <w:r>
        <w:rPr>
          <w:sz w:val="28"/>
          <w:szCs w:val="28"/>
        </w:rPr>
        <w:t xml:space="preserve">tika </w:t>
      </w:r>
      <w:r w:rsidRPr="00F42E56">
        <w:rPr>
          <w:sz w:val="28"/>
          <w:szCs w:val="28"/>
        </w:rPr>
        <w:t>apstiprināts Ministr</w:t>
      </w:r>
      <w:r>
        <w:rPr>
          <w:sz w:val="28"/>
          <w:szCs w:val="28"/>
        </w:rPr>
        <w:t>u kabinetā 2018.gada 19.jūnijā un t</w:t>
      </w:r>
      <w:r w:rsidRPr="00F42E56">
        <w:rPr>
          <w:sz w:val="28"/>
          <w:szCs w:val="28"/>
        </w:rPr>
        <w:t xml:space="preserve">iek plānots, ka Saeima likumprojektu </w:t>
      </w:r>
      <w:r w:rsidR="00214CAE">
        <w:rPr>
          <w:sz w:val="28"/>
          <w:szCs w:val="28"/>
        </w:rPr>
        <w:t xml:space="preserve">turpinās skatīt </w:t>
      </w:r>
      <w:r w:rsidRPr="00F42E56">
        <w:rPr>
          <w:sz w:val="28"/>
          <w:szCs w:val="28"/>
        </w:rPr>
        <w:t xml:space="preserve">septembrī.  </w:t>
      </w:r>
      <w:r w:rsidRPr="00C414DD">
        <w:rPr>
          <w:sz w:val="28"/>
          <w:szCs w:val="28"/>
        </w:rPr>
        <w:t>Lai pārbaudītu kredītiestādēs strādāt gribošo un strādājošo personu atbilstību darba pienākumiem un nodrošinātu sabiedrības uzticību finanšu sektoram, kā arī mazinātu riskus, ka negodprātīgi darbinieki iesaistītu kredītiestādi noziedzīgās darbībās, šajā likumprojektā ir noteikts, ka finanšu pakalpojumu sniegšanā tieši iesaistītas personas nedrīkstēs būt sodītas par tīša noziedzīga nodarījuma izdarīšanu (kamēr sodāmība nav dzēsta vai noņemta) vai tādas personas, kurām ir aktīvs maksātnespējas process. Vienlaikus likumprojektā ir iekļauta norma par aizliegumu kredītiestādes akcionāram – fiziskai personai ar tiešu v</w:t>
      </w:r>
      <w:r w:rsidRPr="00517D1B">
        <w:rPr>
          <w:sz w:val="28"/>
          <w:szCs w:val="28"/>
        </w:rPr>
        <w:t>ai netiešu būtisku līdzdalību (</w:t>
      </w:r>
      <w:r>
        <w:rPr>
          <w:sz w:val="28"/>
          <w:szCs w:val="28"/>
        </w:rPr>
        <w:t>1</w:t>
      </w:r>
      <w:r w:rsidRPr="00C414DD">
        <w:rPr>
          <w:sz w:val="28"/>
          <w:szCs w:val="28"/>
        </w:rPr>
        <w:t>0%</w:t>
      </w:r>
      <w:r>
        <w:rPr>
          <w:sz w:val="28"/>
          <w:szCs w:val="28"/>
        </w:rPr>
        <w:t xml:space="preserve"> un vairāk</w:t>
      </w:r>
      <w:r w:rsidRPr="00C414DD">
        <w:rPr>
          <w:sz w:val="28"/>
          <w:szCs w:val="28"/>
        </w:rPr>
        <w:t>) aizliegums būt par šīs pašas kredītiestādes valde</w:t>
      </w:r>
      <w:r w:rsidRPr="00517D1B">
        <w:rPr>
          <w:sz w:val="28"/>
          <w:szCs w:val="28"/>
        </w:rPr>
        <w:t>s locekli, valdes priekšsēdētāju</w:t>
      </w:r>
      <w:r w:rsidRPr="00C414DD">
        <w:rPr>
          <w:sz w:val="28"/>
          <w:szCs w:val="28"/>
        </w:rPr>
        <w:t xml:space="preserve"> vai kredītiestādes augstākajā vadībā ietilpstošu darbinieku. </w:t>
      </w:r>
    </w:p>
    <w:p w14:paraId="74C6C4A2" w14:textId="77777777" w:rsidR="00796432" w:rsidRDefault="00796432" w:rsidP="00796432">
      <w:pPr>
        <w:ind w:firstLine="709"/>
        <w:jc w:val="both"/>
        <w:rPr>
          <w:sz w:val="28"/>
          <w:szCs w:val="28"/>
        </w:rPr>
      </w:pPr>
      <w:r>
        <w:rPr>
          <w:sz w:val="28"/>
          <w:szCs w:val="28"/>
        </w:rPr>
        <w:t>2018.gada 4.jūlijā Eiropas Padomes Money</w:t>
      </w:r>
      <w:r w:rsidR="00214CAE">
        <w:rPr>
          <w:sz w:val="28"/>
          <w:szCs w:val="28"/>
        </w:rPr>
        <w:t>v</w:t>
      </w:r>
      <w:r>
        <w:rPr>
          <w:sz w:val="28"/>
          <w:szCs w:val="28"/>
        </w:rPr>
        <w:t>al komitejas plenārsēdē tika apstiprināts 5.kārtas ziņojums par Latvijas noziedzīgi iegūtu līdzekļu legalizācijas un terorisma novēršanas sistēmas efektivitāti, kurš tika publicēts 2018.gada 23.augustā. Šo novērtējumu, atbilstoši starptautiskajiem Finanšu darījumu darba grupas (FATF) standartiem veica Eiropas Padomes Moneyval komitejas eksperti vizītes laikā no 2017.gada 30.oktobra līdz 8.novembrim, līdz ar to ziņojumā ir ietverta situācijas analīze, balstoties uz to regulējumu un darbības rezultātiem, kādi bija 2017.gada 8.novembrī. 5.kārtas ietvaros pirmo reizi Moneyval komitejas dalībvalstis tiek vērtētas ne tikai attiecībā uz to normatīvo aktu atbilstību FATF standartiem, bet arī, vērtējot sistēmas efektivitāti. Tādējādi ziņojums sniedz novērtējumu par Latvijas atbilstību FATF 40</w:t>
      </w:r>
      <w:r w:rsidR="00214CAE">
        <w:rPr>
          <w:sz w:val="28"/>
          <w:szCs w:val="28"/>
        </w:rPr>
        <w:t xml:space="preserve"> </w:t>
      </w:r>
      <w:r>
        <w:rPr>
          <w:sz w:val="28"/>
          <w:szCs w:val="28"/>
        </w:rPr>
        <w:t xml:space="preserve">rekomendācijām, kā arī novērtē sistēmas efektivitāti atbilstoši 11 efektivitātes rādītājiem. </w:t>
      </w:r>
    </w:p>
    <w:p w14:paraId="08725F56" w14:textId="77777777" w:rsidR="00796432" w:rsidRDefault="00796432" w:rsidP="00796432">
      <w:pPr>
        <w:tabs>
          <w:tab w:val="left" w:pos="1152"/>
        </w:tabs>
        <w:ind w:firstLine="709"/>
        <w:jc w:val="both"/>
        <w:rPr>
          <w:sz w:val="28"/>
          <w:szCs w:val="28"/>
        </w:rPr>
      </w:pPr>
      <w:r>
        <w:rPr>
          <w:sz w:val="28"/>
          <w:szCs w:val="28"/>
        </w:rPr>
        <w:lastRenderedPageBreak/>
        <w:t xml:space="preserve">Moneyval ziņojumā ir atzīts, ka kopš 4.kārtas vērtējuma 2012.gadā Latvija ir veikusi virkni būtisku pasākumu, stiprinot tās NILLTF novēršanas sistēmu, tomēr joprojām ir atsevišķas nepilnības tehniskajā atbilstībā. Vērtējot sistēmas efektivitāti, Moneyval atzīst, ka ir panākta </w:t>
      </w:r>
      <w:r w:rsidR="00214CAE">
        <w:rPr>
          <w:sz w:val="28"/>
          <w:szCs w:val="28"/>
        </w:rPr>
        <w:t>augsta</w:t>
      </w:r>
      <w:r>
        <w:rPr>
          <w:sz w:val="28"/>
          <w:szCs w:val="28"/>
        </w:rPr>
        <w:t xml:space="preserve"> efektivitāte starptautiskās sadarbības jomā, savukārt juridisko personu un veidojumu, kā arī proliferācijas sankciju jomā efektivitāte ir zema. Pārējos efektivitātes rādītājos efektivitāte novērtēta kā vidēja. Ņemot vērā to, ka Latvijai desmit no 11 efektivitātes rādītājos efektivitāte ir novērtēta kā vidēja vai zema, Latvijai ir noteikts pastiprinātās ziņošanas režīms, kas nozīmē, ka progresa ziņojums būs jāsniedz jau nākamā gada nogalē. Īsa informācija par Moneyval novērtējumu efektivitātes rādītājiem (IO) ir atainota zemāk:</w:t>
      </w:r>
    </w:p>
    <w:p w14:paraId="26C009AF" w14:textId="77777777" w:rsidR="00796432" w:rsidRDefault="00796432" w:rsidP="00796432">
      <w:pPr>
        <w:tabs>
          <w:tab w:val="left" w:pos="1152"/>
        </w:tabs>
        <w:jc w:val="both"/>
        <w:rPr>
          <w:sz w:val="28"/>
          <w:szCs w:val="28"/>
        </w:rPr>
      </w:pPr>
    </w:p>
    <w:p w14:paraId="30405531" w14:textId="77777777" w:rsidR="000D0FCD" w:rsidRPr="000D0FCD" w:rsidRDefault="000D0FCD" w:rsidP="00C94E2B">
      <w:pPr>
        <w:tabs>
          <w:tab w:val="left" w:pos="1152"/>
        </w:tabs>
        <w:jc w:val="center"/>
        <w:rPr>
          <w:b/>
          <w:sz w:val="28"/>
          <w:szCs w:val="28"/>
        </w:rPr>
      </w:pPr>
      <w:r w:rsidRPr="000D0FCD">
        <w:rPr>
          <w:b/>
          <w:sz w:val="28"/>
          <w:szCs w:val="28"/>
        </w:rPr>
        <w:t>3.tabula – Moneyval novērtējums efektivitātes rādītājiem</w:t>
      </w:r>
      <w:r>
        <w:rPr>
          <w:b/>
          <w:sz w:val="28"/>
          <w:szCs w:val="28"/>
        </w:rPr>
        <w:t xml:space="preserve"> (IO)</w:t>
      </w:r>
    </w:p>
    <w:p w14:paraId="2F1111BE" w14:textId="77777777" w:rsidR="000D0FCD" w:rsidRDefault="000D0FCD" w:rsidP="00796432">
      <w:pPr>
        <w:tabs>
          <w:tab w:val="left" w:pos="1152"/>
        </w:tabs>
        <w:jc w:val="both"/>
        <w:rPr>
          <w:sz w:val="28"/>
          <w:szCs w:val="28"/>
        </w:rPr>
      </w:pPr>
    </w:p>
    <w:tbl>
      <w:tblPr>
        <w:tblpPr w:leftFromText="180" w:rightFromText="180" w:vertAnchor="text" w:horzAnchor="margin" w:tblpXSpec="center" w:tblpY="196"/>
        <w:tblOverlap w:val="never"/>
        <w:tblW w:w="8212" w:type="dxa"/>
        <w:tblCellMar>
          <w:left w:w="0" w:type="dxa"/>
          <w:right w:w="0" w:type="dxa"/>
        </w:tblCellMar>
        <w:tblLook w:val="0600" w:firstRow="0" w:lastRow="0" w:firstColumn="0" w:lastColumn="0" w:noHBand="1" w:noVBand="1"/>
      </w:tblPr>
      <w:tblGrid>
        <w:gridCol w:w="4980"/>
        <w:gridCol w:w="3232"/>
      </w:tblGrid>
      <w:tr w:rsidR="00796432" w:rsidRPr="00B75AA9" w14:paraId="7DAAF65E" w14:textId="77777777" w:rsidTr="0077246A">
        <w:trPr>
          <w:trHeight w:val="794"/>
        </w:trPr>
        <w:tc>
          <w:tcPr>
            <w:tcW w:w="4980" w:type="dxa"/>
            <w:tcBorders>
              <w:top w:val="single" w:sz="8" w:space="0" w:color="FFFFFF"/>
              <w:left w:val="single" w:sz="8" w:space="0" w:color="FFFFFF"/>
              <w:bottom w:val="single" w:sz="8" w:space="0" w:color="FFFFFF"/>
              <w:right w:val="single" w:sz="8" w:space="0" w:color="FFFFFF"/>
            </w:tcBorders>
            <w:shd w:val="clear" w:color="auto" w:fill="D6D6F5"/>
            <w:tcMar>
              <w:top w:w="15" w:type="dxa"/>
              <w:left w:w="15" w:type="dxa"/>
              <w:bottom w:w="0" w:type="dxa"/>
              <w:right w:w="15" w:type="dxa"/>
            </w:tcMar>
            <w:vAlign w:val="center"/>
            <w:hideMark/>
          </w:tcPr>
          <w:p w14:paraId="3CE270CD" w14:textId="77777777" w:rsidR="00796432" w:rsidRPr="00B75AA9" w:rsidRDefault="00796432" w:rsidP="0077246A">
            <w:pPr>
              <w:tabs>
                <w:tab w:val="left" w:pos="1152"/>
              </w:tabs>
              <w:ind w:firstLine="709"/>
              <w:jc w:val="both"/>
              <w:rPr>
                <w:sz w:val="28"/>
                <w:szCs w:val="28"/>
              </w:rPr>
            </w:pPr>
            <w:r w:rsidRPr="00B75AA9">
              <w:rPr>
                <w:b/>
                <w:bCs/>
                <w:sz w:val="28"/>
                <w:szCs w:val="28"/>
              </w:rPr>
              <w:t>Efektivitātes rādītājs</w:t>
            </w:r>
          </w:p>
        </w:tc>
        <w:tc>
          <w:tcPr>
            <w:tcW w:w="3232" w:type="dxa"/>
            <w:tcBorders>
              <w:top w:val="single" w:sz="8" w:space="0" w:color="FFFFFF"/>
              <w:left w:val="single" w:sz="8" w:space="0" w:color="FFFFFF"/>
              <w:bottom w:val="single" w:sz="8" w:space="0" w:color="FFFFFF"/>
              <w:right w:val="single" w:sz="8" w:space="0" w:color="FFFFFF"/>
            </w:tcBorders>
            <w:shd w:val="clear" w:color="auto" w:fill="D6D6F5"/>
            <w:tcMar>
              <w:top w:w="15" w:type="dxa"/>
              <w:left w:w="15" w:type="dxa"/>
              <w:bottom w:w="0" w:type="dxa"/>
              <w:right w:w="15" w:type="dxa"/>
            </w:tcMar>
            <w:vAlign w:val="center"/>
            <w:hideMark/>
          </w:tcPr>
          <w:p w14:paraId="560E4CF3" w14:textId="77777777" w:rsidR="00796432" w:rsidRPr="00B75AA9" w:rsidRDefault="00796432" w:rsidP="0077246A">
            <w:pPr>
              <w:tabs>
                <w:tab w:val="left" w:pos="1152"/>
              </w:tabs>
              <w:jc w:val="both"/>
              <w:rPr>
                <w:sz w:val="28"/>
                <w:szCs w:val="28"/>
              </w:rPr>
            </w:pPr>
            <w:r w:rsidRPr="00B75AA9">
              <w:rPr>
                <w:b/>
                <w:bCs/>
                <w:sz w:val="28"/>
                <w:szCs w:val="28"/>
              </w:rPr>
              <w:t>Moneyval novērtējums</w:t>
            </w:r>
          </w:p>
        </w:tc>
      </w:tr>
      <w:tr w:rsidR="00796432" w:rsidRPr="00B75AA9" w14:paraId="3DE0F847" w14:textId="77777777" w:rsidTr="0077246A">
        <w:trPr>
          <w:trHeight w:val="680"/>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14:paraId="22BA6A2A" w14:textId="77777777" w:rsidR="00796432" w:rsidRPr="00B75AA9" w:rsidRDefault="00796432" w:rsidP="0077246A">
            <w:pPr>
              <w:tabs>
                <w:tab w:val="left" w:pos="1152"/>
              </w:tabs>
              <w:ind w:firstLine="709"/>
              <w:jc w:val="both"/>
              <w:rPr>
                <w:sz w:val="28"/>
                <w:szCs w:val="28"/>
              </w:rPr>
            </w:pPr>
            <w:r w:rsidRPr="00B75AA9">
              <w:rPr>
                <w:sz w:val="28"/>
                <w:szCs w:val="28"/>
              </w:rPr>
              <w:t>IO.1 NILLTFN risku novērtējums, politika un koordinācija</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14:paraId="64878407" w14:textId="77777777" w:rsidR="00796432" w:rsidRPr="00B75AA9" w:rsidRDefault="00796432" w:rsidP="0077246A">
            <w:pPr>
              <w:tabs>
                <w:tab w:val="left" w:pos="1152"/>
              </w:tabs>
              <w:ind w:firstLine="709"/>
              <w:jc w:val="both"/>
              <w:rPr>
                <w:sz w:val="28"/>
                <w:szCs w:val="28"/>
              </w:rPr>
            </w:pPr>
            <w:r w:rsidRPr="00B75AA9">
              <w:rPr>
                <w:sz w:val="28"/>
                <w:szCs w:val="28"/>
              </w:rPr>
              <w:t>vidējs</w:t>
            </w:r>
          </w:p>
        </w:tc>
      </w:tr>
      <w:tr w:rsidR="00796432" w:rsidRPr="00B75AA9" w14:paraId="70E5106A" w14:textId="77777777"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60C99C"/>
            <w:tcMar>
              <w:top w:w="15" w:type="dxa"/>
              <w:left w:w="15" w:type="dxa"/>
              <w:bottom w:w="0" w:type="dxa"/>
              <w:right w:w="15" w:type="dxa"/>
            </w:tcMar>
            <w:hideMark/>
          </w:tcPr>
          <w:p w14:paraId="7AA19FAB" w14:textId="77777777" w:rsidR="00796432" w:rsidRPr="00B75AA9" w:rsidRDefault="00796432" w:rsidP="0077246A">
            <w:pPr>
              <w:tabs>
                <w:tab w:val="left" w:pos="1152"/>
              </w:tabs>
              <w:ind w:firstLine="709"/>
              <w:jc w:val="both"/>
              <w:rPr>
                <w:sz w:val="28"/>
                <w:szCs w:val="28"/>
              </w:rPr>
            </w:pPr>
            <w:r w:rsidRPr="00B75AA9">
              <w:rPr>
                <w:sz w:val="28"/>
                <w:szCs w:val="28"/>
              </w:rPr>
              <w:t>IO.2 Starptautiskā sadarbība</w:t>
            </w:r>
          </w:p>
        </w:tc>
        <w:tc>
          <w:tcPr>
            <w:tcW w:w="3232" w:type="dxa"/>
            <w:tcBorders>
              <w:top w:val="single" w:sz="8" w:space="0" w:color="FFFFFF"/>
              <w:left w:val="single" w:sz="8" w:space="0" w:color="FFFFFF"/>
              <w:bottom w:val="single" w:sz="8" w:space="0" w:color="FFFFFF"/>
              <w:right w:val="single" w:sz="8" w:space="0" w:color="FFFFFF"/>
            </w:tcBorders>
            <w:shd w:val="clear" w:color="auto" w:fill="60C99C"/>
            <w:tcMar>
              <w:top w:w="15" w:type="dxa"/>
              <w:left w:w="15" w:type="dxa"/>
              <w:bottom w:w="0" w:type="dxa"/>
              <w:right w:w="15" w:type="dxa"/>
            </w:tcMar>
            <w:vAlign w:val="center"/>
            <w:hideMark/>
          </w:tcPr>
          <w:p w14:paraId="25776832" w14:textId="77777777" w:rsidR="00796432" w:rsidRPr="00B75AA9" w:rsidRDefault="00796432" w:rsidP="0077246A">
            <w:pPr>
              <w:tabs>
                <w:tab w:val="left" w:pos="1152"/>
              </w:tabs>
              <w:ind w:firstLine="709"/>
              <w:jc w:val="both"/>
              <w:rPr>
                <w:sz w:val="28"/>
                <w:szCs w:val="28"/>
              </w:rPr>
            </w:pPr>
            <w:r w:rsidRPr="00B75AA9">
              <w:rPr>
                <w:sz w:val="28"/>
                <w:szCs w:val="28"/>
              </w:rPr>
              <w:t>augsts</w:t>
            </w:r>
          </w:p>
        </w:tc>
      </w:tr>
      <w:tr w:rsidR="00796432" w:rsidRPr="00B75AA9" w14:paraId="4A7F392F" w14:textId="77777777"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14:paraId="1EB3B2F0" w14:textId="77777777" w:rsidR="00796432" w:rsidRPr="00B75AA9" w:rsidRDefault="00796432" w:rsidP="0077246A">
            <w:pPr>
              <w:tabs>
                <w:tab w:val="left" w:pos="1152"/>
              </w:tabs>
              <w:ind w:firstLine="709"/>
              <w:jc w:val="both"/>
              <w:rPr>
                <w:sz w:val="28"/>
                <w:szCs w:val="28"/>
              </w:rPr>
            </w:pPr>
            <w:r w:rsidRPr="00B75AA9">
              <w:rPr>
                <w:sz w:val="28"/>
                <w:szCs w:val="28"/>
              </w:rPr>
              <w:t>IO.3 Uzraudzība</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14:paraId="6EE4618C" w14:textId="77777777" w:rsidR="00796432" w:rsidRPr="00B75AA9" w:rsidRDefault="00796432" w:rsidP="0077246A">
            <w:pPr>
              <w:tabs>
                <w:tab w:val="left" w:pos="1152"/>
              </w:tabs>
              <w:ind w:firstLine="709"/>
              <w:jc w:val="both"/>
              <w:rPr>
                <w:sz w:val="28"/>
                <w:szCs w:val="28"/>
              </w:rPr>
            </w:pPr>
            <w:r w:rsidRPr="00B75AA9">
              <w:rPr>
                <w:sz w:val="28"/>
                <w:szCs w:val="28"/>
              </w:rPr>
              <w:t>vidējs</w:t>
            </w:r>
          </w:p>
        </w:tc>
      </w:tr>
      <w:tr w:rsidR="00796432" w:rsidRPr="00B75AA9" w14:paraId="31AB5ABD" w14:textId="77777777"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14:paraId="0DC1ADB3" w14:textId="77777777" w:rsidR="00796432" w:rsidRPr="00B75AA9" w:rsidRDefault="00796432" w:rsidP="0077246A">
            <w:pPr>
              <w:tabs>
                <w:tab w:val="left" w:pos="1152"/>
              </w:tabs>
              <w:ind w:firstLine="709"/>
              <w:jc w:val="both"/>
              <w:rPr>
                <w:sz w:val="28"/>
                <w:szCs w:val="28"/>
              </w:rPr>
            </w:pPr>
            <w:r w:rsidRPr="00B75AA9">
              <w:rPr>
                <w:sz w:val="28"/>
                <w:szCs w:val="28"/>
              </w:rPr>
              <w:t>IO.4 Preventīvie pasākumi</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14:paraId="5A315589" w14:textId="77777777" w:rsidR="00796432" w:rsidRPr="00B75AA9" w:rsidRDefault="00796432" w:rsidP="0077246A">
            <w:pPr>
              <w:tabs>
                <w:tab w:val="left" w:pos="1152"/>
              </w:tabs>
              <w:ind w:firstLine="709"/>
              <w:jc w:val="both"/>
              <w:rPr>
                <w:sz w:val="28"/>
                <w:szCs w:val="28"/>
              </w:rPr>
            </w:pPr>
            <w:r w:rsidRPr="00B75AA9">
              <w:rPr>
                <w:sz w:val="28"/>
                <w:szCs w:val="28"/>
              </w:rPr>
              <w:t> vidējs</w:t>
            </w:r>
          </w:p>
        </w:tc>
      </w:tr>
      <w:tr w:rsidR="00796432" w:rsidRPr="00B75AA9" w14:paraId="772049EF" w14:textId="77777777" w:rsidTr="0077246A">
        <w:trPr>
          <w:trHeight w:val="523"/>
        </w:trPr>
        <w:tc>
          <w:tcPr>
            <w:tcW w:w="4980" w:type="dxa"/>
            <w:tcBorders>
              <w:top w:val="single" w:sz="8" w:space="0" w:color="FFFFFF"/>
              <w:left w:val="single" w:sz="8" w:space="0" w:color="FFFFFF"/>
              <w:bottom w:val="single" w:sz="8" w:space="0" w:color="FFFFFF"/>
              <w:right w:val="single" w:sz="8" w:space="0" w:color="FFFFFF"/>
            </w:tcBorders>
            <w:shd w:val="clear" w:color="auto" w:fill="7878DE"/>
            <w:tcMar>
              <w:top w:w="15" w:type="dxa"/>
              <w:left w:w="15" w:type="dxa"/>
              <w:bottom w:w="0" w:type="dxa"/>
              <w:right w:w="15" w:type="dxa"/>
            </w:tcMar>
            <w:hideMark/>
          </w:tcPr>
          <w:p w14:paraId="15C4C2B4" w14:textId="77777777" w:rsidR="00796432" w:rsidRPr="00B75AA9" w:rsidRDefault="00796432" w:rsidP="0077246A">
            <w:pPr>
              <w:tabs>
                <w:tab w:val="left" w:pos="1152"/>
              </w:tabs>
              <w:ind w:firstLine="709"/>
              <w:jc w:val="both"/>
              <w:rPr>
                <w:sz w:val="28"/>
                <w:szCs w:val="28"/>
              </w:rPr>
            </w:pPr>
            <w:r w:rsidRPr="00B75AA9">
              <w:rPr>
                <w:sz w:val="28"/>
                <w:szCs w:val="28"/>
              </w:rPr>
              <w:t>IO.5 Juridiskās personas un veidojumi</w:t>
            </w:r>
          </w:p>
        </w:tc>
        <w:tc>
          <w:tcPr>
            <w:tcW w:w="3232" w:type="dxa"/>
            <w:tcBorders>
              <w:top w:val="single" w:sz="8" w:space="0" w:color="FFFFFF"/>
              <w:left w:val="single" w:sz="8" w:space="0" w:color="FFFFFF"/>
              <w:bottom w:val="single" w:sz="8" w:space="0" w:color="FFFFFF"/>
              <w:right w:val="single" w:sz="8" w:space="0" w:color="FFFFFF"/>
            </w:tcBorders>
            <w:shd w:val="clear" w:color="auto" w:fill="7878DE"/>
            <w:tcMar>
              <w:top w:w="15" w:type="dxa"/>
              <w:left w:w="15" w:type="dxa"/>
              <w:bottom w:w="0" w:type="dxa"/>
              <w:right w:w="15" w:type="dxa"/>
            </w:tcMar>
            <w:vAlign w:val="center"/>
            <w:hideMark/>
          </w:tcPr>
          <w:p w14:paraId="386E3627" w14:textId="77777777" w:rsidR="00796432" w:rsidRPr="00B75AA9" w:rsidRDefault="00796432" w:rsidP="0077246A">
            <w:pPr>
              <w:tabs>
                <w:tab w:val="left" w:pos="1152"/>
              </w:tabs>
              <w:ind w:firstLine="709"/>
              <w:jc w:val="both"/>
              <w:rPr>
                <w:sz w:val="28"/>
                <w:szCs w:val="28"/>
              </w:rPr>
            </w:pPr>
            <w:r w:rsidRPr="00B75AA9">
              <w:rPr>
                <w:sz w:val="28"/>
                <w:szCs w:val="28"/>
              </w:rPr>
              <w:t>zems </w:t>
            </w:r>
          </w:p>
        </w:tc>
      </w:tr>
      <w:tr w:rsidR="00796432" w:rsidRPr="00B75AA9" w14:paraId="66D3DB15" w14:textId="77777777"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14:paraId="2CC158E0" w14:textId="77777777" w:rsidR="00796432" w:rsidRPr="00B75AA9" w:rsidRDefault="00796432" w:rsidP="0077246A">
            <w:pPr>
              <w:tabs>
                <w:tab w:val="left" w:pos="1152"/>
              </w:tabs>
              <w:ind w:firstLine="709"/>
              <w:jc w:val="both"/>
              <w:rPr>
                <w:sz w:val="28"/>
                <w:szCs w:val="28"/>
              </w:rPr>
            </w:pPr>
            <w:r w:rsidRPr="00B75AA9">
              <w:rPr>
                <w:sz w:val="28"/>
                <w:szCs w:val="28"/>
              </w:rPr>
              <w:t>IO.6 Finanšu izlūkošana</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14:paraId="107B5761" w14:textId="77777777" w:rsidR="00796432" w:rsidRPr="00B75AA9" w:rsidRDefault="00796432" w:rsidP="0077246A">
            <w:pPr>
              <w:tabs>
                <w:tab w:val="left" w:pos="1152"/>
              </w:tabs>
              <w:ind w:firstLine="709"/>
              <w:jc w:val="both"/>
              <w:rPr>
                <w:sz w:val="28"/>
                <w:szCs w:val="28"/>
              </w:rPr>
            </w:pPr>
            <w:r w:rsidRPr="00B75AA9">
              <w:rPr>
                <w:sz w:val="28"/>
                <w:szCs w:val="28"/>
              </w:rPr>
              <w:t>vidējs</w:t>
            </w:r>
          </w:p>
        </w:tc>
      </w:tr>
      <w:tr w:rsidR="00796432" w:rsidRPr="00B75AA9" w14:paraId="73B7E7B4" w14:textId="77777777"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14:paraId="6888B355" w14:textId="77777777" w:rsidR="00796432" w:rsidRPr="00B75AA9" w:rsidRDefault="00796432" w:rsidP="0077246A">
            <w:pPr>
              <w:tabs>
                <w:tab w:val="left" w:pos="1152"/>
              </w:tabs>
              <w:ind w:firstLine="709"/>
              <w:jc w:val="both"/>
              <w:rPr>
                <w:sz w:val="28"/>
                <w:szCs w:val="28"/>
              </w:rPr>
            </w:pPr>
            <w:r w:rsidRPr="00B75AA9">
              <w:rPr>
                <w:sz w:val="28"/>
                <w:szCs w:val="28"/>
              </w:rPr>
              <w:t>IO.7 Izmeklēšana un kriminālvajāšana</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14:paraId="5F54A3A3" w14:textId="77777777" w:rsidR="00796432" w:rsidRPr="00B75AA9" w:rsidRDefault="00796432" w:rsidP="0077246A">
            <w:pPr>
              <w:tabs>
                <w:tab w:val="left" w:pos="1152"/>
              </w:tabs>
              <w:ind w:firstLine="709"/>
              <w:jc w:val="both"/>
              <w:rPr>
                <w:sz w:val="28"/>
                <w:szCs w:val="28"/>
              </w:rPr>
            </w:pPr>
            <w:r w:rsidRPr="00B75AA9">
              <w:rPr>
                <w:sz w:val="28"/>
                <w:szCs w:val="28"/>
              </w:rPr>
              <w:t>vidējs</w:t>
            </w:r>
          </w:p>
          <w:p w14:paraId="4D16834C" w14:textId="77777777" w:rsidR="00796432" w:rsidRPr="00B75AA9" w:rsidRDefault="00796432" w:rsidP="0077246A">
            <w:pPr>
              <w:tabs>
                <w:tab w:val="left" w:pos="1152"/>
              </w:tabs>
              <w:ind w:firstLine="709"/>
              <w:jc w:val="both"/>
              <w:rPr>
                <w:sz w:val="28"/>
                <w:szCs w:val="28"/>
              </w:rPr>
            </w:pPr>
            <w:r w:rsidRPr="00B75AA9">
              <w:rPr>
                <w:sz w:val="28"/>
                <w:szCs w:val="28"/>
              </w:rPr>
              <w:t> </w:t>
            </w:r>
          </w:p>
        </w:tc>
      </w:tr>
      <w:tr w:rsidR="00796432" w:rsidRPr="00B75AA9" w14:paraId="3584852E" w14:textId="77777777"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14:paraId="7140D036" w14:textId="77777777" w:rsidR="00796432" w:rsidRPr="00B75AA9" w:rsidRDefault="00796432" w:rsidP="0077246A">
            <w:pPr>
              <w:tabs>
                <w:tab w:val="left" w:pos="1152"/>
              </w:tabs>
              <w:ind w:firstLine="709"/>
              <w:jc w:val="both"/>
              <w:rPr>
                <w:sz w:val="28"/>
                <w:szCs w:val="28"/>
              </w:rPr>
            </w:pPr>
            <w:r w:rsidRPr="00B75AA9">
              <w:rPr>
                <w:sz w:val="28"/>
                <w:szCs w:val="28"/>
              </w:rPr>
              <w:t>IO.8 Konfiskācija</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14:paraId="5E809024" w14:textId="77777777" w:rsidR="00796432" w:rsidRPr="00B75AA9" w:rsidRDefault="00796432" w:rsidP="0077246A">
            <w:pPr>
              <w:tabs>
                <w:tab w:val="left" w:pos="1152"/>
              </w:tabs>
              <w:ind w:firstLine="709"/>
              <w:jc w:val="both"/>
              <w:rPr>
                <w:sz w:val="28"/>
                <w:szCs w:val="28"/>
              </w:rPr>
            </w:pPr>
            <w:r w:rsidRPr="00B75AA9">
              <w:rPr>
                <w:sz w:val="28"/>
                <w:szCs w:val="28"/>
              </w:rPr>
              <w:t>vidējs</w:t>
            </w:r>
          </w:p>
          <w:p w14:paraId="05269DE8" w14:textId="77777777" w:rsidR="00796432" w:rsidRPr="00B75AA9" w:rsidRDefault="00796432" w:rsidP="0077246A">
            <w:pPr>
              <w:tabs>
                <w:tab w:val="left" w:pos="1152"/>
              </w:tabs>
              <w:ind w:firstLine="709"/>
              <w:jc w:val="both"/>
              <w:rPr>
                <w:sz w:val="28"/>
                <w:szCs w:val="28"/>
              </w:rPr>
            </w:pPr>
            <w:r w:rsidRPr="00B75AA9">
              <w:rPr>
                <w:sz w:val="28"/>
                <w:szCs w:val="28"/>
              </w:rPr>
              <w:lastRenderedPageBreak/>
              <w:t> </w:t>
            </w:r>
          </w:p>
        </w:tc>
      </w:tr>
      <w:tr w:rsidR="00796432" w:rsidRPr="00B75AA9" w14:paraId="51A11DED" w14:textId="77777777"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14:paraId="37F5FC85" w14:textId="77777777" w:rsidR="00796432" w:rsidRPr="00B75AA9" w:rsidRDefault="00796432" w:rsidP="0077246A">
            <w:pPr>
              <w:tabs>
                <w:tab w:val="left" w:pos="1152"/>
              </w:tabs>
              <w:ind w:firstLine="709"/>
              <w:jc w:val="both"/>
              <w:rPr>
                <w:sz w:val="28"/>
                <w:szCs w:val="28"/>
              </w:rPr>
            </w:pPr>
            <w:r w:rsidRPr="00B75AA9">
              <w:rPr>
                <w:sz w:val="28"/>
                <w:szCs w:val="28"/>
              </w:rPr>
              <w:lastRenderedPageBreak/>
              <w:t>IO.9 Terorisma finansēšanas izmeklēšana un kriminālvajāšana</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14:paraId="72E546BE" w14:textId="77777777" w:rsidR="00796432" w:rsidRPr="00B75AA9" w:rsidRDefault="00796432" w:rsidP="0077246A">
            <w:pPr>
              <w:tabs>
                <w:tab w:val="left" w:pos="1152"/>
              </w:tabs>
              <w:ind w:firstLine="709"/>
              <w:jc w:val="both"/>
              <w:rPr>
                <w:sz w:val="28"/>
                <w:szCs w:val="28"/>
              </w:rPr>
            </w:pPr>
            <w:r w:rsidRPr="00B75AA9">
              <w:rPr>
                <w:sz w:val="28"/>
                <w:szCs w:val="28"/>
              </w:rPr>
              <w:t>vidējs</w:t>
            </w:r>
          </w:p>
          <w:p w14:paraId="60D7CB5A" w14:textId="77777777" w:rsidR="00796432" w:rsidRPr="00B75AA9" w:rsidRDefault="00796432" w:rsidP="0077246A">
            <w:pPr>
              <w:tabs>
                <w:tab w:val="left" w:pos="1152"/>
              </w:tabs>
              <w:ind w:firstLine="709"/>
              <w:jc w:val="both"/>
              <w:rPr>
                <w:sz w:val="28"/>
                <w:szCs w:val="28"/>
              </w:rPr>
            </w:pPr>
            <w:r w:rsidRPr="00B75AA9">
              <w:rPr>
                <w:sz w:val="28"/>
                <w:szCs w:val="28"/>
              </w:rPr>
              <w:t> </w:t>
            </w:r>
          </w:p>
        </w:tc>
      </w:tr>
      <w:tr w:rsidR="00796432" w:rsidRPr="00B75AA9" w14:paraId="487F3BDF" w14:textId="77777777" w:rsidTr="0077246A">
        <w:trPr>
          <w:trHeight w:val="585"/>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14:paraId="2D05EBF5" w14:textId="77777777" w:rsidR="00796432" w:rsidRPr="00B75AA9" w:rsidRDefault="00796432" w:rsidP="0077246A">
            <w:pPr>
              <w:tabs>
                <w:tab w:val="left" w:pos="1152"/>
              </w:tabs>
              <w:ind w:firstLine="709"/>
              <w:jc w:val="both"/>
              <w:rPr>
                <w:sz w:val="28"/>
                <w:szCs w:val="28"/>
              </w:rPr>
            </w:pPr>
            <w:r w:rsidRPr="00B75AA9">
              <w:rPr>
                <w:sz w:val="28"/>
                <w:szCs w:val="28"/>
              </w:rPr>
              <w:t>IO.10 Terorisma finansēšanas preventīvie pasākumi un finanšu sankcijas</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14:paraId="5739EE32" w14:textId="77777777" w:rsidR="00796432" w:rsidRPr="00B75AA9" w:rsidRDefault="00796432" w:rsidP="0077246A">
            <w:pPr>
              <w:tabs>
                <w:tab w:val="left" w:pos="1152"/>
              </w:tabs>
              <w:ind w:firstLine="709"/>
              <w:jc w:val="both"/>
              <w:rPr>
                <w:sz w:val="28"/>
                <w:szCs w:val="28"/>
              </w:rPr>
            </w:pPr>
            <w:r w:rsidRPr="00B75AA9">
              <w:rPr>
                <w:sz w:val="28"/>
                <w:szCs w:val="28"/>
              </w:rPr>
              <w:t>vidējs</w:t>
            </w:r>
          </w:p>
          <w:p w14:paraId="6473C5FC" w14:textId="77777777" w:rsidR="00796432" w:rsidRPr="00B75AA9" w:rsidRDefault="00796432" w:rsidP="0077246A">
            <w:pPr>
              <w:tabs>
                <w:tab w:val="left" w:pos="1152"/>
              </w:tabs>
              <w:ind w:firstLine="709"/>
              <w:jc w:val="both"/>
              <w:rPr>
                <w:sz w:val="28"/>
                <w:szCs w:val="28"/>
              </w:rPr>
            </w:pPr>
            <w:r w:rsidRPr="00B75AA9">
              <w:rPr>
                <w:sz w:val="28"/>
                <w:szCs w:val="28"/>
              </w:rPr>
              <w:t> </w:t>
            </w:r>
          </w:p>
        </w:tc>
      </w:tr>
      <w:tr w:rsidR="00796432" w:rsidRPr="00B75AA9" w14:paraId="4E27E008" w14:textId="77777777" w:rsidTr="0077246A">
        <w:trPr>
          <w:trHeight w:val="567"/>
        </w:trPr>
        <w:tc>
          <w:tcPr>
            <w:tcW w:w="4980" w:type="dxa"/>
            <w:tcBorders>
              <w:top w:val="single" w:sz="8" w:space="0" w:color="FFFFFF"/>
              <w:left w:val="single" w:sz="8" w:space="0" w:color="FFFFFF"/>
              <w:bottom w:val="single" w:sz="8" w:space="0" w:color="FFFFFF"/>
              <w:right w:val="single" w:sz="8" w:space="0" w:color="FFFFFF"/>
            </w:tcBorders>
            <w:shd w:val="clear" w:color="auto" w:fill="7878DE"/>
            <w:tcMar>
              <w:top w:w="15" w:type="dxa"/>
              <w:left w:w="15" w:type="dxa"/>
              <w:bottom w:w="0" w:type="dxa"/>
              <w:right w:w="15" w:type="dxa"/>
            </w:tcMar>
            <w:hideMark/>
          </w:tcPr>
          <w:p w14:paraId="5428C65B" w14:textId="77777777" w:rsidR="00796432" w:rsidRPr="00B75AA9" w:rsidRDefault="00796432" w:rsidP="0077246A">
            <w:pPr>
              <w:tabs>
                <w:tab w:val="left" w:pos="1152"/>
              </w:tabs>
              <w:ind w:firstLine="709"/>
              <w:jc w:val="both"/>
              <w:rPr>
                <w:sz w:val="28"/>
                <w:szCs w:val="28"/>
              </w:rPr>
            </w:pPr>
            <w:r w:rsidRPr="00B75AA9">
              <w:rPr>
                <w:sz w:val="28"/>
                <w:szCs w:val="28"/>
              </w:rPr>
              <w:t>IO.11 Mērķētas finanšu sankcijas proliferācijas finansēšanas apkarošanai</w:t>
            </w:r>
          </w:p>
        </w:tc>
        <w:tc>
          <w:tcPr>
            <w:tcW w:w="3232" w:type="dxa"/>
            <w:tcBorders>
              <w:top w:val="single" w:sz="8" w:space="0" w:color="FFFFFF"/>
              <w:left w:val="single" w:sz="8" w:space="0" w:color="FFFFFF"/>
              <w:bottom w:val="single" w:sz="8" w:space="0" w:color="FFFFFF"/>
              <w:right w:val="single" w:sz="8" w:space="0" w:color="FFFFFF"/>
            </w:tcBorders>
            <w:shd w:val="clear" w:color="auto" w:fill="7878DE"/>
            <w:tcMar>
              <w:top w:w="15" w:type="dxa"/>
              <w:left w:w="15" w:type="dxa"/>
              <w:bottom w:w="0" w:type="dxa"/>
              <w:right w:w="15" w:type="dxa"/>
            </w:tcMar>
            <w:vAlign w:val="center"/>
            <w:hideMark/>
          </w:tcPr>
          <w:p w14:paraId="3B4E83ED" w14:textId="77777777" w:rsidR="00796432" w:rsidRPr="00B75AA9" w:rsidRDefault="00796432" w:rsidP="0077246A">
            <w:pPr>
              <w:tabs>
                <w:tab w:val="left" w:pos="1152"/>
              </w:tabs>
              <w:ind w:firstLine="709"/>
              <w:jc w:val="both"/>
              <w:rPr>
                <w:sz w:val="28"/>
                <w:szCs w:val="28"/>
              </w:rPr>
            </w:pPr>
            <w:r w:rsidRPr="00B75AA9">
              <w:rPr>
                <w:sz w:val="28"/>
                <w:szCs w:val="28"/>
              </w:rPr>
              <w:t> zems</w:t>
            </w:r>
          </w:p>
        </w:tc>
      </w:tr>
    </w:tbl>
    <w:p w14:paraId="6ACA70F0" w14:textId="77777777" w:rsidR="00796432" w:rsidRDefault="00796432" w:rsidP="00796432">
      <w:pPr>
        <w:tabs>
          <w:tab w:val="left" w:pos="1152"/>
        </w:tabs>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35BA5D0" w14:textId="77777777" w:rsidR="00796432" w:rsidRDefault="00796432" w:rsidP="00796432">
      <w:pPr>
        <w:tabs>
          <w:tab w:val="left" w:pos="1152"/>
        </w:tabs>
        <w:ind w:firstLine="709"/>
        <w:jc w:val="both"/>
        <w:rPr>
          <w:sz w:val="28"/>
          <w:szCs w:val="28"/>
        </w:rPr>
      </w:pPr>
    </w:p>
    <w:p w14:paraId="1DF51BDE" w14:textId="77777777" w:rsidR="00796432" w:rsidRDefault="00796432" w:rsidP="00796432">
      <w:pPr>
        <w:tabs>
          <w:tab w:val="left" w:pos="1152"/>
        </w:tabs>
        <w:jc w:val="both"/>
        <w:rPr>
          <w:sz w:val="28"/>
          <w:szCs w:val="28"/>
        </w:rPr>
      </w:pPr>
    </w:p>
    <w:p w14:paraId="5F3ADE80" w14:textId="77777777" w:rsidR="00796432" w:rsidRDefault="00796432" w:rsidP="00796432">
      <w:pPr>
        <w:tabs>
          <w:tab w:val="left" w:pos="1152"/>
        </w:tabs>
        <w:ind w:firstLine="709"/>
        <w:jc w:val="both"/>
        <w:rPr>
          <w:sz w:val="28"/>
          <w:szCs w:val="28"/>
        </w:rPr>
      </w:pPr>
    </w:p>
    <w:p w14:paraId="7076BFF2" w14:textId="77777777" w:rsidR="00796432" w:rsidRDefault="00796432" w:rsidP="00796432">
      <w:pPr>
        <w:tabs>
          <w:tab w:val="left" w:pos="1152"/>
        </w:tabs>
        <w:ind w:firstLine="709"/>
        <w:jc w:val="both"/>
        <w:rPr>
          <w:sz w:val="28"/>
          <w:szCs w:val="28"/>
        </w:rPr>
      </w:pPr>
    </w:p>
    <w:p w14:paraId="16AE92E3" w14:textId="77777777" w:rsidR="00796432" w:rsidRDefault="00796432" w:rsidP="00796432">
      <w:pPr>
        <w:tabs>
          <w:tab w:val="left" w:pos="1152"/>
        </w:tabs>
        <w:jc w:val="both"/>
        <w:rPr>
          <w:sz w:val="28"/>
          <w:szCs w:val="28"/>
        </w:rPr>
      </w:pPr>
    </w:p>
    <w:p w14:paraId="4245DE90" w14:textId="77777777" w:rsidR="00796432" w:rsidRDefault="00796432" w:rsidP="00685709">
      <w:pPr>
        <w:tabs>
          <w:tab w:val="left" w:pos="1152"/>
        </w:tabs>
        <w:jc w:val="both"/>
        <w:rPr>
          <w:sz w:val="28"/>
          <w:szCs w:val="28"/>
        </w:rPr>
      </w:pPr>
    </w:p>
    <w:p w14:paraId="0D781AD3" w14:textId="77777777" w:rsidR="00685709" w:rsidRDefault="00685709" w:rsidP="00796432">
      <w:pPr>
        <w:tabs>
          <w:tab w:val="left" w:pos="1152"/>
        </w:tabs>
        <w:ind w:firstLine="709"/>
        <w:jc w:val="both"/>
        <w:rPr>
          <w:sz w:val="28"/>
          <w:szCs w:val="28"/>
        </w:rPr>
      </w:pPr>
    </w:p>
    <w:p w14:paraId="53A9C254" w14:textId="77777777" w:rsidR="000D0FCD" w:rsidRPr="00505985" w:rsidRDefault="000D0FCD" w:rsidP="00796432">
      <w:pPr>
        <w:tabs>
          <w:tab w:val="left" w:pos="1152"/>
        </w:tabs>
        <w:ind w:firstLine="709"/>
        <w:jc w:val="both"/>
        <w:rPr>
          <w:i/>
          <w:sz w:val="20"/>
          <w:szCs w:val="20"/>
        </w:rPr>
      </w:pPr>
    </w:p>
    <w:p w14:paraId="3290FAC4" w14:textId="77777777" w:rsidR="00430F4C" w:rsidRPr="00505985" w:rsidRDefault="00430F4C" w:rsidP="00430F4C">
      <w:pPr>
        <w:tabs>
          <w:tab w:val="left" w:pos="1152"/>
        </w:tabs>
        <w:ind w:firstLine="709"/>
        <w:jc w:val="both"/>
        <w:rPr>
          <w:i/>
          <w:sz w:val="20"/>
          <w:szCs w:val="20"/>
        </w:rPr>
      </w:pPr>
      <w:r w:rsidRPr="00505985">
        <w:rPr>
          <w:i/>
          <w:sz w:val="20"/>
          <w:szCs w:val="20"/>
        </w:rPr>
        <w:t>Informācijas avots – Moneyval 5.kārtas ziņojums par Latvijas noziedzīgi iegūtu līdzekļu legalizācijas un terorisma novēršanas sistēmas efektivitāti.</w:t>
      </w:r>
    </w:p>
    <w:p w14:paraId="7EF0FA68" w14:textId="77777777" w:rsidR="00430F4C" w:rsidRDefault="00430F4C" w:rsidP="00796432">
      <w:pPr>
        <w:tabs>
          <w:tab w:val="left" w:pos="1152"/>
        </w:tabs>
        <w:ind w:firstLine="709"/>
        <w:jc w:val="both"/>
        <w:rPr>
          <w:sz w:val="28"/>
          <w:szCs w:val="28"/>
        </w:rPr>
      </w:pPr>
    </w:p>
    <w:p w14:paraId="7DC35360" w14:textId="77777777" w:rsidR="00796432" w:rsidRDefault="00796432" w:rsidP="00796432">
      <w:pPr>
        <w:tabs>
          <w:tab w:val="left" w:pos="1152"/>
        </w:tabs>
        <w:ind w:firstLine="709"/>
        <w:jc w:val="both"/>
        <w:rPr>
          <w:sz w:val="28"/>
          <w:szCs w:val="28"/>
        </w:rPr>
      </w:pPr>
      <w:r>
        <w:rPr>
          <w:sz w:val="28"/>
          <w:szCs w:val="28"/>
        </w:rPr>
        <w:t xml:space="preserve">Moneyval ziņojumā izteiktās rekomendācijas efektivitātes paaugstināšanai, kā arī konstatētās nepilnības atbilstībā FATF rekomendācijām ir ietvertas plāna 1. un 2.pielikumā. </w:t>
      </w:r>
    </w:p>
    <w:p w14:paraId="496283C8" w14:textId="7CA8D925" w:rsidR="005138D7" w:rsidRPr="00F33054" w:rsidRDefault="00796432" w:rsidP="005138D7">
      <w:pPr>
        <w:tabs>
          <w:tab w:val="left" w:pos="1152"/>
        </w:tabs>
        <w:ind w:firstLine="709"/>
        <w:jc w:val="both"/>
        <w:rPr>
          <w:sz w:val="28"/>
          <w:szCs w:val="28"/>
        </w:rPr>
      </w:pPr>
      <w:r w:rsidRPr="00F33054">
        <w:rPr>
          <w:sz w:val="28"/>
          <w:szCs w:val="28"/>
        </w:rPr>
        <w:t xml:space="preserve">Ņemot vērā </w:t>
      </w:r>
      <w:r>
        <w:rPr>
          <w:sz w:val="28"/>
          <w:szCs w:val="28"/>
        </w:rPr>
        <w:t xml:space="preserve">notikumus kopš Pasākumu plāna 2017. – 2019.gadam apstiprināšanas, kā arī Moneyval novērtēšanas procesu, ir nepieciešams būtiski pārskatīt iepriekš apstiprināto pasākumu plānu, tai skaitā kopā ar papildu apstiprinātajiem pasākumiem finanšu sektora atbilstības paaugstināšanai. Tāpat nepieciešams uzsākt darbu pie Moneyval izteikto rekomendāciju ieviešanas. Līdz ar to </w:t>
      </w:r>
      <w:r w:rsidRPr="00F33054">
        <w:rPr>
          <w:sz w:val="28"/>
          <w:szCs w:val="28"/>
        </w:rPr>
        <w:t xml:space="preserve">Finanšu ministrija sadarbībā ar iesaistītajām institūcijām ir sagatavojusi pārskatītu </w:t>
      </w:r>
      <w:r>
        <w:rPr>
          <w:sz w:val="28"/>
          <w:szCs w:val="28"/>
        </w:rPr>
        <w:t>pasākumu plānu</w:t>
      </w:r>
      <w:r w:rsidRPr="00F33054">
        <w:rPr>
          <w:sz w:val="28"/>
          <w:szCs w:val="28"/>
        </w:rPr>
        <w:t xml:space="preserve"> noziedzīgi iegūtu līdzekļu legalizācijas un terorisma finansēšanas novēršanai laikp</w:t>
      </w:r>
      <w:r w:rsidR="001E15FF">
        <w:rPr>
          <w:sz w:val="28"/>
          <w:szCs w:val="28"/>
        </w:rPr>
        <w:t>osm</w:t>
      </w:r>
      <w:r w:rsidRPr="00F33054">
        <w:rPr>
          <w:sz w:val="28"/>
          <w:szCs w:val="28"/>
        </w:rPr>
        <w:t>am līdz 2019.gada 31.decembrim</w:t>
      </w:r>
      <w:r>
        <w:rPr>
          <w:sz w:val="28"/>
          <w:szCs w:val="28"/>
        </w:rPr>
        <w:t xml:space="preserve">, tajā ietverot gan tos Pasākumu plāna 2017. – 2019.gadam pasākumus, kuru īstenošana vēl nav pabeigta un ir turpināma, gan papildu apstiprinātos pasākumus, gan arī jaunus pasākumus Moneyval rekomendāciju ieviešanai, lai nodrošinātu būtisku progresu noziedzīgi iegūtu līdzekļu legalizācijas un terorisma finansēšanas novēršanas stiprināšanai. Ministru kabinets aicina Saeimu prioritārā kārtā risināt jautājumus, kas saistīti ar plānā ietverto pasākumu izpildi, un prasa normatīvā regulējuma pilnveidošanu likumu līmenī. </w:t>
      </w:r>
      <w:r w:rsidR="005138D7">
        <w:rPr>
          <w:sz w:val="28"/>
          <w:szCs w:val="28"/>
        </w:rPr>
        <w:t xml:space="preserve">Lai stiprinātu sadarbību starp </w:t>
      </w:r>
      <w:r w:rsidR="00685709">
        <w:rPr>
          <w:sz w:val="28"/>
          <w:szCs w:val="28"/>
        </w:rPr>
        <w:t>ES</w:t>
      </w:r>
      <w:r w:rsidR="005138D7">
        <w:rPr>
          <w:sz w:val="28"/>
          <w:szCs w:val="28"/>
        </w:rPr>
        <w:t xml:space="preserve"> dalībvalstīm</w:t>
      </w:r>
      <w:r w:rsidR="005138D7" w:rsidRPr="005138D7">
        <w:t xml:space="preserve"> </w:t>
      </w:r>
      <w:r w:rsidR="005138D7">
        <w:rPr>
          <w:sz w:val="28"/>
          <w:szCs w:val="28"/>
        </w:rPr>
        <w:t>cīņā</w:t>
      </w:r>
      <w:r w:rsidR="005138D7" w:rsidRPr="005138D7">
        <w:rPr>
          <w:sz w:val="28"/>
          <w:szCs w:val="28"/>
        </w:rPr>
        <w:t xml:space="preserve"> pret noziedzīgu iegūtu līdzekļu legalizāciju un terorisma finansēšanu</w:t>
      </w:r>
      <w:r w:rsidR="005138D7">
        <w:rPr>
          <w:sz w:val="28"/>
          <w:szCs w:val="28"/>
        </w:rPr>
        <w:t>,</w:t>
      </w:r>
      <w:r w:rsidR="005138D7" w:rsidRPr="005138D7">
        <w:rPr>
          <w:sz w:val="28"/>
          <w:szCs w:val="28"/>
        </w:rPr>
        <w:t xml:space="preserve"> </w:t>
      </w:r>
      <w:r w:rsidR="005138D7">
        <w:rPr>
          <w:sz w:val="28"/>
          <w:szCs w:val="28"/>
        </w:rPr>
        <w:t>Latvija atbalsta jaunas in</w:t>
      </w:r>
      <w:r w:rsidR="00685709">
        <w:rPr>
          <w:sz w:val="28"/>
          <w:szCs w:val="28"/>
        </w:rPr>
        <w:t>i</w:t>
      </w:r>
      <w:r w:rsidR="005138D7">
        <w:rPr>
          <w:sz w:val="28"/>
          <w:szCs w:val="28"/>
        </w:rPr>
        <w:t xml:space="preserve">ciatīvas </w:t>
      </w:r>
      <w:r w:rsidR="00685709">
        <w:rPr>
          <w:sz w:val="28"/>
          <w:szCs w:val="28"/>
        </w:rPr>
        <w:t>ES</w:t>
      </w:r>
      <w:r w:rsidR="005138D7">
        <w:rPr>
          <w:sz w:val="28"/>
          <w:szCs w:val="28"/>
        </w:rPr>
        <w:t xml:space="preserve"> līmenī</w:t>
      </w:r>
      <w:r w:rsidR="00685709">
        <w:rPr>
          <w:sz w:val="28"/>
          <w:szCs w:val="28"/>
        </w:rPr>
        <w:t xml:space="preserve"> </w:t>
      </w:r>
      <w:r w:rsidR="00685709" w:rsidRPr="00685709">
        <w:rPr>
          <w:sz w:val="28"/>
          <w:szCs w:val="28"/>
        </w:rPr>
        <w:t>noziedzīgu iegūtu līdzekļu legal</w:t>
      </w:r>
      <w:r w:rsidR="00685709">
        <w:rPr>
          <w:sz w:val="28"/>
          <w:szCs w:val="28"/>
        </w:rPr>
        <w:t xml:space="preserve">izāciju un terorisma finansēšanas novēršanai saskaņā ar uzsāktajām diskusijām ES līmenī.  </w:t>
      </w:r>
    </w:p>
    <w:p w14:paraId="63667DE0" w14:textId="77777777" w:rsidR="00692A55" w:rsidRDefault="00692A55" w:rsidP="00796432">
      <w:pPr>
        <w:jc w:val="both"/>
        <w:rPr>
          <w:rFonts w:cs="Times New Roman"/>
          <w:b/>
          <w:bCs/>
          <w:sz w:val="28"/>
          <w:szCs w:val="28"/>
        </w:rPr>
      </w:pPr>
    </w:p>
    <w:p w14:paraId="6DF7DBA1" w14:textId="77777777" w:rsidR="007E209B" w:rsidRDefault="007E209B" w:rsidP="00796432">
      <w:pPr>
        <w:jc w:val="both"/>
        <w:rPr>
          <w:rFonts w:cs="Times New Roman"/>
          <w:b/>
          <w:bCs/>
          <w:sz w:val="28"/>
          <w:szCs w:val="28"/>
        </w:rPr>
      </w:pPr>
    </w:p>
    <w:p w14:paraId="58B1A6D9" w14:textId="77777777" w:rsidR="00796432" w:rsidRPr="00FC0326" w:rsidRDefault="00796432" w:rsidP="00796432">
      <w:pPr>
        <w:jc w:val="both"/>
        <w:rPr>
          <w:rFonts w:cs="Times New Roman"/>
          <w:b/>
          <w:bCs/>
          <w:sz w:val="28"/>
          <w:szCs w:val="28"/>
        </w:rPr>
      </w:pPr>
      <w:r w:rsidRPr="00FC0326">
        <w:rPr>
          <w:rFonts w:cs="Times New Roman"/>
          <w:b/>
          <w:bCs/>
          <w:sz w:val="28"/>
          <w:szCs w:val="28"/>
        </w:rPr>
        <w:t>Sasaiste ar citiem politikas plānošanas dokumentiem</w:t>
      </w:r>
    </w:p>
    <w:p w14:paraId="325ABA4F" w14:textId="77777777" w:rsidR="00796432" w:rsidRDefault="00796432" w:rsidP="00796432">
      <w:pPr>
        <w:jc w:val="both"/>
        <w:rPr>
          <w:rFonts w:cs="Times New Roman"/>
          <w:b/>
          <w:bCs/>
          <w:sz w:val="28"/>
          <w:szCs w:val="28"/>
        </w:rPr>
      </w:pPr>
    </w:p>
    <w:p w14:paraId="5DAA3C9E" w14:textId="77777777" w:rsidR="00796432" w:rsidRDefault="00796432" w:rsidP="00796432">
      <w:pPr>
        <w:spacing w:before="120"/>
        <w:ind w:firstLine="851"/>
        <w:jc w:val="both"/>
        <w:rPr>
          <w:rFonts w:cs="Times New Roman"/>
          <w:bCs/>
          <w:sz w:val="28"/>
          <w:szCs w:val="28"/>
        </w:rPr>
      </w:pPr>
      <w:r>
        <w:rPr>
          <w:rFonts w:cs="Times New Roman"/>
          <w:bCs/>
          <w:sz w:val="28"/>
          <w:szCs w:val="28"/>
        </w:rPr>
        <w:t xml:space="preserve">Šā plāna mērķu sasniegšana ir cieši saistīta ar vairāku citu politikas plānošanas mērķu sasniegšanu. </w:t>
      </w:r>
      <w:r w:rsidRPr="002B7C72">
        <w:rPr>
          <w:rFonts w:cs="Times New Roman"/>
          <w:bCs/>
          <w:sz w:val="28"/>
          <w:szCs w:val="28"/>
        </w:rPr>
        <w:t xml:space="preserve">Saeima </w:t>
      </w:r>
      <w:r>
        <w:rPr>
          <w:rFonts w:cs="Times New Roman"/>
          <w:bCs/>
          <w:sz w:val="28"/>
          <w:szCs w:val="28"/>
        </w:rPr>
        <w:t>2017.gada</w:t>
      </w:r>
      <w:r w:rsidRPr="002B7C72">
        <w:rPr>
          <w:rFonts w:cs="Times New Roman"/>
          <w:bCs/>
          <w:sz w:val="28"/>
          <w:szCs w:val="28"/>
        </w:rPr>
        <w:t xml:space="preserve"> 26.novembr</w:t>
      </w:r>
      <w:r>
        <w:rPr>
          <w:rFonts w:cs="Times New Roman"/>
          <w:bCs/>
          <w:sz w:val="28"/>
          <w:szCs w:val="28"/>
        </w:rPr>
        <w:t>ī</w:t>
      </w:r>
      <w:r w:rsidRPr="002B7C72">
        <w:rPr>
          <w:rFonts w:cs="Times New Roman"/>
          <w:bCs/>
          <w:sz w:val="28"/>
          <w:szCs w:val="28"/>
        </w:rPr>
        <w:t xml:space="preserve"> apstiprināj</w:t>
      </w:r>
      <w:r>
        <w:rPr>
          <w:rFonts w:cs="Times New Roman"/>
          <w:bCs/>
          <w:sz w:val="28"/>
          <w:szCs w:val="28"/>
        </w:rPr>
        <w:t>a</w:t>
      </w:r>
      <w:r w:rsidRPr="002B7C72">
        <w:rPr>
          <w:rFonts w:cs="Times New Roman"/>
          <w:bCs/>
          <w:sz w:val="28"/>
          <w:szCs w:val="28"/>
        </w:rPr>
        <w:t xml:space="preserve"> </w:t>
      </w:r>
      <w:r w:rsidRPr="0025344E">
        <w:rPr>
          <w:rFonts w:cs="Times New Roman"/>
          <w:b/>
          <w:bCs/>
          <w:sz w:val="28"/>
          <w:szCs w:val="28"/>
        </w:rPr>
        <w:t>Nacionālās drošības koncepciju</w:t>
      </w:r>
      <w:r>
        <w:rPr>
          <w:rFonts w:cs="Times New Roman"/>
          <w:bCs/>
          <w:sz w:val="28"/>
          <w:szCs w:val="28"/>
        </w:rPr>
        <w:t xml:space="preserve">, kur kā </w:t>
      </w:r>
      <w:r w:rsidRPr="002B7C72">
        <w:rPr>
          <w:rFonts w:cs="Times New Roman"/>
          <w:bCs/>
          <w:sz w:val="28"/>
          <w:szCs w:val="28"/>
        </w:rPr>
        <w:t>Latvijas prioritātes tās ekonomikai radītā apdraudējuma novēršanai</w:t>
      </w:r>
      <w:r>
        <w:rPr>
          <w:rFonts w:cs="Times New Roman"/>
          <w:bCs/>
          <w:sz w:val="28"/>
          <w:szCs w:val="28"/>
        </w:rPr>
        <w:t xml:space="preserve"> ir noteikta stabilas un prognozējamas ekonomiskās vides noteikšana. Koncepcija nosaka, ka īpaša </w:t>
      </w:r>
      <w:r w:rsidRPr="002B7C72">
        <w:rPr>
          <w:rFonts w:cs="Times New Roman"/>
          <w:bCs/>
          <w:sz w:val="28"/>
          <w:szCs w:val="28"/>
        </w:rPr>
        <w:t>uzmanība jāpievērš ēnu ekonomikas apkarošanas pasākumiem un nodokļu iekasēšanas uzlabošanai, īstenojot nodokļu nemaksāšanas risku sistemātisku apzināšanu, novērtēšanu un atbilstošus kontroles pasākumus. Svarīgi ir paaugstināt tiesību aizsardzības, kā arī par korupcijas apkarošanu atbildīgo institūciju kapacitāti ekonomisko un finanšu noziegumu un koruptīvo shēmu atklāšanā un izmeklēšanā, kā arī tiesu sistēmas darba efektivitāti šādu noziegumu iztiesāšanā. Nepieciešams uzlabot finanšu sektora uzraudzību, lai novērstu iespējas legalizēt nelikumīgi iegūtos finanšu līdzekļus.</w:t>
      </w:r>
    </w:p>
    <w:p w14:paraId="66E46405" w14:textId="77777777" w:rsidR="00796432" w:rsidRPr="002B7C72" w:rsidRDefault="00796432" w:rsidP="00796432">
      <w:pPr>
        <w:spacing w:before="120"/>
        <w:ind w:firstLine="851"/>
        <w:jc w:val="both"/>
        <w:rPr>
          <w:rFonts w:cs="Times New Roman"/>
          <w:bCs/>
          <w:sz w:val="28"/>
          <w:szCs w:val="28"/>
        </w:rPr>
      </w:pPr>
      <w:r>
        <w:rPr>
          <w:bCs/>
          <w:sz w:val="28"/>
          <w:szCs w:val="28"/>
        </w:rPr>
        <w:t xml:space="preserve">Ar Ministru kabineta 2018.gada 28.februāra rīkojumu Nr.90 ir apstiprināts </w:t>
      </w:r>
      <w:r w:rsidRPr="0025344E">
        <w:rPr>
          <w:b/>
          <w:bCs/>
          <w:sz w:val="28"/>
          <w:szCs w:val="28"/>
        </w:rPr>
        <w:t>Organizētās noziedzības novēršanas un apkarošanas plāns 20018. – 2020.gadam.</w:t>
      </w:r>
      <w:r>
        <w:rPr>
          <w:bCs/>
          <w:sz w:val="28"/>
          <w:szCs w:val="28"/>
        </w:rPr>
        <w:t xml:space="preserve"> Šī plāna mērķis ir </w:t>
      </w:r>
      <w:r w:rsidRPr="00ED67B6">
        <w:rPr>
          <w:bCs/>
          <w:sz w:val="28"/>
          <w:szCs w:val="28"/>
        </w:rPr>
        <w:t xml:space="preserve">efektivizēt ar organizēto noziedzību saistītu noziedzīgo nodarījumu novēršanu un apkarošanu, samazinot to negatīvo ekonomisko ietekmi, un radīt pilnvērtīgus apstākļus </w:t>
      </w:r>
      <w:r>
        <w:rPr>
          <w:bCs/>
          <w:sz w:val="28"/>
          <w:szCs w:val="28"/>
        </w:rPr>
        <w:t>tiesību aizsardzības institūciju</w:t>
      </w:r>
      <w:r w:rsidRPr="00ED67B6">
        <w:rPr>
          <w:bCs/>
          <w:sz w:val="28"/>
          <w:szCs w:val="28"/>
        </w:rPr>
        <w:t xml:space="preserve"> cīņai ar organizētu noziedzību. Mērķa īstenošanai noteikti divi darbības virzieni:</w:t>
      </w:r>
    </w:p>
    <w:p w14:paraId="62DDFFDC" w14:textId="77777777" w:rsidR="00796432" w:rsidRPr="001D4D9B" w:rsidRDefault="00796432" w:rsidP="00796432">
      <w:pPr>
        <w:pStyle w:val="NormalWeb"/>
        <w:shd w:val="clear" w:color="auto" w:fill="FFFFFF"/>
        <w:spacing w:before="120" w:beforeAutospacing="0" w:after="0" w:afterAutospacing="0" w:line="293" w:lineRule="atLeast"/>
        <w:ind w:firstLine="300"/>
        <w:jc w:val="both"/>
        <w:rPr>
          <w:bCs/>
          <w:sz w:val="28"/>
          <w:szCs w:val="28"/>
          <w:lang w:val="lv-LV"/>
        </w:rPr>
      </w:pPr>
      <w:r>
        <w:rPr>
          <w:bCs/>
          <w:sz w:val="28"/>
          <w:szCs w:val="28"/>
          <w:lang w:val="lv-LV"/>
        </w:rPr>
        <w:tab/>
      </w:r>
      <w:r w:rsidRPr="001D4D9B">
        <w:rPr>
          <w:bCs/>
          <w:sz w:val="28"/>
          <w:szCs w:val="28"/>
          <w:lang w:val="lv-LV"/>
        </w:rPr>
        <w:t xml:space="preserve">1. Veidot vienotu valsts pārvaldes institūciju nodarbināto izpratni un zināšanas par prioritārajām organizētās </w:t>
      </w:r>
      <w:r>
        <w:rPr>
          <w:bCs/>
          <w:sz w:val="28"/>
          <w:szCs w:val="28"/>
          <w:lang w:val="lv-LV"/>
        </w:rPr>
        <w:tab/>
      </w:r>
      <w:r w:rsidRPr="001D4D9B">
        <w:rPr>
          <w:bCs/>
          <w:sz w:val="28"/>
          <w:szCs w:val="28"/>
          <w:lang w:val="lv-LV"/>
        </w:rPr>
        <w:t xml:space="preserve">noziedzības </w:t>
      </w:r>
      <w:r>
        <w:rPr>
          <w:bCs/>
          <w:sz w:val="28"/>
          <w:szCs w:val="28"/>
          <w:lang w:val="lv-LV"/>
        </w:rPr>
        <w:tab/>
      </w:r>
      <w:r w:rsidRPr="001D4D9B">
        <w:rPr>
          <w:bCs/>
          <w:sz w:val="28"/>
          <w:szCs w:val="28"/>
          <w:lang w:val="lv-LV"/>
        </w:rPr>
        <w:t xml:space="preserve">darbības jomām un ietekmi (apdraudējuma līmenis, tendences, dinamika, struktūra) uz valsts </w:t>
      </w:r>
      <w:r>
        <w:rPr>
          <w:bCs/>
          <w:sz w:val="28"/>
          <w:szCs w:val="28"/>
          <w:lang w:val="lv-LV"/>
        </w:rPr>
        <w:tab/>
      </w:r>
      <w:r w:rsidRPr="001D4D9B">
        <w:rPr>
          <w:bCs/>
          <w:sz w:val="28"/>
          <w:szCs w:val="28"/>
          <w:lang w:val="lv-LV"/>
        </w:rPr>
        <w:t>ekonomiskajām (finanšu) interesēm un iedzīvotāju drošību.</w:t>
      </w:r>
    </w:p>
    <w:p w14:paraId="79AD9846" w14:textId="77777777" w:rsidR="00796432" w:rsidRPr="001D4D9B" w:rsidRDefault="00796432" w:rsidP="00796432">
      <w:pPr>
        <w:pStyle w:val="NormalWeb"/>
        <w:shd w:val="clear" w:color="auto" w:fill="FFFFFF"/>
        <w:spacing w:before="120" w:beforeAutospacing="0" w:after="0" w:afterAutospacing="0" w:line="293" w:lineRule="atLeast"/>
        <w:ind w:firstLine="300"/>
        <w:rPr>
          <w:bCs/>
          <w:sz w:val="28"/>
          <w:szCs w:val="28"/>
          <w:lang w:val="lv-LV"/>
        </w:rPr>
      </w:pPr>
      <w:r>
        <w:rPr>
          <w:bCs/>
          <w:sz w:val="28"/>
          <w:szCs w:val="28"/>
          <w:lang w:val="lv-LV"/>
        </w:rPr>
        <w:tab/>
      </w:r>
      <w:r w:rsidRPr="001D4D9B">
        <w:rPr>
          <w:bCs/>
          <w:sz w:val="28"/>
          <w:szCs w:val="28"/>
          <w:lang w:val="lv-LV"/>
        </w:rPr>
        <w:t xml:space="preserve">2. Efektivizēt </w:t>
      </w:r>
      <w:r>
        <w:rPr>
          <w:bCs/>
          <w:sz w:val="28"/>
          <w:szCs w:val="28"/>
          <w:lang w:val="lv-LV"/>
        </w:rPr>
        <w:t xml:space="preserve">tiesību aizsardzības iestāžu </w:t>
      </w:r>
      <w:r w:rsidRPr="001D4D9B">
        <w:rPr>
          <w:bCs/>
          <w:sz w:val="28"/>
          <w:szCs w:val="28"/>
          <w:lang w:val="lv-LV"/>
        </w:rPr>
        <w:t xml:space="preserve">darbību organizētās noziedzības novēršanas un apkarošanas prioritārajās </w:t>
      </w:r>
      <w:r>
        <w:rPr>
          <w:bCs/>
          <w:sz w:val="28"/>
          <w:szCs w:val="28"/>
          <w:lang w:val="lv-LV"/>
        </w:rPr>
        <w:tab/>
      </w:r>
      <w:r w:rsidRPr="001D4D9B">
        <w:rPr>
          <w:bCs/>
          <w:sz w:val="28"/>
          <w:szCs w:val="28"/>
          <w:lang w:val="lv-LV"/>
        </w:rPr>
        <w:t>jomas, t.sk.</w:t>
      </w:r>
      <w:r w:rsidR="00214CAE">
        <w:rPr>
          <w:bCs/>
          <w:sz w:val="28"/>
          <w:szCs w:val="28"/>
          <w:lang w:val="lv-LV"/>
        </w:rPr>
        <w:t>,</w:t>
      </w:r>
      <w:r w:rsidRPr="001D4D9B">
        <w:rPr>
          <w:bCs/>
          <w:sz w:val="28"/>
          <w:szCs w:val="28"/>
          <w:lang w:val="lv-LV"/>
        </w:rPr>
        <w:t xml:space="preserve"> pilnveidojot sadarbību ar citām institūcijām un sabiedrību.</w:t>
      </w:r>
    </w:p>
    <w:p w14:paraId="13B7B137" w14:textId="77777777" w:rsidR="00796432" w:rsidRDefault="00796432" w:rsidP="00796432">
      <w:pPr>
        <w:ind w:firstLine="851"/>
        <w:jc w:val="both"/>
        <w:rPr>
          <w:rFonts w:eastAsia="Times New Roman" w:cs="Times New Roman"/>
          <w:bCs/>
          <w:sz w:val="28"/>
          <w:szCs w:val="28"/>
          <w:lang w:eastAsia="en-GB"/>
        </w:rPr>
      </w:pPr>
    </w:p>
    <w:p w14:paraId="09164128" w14:textId="77777777" w:rsidR="00796432" w:rsidRDefault="00796432" w:rsidP="00796432">
      <w:pPr>
        <w:pStyle w:val="NormalWeb"/>
        <w:shd w:val="clear" w:color="auto" w:fill="FFFFFF"/>
        <w:spacing w:before="0" w:beforeAutospacing="0" w:after="0" w:afterAutospacing="0"/>
        <w:ind w:firstLine="720"/>
        <w:contextualSpacing/>
        <w:jc w:val="both"/>
        <w:rPr>
          <w:bCs/>
          <w:sz w:val="28"/>
          <w:szCs w:val="28"/>
          <w:lang w:val="lv-LV"/>
        </w:rPr>
      </w:pPr>
      <w:r w:rsidRPr="001D4D9B">
        <w:rPr>
          <w:bCs/>
          <w:sz w:val="28"/>
          <w:szCs w:val="28"/>
          <w:lang w:val="lv-LV"/>
        </w:rPr>
        <w:t>Ēnu ekonomikas apkarošanas padome</w:t>
      </w:r>
      <w:r>
        <w:rPr>
          <w:bCs/>
          <w:sz w:val="28"/>
          <w:szCs w:val="28"/>
          <w:lang w:val="lv-LV"/>
        </w:rPr>
        <w:t xml:space="preserve"> 2016.gada 10.jūnijā </w:t>
      </w:r>
      <w:r w:rsidRPr="001D4D9B">
        <w:rPr>
          <w:bCs/>
          <w:sz w:val="28"/>
          <w:szCs w:val="28"/>
          <w:lang w:val="lv-LV"/>
        </w:rPr>
        <w:t xml:space="preserve">apstiprināja </w:t>
      </w:r>
      <w:r w:rsidRPr="0025344E">
        <w:rPr>
          <w:b/>
          <w:bCs/>
          <w:sz w:val="28"/>
          <w:szCs w:val="28"/>
          <w:lang w:val="lv-LV"/>
        </w:rPr>
        <w:t>Valsts iestāžu darba plānu ēnu ekonomikas ierobežošanai 2016. - 2020. gadam</w:t>
      </w:r>
      <w:r w:rsidRPr="001D4D9B">
        <w:rPr>
          <w:bCs/>
          <w:sz w:val="28"/>
          <w:szCs w:val="28"/>
          <w:lang w:val="lv-LV"/>
        </w:rPr>
        <w:t>.</w:t>
      </w:r>
      <w:r>
        <w:rPr>
          <w:bCs/>
          <w:sz w:val="28"/>
          <w:szCs w:val="28"/>
          <w:lang w:val="lv-LV"/>
        </w:rPr>
        <w:t xml:space="preserve"> </w:t>
      </w:r>
      <w:r w:rsidRPr="001D4D9B">
        <w:rPr>
          <w:bCs/>
          <w:sz w:val="28"/>
          <w:szCs w:val="28"/>
          <w:lang w:val="lv-LV"/>
        </w:rPr>
        <w:t>Plānā iekļauti pasākumi, kas vērsti uz ēnu ekonomikas apkarošanu Latvijā, kā arī noteikti termiņi, kādos pasākumi jāīsteno. </w:t>
      </w:r>
      <w:r w:rsidRPr="00CD73FD">
        <w:rPr>
          <w:bCs/>
          <w:sz w:val="28"/>
          <w:szCs w:val="28"/>
          <w:lang w:val="lv-LV"/>
        </w:rPr>
        <w:t xml:space="preserve">Pasākumu plānā iekļautie pasākumi grupēti atbilstoši sešiem rīcības virzieniem: nodokļu nomaksas veicināšana - ēnu ekonomikas ierobežošana un godīgas konkurences veicināšana, administratīvā sloga mazināšana, </w:t>
      </w:r>
      <w:r w:rsidRPr="00CD73FD">
        <w:rPr>
          <w:bCs/>
          <w:sz w:val="28"/>
          <w:szCs w:val="28"/>
          <w:lang w:val="lv-LV"/>
        </w:rPr>
        <w:lastRenderedPageBreak/>
        <w:t>kompleksi risinājumi ēnu ekonomikas mazināšanai (būvniecībā, tirdzniecībā, pakalpojumu jomā, transporta jomā), kontrolējošo iestāžu kapacitātes stiprināšana (informācijas apmaiņas sekmēšana, efektīva IT iespēju izmantošana), efektīva strīdu izskatīšana un sodu sistēma, nodokļu maksāšanas nepieciešamības skaidrošana ar komunikācijas un izglītošanas palīdzību, kā arī efektīva nodokļu politika.</w:t>
      </w:r>
    </w:p>
    <w:p w14:paraId="35CE5B85" w14:textId="77777777" w:rsidR="00796432" w:rsidRPr="0025344E" w:rsidRDefault="00796432" w:rsidP="00796432">
      <w:pPr>
        <w:pStyle w:val="NormalWeb"/>
        <w:shd w:val="clear" w:color="auto" w:fill="FFFFFF"/>
        <w:spacing w:before="0" w:beforeAutospacing="0" w:after="0" w:afterAutospacing="0"/>
        <w:ind w:firstLine="720"/>
        <w:contextualSpacing/>
        <w:jc w:val="both"/>
        <w:rPr>
          <w:bCs/>
          <w:sz w:val="28"/>
          <w:szCs w:val="28"/>
          <w:lang w:val="lv-LV"/>
        </w:rPr>
      </w:pPr>
      <w:r w:rsidRPr="009B6ED0">
        <w:rPr>
          <w:bCs/>
          <w:sz w:val="28"/>
          <w:szCs w:val="28"/>
          <w:lang w:val="lv-LV"/>
        </w:rPr>
        <w:t xml:space="preserve">Ar Ministru kabineta 2015.gada 16.jūlija rīkojumu Nr.393 ir apstiprinātas </w:t>
      </w:r>
      <w:r w:rsidRPr="0025344E">
        <w:rPr>
          <w:b/>
          <w:bCs/>
          <w:sz w:val="28"/>
          <w:szCs w:val="28"/>
          <w:lang w:val="lv-LV"/>
        </w:rPr>
        <w:t>Korupcijas novēršanas un apkarošanas pamatnostādnes 2015. – 2020.gadam</w:t>
      </w:r>
      <w:r w:rsidRPr="009B6ED0">
        <w:rPr>
          <w:bCs/>
          <w:sz w:val="28"/>
          <w:szCs w:val="28"/>
          <w:lang w:val="lv-LV"/>
        </w:rPr>
        <w:t>, kas nosaka, ka korupcijas novēršanas un apkarošanas politikas virsmērķis ir - ievērojot labas pārvaldības un cilvēkresursu efektīvas vadības principu, nodrošināt jebkuras institūcijas vai organizācijas uzticamu darbību. Koncepcijā noteiktās ko</w:t>
      </w:r>
      <w:r w:rsidRPr="0025344E">
        <w:rPr>
          <w:bCs/>
          <w:sz w:val="28"/>
          <w:szCs w:val="28"/>
          <w:lang w:val="lv-LV"/>
        </w:rPr>
        <w:t>rupcijas un krāpšanas novēršanas un apkarošanas politikas prioritātes:</w:t>
      </w:r>
    </w:p>
    <w:p w14:paraId="4899DBCD" w14:textId="77777777" w:rsidR="00796432" w:rsidRPr="009B6ED0" w:rsidRDefault="00796432" w:rsidP="00796432">
      <w:pPr>
        <w:pStyle w:val="tvhtml"/>
        <w:shd w:val="clear" w:color="auto" w:fill="FFFFFF"/>
        <w:spacing w:before="0" w:beforeAutospacing="0" w:after="0" w:afterAutospacing="0"/>
        <w:ind w:firstLine="300"/>
        <w:contextualSpacing/>
        <w:jc w:val="both"/>
        <w:rPr>
          <w:bCs/>
          <w:sz w:val="28"/>
          <w:szCs w:val="28"/>
          <w:lang w:eastAsia="en-GB"/>
        </w:rPr>
      </w:pPr>
      <w:r w:rsidRPr="009B6ED0">
        <w:rPr>
          <w:bCs/>
          <w:sz w:val="28"/>
          <w:szCs w:val="28"/>
          <w:lang w:eastAsia="en-GB"/>
        </w:rPr>
        <w:tab/>
        <w:t xml:space="preserve">1. Pārorientēt pretkorupcijas un krāpšanas apkarošanas politiku no ārējās kontroles, ko realizē kontroles institūcijas, </w:t>
      </w:r>
      <w:r w:rsidRPr="009B6ED0">
        <w:rPr>
          <w:bCs/>
          <w:sz w:val="28"/>
          <w:szCs w:val="28"/>
          <w:lang w:eastAsia="en-GB"/>
        </w:rPr>
        <w:tab/>
        <w:t>uz resoru un institūciju iekšējo kontroli;</w:t>
      </w:r>
    </w:p>
    <w:p w14:paraId="5192232F" w14:textId="77777777" w:rsidR="00796432" w:rsidRPr="009B6ED0" w:rsidRDefault="00796432" w:rsidP="00796432">
      <w:pPr>
        <w:pStyle w:val="tvhtml"/>
        <w:shd w:val="clear" w:color="auto" w:fill="FFFFFF"/>
        <w:spacing w:before="0" w:beforeAutospacing="0" w:after="0" w:afterAutospacing="0"/>
        <w:ind w:firstLine="300"/>
        <w:contextualSpacing/>
        <w:jc w:val="both"/>
        <w:rPr>
          <w:bCs/>
          <w:sz w:val="28"/>
          <w:szCs w:val="28"/>
          <w:lang w:eastAsia="en-GB"/>
        </w:rPr>
      </w:pPr>
      <w:r w:rsidRPr="009B6ED0">
        <w:rPr>
          <w:bCs/>
          <w:sz w:val="28"/>
          <w:szCs w:val="28"/>
          <w:lang w:eastAsia="en-GB"/>
        </w:rPr>
        <w:tab/>
        <w:t xml:space="preserve">2. Panākt atklātumu publiskās pārvaldes cilvēkresursu atlasē un ētiska, motivēta, kompetenta personāla </w:t>
      </w:r>
      <w:r w:rsidRPr="009B6ED0">
        <w:rPr>
          <w:bCs/>
          <w:sz w:val="28"/>
          <w:szCs w:val="28"/>
          <w:lang w:eastAsia="en-GB"/>
        </w:rPr>
        <w:tab/>
        <w:t>nodrošināšanu visā publiskajā pārvaldē un tiesu varā;</w:t>
      </w:r>
    </w:p>
    <w:p w14:paraId="6E5CA880" w14:textId="77777777" w:rsidR="00796432" w:rsidRPr="009B6ED0" w:rsidRDefault="00796432" w:rsidP="00796432">
      <w:pPr>
        <w:pStyle w:val="tvhtml"/>
        <w:shd w:val="clear" w:color="auto" w:fill="FFFFFF"/>
        <w:spacing w:before="0" w:beforeAutospacing="0" w:after="0" w:afterAutospacing="0"/>
        <w:ind w:firstLine="300"/>
        <w:contextualSpacing/>
        <w:jc w:val="both"/>
        <w:rPr>
          <w:bCs/>
          <w:sz w:val="28"/>
          <w:szCs w:val="28"/>
          <w:lang w:eastAsia="en-GB"/>
        </w:rPr>
      </w:pPr>
      <w:r w:rsidRPr="009B6ED0">
        <w:rPr>
          <w:bCs/>
          <w:sz w:val="28"/>
          <w:szCs w:val="28"/>
          <w:lang w:eastAsia="en-GB"/>
        </w:rPr>
        <w:tab/>
        <w:t>3.Veicināt sabiedrības tolerances pret korupciju mazināšanos un sabiedrības līdzdalību politikas veidošanas procesā;</w:t>
      </w:r>
    </w:p>
    <w:p w14:paraId="73B91BF3" w14:textId="77777777" w:rsidR="00A401DB" w:rsidRDefault="00796432" w:rsidP="00685709">
      <w:pPr>
        <w:pStyle w:val="tvhtml"/>
        <w:shd w:val="clear" w:color="auto" w:fill="FFFFFF"/>
        <w:spacing w:before="0" w:beforeAutospacing="0" w:after="0" w:afterAutospacing="0"/>
        <w:ind w:firstLine="300"/>
        <w:contextualSpacing/>
        <w:jc w:val="both"/>
        <w:rPr>
          <w:bCs/>
          <w:sz w:val="28"/>
          <w:szCs w:val="28"/>
          <w:lang w:eastAsia="en-GB"/>
        </w:rPr>
      </w:pPr>
      <w:r w:rsidRPr="009B6ED0">
        <w:rPr>
          <w:bCs/>
          <w:sz w:val="28"/>
          <w:szCs w:val="28"/>
          <w:lang w:eastAsia="en-GB"/>
        </w:rPr>
        <w:tab/>
        <w:t>4. Uzsākt īstenot korupcijas un krāpšanas ierobežošanas pasākumus privātajā sektorā.</w:t>
      </w:r>
    </w:p>
    <w:p w14:paraId="1F723762" w14:textId="77777777" w:rsidR="00015DD2" w:rsidRDefault="00015DD2" w:rsidP="00685709">
      <w:pPr>
        <w:pStyle w:val="tvhtml"/>
        <w:shd w:val="clear" w:color="auto" w:fill="FFFFFF"/>
        <w:spacing w:before="0" w:beforeAutospacing="0" w:after="0" w:afterAutospacing="0"/>
        <w:ind w:firstLine="300"/>
        <w:contextualSpacing/>
        <w:jc w:val="both"/>
        <w:rPr>
          <w:bCs/>
          <w:sz w:val="28"/>
          <w:szCs w:val="28"/>
          <w:lang w:eastAsia="en-GB"/>
        </w:rPr>
      </w:pPr>
    </w:p>
    <w:p w14:paraId="7BC3790C" w14:textId="77777777" w:rsidR="00015DD2" w:rsidRDefault="00015DD2" w:rsidP="00685709">
      <w:pPr>
        <w:pStyle w:val="tvhtml"/>
        <w:shd w:val="clear" w:color="auto" w:fill="FFFFFF"/>
        <w:spacing w:before="0" w:beforeAutospacing="0" w:after="0" w:afterAutospacing="0"/>
        <w:ind w:firstLine="300"/>
        <w:contextualSpacing/>
        <w:jc w:val="both"/>
        <w:rPr>
          <w:bCs/>
          <w:sz w:val="28"/>
          <w:szCs w:val="28"/>
          <w:lang w:eastAsia="en-GB"/>
        </w:rPr>
      </w:pPr>
    </w:p>
    <w:p w14:paraId="1507C862" w14:textId="77777777" w:rsidR="00015DD2" w:rsidRDefault="00015DD2" w:rsidP="00685709">
      <w:pPr>
        <w:pStyle w:val="tvhtml"/>
        <w:shd w:val="clear" w:color="auto" w:fill="FFFFFF"/>
        <w:spacing w:before="0" w:beforeAutospacing="0" w:after="0" w:afterAutospacing="0"/>
        <w:ind w:firstLine="300"/>
        <w:contextualSpacing/>
        <w:jc w:val="both"/>
        <w:rPr>
          <w:bCs/>
          <w:sz w:val="28"/>
          <w:szCs w:val="28"/>
          <w:lang w:eastAsia="en-GB"/>
        </w:rPr>
      </w:pPr>
    </w:p>
    <w:p w14:paraId="669F175D" w14:textId="77777777" w:rsidR="00015DD2" w:rsidRDefault="00015DD2" w:rsidP="00685709">
      <w:pPr>
        <w:pStyle w:val="tvhtml"/>
        <w:shd w:val="clear" w:color="auto" w:fill="FFFFFF"/>
        <w:spacing w:before="0" w:beforeAutospacing="0" w:after="0" w:afterAutospacing="0"/>
        <w:ind w:firstLine="300"/>
        <w:contextualSpacing/>
        <w:jc w:val="both"/>
        <w:rPr>
          <w:bCs/>
          <w:sz w:val="28"/>
          <w:szCs w:val="28"/>
          <w:lang w:eastAsia="en-GB"/>
        </w:rPr>
      </w:pPr>
    </w:p>
    <w:p w14:paraId="00503ABB" w14:textId="77777777" w:rsidR="00214CAE" w:rsidRDefault="00214CAE" w:rsidP="00685709">
      <w:pPr>
        <w:pStyle w:val="tvhtml"/>
        <w:shd w:val="clear" w:color="auto" w:fill="FFFFFF"/>
        <w:spacing w:before="0" w:beforeAutospacing="0" w:after="0" w:afterAutospacing="0"/>
        <w:ind w:firstLine="300"/>
        <w:contextualSpacing/>
        <w:jc w:val="both"/>
        <w:rPr>
          <w:bCs/>
          <w:sz w:val="28"/>
          <w:szCs w:val="28"/>
          <w:lang w:eastAsia="en-GB"/>
        </w:rPr>
      </w:pPr>
    </w:p>
    <w:p w14:paraId="20E9D9A6" w14:textId="77777777" w:rsidR="00214CAE" w:rsidRDefault="00214CAE" w:rsidP="00685709">
      <w:pPr>
        <w:pStyle w:val="tvhtml"/>
        <w:shd w:val="clear" w:color="auto" w:fill="FFFFFF"/>
        <w:spacing w:before="0" w:beforeAutospacing="0" w:after="0" w:afterAutospacing="0"/>
        <w:ind w:firstLine="300"/>
        <w:contextualSpacing/>
        <w:jc w:val="both"/>
        <w:rPr>
          <w:bCs/>
          <w:sz w:val="28"/>
          <w:szCs w:val="28"/>
          <w:lang w:eastAsia="en-GB"/>
        </w:rPr>
      </w:pPr>
    </w:p>
    <w:p w14:paraId="464F743F" w14:textId="77777777" w:rsidR="00214CAE" w:rsidRDefault="00214CAE" w:rsidP="00685709">
      <w:pPr>
        <w:pStyle w:val="tvhtml"/>
        <w:shd w:val="clear" w:color="auto" w:fill="FFFFFF"/>
        <w:spacing w:before="0" w:beforeAutospacing="0" w:after="0" w:afterAutospacing="0"/>
        <w:ind w:firstLine="300"/>
        <w:contextualSpacing/>
        <w:jc w:val="both"/>
        <w:rPr>
          <w:bCs/>
          <w:sz w:val="28"/>
          <w:szCs w:val="28"/>
          <w:lang w:eastAsia="en-GB"/>
        </w:rPr>
      </w:pPr>
    </w:p>
    <w:p w14:paraId="712B6CED" w14:textId="77777777" w:rsidR="00214CAE" w:rsidRDefault="00214CAE" w:rsidP="00685709">
      <w:pPr>
        <w:pStyle w:val="tvhtml"/>
        <w:shd w:val="clear" w:color="auto" w:fill="FFFFFF"/>
        <w:spacing w:before="0" w:beforeAutospacing="0" w:after="0" w:afterAutospacing="0"/>
        <w:ind w:firstLine="300"/>
        <w:contextualSpacing/>
        <w:jc w:val="both"/>
        <w:rPr>
          <w:bCs/>
          <w:sz w:val="28"/>
          <w:szCs w:val="28"/>
          <w:lang w:eastAsia="en-GB"/>
        </w:rPr>
      </w:pPr>
    </w:p>
    <w:p w14:paraId="29FEAA59" w14:textId="77777777" w:rsidR="00214CAE" w:rsidRDefault="00214CAE" w:rsidP="00685709">
      <w:pPr>
        <w:pStyle w:val="tvhtml"/>
        <w:shd w:val="clear" w:color="auto" w:fill="FFFFFF"/>
        <w:spacing w:before="0" w:beforeAutospacing="0" w:after="0" w:afterAutospacing="0"/>
        <w:ind w:firstLine="300"/>
        <w:contextualSpacing/>
        <w:jc w:val="both"/>
        <w:rPr>
          <w:bCs/>
          <w:sz w:val="28"/>
          <w:szCs w:val="28"/>
          <w:lang w:eastAsia="en-GB"/>
        </w:rPr>
      </w:pPr>
    </w:p>
    <w:p w14:paraId="29D9E1B0" w14:textId="77777777" w:rsidR="00214CAE" w:rsidRDefault="00214CAE" w:rsidP="00685709">
      <w:pPr>
        <w:pStyle w:val="tvhtml"/>
        <w:shd w:val="clear" w:color="auto" w:fill="FFFFFF"/>
        <w:spacing w:before="0" w:beforeAutospacing="0" w:after="0" w:afterAutospacing="0"/>
        <w:ind w:firstLine="300"/>
        <w:contextualSpacing/>
        <w:jc w:val="both"/>
        <w:rPr>
          <w:bCs/>
          <w:sz w:val="28"/>
          <w:szCs w:val="28"/>
          <w:lang w:eastAsia="en-GB"/>
        </w:rPr>
      </w:pPr>
    </w:p>
    <w:p w14:paraId="26B3F01C" w14:textId="77777777" w:rsidR="00015DD2" w:rsidRDefault="00015DD2" w:rsidP="00685709">
      <w:pPr>
        <w:pStyle w:val="tvhtml"/>
        <w:shd w:val="clear" w:color="auto" w:fill="FFFFFF"/>
        <w:spacing w:before="0" w:beforeAutospacing="0" w:after="0" w:afterAutospacing="0"/>
        <w:ind w:firstLine="300"/>
        <w:contextualSpacing/>
        <w:jc w:val="both"/>
        <w:rPr>
          <w:bCs/>
          <w:sz w:val="28"/>
          <w:szCs w:val="28"/>
          <w:lang w:eastAsia="en-GB"/>
        </w:rPr>
      </w:pPr>
    </w:p>
    <w:p w14:paraId="600F2D79" w14:textId="77777777" w:rsidR="00015DD2" w:rsidRPr="00685709" w:rsidRDefault="00015DD2" w:rsidP="00685709">
      <w:pPr>
        <w:pStyle w:val="tvhtml"/>
        <w:shd w:val="clear" w:color="auto" w:fill="FFFFFF"/>
        <w:spacing w:before="0" w:beforeAutospacing="0" w:after="0" w:afterAutospacing="0"/>
        <w:ind w:firstLine="300"/>
        <w:contextualSpacing/>
        <w:jc w:val="both"/>
        <w:rPr>
          <w:bCs/>
          <w:sz w:val="28"/>
          <w:szCs w:val="28"/>
          <w:lang w:eastAsia="en-GB"/>
        </w:rPr>
      </w:pPr>
    </w:p>
    <w:p w14:paraId="415069DA" w14:textId="77777777" w:rsidR="008D79D5" w:rsidRPr="005063F0" w:rsidRDefault="008D79D5" w:rsidP="00E24F37">
      <w:pPr>
        <w:pStyle w:val="Heading1"/>
        <w:rPr>
          <w:sz w:val="40"/>
          <w:szCs w:val="40"/>
          <w:lang w:val="es-US"/>
        </w:rPr>
      </w:pPr>
      <w:bookmarkStart w:id="5" w:name="_Toc524977648"/>
      <w:r w:rsidRPr="005063F0">
        <w:rPr>
          <w:sz w:val="40"/>
          <w:szCs w:val="40"/>
          <w:lang w:val="es-US"/>
        </w:rPr>
        <w:lastRenderedPageBreak/>
        <w:t>I</w:t>
      </w:r>
      <w:r w:rsidR="00891D5B" w:rsidRPr="005063F0">
        <w:rPr>
          <w:sz w:val="40"/>
          <w:szCs w:val="40"/>
          <w:lang w:val="es-US"/>
        </w:rPr>
        <w:t>V</w:t>
      </w:r>
      <w:r w:rsidRPr="005063F0">
        <w:rPr>
          <w:sz w:val="40"/>
          <w:szCs w:val="40"/>
          <w:lang w:val="es-US"/>
        </w:rPr>
        <w:t xml:space="preserve">. </w:t>
      </w:r>
      <w:r w:rsidR="00891D5B" w:rsidRPr="00505985">
        <w:rPr>
          <w:sz w:val="40"/>
          <w:szCs w:val="40"/>
          <w:lang w:val="lv-LV"/>
        </w:rPr>
        <w:t>P</w:t>
      </w:r>
      <w:r w:rsidR="0040178E" w:rsidRPr="00505985">
        <w:rPr>
          <w:sz w:val="40"/>
          <w:szCs w:val="40"/>
          <w:lang w:val="lv-LV"/>
        </w:rPr>
        <w:t xml:space="preserve">lāna </w:t>
      </w:r>
      <w:r w:rsidR="00424857" w:rsidRPr="00505985">
        <w:rPr>
          <w:sz w:val="40"/>
          <w:szCs w:val="40"/>
          <w:lang w:val="lv-LV"/>
        </w:rPr>
        <w:t>mērķis</w:t>
      </w:r>
      <w:r w:rsidRPr="00505985">
        <w:rPr>
          <w:sz w:val="40"/>
          <w:szCs w:val="40"/>
          <w:lang w:val="lv-LV"/>
        </w:rPr>
        <w:t xml:space="preserve"> un </w:t>
      </w:r>
      <w:r w:rsidR="00424857" w:rsidRPr="00505985">
        <w:rPr>
          <w:sz w:val="40"/>
          <w:szCs w:val="40"/>
          <w:lang w:val="lv-LV"/>
        </w:rPr>
        <w:t>rīcības virzieni</w:t>
      </w:r>
      <w:bookmarkEnd w:id="5"/>
    </w:p>
    <w:p w14:paraId="44F9A371" w14:textId="77777777" w:rsidR="0000507F" w:rsidRPr="00FC0326" w:rsidRDefault="0000507F" w:rsidP="00232E53">
      <w:pPr>
        <w:jc w:val="both"/>
        <w:rPr>
          <w:rFonts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790"/>
        <w:gridCol w:w="11158"/>
      </w:tblGrid>
      <w:tr w:rsidR="00780D18" w:rsidRPr="00FC0326" w14:paraId="2B1403EF" w14:textId="77777777" w:rsidTr="001F76B5">
        <w:tc>
          <w:tcPr>
            <w:tcW w:w="1000" w:type="pct"/>
            <w:shd w:val="clear" w:color="auto" w:fill="FFFFFF"/>
            <w:hideMark/>
          </w:tcPr>
          <w:p w14:paraId="37FFF853" w14:textId="77777777" w:rsidR="00780D18" w:rsidRPr="00FC0326" w:rsidRDefault="00780D18" w:rsidP="00780D18">
            <w:pPr>
              <w:rPr>
                <w:rFonts w:eastAsia="Times New Roman" w:cs="Times New Roman"/>
                <w:b/>
                <w:bCs/>
                <w:color w:val="414142"/>
                <w:sz w:val="20"/>
                <w:szCs w:val="20"/>
                <w:lang w:eastAsia="lv-LV"/>
              </w:rPr>
            </w:pPr>
            <w:r w:rsidRPr="00FC0326">
              <w:rPr>
                <w:rFonts w:eastAsia="Times New Roman" w:cs="Times New Roman"/>
                <w:b/>
                <w:bCs/>
                <w:color w:val="414142"/>
                <w:sz w:val="20"/>
                <w:szCs w:val="20"/>
                <w:lang w:eastAsia="lv-LV"/>
              </w:rPr>
              <w:t>Plāna mērķis</w:t>
            </w:r>
          </w:p>
        </w:tc>
        <w:tc>
          <w:tcPr>
            <w:tcW w:w="4000" w:type="pct"/>
            <w:shd w:val="clear" w:color="auto" w:fill="FFFFFF"/>
          </w:tcPr>
          <w:p w14:paraId="71E64C8F" w14:textId="77777777" w:rsidR="00780D18" w:rsidRPr="00C13FE5" w:rsidRDefault="001F76B5" w:rsidP="00482384">
            <w:pPr>
              <w:jc w:val="both"/>
              <w:rPr>
                <w:rFonts w:eastAsia="Times New Roman" w:cs="Times New Roman"/>
                <w:color w:val="000000" w:themeColor="text1"/>
                <w:sz w:val="20"/>
                <w:szCs w:val="20"/>
                <w:lang w:eastAsia="lv-LV"/>
              </w:rPr>
            </w:pPr>
            <w:r w:rsidRPr="00C13FE5">
              <w:rPr>
                <w:rFonts w:eastAsia="Times New Roman" w:cs="Times New Roman"/>
                <w:color w:val="000000" w:themeColor="text1"/>
                <w:sz w:val="20"/>
                <w:szCs w:val="20"/>
                <w:lang w:eastAsia="lv-LV"/>
              </w:rPr>
              <w:t>Stiprināt Latvijas spējas cīnīties ar noziedzīgi iegūtu līdzekļu legalizāciju, terorisma finansēšanu un proliferāciju</w:t>
            </w:r>
            <w:r w:rsidR="005C268B" w:rsidRPr="00C13FE5">
              <w:rPr>
                <w:rFonts w:eastAsia="Times New Roman" w:cs="Times New Roman"/>
                <w:color w:val="000000" w:themeColor="text1"/>
                <w:sz w:val="20"/>
                <w:szCs w:val="20"/>
                <w:lang w:eastAsia="lv-LV"/>
              </w:rPr>
              <w:t xml:space="preserve"> un samazināt vispārējos </w:t>
            </w:r>
            <w:r w:rsidR="000D1851">
              <w:rPr>
                <w:rFonts w:eastAsia="Times New Roman" w:cs="Times New Roman"/>
                <w:color w:val="000000" w:themeColor="text1"/>
                <w:sz w:val="20"/>
                <w:szCs w:val="20"/>
                <w:lang w:eastAsia="lv-LV"/>
              </w:rPr>
              <w:t xml:space="preserve">noziedzīgi iegūtu līdzekļu legalizācijas un terorisma finansēšanas </w:t>
            </w:r>
            <w:r w:rsidR="005C268B" w:rsidRPr="00C13FE5">
              <w:rPr>
                <w:rFonts w:eastAsia="Times New Roman" w:cs="Times New Roman"/>
                <w:color w:val="000000" w:themeColor="text1"/>
                <w:sz w:val="20"/>
                <w:szCs w:val="20"/>
                <w:lang w:eastAsia="lv-LV"/>
              </w:rPr>
              <w:t>riskus</w:t>
            </w:r>
            <w:r w:rsidRPr="00C13FE5">
              <w:rPr>
                <w:rFonts w:eastAsia="Times New Roman" w:cs="Times New Roman"/>
                <w:color w:val="000000" w:themeColor="text1"/>
                <w:sz w:val="20"/>
                <w:szCs w:val="20"/>
                <w:lang w:eastAsia="lv-LV"/>
              </w:rPr>
              <w:t xml:space="preserve">, nodrošinot atbilstību starptautiskajām saistībām un standartiem </w:t>
            </w:r>
            <w:r w:rsidR="000D1851">
              <w:rPr>
                <w:rFonts w:eastAsia="Times New Roman" w:cs="Times New Roman"/>
                <w:color w:val="000000" w:themeColor="text1"/>
                <w:sz w:val="20"/>
                <w:szCs w:val="20"/>
                <w:lang w:eastAsia="lv-LV"/>
              </w:rPr>
              <w:t>NILLTF</w:t>
            </w:r>
            <w:r w:rsidRPr="00C13FE5">
              <w:rPr>
                <w:rFonts w:eastAsia="Times New Roman" w:cs="Times New Roman"/>
                <w:color w:val="000000" w:themeColor="text1"/>
                <w:sz w:val="20"/>
                <w:szCs w:val="20"/>
                <w:lang w:eastAsia="lv-LV"/>
              </w:rPr>
              <w:t xml:space="preserve"> novēršanas jomā </w:t>
            </w:r>
            <w:r w:rsidR="005C268B" w:rsidRPr="00C13FE5">
              <w:rPr>
                <w:rFonts w:eastAsia="Times New Roman" w:cs="Times New Roman"/>
                <w:color w:val="000000" w:themeColor="text1"/>
                <w:sz w:val="20"/>
                <w:szCs w:val="20"/>
                <w:lang w:eastAsia="lv-LV"/>
              </w:rPr>
              <w:t>un veicinot sabiedrisko drošību, ekonomiskās vides konkurētspēju un uzticību Latvijas jurisdikcijai</w:t>
            </w:r>
            <w:r w:rsidR="000D1851">
              <w:rPr>
                <w:rFonts w:eastAsia="Times New Roman" w:cs="Times New Roman"/>
                <w:color w:val="000000" w:themeColor="text1"/>
                <w:sz w:val="20"/>
                <w:szCs w:val="20"/>
                <w:lang w:eastAsia="lv-LV"/>
              </w:rPr>
              <w:t>.</w:t>
            </w:r>
          </w:p>
        </w:tc>
      </w:tr>
      <w:tr w:rsidR="00914F28" w:rsidRPr="00914F28" w14:paraId="75E6E587" w14:textId="77777777" w:rsidTr="001F76B5">
        <w:tc>
          <w:tcPr>
            <w:tcW w:w="1000" w:type="pct"/>
            <w:shd w:val="clear" w:color="auto" w:fill="FFFFFF"/>
            <w:hideMark/>
          </w:tcPr>
          <w:p w14:paraId="39E7B693" w14:textId="77777777" w:rsidR="00780D18" w:rsidRPr="00914F28" w:rsidRDefault="00780D18" w:rsidP="00914F28">
            <w:pPr>
              <w:rPr>
                <w:rFonts w:eastAsia="Times New Roman" w:cs="Times New Roman"/>
                <w:b/>
                <w:bCs/>
                <w:color w:val="000000" w:themeColor="text1"/>
                <w:sz w:val="20"/>
                <w:szCs w:val="20"/>
                <w:lang w:eastAsia="lv-LV"/>
              </w:rPr>
            </w:pPr>
            <w:r w:rsidRPr="00914F28">
              <w:rPr>
                <w:rFonts w:eastAsia="Times New Roman" w:cs="Times New Roman"/>
                <w:b/>
                <w:bCs/>
                <w:color w:val="000000" w:themeColor="text1"/>
                <w:sz w:val="20"/>
                <w:szCs w:val="20"/>
                <w:lang w:eastAsia="lv-LV"/>
              </w:rPr>
              <w:t>Politikas rezultāts/-i un rezultatīvais rādītājs/-i</w:t>
            </w:r>
          </w:p>
        </w:tc>
        <w:tc>
          <w:tcPr>
            <w:tcW w:w="4000" w:type="pct"/>
            <w:shd w:val="clear" w:color="auto" w:fill="FFFFFF"/>
            <w:hideMark/>
          </w:tcPr>
          <w:p w14:paraId="0953FB93" w14:textId="77777777" w:rsidR="00780D18" w:rsidRPr="00914F28" w:rsidRDefault="00914F28" w:rsidP="00914F28">
            <w:pPr>
              <w:rPr>
                <w:rFonts w:eastAsia="Times New Roman" w:cs="Times New Roman"/>
                <w:color w:val="000000" w:themeColor="text1"/>
                <w:sz w:val="20"/>
                <w:szCs w:val="20"/>
                <w:lang w:eastAsia="lv-LV"/>
              </w:rPr>
            </w:pPr>
            <w:r w:rsidRPr="00914F28">
              <w:rPr>
                <w:rFonts w:eastAsia="Times New Roman" w:cs="Times New Roman"/>
                <w:color w:val="000000" w:themeColor="text1"/>
                <w:sz w:val="20"/>
                <w:szCs w:val="20"/>
                <w:lang w:eastAsia="lv-LV"/>
              </w:rPr>
              <w:t>Paaugstināta Latvijas noziedzīgi iegūtu līdzekļu legalizācijas, terorisma un proliferācijas novēršanas sistēmas efektivitāte</w:t>
            </w:r>
            <w:r w:rsidR="000D1851">
              <w:rPr>
                <w:rFonts w:eastAsia="Times New Roman" w:cs="Times New Roman"/>
                <w:color w:val="000000" w:themeColor="text1"/>
                <w:sz w:val="20"/>
                <w:szCs w:val="20"/>
                <w:lang w:eastAsia="lv-LV"/>
              </w:rPr>
              <w:t>.</w:t>
            </w:r>
          </w:p>
        </w:tc>
      </w:tr>
    </w:tbl>
    <w:p w14:paraId="360075E9" w14:textId="77777777" w:rsidR="00780D18" w:rsidRPr="00914F28" w:rsidRDefault="00780D18" w:rsidP="00914F28">
      <w:pPr>
        <w:rPr>
          <w:rFonts w:cs="Times New Roman"/>
          <w:b/>
          <w:bCs/>
          <w:color w:val="000000" w:themeColor="text1"/>
          <w:sz w:val="28"/>
          <w:szCs w:val="28"/>
        </w:rPr>
      </w:pPr>
    </w:p>
    <w:p w14:paraId="4AB84DE0" w14:textId="77777777" w:rsidR="00F63FEF" w:rsidRPr="00E24F37" w:rsidRDefault="00F63FEF" w:rsidP="00E24F37">
      <w:pPr>
        <w:pStyle w:val="Heading2"/>
        <w:rPr>
          <w:rFonts w:ascii="Times New Roman" w:hAnsi="Times New Roman" w:cs="Times New Roman"/>
          <w:b/>
          <w:color w:val="auto"/>
          <w:sz w:val="28"/>
          <w:szCs w:val="28"/>
        </w:rPr>
      </w:pPr>
      <w:bookmarkStart w:id="6" w:name="_Toc524977649"/>
      <w:r w:rsidRPr="00E24F37">
        <w:rPr>
          <w:rFonts w:ascii="Times New Roman" w:hAnsi="Times New Roman" w:cs="Times New Roman"/>
          <w:b/>
          <w:color w:val="auto"/>
          <w:sz w:val="28"/>
          <w:szCs w:val="28"/>
        </w:rPr>
        <w:t>1.</w:t>
      </w:r>
      <w:r w:rsidR="00611144" w:rsidRPr="00E24F37">
        <w:rPr>
          <w:rFonts w:ascii="Times New Roman" w:hAnsi="Times New Roman" w:cs="Times New Roman"/>
          <w:b/>
          <w:color w:val="auto"/>
          <w:sz w:val="28"/>
          <w:szCs w:val="28"/>
        </w:rPr>
        <w:t xml:space="preserve">rīcības virziens </w:t>
      </w:r>
      <w:r w:rsidR="006F64A8" w:rsidRPr="00E24F37">
        <w:rPr>
          <w:rFonts w:ascii="Times New Roman" w:hAnsi="Times New Roman" w:cs="Times New Roman"/>
          <w:b/>
          <w:color w:val="auto"/>
          <w:sz w:val="28"/>
          <w:szCs w:val="28"/>
        </w:rPr>
        <w:t>–</w:t>
      </w:r>
      <w:r w:rsidRPr="00E24F37">
        <w:rPr>
          <w:rFonts w:ascii="Times New Roman" w:hAnsi="Times New Roman" w:cs="Times New Roman"/>
          <w:b/>
          <w:color w:val="auto"/>
          <w:sz w:val="28"/>
          <w:szCs w:val="28"/>
        </w:rPr>
        <w:t xml:space="preserve"> </w:t>
      </w:r>
      <w:r w:rsidR="00FE237C">
        <w:rPr>
          <w:rFonts w:ascii="Times New Roman" w:hAnsi="Times New Roman" w:cs="Times New Roman"/>
          <w:b/>
          <w:color w:val="auto"/>
          <w:sz w:val="28"/>
          <w:szCs w:val="28"/>
        </w:rPr>
        <w:t>R</w:t>
      </w:r>
      <w:r w:rsidR="006F64A8" w:rsidRPr="00E24F37">
        <w:rPr>
          <w:rFonts w:ascii="Times New Roman" w:hAnsi="Times New Roman" w:cs="Times New Roman"/>
          <w:b/>
          <w:color w:val="auto"/>
          <w:sz w:val="28"/>
          <w:szCs w:val="28"/>
        </w:rPr>
        <w:t>iski, politika un koordinācija</w:t>
      </w:r>
      <w:bookmarkEnd w:id="6"/>
      <w:r w:rsidR="006F64A8" w:rsidRPr="00E24F37">
        <w:rPr>
          <w:rFonts w:ascii="Times New Roman" w:hAnsi="Times New Roman" w:cs="Times New Roman"/>
          <w:b/>
          <w:color w:val="auto"/>
          <w:sz w:val="28"/>
          <w:szCs w:val="28"/>
        </w:rPr>
        <w:t xml:space="preserve"> </w:t>
      </w:r>
      <w:r w:rsidR="008C065E" w:rsidRPr="00E24F37">
        <w:rPr>
          <w:rFonts w:ascii="Times New Roman" w:hAnsi="Times New Roman" w:cs="Times New Roman"/>
          <w:b/>
          <w:color w:val="auto"/>
          <w:sz w:val="28"/>
          <w:szCs w:val="28"/>
        </w:rPr>
        <w:t xml:space="preserve"> </w:t>
      </w:r>
    </w:p>
    <w:p w14:paraId="1B90693D" w14:textId="77777777" w:rsidR="00EA30AC" w:rsidRPr="00E24F37" w:rsidRDefault="00EA30AC" w:rsidP="00E24F37">
      <w:pPr>
        <w:pStyle w:val="Heading2"/>
        <w:rPr>
          <w:rFonts w:ascii="Times New Roman" w:hAnsi="Times New Roman" w:cs="Times New Roman"/>
          <w:b/>
          <w:color w:val="auto"/>
          <w:sz w:val="28"/>
          <w:szCs w:val="28"/>
        </w:rPr>
      </w:pPr>
    </w:p>
    <w:p w14:paraId="0E21FAFE" w14:textId="77777777" w:rsidR="00280A6F" w:rsidRDefault="0041676C" w:rsidP="0000507F">
      <w:pPr>
        <w:jc w:val="both"/>
        <w:rPr>
          <w:szCs w:val="24"/>
        </w:rPr>
      </w:pPr>
      <w:r w:rsidRPr="00FC0326">
        <w:rPr>
          <w:szCs w:val="24"/>
        </w:rPr>
        <w:t>Par rīcības virzienu atbildīgā iestāde: FM</w:t>
      </w:r>
      <w:r w:rsidR="001B243A" w:rsidRPr="00FC0326">
        <w:rPr>
          <w:szCs w:val="24"/>
        </w:rPr>
        <w:t xml:space="preserve"> </w:t>
      </w:r>
      <w:r w:rsidR="00433064">
        <w:rPr>
          <w:szCs w:val="24"/>
        </w:rPr>
        <w:t xml:space="preserve">par </w:t>
      </w:r>
      <w:r w:rsidR="00280A6F">
        <w:rPr>
          <w:szCs w:val="24"/>
        </w:rPr>
        <w:t>pasākumiem, kas saistīti ar politikas izstrādi un tās ieviešanas koordināciju</w:t>
      </w:r>
    </w:p>
    <w:p w14:paraId="48A68DBB" w14:textId="77777777" w:rsidR="0041676C" w:rsidRPr="00FC0326" w:rsidRDefault="00280A6F" w:rsidP="0000507F">
      <w:pPr>
        <w:jc w:val="both"/>
        <w:rPr>
          <w:szCs w:val="24"/>
        </w:rPr>
      </w:pPr>
      <w:r>
        <w:rPr>
          <w:szCs w:val="24"/>
        </w:rPr>
        <w:tab/>
      </w:r>
      <w:r>
        <w:rPr>
          <w:szCs w:val="24"/>
        </w:rPr>
        <w:tab/>
      </w:r>
      <w:r>
        <w:rPr>
          <w:szCs w:val="24"/>
        </w:rPr>
        <w:tab/>
      </w:r>
      <w:r>
        <w:rPr>
          <w:szCs w:val="24"/>
        </w:rPr>
        <w:tab/>
      </w:r>
      <w:r>
        <w:rPr>
          <w:szCs w:val="24"/>
        </w:rPr>
        <w:tab/>
      </w:r>
      <w:r w:rsidR="001B243A" w:rsidRPr="00FC0326">
        <w:rPr>
          <w:szCs w:val="24"/>
        </w:rPr>
        <w:t>KD</w:t>
      </w:r>
      <w:r>
        <w:rPr>
          <w:szCs w:val="24"/>
        </w:rPr>
        <w:t xml:space="preserve"> par pasākumiem, kas saist</w:t>
      </w:r>
      <w:r w:rsidR="0095146A">
        <w:rPr>
          <w:szCs w:val="24"/>
        </w:rPr>
        <w:t>īti ar NILLTF risku novērtēšanu</w:t>
      </w:r>
    </w:p>
    <w:p w14:paraId="38982643" w14:textId="77777777" w:rsidR="0041676C" w:rsidRPr="00FC0326" w:rsidRDefault="0041676C" w:rsidP="0000507F">
      <w:pPr>
        <w:jc w:val="both"/>
        <w:rPr>
          <w:szCs w:val="24"/>
        </w:rPr>
      </w:pPr>
      <w:r w:rsidRPr="00FC0326">
        <w:rPr>
          <w:szCs w:val="24"/>
        </w:rPr>
        <w:t>Līdzatbildīgās iestādes: TM,</w:t>
      </w:r>
      <w:r w:rsidR="001B243A" w:rsidRPr="00FC0326">
        <w:rPr>
          <w:szCs w:val="24"/>
        </w:rPr>
        <w:t xml:space="preserve"> </w:t>
      </w:r>
      <w:r w:rsidRPr="00FC0326">
        <w:rPr>
          <w:szCs w:val="24"/>
        </w:rPr>
        <w:t xml:space="preserve"> </w:t>
      </w:r>
      <w:r w:rsidR="001B243A" w:rsidRPr="00FC0326">
        <w:rPr>
          <w:szCs w:val="24"/>
        </w:rPr>
        <w:t xml:space="preserve">ĀM, IeM, ĢP, KNAB, FKTK, LB, IAUI, LZAP, LZNP, LZRA, </w:t>
      </w:r>
      <w:r w:rsidR="0090763B">
        <w:rPr>
          <w:szCs w:val="24"/>
        </w:rPr>
        <w:t>NKMP</w:t>
      </w:r>
      <w:r w:rsidR="001B243A" w:rsidRPr="00FC0326">
        <w:rPr>
          <w:szCs w:val="24"/>
        </w:rPr>
        <w:t>, PTAC</w:t>
      </w:r>
    </w:p>
    <w:p w14:paraId="40009E53" w14:textId="77777777" w:rsidR="00780D18" w:rsidRPr="00FC0326" w:rsidRDefault="00780D18" w:rsidP="00BC1A64">
      <w:pPr>
        <w:jc w:val="both"/>
        <w:rPr>
          <w:sz w:val="28"/>
          <w:szCs w:val="28"/>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551"/>
        <w:gridCol w:w="2694"/>
        <w:gridCol w:w="1134"/>
        <w:gridCol w:w="1275"/>
        <w:gridCol w:w="1418"/>
      </w:tblGrid>
      <w:tr w:rsidR="00C01BB0" w:rsidRPr="00FC0326" w14:paraId="3B4FA0C4" w14:textId="77777777" w:rsidTr="00A37320">
        <w:tc>
          <w:tcPr>
            <w:tcW w:w="4395" w:type="dxa"/>
            <w:gridSpan w:val="2"/>
          </w:tcPr>
          <w:p w14:paraId="72C6A2A7" w14:textId="77777777" w:rsidR="00C01BB0" w:rsidRPr="00FC0326" w:rsidRDefault="00C01BB0" w:rsidP="00C01BB0">
            <w:pPr>
              <w:rPr>
                <w:rFonts w:cs="Times New Roman"/>
                <w:b/>
                <w:bCs/>
                <w:sz w:val="20"/>
                <w:szCs w:val="20"/>
              </w:rPr>
            </w:pPr>
            <w:r w:rsidRPr="00FC0326">
              <w:rPr>
                <w:rFonts w:cs="Times New Roman"/>
                <w:b/>
                <w:bCs/>
                <w:sz w:val="20"/>
                <w:szCs w:val="20"/>
              </w:rPr>
              <w:t>1.Rīcības virziens</w:t>
            </w:r>
          </w:p>
        </w:tc>
        <w:tc>
          <w:tcPr>
            <w:tcW w:w="10631" w:type="dxa"/>
            <w:gridSpan w:val="6"/>
          </w:tcPr>
          <w:p w14:paraId="495ACBF7" w14:textId="77777777" w:rsidR="00C01BB0" w:rsidRPr="00FC0326" w:rsidRDefault="00D026CE" w:rsidP="00C01BB0">
            <w:pPr>
              <w:jc w:val="both"/>
              <w:rPr>
                <w:rFonts w:cs="Times New Roman"/>
                <w:b/>
                <w:bCs/>
                <w:sz w:val="20"/>
                <w:szCs w:val="20"/>
              </w:rPr>
            </w:pPr>
            <w:r>
              <w:rPr>
                <w:rFonts w:cs="Times New Roman"/>
                <w:b/>
                <w:bCs/>
                <w:sz w:val="20"/>
                <w:szCs w:val="20"/>
              </w:rPr>
              <w:t>RISKI, POLITIKA UN KOORDINĀCIJA</w:t>
            </w:r>
          </w:p>
        </w:tc>
      </w:tr>
      <w:tr w:rsidR="00C01BB0" w:rsidRPr="00FC0326" w14:paraId="4E14E5E2" w14:textId="77777777" w:rsidTr="00A37320">
        <w:tc>
          <w:tcPr>
            <w:tcW w:w="4395" w:type="dxa"/>
            <w:gridSpan w:val="2"/>
          </w:tcPr>
          <w:p w14:paraId="78D75777" w14:textId="77777777" w:rsidR="00C01BB0" w:rsidRPr="00FC0326" w:rsidRDefault="00C01BB0" w:rsidP="00C01BB0">
            <w:pPr>
              <w:rPr>
                <w:rFonts w:cs="Times New Roman"/>
                <w:b/>
                <w:bCs/>
                <w:sz w:val="20"/>
                <w:szCs w:val="20"/>
              </w:rPr>
            </w:pPr>
            <w:r w:rsidRPr="00FC0326">
              <w:rPr>
                <w:rFonts w:cs="Times New Roman"/>
                <w:b/>
                <w:bCs/>
                <w:sz w:val="20"/>
                <w:szCs w:val="20"/>
              </w:rPr>
              <w:t>Sasniedzamie apakšmērķi:</w:t>
            </w:r>
          </w:p>
        </w:tc>
        <w:tc>
          <w:tcPr>
            <w:tcW w:w="10631" w:type="dxa"/>
            <w:gridSpan w:val="6"/>
          </w:tcPr>
          <w:p w14:paraId="78436F61" w14:textId="77777777" w:rsidR="00C01BB0" w:rsidRPr="00FC0326" w:rsidRDefault="00C01BB0" w:rsidP="00C01BB0">
            <w:pPr>
              <w:jc w:val="both"/>
              <w:rPr>
                <w:rFonts w:cs="Times New Roman"/>
                <w:b/>
                <w:bCs/>
                <w:sz w:val="20"/>
                <w:szCs w:val="20"/>
              </w:rPr>
            </w:pPr>
            <w:r>
              <w:rPr>
                <w:rFonts w:cs="Times New Roman"/>
                <w:b/>
                <w:bCs/>
                <w:sz w:val="20"/>
                <w:szCs w:val="20"/>
              </w:rPr>
              <w:t>1. Latvijai piemītošie NILLTF riski tiek identificēti, novērtēti un izprasti</w:t>
            </w:r>
          </w:p>
        </w:tc>
      </w:tr>
      <w:tr w:rsidR="00C01BB0" w:rsidRPr="00FC0326" w14:paraId="33C6B53F" w14:textId="77777777" w:rsidTr="00A37320">
        <w:tc>
          <w:tcPr>
            <w:tcW w:w="4395" w:type="dxa"/>
            <w:gridSpan w:val="2"/>
          </w:tcPr>
          <w:p w14:paraId="12C3DC81" w14:textId="77777777" w:rsidR="00C01BB0" w:rsidRPr="00FC0326" w:rsidRDefault="00C01BB0" w:rsidP="00C01BB0">
            <w:pPr>
              <w:rPr>
                <w:rFonts w:cs="Times New Roman"/>
                <w:b/>
                <w:bCs/>
                <w:sz w:val="20"/>
                <w:szCs w:val="20"/>
              </w:rPr>
            </w:pPr>
          </w:p>
        </w:tc>
        <w:tc>
          <w:tcPr>
            <w:tcW w:w="10631" w:type="dxa"/>
            <w:gridSpan w:val="6"/>
          </w:tcPr>
          <w:p w14:paraId="7EEF0CB0" w14:textId="77777777" w:rsidR="00C01BB0" w:rsidRPr="00FC0326" w:rsidRDefault="00C01BB0" w:rsidP="00C01BB0">
            <w:pPr>
              <w:jc w:val="both"/>
              <w:rPr>
                <w:rFonts w:cs="Times New Roman"/>
                <w:b/>
                <w:bCs/>
                <w:sz w:val="20"/>
                <w:szCs w:val="20"/>
              </w:rPr>
            </w:pPr>
            <w:r w:rsidRPr="00FC0326">
              <w:rPr>
                <w:rFonts w:cs="Times New Roman"/>
                <w:b/>
                <w:bCs/>
                <w:sz w:val="20"/>
                <w:szCs w:val="20"/>
              </w:rPr>
              <w:t>2.</w:t>
            </w:r>
            <w:r>
              <w:rPr>
                <w:rFonts w:cs="Times New Roman"/>
                <w:b/>
                <w:bCs/>
                <w:sz w:val="20"/>
                <w:szCs w:val="20"/>
              </w:rPr>
              <w:t xml:space="preserve"> Nacionālā līmenī tiek koordinēta rīcība NILLTF risku novēršanai</w:t>
            </w:r>
          </w:p>
        </w:tc>
      </w:tr>
      <w:tr w:rsidR="00C01BB0" w:rsidRPr="00FC0326" w14:paraId="1C909F8B" w14:textId="77777777" w:rsidTr="00A37320">
        <w:tc>
          <w:tcPr>
            <w:tcW w:w="4395" w:type="dxa"/>
            <w:gridSpan w:val="2"/>
          </w:tcPr>
          <w:p w14:paraId="69240EB8" w14:textId="77777777" w:rsidR="00C01BB0" w:rsidRPr="00FC0326" w:rsidRDefault="00C01BB0" w:rsidP="00C01BB0">
            <w:pPr>
              <w:rPr>
                <w:rFonts w:cs="Times New Roman"/>
                <w:b/>
                <w:bCs/>
                <w:sz w:val="20"/>
                <w:szCs w:val="20"/>
              </w:rPr>
            </w:pPr>
          </w:p>
        </w:tc>
        <w:tc>
          <w:tcPr>
            <w:tcW w:w="10631" w:type="dxa"/>
            <w:gridSpan w:val="6"/>
          </w:tcPr>
          <w:p w14:paraId="2755AB12" w14:textId="77777777" w:rsidR="00C01BB0" w:rsidRPr="00FC0326" w:rsidRDefault="00C01BB0" w:rsidP="00C01BB0">
            <w:pPr>
              <w:jc w:val="both"/>
              <w:rPr>
                <w:rFonts w:cs="Times New Roman"/>
                <w:b/>
                <w:bCs/>
                <w:sz w:val="20"/>
                <w:szCs w:val="20"/>
              </w:rPr>
            </w:pPr>
            <w:r w:rsidRPr="00FC0326">
              <w:rPr>
                <w:rFonts w:cs="Times New Roman"/>
                <w:b/>
                <w:bCs/>
                <w:sz w:val="20"/>
                <w:szCs w:val="20"/>
              </w:rPr>
              <w:t>3.</w:t>
            </w:r>
            <w:r>
              <w:rPr>
                <w:rFonts w:cs="Times New Roman"/>
                <w:b/>
                <w:bCs/>
                <w:sz w:val="20"/>
                <w:szCs w:val="20"/>
              </w:rPr>
              <w:t xml:space="preserve"> Veiktie pasākumi ir atbilstoši identificētajiem NILLTF riskiem</w:t>
            </w:r>
          </w:p>
        </w:tc>
      </w:tr>
      <w:tr w:rsidR="00C01BB0" w:rsidRPr="00FC0326" w14:paraId="189D6694" w14:textId="77777777" w:rsidTr="00FE237C">
        <w:trPr>
          <w:trHeight w:val="543"/>
        </w:trPr>
        <w:tc>
          <w:tcPr>
            <w:tcW w:w="709" w:type="dxa"/>
          </w:tcPr>
          <w:p w14:paraId="73454E57" w14:textId="77777777" w:rsidR="00C01BB0" w:rsidRPr="00FC0326" w:rsidRDefault="00C01BB0" w:rsidP="00C01BB0">
            <w:pPr>
              <w:jc w:val="center"/>
              <w:rPr>
                <w:rFonts w:cs="Times New Roman"/>
                <w:bCs/>
                <w:sz w:val="20"/>
                <w:szCs w:val="20"/>
              </w:rPr>
            </w:pPr>
            <w:r w:rsidRPr="00FC0326">
              <w:rPr>
                <w:rFonts w:cs="Times New Roman"/>
                <w:bCs/>
                <w:sz w:val="20"/>
                <w:szCs w:val="20"/>
              </w:rPr>
              <w:t>Nr. P.k.</w:t>
            </w:r>
          </w:p>
        </w:tc>
        <w:tc>
          <w:tcPr>
            <w:tcW w:w="3686" w:type="dxa"/>
            <w:shd w:val="clear" w:color="auto" w:fill="auto"/>
          </w:tcPr>
          <w:p w14:paraId="44DB5E4F" w14:textId="77777777" w:rsidR="00C01BB0" w:rsidRPr="00FC0326" w:rsidRDefault="00C01BB0" w:rsidP="00C01BB0">
            <w:pPr>
              <w:jc w:val="center"/>
              <w:rPr>
                <w:rFonts w:cs="Times New Roman"/>
                <w:bCs/>
                <w:i/>
                <w:sz w:val="20"/>
                <w:szCs w:val="20"/>
              </w:rPr>
            </w:pPr>
            <w:r w:rsidRPr="00FC0326">
              <w:rPr>
                <w:rFonts w:cs="Times New Roman"/>
                <w:b/>
                <w:bCs/>
                <w:sz w:val="20"/>
                <w:szCs w:val="20"/>
              </w:rPr>
              <w:t>Pasākums</w:t>
            </w:r>
          </w:p>
        </w:tc>
        <w:tc>
          <w:tcPr>
            <w:tcW w:w="1559" w:type="dxa"/>
          </w:tcPr>
          <w:p w14:paraId="2EBDDC89" w14:textId="77777777" w:rsidR="00C01BB0" w:rsidRPr="00FC0326" w:rsidRDefault="00C01BB0" w:rsidP="00505985">
            <w:pPr>
              <w:jc w:val="center"/>
              <w:rPr>
                <w:rFonts w:cs="Times New Roman"/>
                <w:b/>
                <w:sz w:val="20"/>
                <w:szCs w:val="20"/>
              </w:rPr>
            </w:pPr>
            <w:r w:rsidRPr="00FC0326">
              <w:rPr>
                <w:rFonts w:cs="Times New Roman"/>
                <w:b/>
                <w:sz w:val="20"/>
                <w:szCs w:val="20"/>
              </w:rPr>
              <w:t>Pamatojums</w:t>
            </w:r>
          </w:p>
        </w:tc>
        <w:tc>
          <w:tcPr>
            <w:tcW w:w="2551" w:type="dxa"/>
            <w:shd w:val="clear" w:color="auto" w:fill="auto"/>
          </w:tcPr>
          <w:p w14:paraId="44C23375" w14:textId="77777777" w:rsidR="00C01BB0" w:rsidRPr="00FC0326" w:rsidRDefault="00C01BB0" w:rsidP="00505985">
            <w:pPr>
              <w:jc w:val="center"/>
              <w:rPr>
                <w:rFonts w:cs="Times New Roman"/>
                <w:b/>
                <w:bCs/>
                <w:i/>
                <w:sz w:val="20"/>
                <w:szCs w:val="20"/>
              </w:rPr>
            </w:pPr>
            <w:r w:rsidRPr="00FC0326">
              <w:rPr>
                <w:rFonts w:cs="Times New Roman"/>
                <w:b/>
                <w:sz w:val="20"/>
                <w:szCs w:val="20"/>
              </w:rPr>
              <w:t>Darbības rezultāts</w:t>
            </w:r>
          </w:p>
        </w:tc>
        <w:tc>
          <w:tcPr>
            <w:tcW w:w="2694" w:type="dxa"/>
          </w:tcPr>
          <w:p w14:paraId="693CF87A" w14:textId="77777777" w:rsidR="00C01BB0" w:rsidRPr="00FC0326" w:rsidRDefault="00C01BB0" w:rsidP="00C01BB0">
            <w:pPr>
              <w:jc w:val="center"/>
              <w:rPr>
                <w:rFonts w:cs="Times New Roman"/>
                <w:bCs/>
                <w:i/>
                <w:sz w:val="20"/>
                <w:szCs w:val="20"/>
              </w:rPr>
            </w:pPr>
            <w:r w:rsidRPr="00FC0326">
              <w:rPr>
                <w:rFonts w:cs="Times New Roman"/>
                <w:b/>
                <w:sz w:val="20"/>
                <w:szCs w:val="20"/>
              </w:rPr>
              <w:t>Rezultatīvais rādītājs</w:t>
            </w:r>
          </w:p>
        </w:tc>
        <w:tc>
          <w:tcPr>
            <w:tcW w:w="1134" w:type="dxa"/>
            <w:shd w:val="clear" w:color="auto" w:fill="auto"/>
          </w:tcPr>
          <w:p w14:paraId="63154C84" w14:textId="77777777" w:rsidR="00C01BB0" w:rsidRPr="00FC0326" w:rsidRDefault="00C01BB0" w:rsidP="00C01BB0">
            <w:pPr>
              <w:jc w:val="center"/>
              <w:rPr>
                <w:rFonts w:cs="Times New Roman"/>
                <w:bCs/>
                <w:i/>
                <w:sz w:val="20"/>
                <w:szCs w:val="20"/>
              </w:rPr>
            </w:pPr>
            <w:r w:rsidRPr="00FC0326">
              <w:rPr>
                <w:rFonts w:cs="Times New Roman"/>
                <w:b/>
                <w:bCs/>
                <w:sz w:val="20"/>
                <w:szCs w:val="20"/>
              </w:rPr>
              <w:t>Atbildīgā institūcija</w:t>
            </w:r>
          </w:p>
        </w:tc>
        <w:tc>
          <w:tcPr>
            <w:tcW w:w="1275" w:type="dxa"/>
            <w:shd w:val="clear" w:color="auto" w:fill="auto"/>
          </w:tcPr>
          <w:p w14:paraId="432548E2" w14:textId="77777777" w:rsidR="00A37320" w:rsidRDefault="00C01BB0" w:rsidP="00C01BB0">
            <w:pPr>
              <w:jc w:val="center"/>
              <w:rPr>
                <w:rFonts w:cs="Times New Roman"/>
                <w:b/>
                <w:bCs/>
                <w:sz w:val="20"/>
                <w:szCs w:val="20"/>
              </w:rPr>
            </w:pPr>
            <w:r w:rsidRPr="00FC0326">
              <w:rPr>
                <w:rFonts w:cs="Times New Roman"/>
                <w:b/>
                <w:bCs/>
                <w:sz w:val="20"/>
                <w:szCs w:val="20"/>
              </w:rPr>
              <w:t>Līdz</w:t>
            </w:r>
            <w:r w:rsidR="00A37320">
              <w:rPr>
                <w:rFonts w:cs="Times New Roman"/>
                <w:b/>
                <w:bCs/>
                <w:sz w:val="20"/>
                <w:szCs w:val="20"/>
              </w:rPr>
              <w:t>-</w:t>
            </w:r>
          </w:p>
          <w:p w14:paraId="0869D348" w14:textId="77777777" w:rsidR="00C01BB0" w:rsidRPr="00FC0326" w:rsidRDefault="00C01BB0" w:rsidP="00C01BB0">
            <w:pPr>
              <w:jc w:val="center"/>
              <w:rPr>
                <w:rFonts w:cs="Times New Roman"/>
                <w:bCs/>
                <w:i/>
                <w:sz w:val="20"/>
                <w:szCs w:val="20"/>
              </w:rPr>
            </w:pPr>
            <w:r w:rsidRPr="00FC0326">
              <w:rPr>
                <w:rFonts w:cs="Times New Roman"/>
                <w:b/>
                <w:bCs/>
                <w:sz w:val="20"/>
                <w:szCs w:val="20"/>
              </w:rPr>
              <w:t>atbildīgās institūcijas</w:t>
            </w:r>
          </w:p>
        </w:tc>
        <w:tc>
          <w:tcPr>
            <w:tcW w:w="1418" w:type="dxa"/>
            <w:shd w:val="clear" w:color="auto" w:fill="auto"/>
          </w:tcPr>
          <w:p w14:paraId="5EDB2814" w14:textId="77777777" w:rsidR="00C01BB0" w:rsidRPr="00FC0326" w:rsidRDefault="00C01BB0" w:rsidP="00C01BB0">
            <w:pPr>
              <w:jc w:val="center"/>
              <w:rPr>
                <w:rFonts w:cs="Times New Roman"/>
                <w:bCs/>
                <w:i/>
                <w:sz w:val="20"/>
                <w:szCs w:val="20"/>
              </w:rPr>
            </w:pPr>
            <w:r w:rsidRPr="00FC0326">
              <w:rPr>
                <w:rFonts w:cs="Times New Roman"/>
                <w:b/>
                <w:bCs/>
                <w:sz w:val="20"/>
                <w:szCs w:val="20"/>
              </w:rPr>
              <w:t>Izpildes termiņš</w:t>
            </w:r>
          </w:p>
        </w:tc>
      </w:tr>
      <w:tr w:rsidR="0080332D" w:rsidRPr="00FC0326" w14:paraId="1D378AA1" w14:textId="77777777" w:rsidTr="00FE237C">
        <w:trPr>
          <w:trHeight w:val="543"/>
        </w:trPr>
        <w:tc>
          <w:tcPr>
            <w:tcW w:w="709" w:type="dxa"/>
            <w:vMerge w:val="restart"/>
          </w:tcPr>
          <w:p w14:paraId="6974F10A" w14:textId="77777777" w:rsidR="0080332D" w:rsidRPr="00FC0326" w:rsidRDefault="0080332D" w:rsidP="00C01BB0">
            <w:pPr>
              <w:jc w:val="center"/>
              <w:rPr>
                <w:rFonts w:cs="Times New Roman"/>
                <w:bCs/>
                <w:sz w:val="20"/>
                <w:szCs w:val="20"/>
              </w:rPr>
            </w:pPr>
            <w:r>
              <w:rPr>
                <w:rFonts w:cs="Times New Roman"/>
                <w:bCs/>
                <w:sz w:val="20"/>
                <w:szCs w:val="20"/>
              </w:rPr>
              <w:t>1</w:t>
            </w:r>
            <w:r w:rsidRPr="00FC0326">
              <w:rPr>
                <w:rFonts w:cs="Times New Roman"/>
                <w:bCs/>
                <w:sz w:val="20"/>
                <w:szCs w:val="20"/>
              </w:rPr>
              <w:t>.1.</w:t>
            </w:r>
          </w:p>
        </w:tc>
        <w:tc>
          <w:tcPr>
            <w:tcW w:w="3686" w:type="dxa"/>
            <w:vMerge w:val="restart"/>
            <w:shd w:val="clear" w:color="auto" w:fill="auto"/>
          </w:tcPr>
          <w:p w14:paraId="464FEC17" w14:textId="77777777" w:rsidR="0080332D" w:rsidRDefault="0080332D" w:rsidP="00BA706C">
            <w:pPr>
              <w:jc w:val="both"/>
              <w:rPr>
                <w:sz w:val="20"/>
                <w:szCs w:val="20"/>
              </w:rPr>
            </w:pPr>
            <w:r>
              <w:rPr>
                <w:sz w:val="20"/>
                <w:szCs w:val="20"/>
              </w:rPr>
              <w:t>Veikt NILLTF risku novērtējumu par periodu 2017.-2018.gadam, tai skaitā :</w:t>
            </w:r>
          </w:p>
          <w:p w14:paraId="032117EF" w14:textId="77777777" w:rsidR="0080332D" w:rsidRDefault="0080332D" w:rsidP="008B4FF0">
            <w:pPr>
              <w:jc w:val="both"/>
              <w:rPr>
                <w:rFonts w:cs="Times New Roman"/>
                <w:sz w:val="20"/>
                <w:szCs w:val="20"/>
              </w:rPr>
            </w:pPr>
            <w:r>
              <w:rPr>
                <w:rFonts w:cs="Times New Roman"/>
                <w:sz w:val="20"/>
                <w:szCs w:val="20"/>
              </w:rPr>
              <w:t>- nodrošināt pilnvērtīgu kompetento iestāžu dalīb</w:t>
            </w:r>
            <w:r w:rsidR="00482384">
              <w:rPr>
                <w:rFonts w:cs="Times New Roman"/>
                <w:sz w:val="20"/>
                <w:szCs w:val="20"/>
              </w:rPr>
              <w:t>u</w:t>
            </w:r>
            <w:r>
              <w:rPr>
                <w:rFonts w:cs="Times New Roman"/>
                <w:sz w:val="20"/>
                <w:szCs w:val="20"/>
              </w:rPr>
              <w:t xml:space="preserve"> visās NRA procesa stadijās;</w:t>
            </w:r>
          </w:p>
          <w:p w14:paraId="279FDCAE" w14:textId="77777777" w:rsidR="0080332D" w:rsidRDefault="0080332D" w:rsidP="008B4FF0">
            <w:pPr>
              <w:jc w:val="both"/>
              <w:rPr>
                <w:rFonts w:cs="Times New Roman"/>
                <w:sz w:val="20"/>
                <w:szCs w:val="20"/>
              </w:rPr>
            </w:pPr>
            <w:r>
              <w:rPr>
                <w:rFonts w:cs="Times New Roman"/>
                <w:sz w:val="20"/>
                <w:szCs w:val="20"/>
              </w:rPr>
              <w:t>- pilnveidot būtisku valsts NILL draudu un ievainojamības analīzi un izpratni;</w:t>
            </w:r>
          </w:p>
          <w:p w14:paraId="3AE1C32D" w14:textId="77777777" w:rsidR="0080332D" w:rsidRDefault="0080332D" w:rsidP="008B4FF0">
            <w:pPr>
              <w:jc w:val="both"/>
              <w:rPr>
                <w:rFonts w:cs="Times New Roman"/>
                <w:sz w:val="20"/>
                <w:szCs w:val="20"/>
              </w:rPr>
            </w:pPr>
            <w:r>
              <w:rPr>
                <w:rFonts w:cs="Times New Roman"/>
                <w:sz w:val="20"/>
                <w:szCs w:val="20"/>
              </w:rPr>
              <w:t>- pilnveidot analīzi un izpratni par TF draudiem un ievainojamību, kas raksturīgi finanšu centriem kopumā un specifiski Latvijas ekonomikai un sabiedrībai;</w:t>
            </w:r>
          </w:p>
          <w:p w14:paraId="0209562A" w14:textId="77777777" w:rsidR="0080332D" w:rsidRDefault="0080332D" w:rsidP="008B4FF0">
            <w:pPr>
              <w:jc w:val="both"/>
              <w:rPr>
                <w:rFonts w:cs="Times New Roman"/>
                <w:sz w:val="20"/>
                <w:szCs w:val="20"/>
              </w:rPr>
            </w:pPr>
            <w:r>
              <w:rPr>
                <w:rFonts w:cs="Times New Roman"/>
                <w:sz w:val="20"/>
                <w:szCs w:val="20"/>
              </w:rPr>
              <w:lastRenderedPageBreak/>
              <w:t xml:space="preserve">- novērtējumā ietvert arī </w:t>
            </w:r>
            <w:r w:rsidRPr="00831485">
              <w:rPr>
                <w:rFonts w:cs="Times New Roman"/>
                <w:sz w:val="20"/>
                <w:szCs w:val="20"/>
              </w:rPr>
              <w:t>jaunās tendences, kas varētu radīt riskus (</w:t>
            </w:r>
            <w:r w:rsidRPr="00831485">
              <w:rPr>
                <w:rFonts w:cs="Times New Roman"/>
                <w:i/>
                <w:sz w:val="20"/>
                <w:szCs w:val="20"/>
              </w:rPr>
              <w:t>emerging threat</w:t>
            </w:r>
            <w:r>
              <w:rPr>
                <w:rFonts w:cs="Times New Roman"/>
                <w:sz w:val="20"/>
                <w:szCs w:val="20"/>
              </w:rPr>
              <w:t>);</w:t>
            </w:r>
          </w:p>
          <w:p w14:paraId="3B3B414E" w14:textId="77777777" w:rsidR="0080332D" w:rsidRDefault="0080332D" w:rsidP="008B4FF0">
            <w:pPr>
              <w:jc w:val="both"/>
              <w:rPr>
                <w:rFonts w:cs="Times New Roman"/>
                <w:sz w:val="20"/>
                <w:szCs w:val="20"/>
              </w:rPr>
            </w:pPr>
            <w:r>
              <w:rPr>
                <w:rFonts w:cs="Times New Roman"/>
                <w:sz w:val="20"/>
                <w:szCs w:val="20"/>
              </w:rPr>
              <w:t xml:space="preserve">- </w:t>
            </w:r>
            <w:r w:rsidR="00280A6F">
              <w:rPr>
                <w:rFonts w:cs="Times New Roman"/>
                <w:sz w:val="20"/>
                <w:szCs w:val="20"/>
              </w:rPr>
              <w:t>i</w:t>
            </w:r>
            <w:r>
              <w:rPr>
                <w:rFonts w:cs="Times New Roman"/>
                <w:sz w:val="20"/>
                <w:szCs w:val="20"/>
              </w:rPr>
              <w:t>dentificēt Latvijas riska profilam noteiktās riska jurisdikcijas.</w:t>
            </w:r>
          </w:p>
          <w:p w14:paraId="6B452214" w14:textId="77777777" w:rsidR="0080332D" w:rsidRPr="00C01BB0" w:rsidRDefault="0080332D" w:rsidP="00BA706C">
            <w:pPr>
              <w:jc w:val="both"/>
              <w:rPr>
                <w:rFonts w:cs="Times New Roman"/>
                <w:bCs/>
                <w:sz w:val="20"/>
                <w:szCs w:val="20"/>
              </w:rPr>
            </w:pPr>
          </w:p>
        </w:tc>
        <w:tc>
          <w:tcPr>
            <w:tcW w:w="1559" w:type="dxa"/>
            <w:vMerge w:val="restart"/>
          </w:tcPr>
          <w:p w14:paraId="56395AD1" w14:textId="77777777" w:rsidR="0080332D" w:rsidRDefault="0080332D" w:rsidP="00C01BB0">
            <w:pPr>
              <w:rPr>
                <w:rFonts w:cs="Times New Roman"/>
                <w:sz w:val="20"/>
                <w:szCs w:val="20"/>
              </w:rPr>
            </w:pPr>
            <w:r w:rsidRPr="00FC0326">
              <w:rPr>
                <w:rFonts w:cs="Times New Roman"/>
                <w:sz w:val="20"/>
                <w:szCs w:val="20"/>
              </w:rPr>
              <w:lastRenderedPageBreak/>
              <w:t>Moneyval rekomendācija</w:t>
            </w:r>
            <w:r>
              <w:rPr>
                <w:rFonts w:cs="Times New Roman"/>
                <w:sz w:val="20"/>
                <w:szCs w:val="20"/>
              </w:rPr>
              <w:t xml:space="preserve"> 1.1., 1.2., 3.8., 5.3.</w:t>
            </w:r>
          </w:p>
          <w:p w14:paraId="715DE003" w14:textId="77777777" w:rsidR="0080332D" w:rsidRPr="00FC0326" w:rsidRDefault="0080332D" w:rsidP="00BD2BE0">
            <w:pPr>
              <w:jc w:val="both"/>
              <w:rPr>
                <w:rFonts w:cs="Times New Roman"/>
                <w:sz w:val="20"/>
                <w:szCs w:val="20"/>
              </w:rPr>
            </w:pPr>
          </w:p>
        </w:tc>
        <w:tc>
          <w:tcPr>
            <w:tcW w:w="2551" w:type="dxa"/>
            <w:vMerge w:val="restart"/>
            <w:shd w:val="clear" w:color="auto" w:fill="auto"/>
          </w:tcPr>
          <w:p w14:paraId="3967B5FF" w14:textId="77777777" w:rsidR="0080332D" w:rsidRPr="00FC0326" w:rsidRDefault="0080332D" w:rsidP="0025344E">
            <w:pPr>
              <w:jc w:val="both"/>
              <w:rPr>
                <w:rFonts w:cs="Times New Roman"/>
                <w:sz w:val="20"/>
                <w:szCs w:val="20"/>
              </w:rPr>
            </w:pPr>
            <w:r>
              <w:rPr>
                <w:rFonts w:cs="Times New Roman"/>
                <w:sz w:val="20"/>
                <w:szCs w:val="20"/>
              </w:rPr>
              <w:t xml:space="preserve">Identificēti un izprasti Latvijai piemītošie NILLTF riski </w:t>
            </w:r>
          </w:p>
        </w:tc>
        <w:tc>
          <w:tcPr>
            <w:tcW w:w="2694" w:type="dxa"/>
          </w:tcPr>
          <w:p w14:paraId="5ABDC87C" w14:textId="77777777" w:rsidR="0080332D" w:rsidRPr="00FC0326" w:rsidRDefault="0080332D">
            <w:pPr>
              <w:jc w:val="both"/>
              <w:rPr>
                <w:rFonts w:cs="Times New Roman"/>
                <w:sz w:val="20"/>
                <w:szCs w:val="20"/>
              </w:rPr>
            </w:pPr>
            <w:r>
              <w:rPr>
                <w:rFonts w:cs="Times New Roman"/>
                <w:sz w:val="20"/>
                <w:szCs w:val="20"/>
              </w:rPr>
              <w:t xml:space="preserve">1. </w:t>
            </w:r>
            <w:r w:rsidR="00280A6F">
              <w:rPr>
                <w:rFonts w:cs="Times New Roman"/>
                <w:sz w:val="20"/>
                <w:szCs w:val="20"/>
              </w:rPr>
              <w:t>Sektorālo risku novērtējumu sagatavošanas vajadzībām, uzraudzības un kontroles institūcijām tiek izskaidrota risku novērtēšanas metodoloģija</w:t>
            </w:r>
          </w:p>
        </w:tc>
        <w:tc>
          <w:tcPr>
            <w:tcW w:w="1134" w:type="dxa"/>
            <w:shd w:val="clear" w:color="auto" w:fill="auto"/>
          </w:tcPr>
          <w:p w14:paraId="3DC11683" w14:textId="77777777" w:rsidR="0080332D" w:rsidRPr="00A37320" w:rsidRDefault="0080332D" w:rsidP="00A37320">
            <w:pPr>
              <w:jc w:val="center"/>
              <w:rPr>
                <w:sz w:val="20"/>
                <w:szCs w:val="20"/>
              </w:rPr>
            </w:pPr>
            <w:r w:rsidRPr="00A37320">
              <w:rPr>
                <w:sz w:val="20"/>
                <w:szCs w:val="20"/>
              </w:rPr>
              <w:t>KD</w:t>
            </w:r>
          </w:p>
          <w:p w14:paraId="338974C9" w14:textId="77777777" w:rsidR="0080332D" w:rsidRPr="00A37320" w:rsidRDefault="0080332D" w:rsidP="00A37320">
            <w:pPr>
              <w:jc w:val="center"/>
              <w:rPr>
                <w:sz w:val="20"/>
                <w:szCs w:val="20"/>
              </w:rPr>
            </w:pPr>
          </w:p>
        </w:tc>
        <w:tc>
          <w:tcPr>
            <w:tcW w:w="1275" w:type="dxa"/>
            <w:shd w:val="clear" w:color="auto" w:fill="auto"/>
          </w:tcPr>
          <w:p w14:paraId="3B520AA7" w14:textId="77777777" w:rsidR="0080332D" w:rsidRPr="00FC0326" w:rsidRDefault="0080332D">
            <w:pPr>
              <w:jc w:val="center"/>
              <w:rPr>
                <w:rFonts w:cs="Times New Roman"/>
                <w:bCs/>
                <w:sz w:val="20"/>
                <w:szCs w:val="20"/>
              </w:rPr>
            </w:pPr>
            <w:r w:rsidRPr="00602772">
              <w:rPr>
                <w:sz w:val="20"/>
                <w:szCs w:val="20"/>
              </w:rPr>
              <w:t xml:space="preserve"> FKTK, VID, LB, IAUI, LZAP, LZNP, LZRA, </w:t>
            </w:r>
            <w:r w:rsidR="0090763B">
              <w:rPr>
                <w:sz w:val="20"/>
                <w:szCs w:val="20"/>
              </w:rPr>
              <w:t>NKMP</w:t>
            </w:r>
            <w:r w:rsidRPr="00602772">
              <w:rPr>
                <w:sz w:val="20"/>
                <w:szCs w:val="20"/>
              </w:rPr>
              <w:t>, PTAC, SM</w:t>
            </w:r>
            <w:r>
              <w:rPr>
                <w:sz w:val="20"/>
                <w:szCs w:val="20"/>
              </w:rPr>
              <w:t xml:space="preserve"> </w:t>
            </w:r>
          </w:p>
        </w:tc>
        <w:tc>
          <w:tcPr>
            <w:tcW w:w="1418" w:type="dxa"/>
            <w:shd w:val="clear" w:color="auto" w:fill="auto"/>
          </w:tcPr>
          <w:p w14:paraId="556F7505" w14:textId="77777777" w:rsidR="0080332D" w:rsidRDefault="0080332D" w:rsidP="00AE7B8A">
            <w:pPr>
              <w:jc w:val="center"/>
              <w:rPr>
                <w:rFonts w:cs="Times New Roman"/>
                <w:bCs/>
                <w:sz w:val="20"/>
                <w:szCs w:val="20"/>
              </w:rPr>
            </w:pPr>
            <w:r w:rsidRPr="00FC0326">
              <w:rPr>
                <w:rFonts w:cs="Times New Roman"/>
                <w:bCs/>
                <w:sz w:val="20"/>
                <w:szCs w:val="20"/>
              </w:rPr>
              <w:t>201</w:t>
            </w:r>
            <w:r>
              <w:rPr>
                <w:rFonts w:cs="Times New Roman"/>
                <w:bCs/>
                <w:sz w:val="20"/>
                <w:szCs w:val="20"/>
              </w:rPr>
              <w:t>8.gada 30.oktobris</w:t>
            </w:r>
          </w:p>
          <w:p w14:paraId="2FE91E2E" w14:textId="77777777" w:rsidR="0080332D" w:rsidRPr="00FC0326" w:rsidRDefault="0080332D" w:rsidP="00F50D7E">
            <w:pPr>
              <w:jc w:val="center"/>
              <w:rPr>
                <w:rFonts w:cs="Times New Roman"/>
                <w:bCs/>
                <w:sz w:val="20"/>
                <w:szCs w:val="20"/>
              </w:rPr>
            </w:pPr>
          </w:p>
        </w:tc>
      </w:tr>
      <w:tr w:rsidR="0080332D" w:rsidRPr="00FC0326" w14:paraId="01F6280B" w14:textId="77777777" w:rsidTr="00FE237C">
        <w:trPr>
          <w:trHeight w:val="543"/>
        </w:trPr>
        <w:tc>
          <w:tcPr>
            <w:tcW w:w="709" w:type="dxa"/>
            <w:vMerge/>
          </w:tcPr>
          <w:p w14:paraId="76CDF3A3" w14:textId="77777777" w:rsidR="0080332D" w:rsidRDefault="0080332D" w:rsidP="00C01BB0">
            <w:pPr>
              <w:jc w:val="center"/>
              <w:rPr>
                <w:rFonts w:cs="Times New Roman"/>
                <w:bCs/>
                <w:sz w:val="20"/>
                <w:szCs w:val="20"/>
              </w:rPr>
            </w:pPr>
          </w:p>
        </w:tc>
        <w:tc>
          <w:tcPr>
            <w:tcW w:w="3686" w:type="dxa"/>
            <w:vMerge/>
            <w:shd w:val="clear" w:color="auto" w:fill="auto"/>
          </w:tcPr>
          <w:p w14:paraId="5608BA69" w14:textId="77777777" w:rsidR="0080332D" w:rsidRDefault="0080332D" w:rsidP="008D4220">
            <w:pPr>
              <w:jc w:val="both"/>
              <w:rPr>
                <w:sz w:val="20"/>
                <w:szCs w:val="20"/>
              </w:rPr>
            </w:pPr>
          </w:p>
        </w:tc>
        <w:tc>
          <w:tcPr>
            <w:tcW w:w="1559" w:type="dxa"/>
            <w:vMerge/>
          </w:tcPr>
          <w:p w14:paraId="27E43446" w14:textId="77777777" w:rsidR="0080332D" w:rsidRDefault="0080332D" w:rsidP="00C01BB0">
            <w:pPr>
              <w:rPr>
                <w:rFonts w:cs="Times New Roman"/>
                <w:sz w:val="20"/>
                <w:szCs w:val="20"/>
              </w:rPr>
            </w:pPr>
          </w:p>
        </w:tc>
        <w:tc>
          <w:tcPr>
            <w:tcW w:w="2551" w:type="dxa"/>
            <w:vMerge/>
            <w:shd w:val="clear" w:color="auto" w:fill="auto"/>
          </w:tcPr>
          <w:p w14:paraId="78B62B02" w14:textId="77777777" w:rsidR="0080332D" w:rsidRDefault="0080332D" w:rsidP="00C01BB0">
            <w:pPr>
              <w:rPr>
                <w:rFonts w:cs="Times New Roman"/>
                <w:sz w:val="20"/>
                <w:szCs w:val="20"/>
              </w:rPr>
            </w:pPr>
          </w:p>
        </w:tc>
        <w:tc>
          <w:tcPr>
            <w:tcW w:w="2694" w:type="dxa"/>
          </w:tcPr>
          <w:p w14:paraId="7F9CD3CC" w14:textId="77777777" w:rsidR="0080332D" w:rsidRPr="00A3142E" w:rsidRDefault="0080332D" w:rsidP="008B4FF0">
            <w:pPr>
              <w:jc w:val="both"/>
              <w:rPr>
                <w:rFonts w:cs="Times New Roman"/>
                <w:sz w:val="20"/>
                <w:szCs w:val="20"/>
              </w:rPr>
            </w:pPr>
            <w:r w:rsidRPr="00A3142E">
              <w:rPr>
                <w:rFonts w:cs="Times New Roman"/>
                <w:sz w:val="20"/>
                <w:szCs w:val="20"/>
              </w:rPr>
              <w:t>2</w:t>
            </w:r>
            <w:r>
              <w:rPr>
                <w:rFonts w:cs="Times New Roman"/>
                <w:sz w:val="20"/>
                <w:szCs w:val="20"/>
              </w:rPr>
              <w:t xml:space="preserve">. </w:t>
            </w:r>
            <w:r w:rsidR="00280A6F">
              <w:rPr>
                <w:rFonts w:cs="Times New Roman"/>
                <w:sz w:val="20"/>
                <w:szCs w:val="20"/>
              </w:rPr>
              <w:t>Definētas esošā NRA nepilnības</w:t>
            </w:r>
          </w:p>
          <w:p w14:paraId="3E7644DA" w14:textId="77777777" w:rsidR="0080332D" w:rsidRDefault="0080332D" w:rsidP="00F50D7E">
            <w:pPr>
              <w:jc w:val="both"/>
              <w:rPr>
                <w:rFonts w:cs="Times New Roman"/>
                <w:sz w:val="20"/>
                <w:szCs w:val="20"/>
              </w:rPr>
            </w:pPr>
          </w:p>
        </w:tc>
        <w:tc>
          <w:tcPr>
            <w:tcW w:w="1134" w:type="dxa"/>
            <w:shd w:val="clear" w:color="auto" w:fill="auto"/>
          </w:tcPr>
          <w:p w14:paraId="5A3C2FE4" w14:textId="77777777" w:rsidR="0080332D" w:rsidRPr="00A37320" w:rsidRDefault="0080332D" w:rsidP="00F50D7E">
            <w:pPr>
              <w:jc w:val="center"/>
              <w:rPr>
                <w:sz w:val="20"/>
                <w:szCs w:val="20"/>
              </w:rPr>
            </w:pPr>
            <w:r w:rsidRPr="00A37320">
              <w:rPr>
                <w:sz w:val="20"/>
                <w:szCs w:val="20"/>
              </w:rPr>
              <w:t>KD</w:t>
            </w:r>
          </w:p>
        </w:tc>
        <w:tc>
          <w:tcPr>
            <w:tcW w:w="1275" w:type="dxa"/>
            <w:shd w:val="clear" w:color="auto" w:fill="auto"/>
          </w:tcPr>
          <w:p w14:paraId="52062FB8" w14:textId="77777777" w:rsidR="0080332D" w:rsidRPr="00602772" w:rsidRDefault="0080332D">
            <w:pPr>
              <w:jc w:val="center"/>
              <w:rPr>
                <w:sz w:val="20"/>
                <w:szCs w:val="20"/>
              </w:rPr>
            </w:pPr>
            <w:r w:rsidRPr="00602772">
              <w:rPr>
                <w:sz w:val="20"/>
                <w:szCs w:val="20"/>
              </w:rPr>
              <w:t xml:space="preserve">FKTK, VID, LB, IAUI, LZAP, </w:t>
            </w:r>
            <w:r w:rsidRPr="00602772">
              <w:rPr>
                <w:sz w:val="20"/>
                <w:szCs w:val="20"/>
              </w:rPr>
              <w:lastRenderedPageBreak/>
              <w:t xml:space="preserve">LZNP, LZRA, </w:t>
            </w:r>
            <w:r w:rsidR="0090763B">
              <w:rPr>
                <w:sz w:val="20"/>
                <w:szCs w:val="20"/>
              </w:rPr>
              <w:t>NKMP</w:t>
            </w:r>
            <w:r w:rsidRPr="00602772">
              <w:rPr>
                <w:sz w:val="20"/>
                <w:szCs w:val="20"/>
              </w:rPr>
              <w:t>, PTAC, SM</w:t>
            </w:r>
            <w:r>
              <w:rPr>
                <w:sz w:val="20"/>
                <w:szCs w:val="20"/>
              </w:rPr>
              <w:t>, VP, KNAP, DP, ĢP</w:t>
            </w:r>
            <w:r w:rsidR="00711A01">
              <w:rPr>
                <w:sz w:val="20"/>
                <w:szCs w:val="20"/>
              </w:rPr>
              <w:t>, IeM, FM, TM, ĀM</w:t>
            </w:r>
          </w:p>
        </w:tc>
        <w:tc>
          <w:tcPr>
            <w:tcW w:w="1418" w:type="dxa"/>
            <w:shd w:val="clear" w:color="auto" w:fill="auto"/>
          </w:tcPr>
          <w:p w14:paraId="52618347" w14:textId="77777777" w:rsidR="0080332D" w:rsidRDefault="00F35F5F" w:rsidP="00F50D7E">
            <w:pPr>
              <w:jc w:val="center"/>
              <w:rPr>
                <w:rFonts w:cs="Times New Roman"/>
                <w:bCs/>
                <w:sz w:val="20"/>
                <w:szCs w:val="20"/>
              </w:rPr>
            </w:pPr>
            <w:r>
              <w:rPr>
                <w:rFonts w:cs="Times New Roman"/>
                <w:sz w:val="20"/>
                <w:szCs w:val="20"/>
              </w:rPr>
              <w:lastRenderedPageBreak/>
              <w:t>2018.gada 30.novembris</w:t>
            </w:r>
          </w:p>
        </w:tc>
      </w:tr>
      <w:tr w:rsidR="00711A01" w:rsidRPr="00FC0326" w14:paraId="0F3EE655" w14:textId="77777777" w:rsidTr="00FE237C">
        <w:trPr>
          <w:trHeight w:val="543"/>
        </w:trPr>
        <w:tc>
          <w:tcPr>
            <w:tcW w:w="709" w:type="dxa"/>
            <w:vMerge/>
          </w:tcPr>
          <w:p w14:paraId="5B6ADB07" w14:textId="77777777" w:rsidR="00711A01" w:rsidRDefault="00711A01" w:rsidP="00C01BB0">
            <w:pPr>
              <w:jc w:val="center"/>
              <w:rPr>
                <w:rFonts w:cs="Times New Roman"/>
                <w:bCs/>
                <w:sz w:val="20"/>
                <w:szCs w:val="20"/>
              </w:rPr>
            </w:pPr>
          </w:p>
        </w:tc>
        <w:tc>
          <w:tcPr>
            <w:tcW w:w="3686" w:type="dxa"/>
            <w:vMerge/>
            <w:shd w:val="clear" w:color="auto" w:fill="auto"/>
          </w:tcPr>
          <w:p w14:paraId="2D617BC1" w14:textId="77777777" w:rsidR="00711A01" w:rsidRDefault="00711A01" w:rsidP="008D4220">
            <w:pPr>
              <w:jc w:val="both"/>
              <w:rPr>
                <w:sz w:val="20"/>
                <w:szCs w:val="20"/>
              </w:rPr>
            </w:pPr>
          </w:p>
        </w:tc>
        <w:tc>
          <w:tcPr>
            <w:tcW w:w="1559" w:type="dxa"/>
            <w:vMerge/>
          </w:tcPr>
          <w:p w14:paraId="0FD56E49" w14:textId="77777777" w:rsidR="00711A01" w:rsidRDefault="00711A01" w:rsidP="00C01BB0">
            <w:pPr>
              <w:rPr>
                <w:rFonts w:cs="Times New Roman"/>
                <w:sz w:val="20"/>
                <w:szCs w:val="20"/>
              </w:rPr>
            </w:pPr>
          </w:p>
        </w:tc>
        <w:tc>
          <w:tcPr>
            <w:tcW w:w="2551" w:type="dxa"/>
            <w:vMerge/>
            <w:shd w:val="clear" w:color="auto" w:fill="auto"/>
          </w:tcPr>
          <w:p w14:paraId="09F4B1D3" w14:textId="77777777" w:rsidR="00711A01" w:rsidRDefault="00711A01" w:rsidP="00C01BB0">
            <w:pPr>
              <w:rPr>
                <w:rFonts w:cs="Times New Roman"/>
                <w:sz w:val="20"/>
                <w:szCs w:val="20"/>
              </w:rPr>
            </w:pPr>
          </w:p>
        </w:tc>
        <w:tc>
          <w:tcPr>
            <w:tcW w:w="2694" w:type="dxa"/>
          </w:tcPr>
          <w:p w14:paraId="0B56B430" w14:textId="77777777" w:rsidR="00711A01" w:rsidRDefault="00711A01" w:rsidP="0087476E">
            <w:pPr>
              <w:jc w:val="both"/>
              <w:rPr>
                <w:rFonts w:cs="Times New Roman"/>
                <w:sz w:val="20"/>
                <w:szCs w:val="20"/>
              </w:rPr>
            </w:pPr>
            <w:r>
              <w:rPr>
                <w:rFonts w:cs="Times New Roman"/>
                <w:sz w:val="20"/>
                <w:szCs w:val="20"/>
              </w:rPr>
              <w:t>3. Izstrādāts ziņojums par juridisko personu, tai skaitā, NVO sektora NILLTF riskiem</w:t>
            </w:r>
          </w:p>
        </w:tc>
        <w:tc>
          <w:tcPr>
            <w:tcW w:w="1134" w:type="dxa"/>
            <w:shd w:val="clear" w:color="auto" w:fill="auto"/>
          </w:tcPr>
          <w:p w14:paraId="184B4253" w14:textId="77777777" w:rsidR="00711A01" w:rsidRPr="00602772" w:rsidRDefault="00711A01" w:rsidP="00F50D7E">
            <w:pPr>
              <w:jc w:val="center"/>
              <w:rPr>
                <w:sz w:val="20"/>
                <w:szCs w:val="20"/>
              </w:rPr>
            </w:pPr>
            <w:r>
              <w:rPr>
                <w:sz w:val="20"/>
                <w:szCs w:val="20"/>
              </w:rPr>
              <w:t>KD</w:t>
            </w:r>
          </w:p>
        </w:tc>
        <w:tc>
          <w:tcPr>
            <w:tcW w:w="1275" w:type="dxa"/>
            <w:shd w:val="clear" w:color="auto" w:fill="auto"/>
          </w:tcPr>
          <w:p w14:paraId="1A3C1610" w14:textId="77777777" w:rsidR="00711A01" w:rsidRPr="00602772" w:rsidRDefault="00711A01" w:rsidP="00C01BB0">
            <w:pPr>
              <w:jc w:val="center"/>
              <w:rPr>
                <w:sz w:val="20"/>
                <w:szCs w:val="20"/>
              </w:rPr>
            </w:pPr>
            <w:r>
              <w:rPr>
                <w:sz w:val="20"/>
                <w:szCs w:val="20"/>
              </w:rPr>
              <w:t>VID, UR, DP. FM, TM</w:t>
            </w:r>
          </w:p>
        </w:tc>
        <w:tc>
          <w:tcPr>
            <w:tcW w:w="1418" w:type="dxa"/>
            <w:shd w:val="clear" w:color="auto" w:fill="auto"/>
          </w:tcPr>
          <w:p w14:paraId="0E27283A" w14:textId="77777777" w:rsidR="00711A01" w:rsidRDefault="00711A01" w:rsidP="00F50D7E">
            <w:pPr>
              <w:jc w:val="center"/>
              <w:rPr>
                <w:rFonts w:cs="Times New Roman"/>
                <w:bCs/>
                <w:sz w:val="20"/>
                <w:szCs w:val="20"/>
              </w:rPr>
            </w:pPr>
            <w:r>
              <w:rPr>
                <w:rFonts w:cs="Times New Roman"/>
                <w:bCs/>
                <w:sz w:val="20"/>
                <w:szCs w:val="20"/>
              </w:rPr>
              <w:t>2018.gada 31.decembris</w:t>
            </w:r>
          </w:p>
        </w:tc>
      </w:tr>
      <w:tr w:rsidR="0074070A" w:rsidRPr="00FC0326" w14:paraId="11352A0A" w14:textId="77777777" w:rsidTr="00FE237C">
        <w:trPr>
          <w:trHeight w:val="543"/>
        </w:trPr>
        <w:tc>
          <w:tcPr>
            <w:tcW w:w="709" w:type="dxa"/>
            <w:vMerge/>
          </w:tcPr>
          <w:p w14:paraId="7B16F343" w14:textId="77777777" w:rsidR="0074070A" w:rsidRDefault="0074070A" w:rsidP="00C01BB0">
            <w:pPr>
              <w:jc w:val="center"/>
              <w:rPr>
                <w:rFonts w:cs="Times New Roman"/>
                <w:bCs/>
                <w:sz w:val="20"/>
                <w:szCs w:val="20"/>
              </w:rPr>
            </w:pPr>
          </w:p>
        </w:tc>
        <w:tc>
          <w:tcPr>
            <w:tcW w:w="3686" w:type="dxa"/>
            <w:vMerge/>
            <w:shd w:val="clear" w:color="auto" w:fill="auto"/>
          </w:tcPr>
          <w:p w14:paraId="3A7F4DDF" w14:textId="77777777" w:rsidR="0074070A" w:rsidRDefault="0074070A" w:rsidP="008D4220">
            <w:pPr>
              <w:jc w:val="both"/>
              <w:rPr>
                <w:sz w:val="20"/>
                <w:szCs w:val="20"/>
              </w:rPr>
            </w:pPr>
          </w:p>
        </w:tc>
        <w:tc>
          <w:tcPr>
            <w:tcW w:w="1559" w:type="dxa"/>
            <w:vMerge/>
          </w:tcPr>
          <w:p w14:paraId="40DB39A8" w14:textId="77777777" w:rsidR="0074070A" w:rsidRDefault="0074070A" w:rsidP="00C01BB0">
            <w:pPr>
              <w:rPr>
                <w:rFonts w:cs="Times New Roman"/>
                <w:sz w:val="20"/>
                <w:szCs w:val="20"/>
              </w:rPr>
            </w:pPr>
          </w:p>
        </w:tc>
        <w:tc>
          <w:tcPr>
            <w:tcW w:w="2551" w:type="dxa"/>
            <w:vMerge/>
            <w:shd w:val="clear" w:color="auto" w:fill="auto"/>
          </w:tcPr>
          <w:p w14:paraId="353FAD1C" w14:textId="77777777" w:rsidR="0074070A" w:rsidRDefault="0074070A" w:rsidP="00C01BB0">
            <w:pPr>
              <w:rPr>
                <w:rFonts w:cs="Times New Roman"/>
                <w:sz w:val="20"/>
                <w:szCs w:val="20"/>
              </w:rPr>
            </w:pPr>
          </w:p>
        </w:tc>
        <w:tc>
          <w:tcPr>
            <w:tcW w:w="2694" w:type="dxa"/>
          </w:tcPr>
          <w:p w14:paraId="66E0E529" w14:textId="77777777" w:rsidR="0074070A" w:rsidRDefault="0074070A" w:rsidP="0087476E">
            <w:pPr>
              <w:jc w:val="both"/>
              <w:rPr>
                <w:rFonts w:cs="Times New Roman"/>
                <w:sz w:val="20"/>
                <w:szCs w:val="20"/>
              </w:rPr>
            </w:pPr>
            <w:r>
              <w:rPr>
                <w:rFonts w:cs="Times New Roman"/>
                <w:sz w:val="20"/>
                <w:szCs w:val="20"/>
              </w:rPr>
              <w:t>4. Organizētas darba grupas NRA izstrādei (vismaz divas reizes mēnesī)</w:t>
            </w:r>
          </w:p>
        </w:tc>
        <w:tc>
          <w:tcPr>
            <w:tcW w:w="1134" w:type="dxa"/>
            <w:shd w:val="clear" w:color="auto" w:fill="auto"/>
          </w:tcPr>
          <w:p w14:paraId="5CC43580" w14:textId="77777777" w:rsidR="0074070A" w:rsidRPr="00602772" w:rsidRDefault="0074070A" w:rsidP="00F50D7E">
            <w:pPr>
              <w:jc w:val="center"/>
              <w:rPr>
                <w:sz w:val="20"/>
                <w:szCs w:val="20"/>
              </w:rPr>
            </w:pPr>
            <w:r>
              <w:rPr>
                <w:sz w:val="20"/>
                <w:szCs w:val="20"/>
              </w:rPr>
              <w:t>KD</w:t>
            </w:r>
          </w:p>
        </w:tc>
        <w:tc>
          <w:tcPr>
            <w:tcW w:w="1275" w:type="dxa"/>
            <w:shd w:val="clear" w:color="auto" w:fill="auto"/>
          </w:tcPr>
          <w:p w14:paraId="6E456702" w14:textId="77777777" w:rsidR="0074070A" w:rsidRPr="00602772" w:rsidRDefault="0074070A" w:rsidP="00C01BB0">
            <w:pPr>
              <w:jc w:val="center"/>
              <w:rPr>
                <w:sz w:val="20"/>
                <w:szCs w:val="20"/>
              </w:rPr>
            </w:pPr>
            <w:r>
              <w:rPr>
                <w:sz w:val="20"/>
                <w:szCs w:val="20"/>
              </w:rPr>
              <w:t xml:space="preserve">FKTK, VID, LB, IAUI, LZAP, LZNP, LZRA, </w:t>
            </w:r>
            <w:r w:rsidR="0090763B">
              <w:rPr>
                <w:sz w:val="20"/>
                <w:szCs w:val="20"/>
              </w:rPr>
              <w:t>NKMP</w:t>
            </w:r>
            <w:r>
              <w:rPr>
                <w:sz w:val="20"/>
                <w:szCs w:val="20"/>
              </w:rPr>
              <w:t>, PTAC, SM, IeM, VP, KNAB, DP</w:t>
            </w:r>
          </w:p>
        </w:tc>
        <w:tc>
          <w:tcPr>
            <w:tcW w:w="1418" w:type="dxa"/>
            <w:shd w:val="clear" w:color="auto" w:fill="auto"/>
          </w:tcPr>
          <w:p w14:paraId="778DAD10" w14:textId="77777777" w:rsidR="0074070A" w:rsidRDefault="0074070A" w:rsidP="00F50D7E">
            <w:pPr>
              <w:jc w:val="center"/>
              <w:rPr>
                <w:rFonts w:cs="Times New Roman"/>
                <w:bCs/>
                <w:sz w:val="20"/>
                <w:szCs w:val="20"/>
              </w:rPr>
            </w:pPr>
            <w:r>
              <w:rPr>
                <w:rFonts w:cs="Times New Roman"/>
                <w:bCs/>
                <w:sz w:val="20"/>
                <w:szCs w:val="20"/>
              </w:rPr>
              <w:t>No 2019.gada 1.janvāra</w:t>
            </w:r>
          </w:p>
        </w:tc>
      </w:tr>
      <w:tr w:rsidR="00547042" w:rsidRPr="00FC0326" w14:paraId="6EA9BA4F" w14:textId="77777777" w:rsidTr="00FE237C">
        <w:trPr>
          <w:trHeight w:val="543"/>
        </w:trPr>
        <w:tc>
          <w:tcPr>
            <w:tcW w:w="709" w:type="dxa"/>
            <w:vMerge/>
          </w:tcPr>
          <w:p w14:paraId="3F9A7269" w14:textId="77777777" w:rsidR="00547042" w:rsidRDefault="00547042" w:rsidP="00C01BB0">
            <w:pPr>
              <w:jc w:val="center"/>
              <w:rPr>
                <w:rFonts w:cs="Times New Roman"/>
                <w:bCs/>
                <w:sz w:val="20"/>
                <w:szCs w:val="20"/>
              </w:rPr>
            </w:pPr>
          </w:p>
        </w:tc>
        <w:tc>
          <w:tcPr>
            <w:tcW w:w="3686" w:type="dxa"/>
            <w:vMerge/>
            <w:shd w:val="clear" w:color="auto" w:fill="auto"/>
          </w:tcPr>
          <w:p w14:paraId="23240980" w14:textId="77777777" w:rsidR="00547042" w:rsidRDefault="00547042" w:rsidP="008D4220">
            <w:pPr>
              <w:jc w:val="both"/>
              <w:rPr>
                <w:sz w:val="20"/>
                <w:szCs w:val="20"/>
              </w:rPr>
            </w:pPr>
          </w:p>
        </w:tc>
        <w:tc>
          <w:tcPr>
            <w:tcW w:w="1559" w:type="dxa"/>
            <w:vMerge/>
          </w:tcPr>
          <w:p w14:paraId="388D47CC" w14:textId="77777777" w:rsidR="00547042" w:rsidRDefault="00547042" w:rsidP="00C01BB0">
            <w:pPr>
              <w:rPr>
                <w:rFonts w:cs="Times New Roman"/>
                <w:sz w:val="20"/>
                <w:szCs w:val="20"/>
              </w:rPr>
            </w:pPr>
          </w:p>
        </w:tc>
        <w:tc>
          <w:tcPr>
            <w:tcW w:w="2551" w:type="dxa"/>
            <w:vMerge/>
            <w:shd w:val="clear" w:color="auto" w:fill="auto"/>
          </w:tcPr>
          <w:p w14:paraId="1F081DDA" w14:textId="77777777" w:rsidR="00547042" w:rsidRDefault="00547042" w:rsidP="00C01BB0">
            <w:pPr>
              <w:rPr>
                <w:rFonts w:cs="Times New Roman"/>
                <w:sz w:val="20"/>
                <w:szCs w:val="20"/>
              </w:rPr>
            </w:pPr>
          </w:p>
        </w:tc>
        <w:tc>
          <w:tcPr>
            <w:tcW w:w="2694" w:type="dxa"/>
          </w:tcPr>
          <w:p w14:paraId="156DE547" w14:textId="77777777" w:rsidR="00547042" w:rsidRDefault="00547042" w:rsidP="003E3569">
            <w:pPr>
              <w:jc w:val="both"/>
              <w:rPr>
                <w:sz w:val="20"/>
                <w:szCs w:val="20"/>
              </w:rPr>
            </w:pPr>
            <w:r>
              <w:rPr>
                <w:sz w:val="20"/>
                <w:szCs w:val="20"/>
              </w:rPr>
              <w:t>5. Izstrādāti sektorālie risku novērtējumi</w:t>
            </w:r>
          </w:p>
        </w:tc>
        <w:tc>
          <w:tcPr>
            <w:tcW w:w="1134" w:type="dxa"/>
            <w:shd w:val="clear" w:color="auto" w:fill="auto"/>
          </w:tcPr>
          <w:p w14:paraId="3401874C" w14:textId="77777777" w:rsidR="00547042" w:rsidRPr="00A37320" w:rsidRDefault="00547042" w:rsidP="0087476E">
            <w:pPr>
              <w:jc w:val="center"/>
              <w:rPr>
                <w:sz w:val="20"/>
                <w:szCs w:val="20"/>
              </w:rPr>
            </w:pPr>
            <w:r w:rsidRPr="00A37320">
              <w:rPr>
                <w:sz w:val="20"/>
                <w:szCs w:val="20"/>
              </w:rPr>
              <w:t xml:space="preserve">FKTK, VID, LB, IAIU, LZAP, LZNP, LZRA, </w:t>
            </w:r>
            <w:r w:rsidR="0090763B" w:rsidRPr="00A37320">
              <w:rPr>
                <w:sz w:val="20"/>
                <w:szCs w:val="20"/>
              </w:rPr>
              <w:t>NKMP</w:t>
            </w:r>
            <w:r w:rsidRPr="00A37320">
              <w:rPr>
                <w:sz w:val="20"/>
                <w:szCs w:val="20"/>
              </w:rPr>
              <w:t>, PTAC, SM</w:t>
            </w:r>
          </w:p>
        </w:tc>
        <w:tc>
          <w:tcPr>
            <w:tcW w:w="1275" w:type="dxa"/>
            <w:shd w:val="clear" w:color="auto" w:fill="auto"/>
          </w:tcPr>
          <w:p w14:paraId="39B0326C" w14:textId="77777777" w:rsidR="00547042" w:rsidRPr="00602772" w:rsidRDefault="00547042" w:rsidP="0087476E">
            <w:pPr>
              <w:jc w:val="center"/>
              <w:rPr>
                <w:sz w:val="20"/>
                <w:szCs w:val="20"/>
              </w:rPr>
            </w:pPr>
            <w:r>
              <w:rPr>
                <w:sz w:val="20"/>
                <w:szCs w:val="20"/>
              </w:rPr>
              <w:t>KD</w:t>
            </w:r>
          </w:p>
        </w:tc>
        <w:tc>
          <w:tcPr>
            <w:tcW w:w="1418" w:type="dxa"/>
            <w:shd w:val="clear" w:color="auto" w:fill="auto"/>
          </w:tcPr>
          <w:p w14:paraId="378B1B79" w14:textId="77777777" w:rsidR="00547042" w:rsidRDefault="00547042" w:rsidP="0087476E">
            <w:pPr>
              <w:jc w:val="center"/>
              <w:rPr>
                <w:rFonts w:cs="Times New Roman"/>
                <w:bCs/>
                <w:sz w:val="20"/>
                <w:szCs w:val="20"/>
              </w:rPr>
            </w:pPr>
            <w:r>
              <w:rPr>
                <w:rFonts w:cs="Times New Roman"/>
                <w:bCs/>
                <w:sz w:val="20"/>
                <w:szCs w:val="20"/>
              </w:rPr>
              <w:t>2019.gada 1.februāris</w:t>
            </w:r>
          </w:p>
        </w:tc>
      </w:tr>
      <w:tr w:rsidR="0080332D" w:rsidRPr="00FC0326" w14:paraId="122136CC" w14:textId="77777777" w:rsidTr="00FE237C">
        <w:trPr>
          <w:trHeight w:val="543"/>
        </w:trPr>
        <w:tc>
          <w:tcPr>
            <w:tcW w:w="709" w:type="dxa"/>
            <w:vMerge/>
          </w:tcPr>
          <w:p w14:paraId="005D623D" w14:textId="77777777" w:rsidR="0080332D" w:rsidRDefault="0080332D" w:rsidP="00C01BB0">
            <w:pPr>
              <w:jc w:val="center"/>
              <w:rPr>
                <w:rFonts w:cs="Times New Roman"/>
                <w:bCs/>
                <w:sz w:val="20"/>
                <w:szCs w:val="20"/>
              </w:rPr>
            </w:pPr>
          </w:p>
        </w:tc>
        <w:tc>
          <w:tcPr>
            <w:tcW w:w="3686" w:type="dxa"/>
            <w:vMerge/>
            <w:shd w:val="clear" w:color="auto" w:fill="auto"/>
          </w:tcPr>
          <w:p w14:paraId="198E6341" w14:textId="77777777" w:rsidR="0080332D" w:rsidRDefault="0080332D" w:rsidP="008D4220">
            <w:pPr>
              <w:jc w:val="both"/>
              <w:rPr>
                <w:sz w:val="20"/>
                <w:szCs w:val="20"/>
              </w:rPr>
            </w:pPr>
          </w:p>
        </w:tc>
        <w:tc>
          <w:tcPr>
            <w:tcW w:w="1559" w:type="dxa"/>
            <w:vMerge/>
          </w:tcPr>
          <w:p w14:paraId="068264B9" w14:textId="77777777" w:rsidR="0080332D" w:rsidRDefault="0080332D" w:rsidP="00C01BB0">
            <w:pPr>
              <w:rPr>
                <w:rFonts w:cs="Times New Roman"/>
                <w:sz w:val="20"/>
                <w:szCs w:val="20"/>
              </w:rPr>
            </w:pPr>
          </w:p>
        </w:tc>
        <w:tc>
          <w:tcPr>
            <w:tcW w:w="2551" w:type="dxa"/>
            <w:vMerge/>
            <w:shd w:val="clear" w:color="auto" w:fill="auto"/>
          </w:tcPr>
          <w:p w14:paraId="535EC037" w14:textId="77777777" w:rsidR="0080332D" w:rsidRDefault="0080332D" w:rsidP="00C01BB0">
            <w:pPr>
              <w:rPr>
                <w:rFonts w:cs="Times New Roman"/>
                <w:sz w:val="20"/>
                <w:szCs w:val="20"/>
              </w:rPr>
            </w:pPr>
          </w:p>
        </w:tc>
        <w:tc>
          <w:tcPr>
            <w:tcW w:w="2694" w:type="dxa"/>
          </w:tcPr>
          <w:p w14:paraId="7500D40D" w14:textId="77777777" w:rsidR="0080332D" w:rsidRDefault="00547042" w:rsidP="003E3569">
            <w:pPr>
              <w:jc w:val="both"/>
              <w:rPr>
                <w:rFonts w:cs="Times New Roman"/>
                <w:sz w:val="20"/>
                <w:szCs w:val="20"/>
              </w:rPr>
            </w:pPr>
            <w:r>
              <w:rPr>
                <w:sz w:val="20"/>
                <w:szCs w:val="20"/>
              </w:rPr>
              <w:t>6</w:t>
            </w:r>
            <w:r w:rsidR="0080332D">
              <w:rPr>
                <w:sz w:val="20"/>
                <w:szCs w:val="20"/>
              </w:rPr>
              <w:t>. Sagatavots novērtējums par ārvalstu klientu</w:t>
            </w:r>
            <w:r w:rsidR="0080332D" w:rsidRPr="00FC0326">
              <w:rPr>
                <w:sz w:val="20"/>
                <w:szCs w:val="20"/>
              </w:rPr>
              <w:t xml:space="preserve"> depozītu bāzi un ar to saistītajām pārrobežu plūsmām kontekstā ar identificētajiem un potenciālajiem NILLTF riskiem</w:t>
            </w:r>
          </w:p>
        </w:tc>
        <w:tc>
          <w:tcPr>
            <w:tcW w:w="1134" w:type="dxa"/>
            <w:shd w:val="clear" w:color="auto" w:fill="auto"/>
          </w:tcPr>
          <w:p w14:paraId="3BD3F37B" w14:textId="77777777" w:rsidR="0080332D" w:rsidRPr="00A37320" w:rsidRDefault="0080332D" w:rsidP="0087476E">
            <w:pPr>
              <w:jc w:val="center"/>
              <w:rPr>
                <w:sz w:val="20"/>
                <w:szCs w:val="20"/>
              </w:rPr>
            </w:pPr>
            <w:r w:rsidRPr="00A37320">
              <w:rPr>
                <w:sz w:val="20"/>
                <w:szCs w:val="20"/>
              </w:rPr>
              <w:t>FKTK</w:t>
            </w:r>
          </w:p>
        </w:tc>
        <w:tc>
          <w:tcPr>
            <w:tcW w:w="1275" w:type="dxa"/>
            <w:shd w:val="clear" w:color="auto" w:fill="auto"/>
          </w:tcPr>
          <w:p w14:paraId="4D3079CB" w14:textId="77777777" w:rsidR="0080332D" w:rsidRPr="00602772" w:rsidRDefault="0080332D" w:rsidP="0087476E">
            <w:pPr>
              <w:jc w:val="center"/>
              <w:rPr>
                <w:sz w:val="20"/>
                <w:szCs w:val="20"/>
              </w:rPr>
            </w:pPr>
            <w:r w:rsidRPr="00602772">
              <w:rPr>
                <w:sz w:val="20"/>
                <w:szCs w:val="20"/>
              </w:rPr>
              <w:t>LB, KD</w:t>
            </w:r>
          </w:p>
        </w:tc>
        <w:tc>
          <w:tcPr>
            <w:tcW w:w="1418" w:type="dxa"/>
            <w:shd w:val="clear" w:color="auto" w:fill="auto"/>
          </w:tcPr>
          <w:p w14:paraId="57BD3EDB" w14:textId="77777777" w:rsidR="0080332D" w:rsidRPr="0072746E" w:rsidRDefault="0080332D" w:rsidP="0087476E">
            <w:pPr>
              <w:jc w:val="center"/>
              <w:rPr>
                <w:rFonts w:cs="Times New Roman"/>
                <w:bCs/>
                <w:sz w:val="20"/>
                <w:szCs w:val="20"/>
                <w:highlight w:val="yellow"/>
              </w:rPr>
            </w:pPr>
            <w:r>
              <w:rPr>
                <w:rFonts w:cs="Times New Roman"/>
                <w:bCs/>
                <w:sz w:val="20"/>
                <w:szCs w:val="20"/>
              </w:rPr>
              <w:t>2019.gada 1.marts</w:t>
            </w:r>
          </w:p>
        </w:tc>
      </w:tr>
      <w:tr w:rsidR="0080332D" w:rsidRPr="00FC0326" w14:paraId="1325681E" w14:textId="77777777" w:rsidTr="00FE237C">
        <w:trPr>
          <w:trHeight w:val="543"/>
        </w:trPr>
        <w:tc>
          <w:tcPr>
            <w:tcW w:w="709" w:type="dxa"/>
            <w:vMerge/>
          </w:tcPr>
          <w:p w14:paraId="1F3FDE6B" w14:textId="77777777" w:rsidR="0080332D" w:rsidRDefault="0080332D" w:rsidP="00C01BB0">
            <w:pPr>
              <w:jc w:val="center"/>
              <w:rPr>
                <w:rFonts w:cs="Times New Roman"/>
                <w:bCs/>
                <w:sz w:val="20"/>
                <w:szCs w:val="20"/>
              </w:rPr>
            </w:pPr>
          </w:p>
        </w:tc>
        <w:tc>
          <w:tcPr>
            <w:tcW w:w="3686" w:type="dxa"/>
            <w:vMerge/>
            <w:shd w:val="clear" w:color="auto" w:fill="auto"/>
          </w:tcPr>
          <w:p w14:paraId="70446C16" w14:textId="77777777" w:rsidR="0080332D" w:rsidRDefault="0080332D" w:rsidP="008D4220">
            <w:pPr>
              <w:jc w:val="both"/>
              <w:rPr>
                <w:sz w:val="20"/>
                <w:szCs w:val="20"/>
              </w:rPr>
            </w:pPr>
          </w:p>
        </w:tc>
        <w:tc>
          <w:tcPr>
            <w:tcW w:w="1559" w:type="dxa"/>
            <w:vMerge/>
          </w:tcPr>
          <w:p w14:paraId="0BF37132" w14:textId="77777777" w:rsidR="0080332D" w:rsidRDefault="0080332D" w:rsidP="00C01BB0">
            <w:pPr>
              <w:rPr>
                <w:rFonts w:cs="Times New Roman"/>
                <w:sz w:val="20"/>
                <w:szCs w:val="20"/>
              </w:rPr>
            </w:pPr>
          </w:p>
        </w:tc>
        <w:tc>
          <w:tcPr>
            <w:tcW w:w="2551" w:type="dxa"/>
            <w:vMerge/>
            <w:shd w:val="clear" w:color="auto" w:fill="auto"/>
          </w:tcPr>
          <w:p w14:paraId="154A3F8B" w14:textId="77777777" w:rsidR="0080332D" w:rsidRDefault="0080332D" w:rsidP="00C01BB0">
            <w:pPr>
              <w:rPr>
                <w:rFonts w:cs="Times New Roman"/>
                <w:sz w:val="20"/>
                <w:szCs w:val="20"/>
              </w:rPr>
            </w:pPr>
          </w:p>
        </w:tc>
        <w:tc>
          <w:tcPr>
            <w:tcW w:w="2694" w:type="dxa"/>
          </w:tcPr>
          <w:p w14:paraId="5C7469B2" w14:textId="77777777" w:rsidR="0080332D" w:rsidRPr="00CD49D0" w:rsidRDefault="003B3DC7" w:rsidP="008B4FF0">
            <w:pPr>
              <w:jc w:val="both"/>
              <w:rPr>
                <w:rFonts w:cs="Times New Roman"/>
                <w:sz w:val="20"/>
                <w:szCs w:val="20"/>
              </w:rPr>
            </w:pPr>
            <w:r>
              <w:rPr>
                <w:rFonts w:cs="Times New Roman"/>
                <w:sz w:val="20"/>
                <w:szCs w:val="20"/>
              </w:rPr>
              <w:t>7</w:t>
            </w:r>
            <w:r w:rsidR="0080332D">
              <w:rPr>
                <w:rFonts w:cs="Times New Roman"/>
                <w:sz w:val="20"/>
                <w:szCs w:val="20"/>
              </w:rPr>
              <w:t xml:space="preserve">. </w:t>
            </w:r>
            <w:r w:rsidR="0080332D" w:rsidRPr="00CD49D0">
              <w:rPr>
                <w:rFonts w:cs="Times New Roman"/>
                <w:sz w:val="20"/>
                <w:szCs w:val="20"/>
              </w:rPr>
              <w:t>Izstrādāt</w:t>
            </w:r>
            <w:r w:rsidR="0080332D">
              <w:rPr>
                <w:rFonts w:cs="Times New Roman"/>
                <w:sz w:val="20"/>
                <w:szCs w:val="20"/>
              </w:rPr>
              <w:t xml:space="preserve">s </w:t>
            </w:r>
            <w:r w:rsidR="0080332D" w:rsidRPr="00CD49D0">
              <w:rPr>
                <w:rFonts w:cs="Times New Roman"/>
                <w:sz w:val="20"/>
                <w:szCs w:val="20"/>
              </w:rPr>
              <w:t>ziņojum</w:t>
            </w:r>
            <w:r w:rsidR="0080332D">
              <w:rPr>
                <w:rFonts w:cs="Times New Roman"/>
                <w:sz w:val="20"/>
                <w:szCs w:val="20"/>
              </w:rPr>
              <w:t>s</w:t>
            </w:r>
            <w:r w:rsidR="0080332D" w:rsidRPr="00CD49D0">
              <w:rPr>
                <w:rFonts w:cs="Times New Roman"/>
                <w:sz w:val="20"/>
                <w:szCs w:val="20"/>
              </w:rPr>
              <w:t xml:space="preserve"> par virtuālās valūtas izmantošanu </w:t>
            </w:r>
            <w:r w:rsidR="0080332D" w:rsidRPr="00CD49D0">
              <w:rPr>
                <w:rFonts w:cs="Times New Roman"/>
                <w:sz w:val="20"/>
                <w:szCs w:val="20"/>
              </w:rPr>
              <w:lastRenderedPageBreak/>
              <w:t>kā jaunas NIL</w:t>
            </w:r>
            <w:r w:rsidR="0080332D">
              <w:rPr>
                <w:rFonts w:cs="Times New Roman"/>
                <w:sz w:val="20"/>
                <w:szCs w:val="20"/>
              </w:rPr>
              <w:t>L</w:t>
            </w:r>
            <w:r w:rsidR="0080332D" w:rsidRPr="00CD49D0">
              <w:rPr>
                <w:rFonts w:cs="Times New Roman"/>
                <w:sz w:val="20"/>
                <w:szCs w:val="20"/>
              </w:rPr>
              <w:t>TF metodes riskiem</w:t>
            </w:r>
          </w:p>
          <w:p w14:paraId="7907C653" w14:textId="77777777" w:rsidR="0080332D" w:rsidRDefault="0080332D" w:rsidP="00AE7B8A">
            <w:pPr>
              <w:jc w:val="both"/>
              <w:rPr>
                <w:rFonts w:cs="Times New Roman"/>
                <w:sz w:val="20"/>
                <w:szCs w:val="20"/>
              </w:rPr>
            </w:pPr>
          </w:p>
        </w:tc>
        <w:tc>
          <w:tcPr>
            <w:tcW w:w="1134" w:type="dxa"/>
            <w:shd w:val="clear" w:color="auto" w:fill="auto"/>
          </w:tcPr>
          <w:p w14:paraId="3A50573D" w14:textId="77777777" w:rsidR="0080332D" w:rsidRPr="00A37320" w:rsidRDefault="0080332D" w:rsidP="00A37320">
            <w:pPr>
              <w:jc w:val="center"/>
              <w:rPr>
                <w:sz w:val="20"/>
                <w:szCs w:val="20"/>
              </w:rPr>
            </w:pPr>
            <w:r w:rsidRPr="00A37320">
              <w:rPr>
                <w:sz w:val="20"/>
                <w:szCs w:val="20"/>
              </w:rPr>
              <w:lastRenderedPageBreak/>
              <w:t>KD</w:t>
            </w:r>
          </w:p>
        </w:tc>
        <w:tc>
          <w:tcPr>
            <w:tcW w:w="1275" w:type="dxa"/>
            <w:shd w:val="clear" w:color="auto" w:fill="auto"/>
          </w:tcPr>
          <w:p w14:paraId="372F8704" w14:textId="77777777" w:rsidR="0080332D" w:rsidRPr="00602772" w:rsidRDefault="00547042" w:rsidP="005078A1">
            <w:pPr>
              <w:jc w:val="center"/>
              <w:rPr>
                <w:sz w:val="20"/>
                <w:szCs w:val="20"/>
              </w:rPr>
            </w:pPr>
            <w:r>
              <w:rPr>
                <w:sz w:val="20"/>
                <w:szCs w:val="20"/>
              </w:rPr>
              <w:t>FM, VID, LB</w:t>
            </w:r>
          </w:p>
        </w:tc>
        <w:tc>
          <w:tcPr>
            <w:tcW w:w="1418" w:type="dxa"/>
            <w:shd w:val="clear" w:color="auto" w:fill="auto"/>
          </w:tcPr>
          <w:p w14:paraId="355B85B6" w14:textId="77777777" w:rsidR="0080332D" w:rsidRDefault="0080332D" w:rsidP="00AE7B8A">
            <w:pPr>
              <w:jc w:val="center"/>
              <w:rPr>
                <w:rFonts w:cs="Times New Roman"/>
                <w:bCs/>
                <w:sz w:val="20"/>
                <w:szCs w:val="20"/>
              </w:rPr>
            </w:pPr>
            <w:r>
              <w:rPr>
                <w:rFonts w:cs="Times New Roman"/>
                <w:bCs/>
                <w:sz w:val="20"/>
                <w:szCs w:val="20"/>
              </w:rPr>
              <w:t>2019.gada 31.marts</w:t>
            </w:r>
          </w:p>
        </w:tc>
      </w:tr>
      <w:tr w:rsidR="0080332D" w:rsidRPr="00FC0326" w14:paraId="5A6EB434" w14:textId="77777777" w:rsidTr="00FE237C">
        <w:trPr>
          <w:trHeight w:val="543"/>
        </w:trPr>
        <w:tc>
          <w:tcPr>
            <w:tcW w:w="709" w:type="dxa"/>
            <w:vMerge/>
          </w:tcPr>
          <w:p w14:paraId="1D1807F0" w14:textId="77777777" w:rsidR="0080332D" w:rsidRDefault="0080332D" w:rsidP="00C01BB0">
            <w:pPr>
              <w:jc w:val="center"/>
              <w:rPr>
                <w:rFonts w:cs="Times New Roman"/>
                <w:bCs/>
                <w:sz w:val="20"/>
                <w:szCs w:val="20"/>
              </w:rPr>
            </w:pPr>
          </w:p>
        </w:tc>
        <w:tc>
          <w:tcPr>
            <w:tcW w:w="3686" w:type="dxa"/>
            <w:vMerge/>
            <w:shd w:val="clear" w:color="auto" w:fill="auto"/>
          </w:tcPr>
          <w:p w14:paraId="3DF54F24" w14:textId="77777777" w:rsidR="0080332D" w:rsidRDefault="0080332D" w:rsidP="008D4220">
            <w:pPr>
              <w:jc w:val="both"/>
              <w:rPr>
                <w:sz w:val="20"/>
                <w:szCs w:val="20"/>
              </w:rPr>
            </w:pPr>
          </w:p>
        </w:tc>
        <w:tc>
          <w:tcPr>
            <w:tcW w:w="1559" w:type="dxa"/>
            <w:vMerge/>
          </w:tcPr>
          <w:p w14:paraId="06E9E076" w14:textId="77777777" w:rsidR="0080332D" w:rsidRDefault="0080332D" w:rsidP="00C01BB0">
            <w:pPr>
              <w:rPr>
                <w:rFonts w:cs="Times New Roman"/>
                <w:sz w:val="20"/>
                <w:szCs w:val="20"/>
              </w:rPr>
            </w:pPr>
          </w:p>
        </w:tc>
        <w:tc>
          <w:tcPr>
            <w:tcW w:w="2551" w:type="dxa"/>
            <w:vMerge/>
            <w:shd w:val="clear" w:color="auto" w:fill="auto"/>
          </w:tcPr>
          <w:p w14:paraId="5554D42D" w14:textId="77777777" w:rsidR="0080332D" w:rsidRDefault="0080332D" w:rsidP="00C01BB0">
            <w:pPr>
              <w:rPr>
                <w:rFonts w:cs="Times New Roman"/>
                <w:sz w:val="20"/>
                <w:szCs w:val="20"/>
              </w:rPr>
            </w:pPr>
          </w:p>
        </w:tc>
        <w:tc>
          <w:tcPr>
            <w:tcW w:w="2694" w:type="dxa"/>
          </w:tcPr>
          <w:p w14:paraId="325C9CDD" w14:textId="77777777" w:rsidR="0080332D" w:rsidRDefault="003B3DC7">
            <w:pPr>
              <w:jc w:val="both"/>
              <w:rPr>
                <w:rFonts w:cs="Times New Roman"/>
                <w:sz w:val="20"/>
                <w:szCs w:val="20"/>
              </w:rPr>
            </w:pPr>
            <w:r>
              <w:rPr>
                <w:rFonts w:cs="Times New Roman"/>
                <w:sz w:val="20"/>
                <w:szCs w:val="20"/>
              </w:rPr>
              <w:t>8</w:t>
            </w:r>
            <w:r w:rsidR="0080332D">
              <w:rPr>
                <w:rFonts w:cs="Times New Roman"/>
                <w:sz w:val="20"/>
                <w:szCs w:val="20"/>
              </w:rPr>
              <w:t xml:space="preserve">. </w:t>
            </w:r>
            <w:r w:rsidR="0080332D" w:rsidRPr="00A3142E">
              <w:rPr>
                <w:rFonts w:cs="Times New Roman"/>
                <w:sz w:val="20"/>
                <w:szCs w:val="20"/>
              </w:rPr>
              <w:t>Izstrādāt</w:t>
            </w:r>
            <w:r w:rsidR="0080332D">
              <w:rPr>
                <w:rFonts w:cs="Times New Roman"/>
                <w:sz w:val="20"/>
                <w:szCs w:val="20"/>
              </w:rPr>
              <w:t>s</w:t>
            </w:r>
            <w:r w:rsidR="0080332D" w:rsidRPr="00A3142E">
              <w:rPr>
                <w:rFonts w:cs="Times New Roman"/>
                <w:sz w:val="20"/>
                <w:szCs w:val="20"/>
              </w:rPr>
              <w:t xml:space="preserve"> ziņojum</w:t>
            </w:r>
            <w:r w:rsidR="0080332D">
              <w:rPr>
                <w:rFonts w:cs="Times New Roman"/>
                <w:sz w:val="20"/>
                <w:szCs w:val="20"/>
              </w:rPr>
              <w:t>s</w:t>
            </w:r>
            <w:r w:rsidR="0080332D" w:rsidRPr="00A3142E">
              <w:rPr>
                <w:rFonts w:cs="Times New Roman"/>
                <w:sz w:val="20"/>
                <w:szCs w:val="20"/>
              </w:rPr>
              <w:t xml:space="preserve"> par jur</w:t>
            </w:r>
            <w:r w:rsidR="0080332D">
              <w:rPr>
                <w:rFonts w:cs="Times New Roman"/>
                <w:sz w:val="20"/>
                <w:szCs w:val="20"/>
              </w:rPr>
              <w:t>istu un nodokļu konsultantu NILL</w:t>
            </w:r>
            <w:r w:rsidR="0080332D" w:rsidRPr="00A3142E">
              <w:rPr>
                <w:rFonts w:cs="Times New Roman"/>
                <w:sz w:val="20"/>
                <w:szCs w:val="20"/>
              </w:rPr>
              <w:t xml:space="preserve">TF riskiem </w:t>
            </w:r>
          </w:p>
        </w:tc>
        <w:tc>
          <w:tcPr>
            <w:tcW w:w="1134" w:type="dxa"/>
            <w:shd w:val="clear" w:color="auto" w:fill="auto"/>
          </w:tcPr>
          <w:p w14:paraId="25FA8DF3" w14:textId="77777777" w:rsidR="0080332D" w:rsidRPr="00A37320" w:rsidRDefault="0080332D" w:rsidP="00A37320">
            <w:pPr>
              <w:jc w:val="center"/>
              <w:rPr>
                <w:sz w:val="20"/>
                <w:szCs w:val="20"/>
              </w:rPr>
            </w:pPr>
            <w:r w:rsidRPr="00A37320">
              <w:rPr>
                <w:sz w:val="20"/>
                <w:szCs w:val="20"/>
              </w:rPr>
              <w:t>KD</w:t>
            </w:r>
          </w:p>
        </w:tc>
        <w:tc>
          <w:tcPr>
            <w:tcW w:w="1275" w:type="dxa"/>
            <w:shd w:val="clear" w:color="auto" w:fill="auto"/>
          </w:tcPr>
          <w:p w14:paraId="18245794" w14:textId="77777777" w:rsidR="0080332D" w:rsidRPr="00602772" w:rsidRDefault="0080332D" w:rsidP="005078A1">
            <w:pPr>
              <w:jc w:val="center"/>
              <w:rPr>
                <w:sz w:val="20"/>
                <w:szCs w:val="20"/>
              </w:rPr>
            </w:pPr>
            <w:r>
              <w:rPr>
                <w:sz w:val="20"/>
                <w:szCs w:val="20"/>
              </w:rPr>
              <w:t>VID</w:t>
            </w:r>
            <w:r w:rsidR="003B3DC7">
              <w:rPr>
                <w:sz w:val="20"/>
                <w:szCs w:val="20"/>
              </w:rPr>
              <w:t>, LZAP, LZRA, LZNP</w:t>
            </w:r>
          </w:p>
        </w:tc>
        <w:tc>
          <w:tcPr>
            <w:tcW w:w="1418" w:type="dxa"/>
            <w:shd w:val="clear" w:color="auto" w:fill="auto"/>
          </w:tcPr>
          <w:p w14:paraId="45409A5D" w14:textId="77777777" w:rsidR="0080332D" w:rsidRDefault="0080332D">
            <w:pPr>
              <w:jc w:val="center"/>
              <w:rPr>
                <w:rFonts w:cs="Times New Roman"/>
                <w:bCs/>
                <w:sz w:val="20"/>
                <w:szCs w:val="20"/>
              </w:rPr>
            </w:pPr>
            <w:r>
              <w:rPr>
                <w:rFonts w:cs="Times New Roman"/>
                <w:bCs/>
                <w:sz w:val="20"/>
                <w:szCs w:val="20"/>
              </w:rPr>
              <w:t>2019.gada 30.</w:t>
            </w:r>
            <w:r w:rsidR="003B3DC7">
              <w:rPr>
                <w:rFonts w:cs="Times New Roman"/>
                <w:bCs/>
                <w:sz w:val="20"/>
                <w:szCs w:val="20"/>
              </w:rPr>
              <w:t>aprīlis</w:t>
            </w:r>
          </w:p>
        </w:tc>
      </w:tr>
      <w:tr w:rsidR="00454062" w:rsidRPr="00FC0326" w14:paraId="1F76DEBD" w14:textId="77777777" w:rsidTr="00FE237C">
        <w:trPr>
          <w:trHeight w:val="543"/>
        </w:trPr>
        <w:tc>
          <w:tcPr>
            <w:tcW w:w="709" w:type="dxa"/>
            <w:vMerge/>
          </w:tcPr>
          <w:p w14:paraId="64042799" w14:textId="77777777" w:rsidR="00454062" w:rsidRDefault="00454062" w:rsidP="00C01BB0">
            <w:pPr>
              <w:jc w:val="center"/>
              <w:rPr>
                <w:rFonts w:cs="Times New Roman"/>
                <w:bCs/>
                <w:sz w:val="20"/>
                <w:szCs w:val="20"/>
              </w:rPr>
            </w:pPr>
          </w:p>
        </w:tc>
        <w:tc>
          <w:tcPr>
            <w:tcW w:w="3686" w:type="dxa"/>
            <w:vMerge/>
            <w:shd w:val="clear" w:color="auto" w:fill="auto"/>
          </w:tcPr>
          <w:p w14:paraId="0E700A54" w14:textId="77777777" w:rsidR="00454062" w:rsidRDefault="00454062" w:rsidP="008D4220">
            <w:pPr>
              <w:jc w:val="both"/>
              <w:rPr>
                <w:sz w:val="20"/>
                <w:szCs w:val="20"/>
              </w:rPr>
            </w:pPr>
          </w:p>
        </w:tc>
        <w:tc>
          <w:tcPr>
            <w:tcW w:w="1559" w:type="dxa"/>
            <w:vMerge/>
          </w:tcPr>
          <w:p w14:paraId="7B48E1A6" w14:textId="77777777" w:rsidR="00454062" w:rsidRDefault="00454062" w:rsidP="00C01BB0">
            <w:pPr>
              <w:rPr>
                <w:rFonts w:cs="Times New Roman"/>
                <w:sz w:val="20"/>
                <w:szCs w:val="20"/>
              </w:rPr>
            </w:pPr>
          </w:p>
        </w:tc>
        <w:tc>
          <w:tcPr>
            <w:tcW w:w="2551" w:type="dxa"/>
            <w:vMerge/>
            <w:shd w:val="clear" w:color="auto" w:fill="auto"/>
          </w:tcPr>
          <w:p w14:paraId="360592CB" w14:textId="77777777" w:rsidR="00454062" w:rsidRDefault="00454062" w:rsidP="00C01BB0">
            <w:pPr>
              <w:rPr>
                <w:rFonts w:cs="Times New Roman"/>
                <w:sz w:val="20"/>
                <w:szCs w:val="20"/>
              </w:rPr>
            </w:pPr>
          </w:p>
        </w:tc>
        <w:tc>
          <w:tcPr>
            <w:tcW w:w="2694" w:type="dxa"/>
          </w:tcPr>
          <w:p w14:paraId="0EDD4865" w14:textId="77777777" w:rsidR="00454062" w:rsidRDefault="00454062" w:rsidP="00AE7B8A">
            <w:pPr>
              <w:jc w:val="both"/>
              <w:rPr>
                <w:rFonts w:cs="Times New Roman"/>
                <w:sz w:val="20"/>
                <w:szCs w:val="20"/>
              </w:rPr>
            </w:pPr>
            <w:r>
              <w:rPr>
                <w:rFonts w:cs="Times New Roman"/>
                <w:sz w:val="20"/>
                <w:szCs w:val="20"/>
              </w:rPr>
              <w:t>9.Veikts p</w:t>
            </w:r>
            <w:r w:rsidR="0095146A">
              <w:rPr>
                <w:rFonts w:cs="Times New Roman"/>
                <w:sz w:val="20"/>
                <w:szCs w:val="20"/>
              </w:rPr>
              <w:t>ētījums par la</w:t>
            </w:r>
            <w:r>
              <w:rPr>
                <w:rFonts w:cs="Times New Roman"/>
                <w:sz w:val="20"/>
                <w:szCs w:val="20"/>
              </w:rPr>
              <w:t>tentās noziedzības apmēru</w:t>
            </w:r>
          </w:p>
        </w:tc>
        <w:tc>
          <w:tcPr>
            <w:tcW w:w="1134" w:type="dxa"/>
            <w:shd w:val="clear" w:color="auto" w:fill="auto"/>
          </w:tcPr>
          <w:p w14:paraId="5A2F0B94" w14:textId="77777777" w:rsidR="00454062" w:rsidRPr="00A37320" w:rsidRDefault="00454062" w:rsidP="00A37320">
            <w:pPr>
              <w:jc w:val="center"/>
              <w:rPr>
                <w:sz w:val="20"/>
                <w:szCs w:val="20"/>
              </w:rPr>
            </w:pPr>
            <w:r w:rsidRPr="00A37320">
              <w:rPr>
                <w:sz w:val="20"/>
                <w:szCs w:val="20"/>
              </w:rPr>
              <w:t>KD</w:t>
            </w:r>
          </w:p>
        </w:tc>
        <w:tc>
          <w:tcPr>
            <w:tcW w:w="1275" w:type="dxa"/>
            <w:shd w:val="clear" w:color="auto" w:fill="auto"/>
          </w:tcPr>
          <w:p w14:paraId="59DC1224" w14:textId="77777777" w:rsidR="00454062" w:rsidRPr="00602772" w:rsidRDefault="00454062" w:rsidP="005078A1">
            <w:pPr>
              <w:jc w:val="center"/>
              <w:rPr>
                <w:sz w:val="20"/>
                <w:szCs w:val="20"/>
              </w:rPr>
            </w:pPr>
            <w:r>
              <w:rPr>
                <w:sz w:val="20"/>
                <w:szCs w:val="20"/>
              </w:rPr>
              <w:t>TM, IeM, ĢP, VP, KNAB, DP</w:t>
            </w:r>
            <w:r w:rsidR="00BA6A7D">
              <w:rPr>
                <w:sz w:val="20"/>
                <w:szCs w:val="20"/>
              </w:rPr>
              <w:t>, NMPP, Valsts policijas koledža, LU, RSU</w:t>
            </w:r>
          </w:p>
        </w:tc>
        <w:tc>
          <w:tcPr>
            <w:tcW w:w="1418" w:type="dxa"/>
            <w:shd w:val="clear" w:color="auto" w:fill="auto"/>
          </w:tcPr>
          <w:p w14:paraId="6AB0E610" w14:textId="77777777" w:rsidR="00454062" w:rsidRDefault="00BA6A7D" w:rsidP="00AE7B8A">
            <w:pPr>
              <w:jc w:val="center"/>
              <w:rPr>
                <w:rFonts w:cs="Times New Roman"/>
                <w:bCs/>
                <w:sz w:val="20"/>
                <w:szCs w:val="20"/>
              </w:rPr>
            </w:pPr>
            <w:r>
              <w:rPr>
                <w:rFonts w:cs="Times New Roman"/>
                <w:bCs/>
                <w:sz w:val="20"/>
                <w:szCs w:val="20"/>
              </w:rPr>
              <w:t>2018.gada 1.jūnijs</w:t>
            </w:r>
          </w:p>
        </w:tc>
      </w:tr>
      <w:tr w:rsidR="0080332D" w:rsidRPr="00FC0326" w14:paraId="476B039D" w14:textId="77777777" w:rsidTr="00FE237C">
        <w:trPr>
          <w:trHeight w:val="543"/>
        </w:trPr>
        <w:tc>
          <w:tcPr>
            <w:tcW w:w="709" w:type="dxa"/>
            <w:vMerge/>
          </w:tcPr>
          <w:p w14:paraId="2E4BB3DB" w14:textId="77777777" w:rsidR="0080332D" w:rsidRDefault="0080332D" w:rsidP="00C01BB0">
            <w:pPr>
              <w:jc w:val="center"/>
              <w:rPr>
                <w:rFonts w:cs="Times New Roman"/>
                <w:bCs/>
                <w:sz w:val="20"/>
                <w:szCs w:val="20"/>
              </w:rPr>
            </w:pPr>
          </w:p>
        </w:tc>
        <w:tc>
          <w:tcPr>
            <w:tcW w:w="3686" w:type="dxa"/>
            <w:vMerge/>
            <w:shd w:val="clear" w:color="auto" w:fill="auto"/>
          </w:tcPr>
          <w:p w14:paraId="293F9F11" w14:textId="77777777" w:rsidR="0080332D" w:rsidRDefault="0080332D" w:rsidP="008D4220">
            <w:pPr>
              <w:jc w:val="both"/>
              <w:rPr>
                <w:sz w:val="20"/>
                <w:szCs w:val="20"/>
              </w:rPr>
            </w:pPr>
          </w:p>
        </w:tc>
        <w:tc>
          <w:tcPr>
            <w:tcW w:w="1559" w:type="dxa"/>
            <w:vMerge/>
          </w:tcPr>
          <w:p w14:paraId="08C62619" w14:textId="77777777" w:rsidR="0080332D" w:rsidRDefault="0080332D" w:rsidP="00C01BB0">
            <w:pPr>
              <w:rPr>
                <w:rFonts w:cs="Times New Roman"/>
                <w:sz w:val="20"/>
                <w:szCs w:val="20"/>
              </w:rPr>
            </w:pPr>
          </w:p>
        </w:tc>
        <w:tc>
          <w:tcPr>
            <w:tcW w:w="2551" w:type="dxa"/>
            <w:vMerge/>
            <w:shd w:val="clear" w:color="auto" w:fill="auto"/>
          </w:tcPr>
          <w:p w14:paraId="34B0352B" w14:textId="77777777" w:rsidR="0080332D" w:rsidRDefault="0080332D" w:rsidP="00C01BB0">
            <w:pPr>
              <w:rPr>
                <w:rFonts w:cs="Times New Roman"/>
                <w:sz w:val="20"/>
                <w:szCs w:val="20"/>
              </w:rPr>
            </w:pPr>
          </w:p>
        </w:tc>
        <w:tc>
          <w:tcPr>
            <w:tcW w:w="2694" w:type="dxa"/>
          </w:tcPr>
          <w:p w14:paraId="66F49347" w14:textId="77777777" w:rsidR="0080332D" w:rsidRDefault="004D19A8" w:rsidP="00AE7B8A">
            <w:pPr>
              <w:jc w:val="both"/>
              <w:rPr>
                <w:rFonts w:cs="Times New Roman"/>
                <w:sz w:val="20"/>
                <w:szCs w:val="20"/>
              </w:rPr>
            </w:pPr>
            <w:r>
              <w:rPr>
                <w:rFonts w:cs="Times New Roman"/>
                <w:sz w:val="20"/>
                <w:szCs w:val="20"/>
              </w:rPr>
              <w:t>10</w:t>
            </w:r>
            <w:r w:rsidR="0080332D">
              <w:rPr>
                <w:rFonts w:cs="Times New Roman"/>
                <w:sz w:val="20"/>
                <w:szCs w:val="20"/>
              </w:rPr>
              <w:t>. Izstrādāts 3. nacionālais NILLTF risku novērtējums, tajā iekļaujot šī plāna 9.1.pasākumā veiktā izvērtējuma rezultātus</w:t>
            </w:r>
          </w:p>
        </w:tc>
        <w:tc>
          <w:tcPr>
            <w:tcW w:w="1134" w:type="dxa"/>
            <w:shd w:val="clear" w:color="auto" w:fill="auto"/>
          </w:tcPr>
          <w:p w14:paraId="4FC2F0C5" w14:textId="77777777" w:rsidR="0080332D" w:rsidRPr="00A37320" w:rsidRDefault="0080332D" w:rsidP="00A37320">
            <w:pPr>
              <w:jc w:val="center"/>
              <w:rPr>
                <w:sz w:val="20"/>
                <w:szCs w:val="20"/>
              </w:rPr>
            </w:pPr>
            <w:r w:rsidRPr="00A37320">
              <w:rPr>
                <w:sz w:val="20"/>
                <w:szCs w:val="20"/>
              </w:rPr>
              <w:t>KD</w:t>
            </w:r>
          </w:p>
        </w:tc>
        <w:tc>
          <w:tcPr>
            <w:tcW w:w="1275" w:type="dxa"/>
            <w:shd w:val="clear" w:color="auto" w:fill="auto"/>
          </w:tcPr>
          <w:p w14:paraId="049B9794" w14:textId="77777777" w:rsidR="0080332D" w:rsidRPr="00602772" w:rsidRDefault="0080332D" w:rsidP="005078A1">
            <w:pPr>
              <w:jc w:val="center"/>
              <w:rPr>
                <w:sz w:val="20"/>
                <w:szCs w:val="20"/>
              </w:rPr>
            </w:pPr>
            <w:r w:rsidRPr="00602772">
              <w:rPr>
                <w:sz w:val="20"/>
                <w:szCs w:val="20"/>
              </w:rPr>
              <w:t xml:space="preserve">FKTK, VID, LB, IAUI, LZAP, LZNP, LZRA, </w:t>
            </w:r>
            <w:r w:rsidR="0090763B">
              <w:rPr>
                <w:sz w:val="20"/>
                <w:szCs w:val="20"/>
              </w:rPr>
              <w:t>NKMP</w:t>
            </w:r>
            <w:r w:rsidRPr="00602772">
              <w:rPr>
                <w:sz w:val="20"/>
                <w:szCs w:val="20"/>
              </w:rPr>
              <w:t>, PTAC, SM</w:t>
            </w:r>
            <w:r w:rsidR="004D19A8">
              <w:rPr>
                <w:sz w:val="20"/>
                <w:szCs w:val="20"/>
              </w:rPr>
              <w:t>, VP, KNAB, DP, ĢP, IeM, FM, TM</w:t>
            </w:r>
          </w:p>
        </w:tc>
        <w:tc>
          <w:tcPr>
            <w:tcW w:w="1418" w:type="dxa"/>
            <w:shd w:val="clear" w:color="auto" w:fill="auto"/>
          </w:tcPr>
          <w:p w14:paraId="6012AC5B" w14:textId="77777777" w:rsidR="0080332D" w:rsidRPr="0072746E" w:rsidRDefault="0080332D" w:rsidP="00AE7B8A">
            <w:pPr>
              <w:jc w:val="center"/>
              <w:rPr>
                <w:rFonts w:cs="Times New Roman"/>
                <w:bCs/>
                <w:sz w:val="20"/>
                <w:szCs w:val="20"/>
                <w:highlight w:val="yellow"/>
              </w:rPr>
            </w:pPr>
            <w:r>
              <w:rPr>
                <w:rFonts w:cs="Times New Roman"/>
                <w:bCs/>
                <w:sz w:val="20"/>
                <w:szCs w:val="20"/>
              </w:rPr>
              <w:t>2019.gada 15.augusts</w:t>
            </w:r>
          </w:p>
        </w:tc>
      </w:tr>
      <w:tr w:rsidR="0080332D" w:rsidRPr="00FC0326" w14:paraId="22A5F08E" w14:textId="77777777" w:rsidTr="00FE237C">
        <w:trPr>
          <w:trHeight w:val="543"/>
        </w:trPr>
        <w:tc>
          <w:tcPr>
            <w:tcW w:w="709" w:type="dxa"/>
            <w:vMerge w:val="restart"/>
          </w:tcPr>
          <w:p w14:paraId="6F766EBB" w14:textId="77777777" w:rsidR="0080332D" w:rsidRDefault="0080332D" w:rsidP="00C01BB0">
            <w:pPr>
              <w:jc w:val="center"/>
              <w:rPr>
                <w:rFonts w:cs="Times New Roman"/>
                <w:bCs/>
                <w:sz w:val="20"/>
                <w:szCs w:val="20"/>
              </w:rPr>
            </w:pPr>
            <w:r>
              <w:rPr>
                <w:rFonts w:cs="Times New Roman"/>
                <w:bCs/>
                <w:sz w:val="20"/>
                <w:szCs w:val="20"/>
              </w:rPr>
              <w:t>1.2.</w:t>
            </w:r>
          </w:p>
        </w:tc>
        <w:tc>
          <w:tcPr>
            <w:tcW w:w="3686" w:type="dxa"/>
            <w:vMerge w:val="restart"/>
            <w:shd w:val="clear" w:color="auto" w:fill="auto"/>
          </w:tcPr>
          <w:p w14:paraId="2D82EDD3" w14:textId="77777777" w:rsidR="0080332D" w:rsidRDefault="0080332D" w:rsidP="008D4220">
            <w:pPr>
              <w:jc w:val="both"/>
              <w:rPr>
                <w:sz w:val="20"/>
                <w:szCs w:val="20"/>
              </w:rPr>
            </w:pPr>
            <w:r>
              <w:rPr>
                <w:sz w:val="20"/>
                <w:szCs w:val="20"/>
              </w:rPr>
              <w:t>Izstrādāt komunikācijas stratēģiju par noziedzīgi iegūtu līdzekļu legalizācijas, terorisma finansēšanas un proliferācijas novēršanu</w:t>
            </w:r>
          </w:p>
          <w:p w14:paraId="12EA9517" w14:textId="77777777" w:rsidR="0080332D" w:rsidRDefault="0080332D" w:rsidP="008D4220">
            <w:pPr>
              <w:jc w:val="both"/>
              <w:rPr>
                <w:rFonts w:cs="Times New Roman"/>
                <w:sz w:val="20"/>
                <w:szCs w:val="20"/>
              </w:rPr>
            </w:pPr>
          </w:p>
          <w:p w14:paraId="4C665A3D" w14:textId="77777777" w:rsidR="0080332D" w:rsidRDefault="0080332D" w:rsidP="008D4220">
            <w:pPr>
              <w:jc w:val="both"/>
              <w:rPr>
                <w:sz w:val="20"/>
                <w:szCs w:val="20"/>
              </w:rPr>
            </w:pPr>
          </w:p>
        </w:tc>
        <w:tc>
          <w:tcPr>
            <w:tcW w:w="1559" w:type="dxa"/>
            <w:vMerge w:val="restart"/>
          </w:tcPr>
          <w:p w14:paraId="0DA0A98F" w14:textId="77777777" w:rsidR="0080332D" w:rsidRPr="00FC0326" w:rsidRDefault="0080332D" w:rsidP="00C01BB0">
            <w:pPr>
              <w:rPr>
                <w:rFonts w:cs="Times New Roman"/>
                <w:sz w:val="20"/>
                <w:szCs w:val="20"/>
              </w:rPr>
            </w:pPr>
            <w:r>
              <w:rPr>
                <w:rFonts w:cs="Times New Roman"/>
                <w:sz w:val="20"/>
                <w:szCs w:val="20"/>
              </w:rPr>
              <w:t>Moneyval rekomendācija 1.3.</w:t>
            </w:r>
          </w:p>
        </w:tc>
        <w:tc>
          <w:tcPr>
            <w:tcW w:w="2551" w:type="dxa"/>
            <w:vMerge w:val="restart"/>
            <w:shd w:val="clear" w:color="auto" w:fill="auto"/>
          </w:tcPr>
          <w:p w14:paraId="67958CCB" w14:textId="77777777" w:rsidR="0080332D" w:rsidRDefault="0080332D" w:rsidP="008B4FF0">
            <w:pPr>
              <w:jc w:val="both"/>
              <w:rPr>
                <w:rFonts w:cs="Times New Roman"/>
                <w:sz w:val="20"/>
                <w:szCs w:val="20"/>
              </w:rPr>
            </w:pPr>
            <w:r>
              <w:rPr>
                <w:rFonts w:cs="Times New Roman"/>
                <w:sz w:val="20"/>
                <w:szCs w:val="20"/>
              </w:rPr>
              <w:t>Risku novērtējuma rezultātu izskaidrošana privātajam sektoram</w:t>
            </w:r>
            <w:r w:rsidR="004D19A8">
              <w:rPr>
                <w:rFonts w:cs="Times New Roman"/>
                <w:sz w:val="20"/>
                <w:szCs w:val="20"/>
              </w:rPr>
              <w:t>.</w:t>
            </w:r>
          </w:p>
          <w:p w14:paraId="6F472A46" w14:textId="77777777" w:rsidR="0080332D" w:rsidRDefault="0080332D" w:rsidP="008B4FF0">
            <w:pPr>
              <w:jc w:val="both"/>
              <w:rPr>
                <w:rFonts w:cs="Times New Roman"/>
                <w:sz w:val="20"/>
                <w:szCs w:val="20"/>
              </w:rPr>
            </w:pPr>
            <w:r>
              <w:rPr>
                <w:rFonts w:cs="Times New Roman"/>
                <w:sz w:val="20"/>
                <w:szCs w:val="20"/>
              </w:rPr>
              <w:t>Informācijas sniegšana par NIILTFN jomā paveikto</w:t>
            </w:r>
            <w:r w:rsidR="004D19A8">
              <w:rPr>
                <w:rFonts w:cs="Times New Roman"/>
                <w:sz w:val="20"/>
                <w:szCs w:val="20"/>
              </w:rPr>
              <w:t>.</w:t>
            </w:r>
          </w:p>
          <w:p w14:paraId="182DBA2A" w14:textId="77777777" w:rsidR="0080332D" w:rsidRDefault="0080332D" w:rsidP="004D19A8">
            <w:pPr>
              <w:jc w:val="both"/>
              <w:rPr>
                <w:rFonts w:cs="Times New Roman"/>
                <w:sz w:val="20"/>
                <w:szCs w:val="20"/>
              </w:rPr>
            </w:pPr>
            <w:r w:rsidRPr="00A3142E">
              <w:rPr>
                <w:rFonts w:cs="Times New Roman"/>
                <w:sz w:val="20"/>
                <w:szCs w:val="20"/>
              </w:rPr>
              <w:t>Palielināta iedzīvotāju informētība un izpratne par NILL</w:t>
            </w:r>
            <w:r>
              <w:rPr>
                <w:rFonts w:cs="Times New Roman"/>
                <w:sz w:val="20"/>
                <w:szCs w:val="20"/>
              </w:rPr>
              <w:t>TF</w:t>
            </w:r>
            <w:r w:rsidRPr="00A3142E">
              <w:rPr>
                <w:rFonts w:cs="Times New Roman"/>
                <w:sz w:val="20"/>
                <w:szCs w:val="20"/>
              </w:rPr>
              <w:t xml:space="preserve">TF </w:t>
            </w:r>
            <w:r>
              <w:rPr>
                <w:rFonts w:cs="Times New Roman"/>
                <w:sz w:val="20"/>
                <w:szCs w:val="20"/>
              </w:rPr>
              <w:t xml:space="preserve">un starptautisko sankciju </w:t>
            </w:r>
            <w:r w:rsidRPr="00A3142E">
              <w:rPr>
                <w:rFonts w:cs="Times New Roman"/>
                <w:sz w:val="20"/>
                <w:szCs w:val="20"/>
              </w:rPr>
              <w:t>jautājumiem. Samazinājies to noziedzīgo nodarījumu skaits, kur personas iesaistī</w:t>
            </w:r>
            <w:r>
              <w:rPr>
                <w:rFonts w:cs="Times New Roman"/>
                <w:sz w:val="20"/>
                <w:szCs w:val="20"/>
              </w:rPr>
              <w:t>tas NILL</w:t>
            </w:r>
            <w:r w:rsidR="004D19A8">
              <w:rPr>
                <w:rFonts w:cs="Times New Roman"/>
                <w:sz w:val="20"/>
                <w:szCs w:val="20"/>
              </w:rPr>
              <w:t>TF</w:t>
            </w:r>
            <w:r>
              <w:rPr>
                <w:rFonts w:cs="Times New Roman"/>
                <w:sz w:val="20"/>
                <w:szCs w:val="20"/>
              </w:rPr>
              <w:t xml:space="preserve"> to neapzinoties.</w:t>
            </w:r>
          </w:p>
        </w:tc>
        <w:tc>
          <w:tcPr>
            <w:tcW w:w="2694" w:type="dxa"/>
          </w:tcPr>
          <w:p w14:paraId="2D4BA51E" w14:textId="77777777" w:rsidR="0080332D" w:rsidRDefault="00F8172B" w:rsidP="00AE7B8A">
            <w:pPr>
              <w:jc w:val="both"/>
              <w:rPr>
                <w:rFonts w:cs="Times New Roman"/>
                <w:sz w:val="20"/>
                <w:szCs w:val="20"/>
              </w:rPr>
            </w:pPr>
            <w:r>
              <w:rPr>
                <w:rFonts w:cs="Times New Roman"/>
                <w:sz w:val="20"/>
                <w:szCs w:val="20"/>
              </w:rPr>
              <w:t>1.</w:t>
            </w:r>
            <w:r w:rsidR="001E1C4E">
              <w:rPr>
                <w:rFonts w:cs="Times New Roman"/>
                <w:sz w:val="20"/>
                <w:szCs w:val="20"/>
              </w:rPr>
              <w:t>Moneyval 5.kārtas novērtēšanas ziņojums iztulkots latviešu valodā un veikta sabiedrības informēšana</w:t>
            </w:r>
          </w:p>
        </w:tc>
        <w:tc>
          <w:tcPr>
            <w:tcW w:w="1134" w:type="dxa"/>
            <w:shd w:val="clear" w:color="auto" w:fill="auto"/>
          </w:tcPr>
          <w:p w14:paraId="4A0A2ACB" w14:textId="77777777" w:rsidR="0080332D" w:rsidRPr="00A37320" w:rsidRDefault="0080332D" w:rsidP="00A37320">
            <w:pPr>
              <w:jc w:val="center"/>
              <w:rPr>
                <w:sz w:val="20"/>
                <w:szCs w:val="20"/>
              </w:rPr>
            </w:pPr>
            <w:r w:rsidRPr="00A37320">
              <w:rPr>
                <w:sz w:val="20"/>
                <w:szCs w:val="20"/>
              </w:rPr>
              <w:t>KD</w:t>
            </w:r>
          </w:p>
        </w:tc>
        <w:tc>
          <w:tcPr>
            <w:tcW w:w="1275" w:type="dxa"/>
            <w:shd w:val="clear" w:color="auto" w:fill="auto"/>
          </w:tcPr>
          <w:p w14:paraId="03187EBF" w14:textId="77777777" w:rsidR="0080332D" w:rsidRPr="00602772" w:rsidRDefault="0080332D" w:rsidP="00C01BB0">
            <w:pPr>
              <w:jc w:val="center"/>
              <w:rPr>
                <w:sz w:val="20"/>
                <w:szCs w:val="20"/>
              </w:rPr>
            </w:pPr>
          </w:p>
        </w:tc>
        <w:tc>
          <w:tcPr>
            <w:tcW w:w="1418" w:type="dxa"/>
            <w:shd w:val="clear" w:color="auto" w:fill="auto"/>
          </w:tcPr>
          <w:p w14:paraId="5DC3266C" w14:textId="77777777" w:rsidR="0080332D" w:rsidRDefault="0080332D" w:rsidP="00AE7B8A">
            <w:pPr>
              <w:jc w:val="center"/>
              <w:rPr>
                <w:rFonts w:cs="Times New Roman"/>
                <w:bCs/>
                <w:sz w:val="20"/>
                <w:szCs w:val="20"/>
              </w:rPr>
            </w:pPr>
            <w:r>
              <w:rPr>
                <w:rFonts w:cs="Times New Roman"/>
                <w:bCs/>
                <w:sz w:val="20"/>
                <w:szCs w:val="20"/>
              </w:rPr>
              <w:t>201</w:t>
            </w:r>
            <w:r w:rsidR="0095146A">
              <w:rPr>
                <w:rFonts w:cs="Times New Roman"/>
                <w:bCs/>
                <w:sz w:val="20"/>
                <w:szCs w:val="20"/>
              </w:rPr>
              <w:t>8</w:t>
            </w:r>
            <w:r>
              <w:rPr>
                <w:rFonts w:cs="Times New Roman"/>
                <w:bCs/>
                <w:sz w:val="20"/>
                <w:szCs w:val="20"/>
              </w:rPr>
              <w:t>.gada 1.marts</w:t>
            </w:r>
          </w:p>
        </w:tc>
      </w:tr>
      <w:tr w:rsidR="001E1C4E" w:rsidRPr="00FC0326" w14:paraId="4526608F" w14:textId="77777777" w:rsidTr="00FE237C">
        <w:trPr>
          <w:trHeight w:val="543"/>
        </w:trPr>
        <w:tc>
          <w:tcPr>
            <w:tcW w:w="709" w:type="dxa"/>
            <w:vMerge/>
          </w:tcPr>
          <w:p w14:paraId="530A309B" w14:textId="77777777" w:rsidR="001E1C4E" w:rsidRDefault="001E1C4E" w:rsidP="00C01BB0">
            <w:pPr>
              <w:jc w:val="center"/>
              <w:rPr>
                <w:rFonts w:cs="Times New Roman"/>
                <w:bCs/>
                <w:sz w:val="20"/>
                <w:szCs w:val="20"/>
              </w:rPr>
            </w:pPr>
          </w:p>
        </w:tc>
        <w:tc>
          <w:tcPr>
            <w:tcW w:w="3686" w:type="dxa"/>
            <w:vMerge/>
            <w:shd w:val="clear" w:color="auto" w:fill="auto"/>
          </w:tcPr>
          <w:p w14:paraId="48F78CEA" w14:textId="77777777" w:rsidR="001E1C4E" w:rsidRDefault="001E1C4E" w:rsidP="008D4220">
            <w:pPr>
              <w:jc w:val="both"/>
              <w:rPr>
                <w:sz w:val="20"/>
                <w:szCs w:val="20"/>
              </w:rPr>
            </w:pPr>
          </w:p>
        </w:tc>
        <w:tc>
          <w:tcPr>
            <w:tcW w:w="1559" w:type="dxa"/>
            <w:vMerge/>
          </w:tcPr>
          <w:p w14:paraId="5BE5C858" w14:textId="77777777" w:rsidR="001E1C4E" w:rsidRDefault="001E1C4E" w:rsidP="00C01BB0">
            <w:pPr>
              <w:rPr>
                <w:rFonts w:cs="Times New Roman"/>
                <w:sz w:val="20"/>
                <w:szCs w:val="20"/>
              </w:rPr>
            </w:pPr>
          </w:p>
        </w:tc>
        <w:tc>
          <w:tcPr>
            <w:tcW w:w="2551" w:type="dxa"/>
            <w:vMerge/>
            <w:shd w:val="clear" w:color="auto" w:fill="auto"/>
          </w:tcPr>
          <w:p w14:paraId="1943C1EC" w14:textId="77777777" w:rsidR="001E1C4E" w:rsidRDefault="001E1C4E" w:rsidP="008B4FF0">
            <w:pPr>
              <w:jc w:val="both"/>
              <w:rPr>
                <w:rFonts w:cs="Times New Roman"/>
                <w:sz w:val="20"/>
                <w:szCs w:val="20"/>
              </w:rPr>
            </w:pPr>
          </w:p>
        </w:tc>
        <w:tc>
          <w:tcPr>
            <w:tcW w:w="2694" w:type="dxa"/>
          </w:tcPr>
          <w:p w14:paraId="57732811" w14:textId="77777777" w:rsidR="001E1C4E" w:rsidRDefault="00F8172B" w:rsidP="00AE7B8A">
            <w:pPr>
              <w:jc w:val="both"/>
              <w:rPr>
                <w:rFonts w:cs="Times New Roman"/>
                <w:sz w:val="20"/>
                <w:szCs w:val="20"/>
              </w:rPr>
            </w:pPr>
            <w:r>
              <w:rPr>
                <w:rFonts w:cs="Times New Roman"/>
                <w:sz w:val="20"/>
                <w:szCs w:val="20"/>
              </w:rPr>
              <w:t>2.</w:t>
            </w:r>
            <w:r w:rsidR="001E1C4E">
              <w:rPr>
                <w:rFonts w:cs="Times New Roman"/>
                <w:sz w:val="20"/>
                <w:szCs w:val="20"/>
              </w:rPr>
              <w:t>Izstrādāta komunikācijas stratēģija</w:t>
            </w:r>
          </w:p>
        </w:tc>
        <w:tc>
          <w:tcPr>
            <w:tcW w:w="1134" w:type="dxa"/>
            <w:shd w:val="clear" w:color="auto" w:fill="auto"/>
          </w:tcPr>
          <w:p w14:paraId="77D4E9E4" w14:textId="77777777" w:rsidR="001E1C4E" w:rsidRPr="00A37320" w:rsidRDefault="001E1C4E" w:rsidP="00A37320">
            <w:pPr>
              <w:jc w:val="center"/>
              <w:rPr>
                <w:sz w:val="20"/>
                <w:szCs w:val="20"/>
              </w:rPr>
            </w:pPr>
            <w:r w:rsidRPr="00A37320">
              <w:rPr>
                <w:sz w:val="20"/>
                <w:szCs w:val="20"/>
              </w:rPr>
              <w:t>FM, KD</w:t>
            </w:r>
          </w:p>
        </w:tc>
        <w:tc>
          <w:tcPr>
            <w:tcW w:w="1275" w:type="dxa"/>
            <w:shd w:val="clear" w:color="auto" w:fill="auto"/>
          </w:tcPr>
          <w:p w14:paraId="3E1DC83D" w14:textId="77777777" w:rsidR="001E1C4E" w:rsidRDefault="001E1C4E" w:rsidP="00C01BB0">
            <w:pPr>
              <w:jc w:val="center"/>
              <w:rPr>
                <w:sz w:val="20"/>
                <w:szCs w:val="20"/>
              </w:rPr>
            </w:pPr>
            <w:r>
              <w:rPr>
                <w:sz w:val="20"/>
                <w:szCs w:val="20"/>
              </w:rPr>
              <w:t>FKTK, VID, LB, IAUI, LZAP, LZNP,</w:t>
            </w:r>
          </w:p>
          <w:p w14:paraId="1797A21B" w14:textId="77777777" w:rsidR="001E1C4E" w:rsidRPr="00602772" w:rsidRDefault="001E1C4E" w:rsidP="00C01BB0">
            <w:pPr>
              <w:jc w:val="center"/>
              <w:rPr>
                <w:sz w:val="20"/>
                <w:szCs w:val="20"/>
              </w:rPr>
            </w:pPr>
            <w:r>
              <w:rPr>
                <w:sz w:val="20"/>
                <w:szCs w:val="20"/>
              </w:rPr>
              <w:t xml:space="preserve">LZRA, </w:t>
            </w:r>
            <w:r w:rsidR="0090763B">
              <w:rPr>
                <w:sz w:val="20"/>
                <w:szCs w:val="20"/>
              </w:rPr>
              <w:t>NKMP</w:t>
            </w:r>
            <w:r>
              <w:rPr>
                <w:sz w:val="20"/>
                <w:szCs w:val="20"/>
              </w:rPr>
              <w:t xml:space="preserve">, PTAC, SM, VP, KNAB, DP, ĢP, </w:t>
            </w:r>
            <w:r>
              <w:rPr>
                <w:sz w:val="20"/>
                <w:szCs w:val="20"/>
              </w:rPr>
              <w:lastRenderedPageBreak/>
              <w:t>IeM, TM, ĀM</w:t>
            </w:r>
          </w:p>
        </w:tc>
        <w:tc>
          <w:tcPr>
            <w:tcW w:w="1418" w:type="dxa"/>
            <w:shd w:val="clear" w:color="auto" w:fill="auto"/>
          </w:tcPr>
          <w:p w14:paraId="2F32A666" w14:textId="77777777" w:rsidR="001E1C4E" w:rsidRDefault="001E1C4E" w:rsidP="00AE7B8A">
            <w:pPr>
              <w:jc w:val="center"/>
              <w:rPr>
                <w:rFonts w:cs="Times New Roman"/>
                <w:bCs/>
                <w:sz w:val="20"/>
                <w:szCs w:val="20"/>
              </w:rPr>
            </w:pPr>
            <w:r>
              <w:rPr>
                <w:rFonts w:cs="Times New Roman"/>
                <w:bCs/>
                <w:sz w:val="20"/>
                <w:szCs w:val="20"/>
              </w:rPr>
              <w:lastRenderedPageBreak/>
              <w:t>2019.gada 1.marts</w:t>
            </w:r>
          </w:p>
        </w:tc>
      </w:tr>
      <w:tr w:rsidR="0080332D" w:rsidRPr="00FC0326" w14:paraId="3CB75D36" w14:textId="77777777" w:rsidTr="00FE237C">
        <w:trPr>
          <w:trHeight w:val="543"/>
        </w:trPr>
        <w:tc>
          <w:tcPr>
            <w:tcW w:w="709" w:type="dxa"/>
            <w:vMerge/>
          </w:tcPr>
          <w:p w14:paraId="6C532F0E" w14:textId="77777777" w:rsidR="0080332D" w:rsidRDefault="0080332D" w:rsidP="00C01BB0">
            <w:pPr>
              <w:jc w:val="center"/>
              <w:rPr>
                <w:rFonts w:cs="Times New Roman"/>
                <w:bCs/>
                <w:sz w:val="20"/>
                <w:szCs w:val="20"/>
              </w:rPr>
            </w:pPr>
          </w:p>
        </w:tc>
        <w:tc>
          <w:tcPr>
            <w:tcW w:w="3686" w:type="dxa"/>
            <w:vMerge/>
            <w:shd w:val="clear" w:color="auto" w:fill="auto"/>
          </w:tcPr>
          <w:p w14:paraId="4E411582" w14:textId="77777777" w:rsidR="0080332D" w:rsidRDefault="0080332D" w:rsidP="008D4220">
            <w:pPr>
              <w:jc w:val="both"/>
              <w:rPr>
                <w:sz w:val="20"/>
                <w:szCs w:val="20"/>
              </w:rPr>
            </w:pPr>
          </w:p>
        </w:tc>
        <w:tc>
          <w:tcPr>
            <w:tcW w:w="1559" w:type="dxa"/>
            <w:vMerge/>
          </w:tcPr>
          <w:p w14:paraId="31E30BF2" w14:textId="77777777" w:rsidR="0080332D" w:rsidRDefault="0080332D" w:rsidP="00C01BB0">
            <w:pPr>
              <w:rPr>
                <w:rFonts w:cs="Times New Roman"/>
                <w:sz w:val="20"/>
                <w:szCs w:val="20"/>
              </w:rPr>
            </w:pPr>
          </w:p>
        </w:tc>
        <w:tc>
          <w:tcPr>
            <w:tcW w:w="2551" w:type="dxa"/>
            <w:vMerge/>
            <w:shd w:val="clear" w:color="auto" w:fill="auto"/>
          </w:tcPr>
          <w:p w14:paraId="6E4E1615" w14:textId="77777777" w:rsidR="0080332D" w:rsidRDefault="0080332D" w:rsidP="00C01BB0">
            <w:pPr>
              <w:rPr>
                <w:rFonts w:cs="Times New Roman"/>
                <w:sz w:val="20"/>
                <w:szCs w:val="20"/>
              </w:rPr>
            </w:pPr>
          </w:p>
        </w:tc>
        <w:tc>
          <w:tcPr>
            <w:tcW w:w="2694" w:type="dxa"/>
          </w:tcPr>
          <w:p w14:paraId="44B2154C" w14:textId="77777777" w:rsidR="0080332D" w:rsidRDefault="00F8172B" w:rsidP="002A5952">
            <w:pPr>
              <w:jc w:val="both"/>
              <w:rPr>
                <w:rFonts w:cs="Times New Roman"/>
                <w:sz w:val="20"/>
                <w:szCs w:val="20"/>
              </w:rPr>
            </w:pPr>
            <w:r>
              <w:rPr>
                <w:rFonts w:cs="Times New Roman"/>
                <w:sz w:val="20"/>
                <w:szCs w:val="20"/>
              </w:rPr>
              <w:t>3.</w:t>
            </w:r>
            <w:r w:rsidR="002A5952">
              <w:rPr>
                <w:rFonts w:cs="Times New Roman"/>
                <w:sz w:val="20"/>
                <w:szCs w:val="20"/>
              </w:rPr>
              <w:t xml:space="preserve"> </w:t>
            </w:r>
            <w:r w:rsidR="0080332D" w:rsidRPr="00A3142E">
              <w:rPr>
                <w:rFonts w:cs="Times New Roman"/>
                <w:sz w:val="20"/>
                <w:szCs w:val="20"/>
              </w:rPr>
              <w:t>Organizēt</w:t>
            </w:r>
            <w:r w:rsidR="0080332D">
              <w:rPr>
                <w:rFonts w:cs="Times New Roman"/>
                <w:sz w:val="20"/>
                <w:szCs w:val="20"/>
              </w:rPr>
              <w:t>a</w:t>
            </w:r>
            <w:r w:rsidR="0080332D" w:rsidRPr="00A3142E">
              <w:rPr>
                <w:rFonts w:cs="Times New Roman"/>
                <w:sz w:val="20"/>
                <w:szCs w:val="20"/>
              </w:rPr>
              <w:t xml:space="preserve">  informatīv</w:t>
            </w:r>
            <w:r w:rsidR="0080332D">
              <w:rPr>
                <w:rFonts w:cs="Times New Roman"/>
                <w:sz w:val="20"/>
                <w:szCs w:val="20"/>
              </w:rPr>
              <w:t>ā</w:t>
            </w:r>
            <w:r w:rsidR="0080332D" w:rsidRPr="00A3142E">
              <w:rPr>
                <w:rFonts w:cs="Times New Roman"/>
                <w:sz w:val="20"/>
                <w:szCs w:val="20"/>
              </w:rPr>
              <w:t xml:space="preserve"> kampaņ</w:t>
            </w:r>
            <w:r w:rsidR="0080332D">
              <w:rPr>
                <w:rFonts w:cs="Times New Roman"/>
                <w:sz w:val="20"/>
                <w:szCs w:val="20"/>
              </w:rPr>
              <w:t>a</w:t>
            </w:r>
            <w:r w:rsidR="0080332D" w:rsidRPr="00A3142E">
              <w:rPr>
                <w:rFonts w:cs="Times New Roman"/>
                <w:sz w:val="20"/>
                <w:szCs w:val="20"/>
              </w:rPr>
              <w:t>, kurā sabiedrība informēta par aktuālajiem noziegumiem ar mērķi brīdināt par riskiem tikt iesaistītiem, īpaši fokusējoties uz atsevišķām sabiedrības grupām, piemēram, jaunieši</w:t>
            </w:r>
          </w:p>
        </w:tc>
        <w:tc>
          <w:tcPr>
            <w:tcW w:w="1134" w:type="dxa"/>
            <w:shd w:val="clear" w:color="auto" w:fill="auto"/>
          </w:tcPr>
          <w:p w14:paraId="7EE7CD36" w14:textId="77777777" w:rsidR="0080332D" w:rsidRPr="00A37320" w:rsidRDefault="0080332D" w:rsidP="00A37320">
            <w:pPr>
              <w:jc w:val="center"/>
              <w:rPr>
                <w:sz w:val="20"/>
                <w:szCs w:val="20"/>
              </w:rPr>
            </w:pPr>
            <w:r w:rsidRPr="00A37320">
              <w:rPr>
                <w:sz w:val="20"/>
                <w:szCs w:val="20"/>
              </w:rPr>
              <w:t>KD</w:t>
            </w:r>
            <w:r w:rsidR="00D539CA" w:rsidRPr="00A37320">
              <w:rPr>
                <w:sz w:val="20"/>
                <w:szCs w:val="20"/>
              </w:rPr>
              <w:t xml:space="preserve">, FKTK, VID, LB, IAUI, LZAP, LZNP, LZRA, </w:t>
            </w:r>
            <w:r w:rsidR="0090763B" w:rsidRPr="00A37320">
              <w:rPr>
                <w:sz w:val="20"/>
                <w:szCs w:val="20"/>
              </w:rPr>
              <w:t>NKMP</w:t>
            </w:r>
            <w:r w:rsidR="00D539CA" w:rsidRPr="00A37320">
              <w:rPr>
                <w:sz w:val="20"/>
                <w:szCs w:val="20"/>
              </w:rPr>
              <w:t>, PTAC, SM, VP, KNAB, DP, ĢP, IeM, FM, TM, ĀM</w:t>
            </w:r>
          </w:p>
        </w:tc>
        <w:tc>
          <w:tcPr>
            <w:tcW w:w="1275" w:type="dxa"/>
            <w:shd w:val="clear" w:color="auto" w:fill="auto"/>
          </w:tcPr>
          <w:p w14:paraId="1DB89132" w14:textId="77777777" w:rsidR="0080332D" w:rsidRPr="00602772" w:rsidRDefault="0080332D" w:rsidP="00C01BB0">
            <w:pPr>
              <w:jc w:val="center"/>
              <w:rPr>
                <w:sz w:val="20"/>
                <w:szCs w:val="20"/>
              </w:rPr>
            </w:pPr>
          </w:p>
        </w:tc>
        <w:tc>
          <w:tcPr>
            <w:tcW w:w="1418" w:type="dxa"/>
            <w:shd w:val="clear" w:color="auto" w:fill="auto"/>
          </w:tcPr>
          <w:p w14:paraId="4CA6F950" w14:textId="77777777" w:rsidR="0080332D" w:rsidRPr="003E16BD" w:rsidRDefault="00D539CA" w:rsidP="00AE7B8A">
            <w:pPr>
              <w:jc w:val="center"/>
              <w:rPr>
                <w:rFonts w:cs="Times New Roman"/>
                <w:bCs/>
                <w:sz w:val="20"/>
                <w:szCs w:val="20"/>
                <w:highlight w:val="yellow"/>
              </w:rPr>
            </w:pPr>
            <w:r w:rsidRPr="0025344E">
              <w:rPr>
                <w:rFonts w:cs="Times New Roman"/>
                <w:bCs/>
                <w:sz w:val="20"/>
                <w:szCs w:val="20"/>
              </w:rPr>
              <w:t>2019.gada 1.aprīlis</w:t>
            </w:r>
          </w:p>
        </w:tc>
      </w:tr>
      <w:tr w:rsidR="0080332D" w:rsidRPr="00FC0326" w14:paraId="4D6FC228" w14:textId="77777777" w:rsidTr="00FE237C">
        <w:trPr>
          <w:trHeight w:val="543"/>
        </w:trPr>
        <w:tc>
          <w:tcPr>
            <w:tcW w:w="709" w:type="dxa"/>
            <w:vMerge/>
          </w:tcPr>
          <w:p w14:paraId="617FB0B7" w14:textId="77777777" w:rsidR="0080332D" w:rsidRDefault="0080332D" w:rsidP="00C01BB0">
            <w:pPr>
              <w:jc w:val="center"/>
              <w:rPr>
                <w:rFonts w:cs="Times New Roman"/>
                <w:bCs/>
                <w:sz w:val="20"/>
                <w:szCs w:val="20"/>
              </w:rPr>
            </w:pPr>
          </w:p>
        </w:tc>
        <w:tc>
          <w:tcPr>
            <w:tcW w:w="3686" w:type="dxa"/>
            <w:vMerge/>
            <w:shd w:val="clear" w:color="auto" w:fill="auto"/>
          </w:tcPr>
          <w:p w14:paraId="7AAB3CFC" w14:textId="77777777" w:rsidR="0080332D" w:rsidRDefault="0080332D" w:rsidP="00186872">
            <w:pPr>
              <w:jc w:val="both"/>
              <w:rPr>
                <w:sz w:val="20"/>
                <w:szCs w:val="20"/>
              </w:rPr>
            </w:pPr>
          </w:p>
        </w:tc>
        <w:tc>
          <w:tcPr>
            <w:tcW w:w="1559" w:type="dxa"/>
            <w:vMerge/>
          </w:tcPr>
          <w:p w14:paraId="164F8DF4" w14:textId="77777777" w:rsidR="0080332D" w:rsidRDefault="0080332D" w:rsidP="00C01BB0">
            <w:pPr>
              <w:rPr>
                <w:rFonts w:cs="Times New Roman"/>
                <w:sz w:val="20"/>
                <w:szCs w:val="20"/>
              </w:rPr>
            </w:pPr>
          </w:p>
        </w:tc>
        <w:tc>
          <w:tcPr>
            <w:tcW w:w="2551" w:type="dxa"/>
            <w:vMerge/>
            <w:shd w:val="clear" w:color="auto" w:fill="auto"/>
          </w:tcPr>
          <w:p w14:paraId="05058D9B" w14:textId="77777777" w:rsidR="0080332D" w:rsidRDefault="0080332D" w:rsidP="00C01BB0">
            <w:pPr>
              <w:rPr>
                <w:rFonts w:cs="Times New Roman"/>
                <w:sz w:val="20"/>
                <w:szCs w:val="20"/>
              </w:rPr>
            </w:pPr>
          </w:p>
        </w:tc>
        <w:tc>
          <w:tcPr>
            <w:tcW w:w="2694" w:type="dxa"/>
          </w:tcPr>
          <w:p w14:paraId="41161D1E" w14:textId="77777777" w:rsidR="0080332D" w:rsidRPr="00FC7C5D" w:rsidRDefault="00F8172B" w:rsidP="00FC417E">
            <w:pPr>
              <w:jc w:val="both"/>
              <w:rPr>
                <w:rFonts w:cs="Times New Roman"/>
                <w:sz w:val="20"/>
                <w:szCs w:val="20"/>
              </w:rPr>
            </w:pPr>
            <w:r>
              <w:rPr>
                <w:rFonts w:cs="Times New Roman"/>
                <w:sz w:val="20"/>
                <w:szCs w:val="20"/>
              </w:rPr>
              <w:t>4.</w:t>
            </w:r>
            <w:r w:rsidR="002A5952">
              <w:rPr>
                <w:rFonts w:cs="Times New Roman"/>
                <w:sz w:val="20"/>
                <w:szCs w:val="20"/>
              </w:rPr>
              <w:t xml:space="preserve"> </w:t>
            </w:r>
            <w:r w:rsidR="0080332D" w:rsidRPr="00FC7C5D">
              <w:rPr>
                <w:rFonts w:cs="Times New Roman"/>
                <w:sz w:val="20"/>
                <w:szCs w:val="20"/>
              </w:rPr>
              <w:t>KD izstrādā</w:t>
            </w:r>
            <w:r w:rsidR="00223B8D">
              <w:rPr>
                <w:rFonts w:cs="Times New Roman"/>
                <w:sz w:val="20"/>
                <w:szCs w:val="20"/>
              </w:rPr>
              <w:t>ti</w:t>
            </w:r>
            <w:r w:rsidR="0080332D" w:rsidRPr="00FC7C5D">
              <w:rPr>
                <w:rFonts w:cs="Times New Roman"/>
                <w:sz w:val="20"/>
                <w:szCs w:val="20"/>
              </w:rPr>
              <w:t xml:space="preserve"> informatīv</w:t>
            </w:r>
            <w:r w:rsidR="00223B8D">
              <w:rPr>
                <w:rFonts w:cs="Times New Roman"/>
                <w:sz w:val="20"/>
                <w:szCs w:val="20"/>
              </w:rPr>
              <w:t>ie</w:t>
            </w:r>
            <w:r w:rsidR="0080332D" w:rsidRPr="00FC7C5D">
              <w:rPr>
                <w:rFonts w:cs="Times New Roman"/>
                <w:sz w:val="20"/>
                <w:szCs w:val="20"/>
              </w:rPr>
              <w:t xml:space="preserve"> buklet</w:t>
            </w:r>
            <w:r w:rsidR="00223B8D">
              <w:rPr>
                <w:rFonts w:cs="Times New Roman"/>
                <w:sz w:val="20"/>
                <w:szCs w:val="20"/>
              </w:rPr>
              <w:t>i</w:t>
            </w:r>
            <w:r w:rsidR="0080332D" w:rsidRPr="00FC7C5D">
              <w:rPr>
                <w:rFonts w:cs="Times New Roman"/>
                <w:sz w:val="20"/>
                <w:szCs w:val="20"/>
              </w:rPr>
              <w:t xml:space="preserve"> NILLTFN subjektu, </w:t>
            </w:r>
            <w:r w:rsidR="00223B8D">
              <w:rPr>
                <w:rFonts w:cs="Times New Roman"/>
                <w:sz w:val="20"/>
                <w:szCs w:val="20"/>
              </w:rPr>
              <w:t xml:space="preserve">uzraudzības un kontroles institūciju un  </w:t>
            </w:r>
            <w:r w:rsidR="0080332D" w:rsidRPr="00FC7C5D">
              <w:rPr>
                <w:rFonts w:cs="Times New Roman"/>
                <w:sz w:val="20"/>
                <w:szCs w:val="20"/>
              </w:rPr>
              <w:t>citu personu vajadzībām</w:t>
            </w:r>
          </w:p>
          <w:p w14:paraId="0867EF61" w14:textId="77777777" w:rsidR="0080332D" w:rsidRDefault="0080332D" w:rsidP="00FC7C5D">
            <w:pPr>
              <w:jc w:val="both"/>
              <w:rPr>
                <w:rFonts w:cs="Times New Roman"/>
                <w:sz w:val="20"/>
                <w:szCs w:val="20"/>
              </w:rPr>
            </w:pPr>
          </w:p>
        </w:tc>
        <w:tc>
          <w:tcPr>
            <w:tcW w:w="1134" w:type="dxa"/>
            <w:shd w:val="clear" w:color="auto" w:fill="auto"/>
          </w:tcPr>
          <w:p w14:paraId="165709CC" w14:textId="77777777" w:rsidR="0080332D" w:rsidRPr="00602772" w:rsidRDefault="0080332D" w:rsidP="00A37320">
            <w:pPr>
              <w:jc w:val="center"/>
              <w:rPr>
                <w:sz w:val="20"/>
                <w:szCs w:val="20"/>
              </w:rPr>
            </w:pPr>
            <w:r>
              <w:rPr>
                <w:sz w:val="20"/>
                <w:szCs w:val="20"/>
              </w:rPr>
              <w:t>KD</w:t>
            </w:r>
          </w:p>
        </w:tc>
        <w:tc>
          <w:tcPr>
            <w:tcW w:w="1275" w:type="dxa"/>
            <w:shd w:val="clear" w:color="auto" w:fill="auto"/>
          </w:tcPr>
          <w:p w14:paraId="241F9B5F" w14:textId="77777777" w:rsidR="0080332D" w:rsidRPr="00602772" w:rsidRDefault="0080332D" w:rsidP="00C01BB0">
            <w:pPr>
              <w:jc w:val="center"/>
              <w:rPr>
                <w:sz w:val="20"/>
                <w:szCs w:val="20"/>
              </w:rPr>
            </w:pPr>
          </w:p>
        </w:tc>
        <w:tc>
          <w:tcPr>
            <w:tcW w:w="1418" w:type="dxa"/>
            <w:shd w:val="clear" w:color="auto" w:fill="auto"/>
          </w:tcPr>
          <w:p w14:paraId="6B985131" w14:textId="77777777" w:rsidR="0080332D" w:rsidRDefault="0080332D" w:rsidP="00AE7B8A">
            <w:pPr>
              <w:jc w:val="center"/>
              <w:rPr>
                <w:rFonts w:cs="Times New Roman"/>
                <w:bCs/>
                <w:sz w:val="20"/>
                <w:szCs w:val="20"/>
              </w:rPr>
            </w:pPr>
            <w:r>
              <w:rPr>
                <w:rFonts w:cs="Times New Roman"/>
                <w:bCs/>
                <w:sz w:val="20"/>
                <w:szCs w:val="20"/>
              </w:rPr>
              <w:t>2019.gada 15.septembris</w:t>
            </w:r>
          </w:p>
        </w:tc>
      </w:tr>
      <w:tr w:rsidR="0080332D" w:rsidRPr="00FC0326" w14:paraId="1131A9E6" w14:textId="77777777" w:rsidTr="00FE237C">
        <w:trPr>
          <w:trHeight w:val="543"/>
        </w:trPr>
        <w:tc>
          <w:tcPr>
            <w:tcW w:w="709" w:type="dxa"/>
            <w:vMerge/>
          </w:tcPr>
          <w:p w14:paraId="53784E06" w14:textId="77777777" w:rsidR="0080332D" w:rsidRDefault="0080332D" w:rsidP="00C01BB0">
            <w:pPr>
              <w:jc w:val="center"/>
              <w:rPr>
                <w:rFonts w:cs="Times New Roman"/>
                <w:bCs/>
                <w:sz w:val="20"/>
                <w:szCs w:val="20"/>
              </w:rPr>
            </w:pPr>
          </w:p>
        </w:tc>
        <w:tc>
          <w:tcPr>
            <w:tcW w:w="3686" w:type="dxa"/>
            <w:vMerge/>
            <w:shd w:val="clear" w:color="auto" w:fill="auto"/>
          </w:tcPr>
          <w:p w14:paraId="49561FAF" w14:textId="77777777" w:rsidR="0080332D" w:rsidRDefault="0080332D" w:rsidP="00186872">
            <w:pPr>
              <w:jc w:val="both"/>
              <w:rPr>
                <w:sz w:val="20"/>
                <w:szCs w:val="20"/>
              </w:rPr>
            </w:pPr>
          </w:p>
        </w:tc>
        <w:tc>
          <w:tcPr>
            <w:tcW w:w="1559" w:type="dxa"/>
            <w:vMerge/>
          </w:tcPr>
          <w:p w14:paraId="080A5ECF" w14:textId="77777777" w:rsidR="0080332D" w:rsidRDefault="0080332D" w:rsidP="00C01BB0">
            <w:pPr>
              <w:rPr>
                <w:rFonts w:cs="Times New Roman"/>
                <w:sz w:val="20"/>
                <w:szCs w:val="20"/>
              </w:rPr>
            </w:pPr>
          </w:p>
        </w:tc>
        <w:tc>
          <w:tcPr>
            <w:tcW w:w="2551" w:type="dxa"/>
            <w:vMerge/>
            <w:shd w:val="clear" w:color="auto" w:fill="auto"/>
          </w:tcPr>
          <w:p w14:paraId="10E3E3B3" w14:textId="77777777" w:rsidR="0080332D" w:rsidRDefault="0080332D" w:rsidP="00C01BB0">
            <w:pPr>
              <w:rPr>
                <w:rFonts w:cs="Times New Roman"/>
                <w:sz w:val="20"/>
                <w:szCs w:val="20"/>
              </w:rPr>
            </w:pPr>
          </w:p>
        </w:tc>
        <w:tc>
          <w:tcPr>
            <w:tcW w:w="2694" w:type="dxa"/>
          </w:tcPr>
          <w:p w14:paraId="11A2FBDC" w14:textId="77777777" w:rsidR="0080332D" w:rsidRPr="00FC7C5D" w:rsidRDefault="00F8172B" w:rsidP="00A830DE">
            <w:pPr>
              <w:jc w:val="both"/>
              <w:rPr>
                <w:rFonts w:cs="Times New Roman"/>
                <w:sz w:val="20"/>
                <w:szCs w:val="20"/>
              </w:rPr>
            </w:pPr>
            <w:r>
              <w:rPr>
                <w:rFonts w:cs="Times New Roman"/>
                <w:sz w:val="20"/>
                <w:szCs w:val="20"/>
              </w:rPr>
              <w:t>5.</w:t>
            </w:r>
            <w:r w:rsidR="002A5952">
              <w:rPr>
                <w:rFonts w:cs="Times New Roman"/>
                <w:sz w:val="20"/>
                <w:szCs w:val="20"/>
              </w:rPr>
              <w:t xml:space="preserve"> </w:t>
            </w:r>
            <w:r w:rsidR="00A830DE">
              <w:rPr>
                <w:rFonts w:cs="Times New Roman"/>
                <w:sz w:val="20"/>
                <w:szCs w:val="20"/>
              </w:rPr>
              <w:t>O</w:t>
            </w:r>
            <w:r w:rsidR="0080332D">
              <w:rPr>
                <w:rFonts w:cs="Times New Roman"/>
                <w:sz w:val="20"/>
                <w:szCs w:val="20"/>
              </w:rPr>
              <w:t>rganizē</w:t>
            </w:r>
            <w:r w:rsidR="00A830DE">
              <w:rPr>
                <w:rFonts w:cs="Times New Roman"/>
                <w:sz w:val="20"/>
                <w:szCs w:val="20"/>
              </w:rPr>
              <w:t>tas</w:t>
            </w:r>
            <w:r w:rsidR="0080332D">
              <w:rPr>
                <w:rFonts w:cs="Times New Roman"/>
                <w:sz w:val="20"/>
                <w:szCs w:val="20"/>
              </w:rPr>
              <w:t xml:space="preserve"> NILLTFN dienas </w:t>
            </w:r>
          </w:p>
        </w:tc>
        <w:tc>
          <w:tcPr>
            <w:tcW w:w="1134" w:type="dxa"/>
            <w:shd w:val="clear" w:color="auto" w:fill="auto"/>
          </w:tcPr>
          <w:p w14:paraId="34A4D262" w14:textId="77777777" w:rsidR="0080332D" w:rsidRDefault="0080332D" w:rsidP="00A37320">
            <w:pPr>
              <w:jc w:val="center"/>
              <w:rPr>
                <w:sz w:val="20"/>
                <w:szCs w:val="20"/>
              </w:rPr>
            </w:pPr>
            <w:r>
              <w:rPr>
                <w:sz w:val="20"/>
                <w:szCs w:val="20"/>
              </w:rPr>
              <w:t>KD</w:t>
            </w:r>
          </w:p>
        </w:tc>
        <w:tc>
          <w:tcPr>
            <w:tcW w:w="1275" w:type="dxa"/>
            <w:shd w:val="clear" w:color="auto" w:fill="auto"/>
          </w:tcPr>
          <w:p w14:paraId="3227BA91" w14:textId="77777777" w:rsidR="0080332D" w:rsidRPr="00602772" w:rsidRDefault="003F5AAD" w:rsidP="00C01BB0">
            <w:pPr>
              <w:jc w:val="center"/>
              <w:rPr>
                <w:sz w:val="20"/>
                <w:szCs w:val="20"/>
              </w:rPr>
            </w:pPr>
            <w:r>
              <w:rPr>
                <w:sz w:val="20"/>
                <w:szCs w:val="20"/>
              </w:rPr>
              <w:t xml:space="preserve">FKTK, VID, LB, IAUI, LZAP, LZNP, LZRA, </w:t>
            </w:r>
            <w:r w:rsidR="0090763B">
              <w:rPr>
                <w:sz w:val="20"/>
                <w:szCs w:val="20"/>
              </w:rPr>
              <w:t>NKMP</w:t>
            </w:r>
            <w:r>
              <w:rPr>
                <w:sz w:val="20"/>
                <w:szCs w:val="20"/>
              </w:rPr>
              <w:t>, PTAC, SM, VP, KNAB, DP, ĢP, IeM. FM, TM, ĀM</w:t>
            </w:r>
          </w:p>
        </w:tc>
        <w:tc>
          <w:tcPr>
            <w:tcW w:w="1418" w:type="dxa"/>
            <w:shd w:val="clear" w:color="auto" w:fill="auto"/>
          </w:tcPr>
          <w:p w14:paraId="392D12A9" w14:textId="77777777" w:rsidR="0080332D" w:rsidRDefault="0080332D" w:rsidP="00AE7B8A">
            <w:pPr>
              <w:jc w:val="center"/>
              <w:rPr>
                <w:rFonts w:cs="Times New Roman"/>
                <w:bCs/>
                <w:sz w:val="20"/>
                <w:szCs w:val="20"/>
              </w:rPr>
            </w:pPr>
            <w:r>
              <w:rPr>
                <w:rFonts w:cs="Times New Roman"/>
                <w:bCs/>
                <w:sz w:val="20"/>
                <w:szCs w:val="20"/>
              </w:rPr>
              <w:t>2019.gada 15.septembris</w:t>
            </w:r>
          </w:p>
        </w:tc>
      </w:tr>
      <w:tr w:rsidR="009C3DCE" w:rsidRPr="00FC0326" w14:paraId="08E1835B" w14:textId="77777777" w:rsidTr="00FE237C">
        <w:trPr>
          <w:trHeight w:val="543"/>
        </w:trPr>
        <w:tc>
          <w:tcPr>
            <w:tcW w:w="709" w:type="dxa"/>
          </w:tcPr>
          <w:p w14:paraId="394FA17D" w14:textId="77777777" w:rsidR="009C3DCE" w:rsidRDefault="0072746E" w:rsidP="00C01BB0">
            <w:pPr>
              <w:jc w:val="center"/>
              <w:rPr>
                <w:rFonts w:cs="Times New Roman"/>
                <w:bCs/>
                <w:sz w:val="20"/>
                <w:szCs w:val="20"/>
              </w:rPr>
            </w:pPr>
            <w:r>
              <w:rPr>
                <w:rFonts w:cs="Times New Roman"/>
                <w:bCs/>
                <w:sz w:val="20"/>
                <w:szCs w:val="20"/>
              </w:rPr>
              <w:t xml:space="preserve">1.3. </w:t>
            </w:r>
          </w:p>
        </w:tc>
        <w:tc>
          <w:tcPr>
            <w:tcW w:w="3686" w:type="dxa"/>
            <w:shd w:val="clear" w:color="auto" w:fill="auto"/>
          </w:tcPr>
          <w:p w14:paraId="3EF31672" w14:textId="77777777" w:rsidR="0072746E" w:rsidRDefault="0072746E" w:rsidP="00186872">
            <w:pPr>
              <w:jc w:val="both"/>
              <w:rPr>
                <w:sz w:val="20"/>
                <w:szCs w:val="20"/>
              </w:rPr>
            </w:pPr>
            <w:r>
              <w:rPr>
                <w:sz w:val="20"/>
                <w:szCs w:val="20"/>
              </w:rPr>
              <w:t xml:space="preserve">Balstoties uz veikto </w:t>
            </w:r>
            <w:r w:rsidR="008268C4">
              <w:rPr>
                <w:sz w:val="20"/>
                <w:szCs w:val="20"/>
              </w:rPr>
              <w:t xml:space="preserve">sektorālo </w:t>
            </w:r>
            <w:r>
              <w:rPr>
                <w:sz w:val="20"/>
                <w:szCs w:val="20"/>
              </w:rPr>
              <w:t xml:space="preserve">NILLTF risku novērtējumu, </w:t>
            </w:r>
            <w:r w:rsidR="00186872">
              <w:rPr>
                <w:sz w:val="20"/>
                <w:szCs w:val="20"/>
              </w:rPr>
              <w:t xml:space="preserve">aktualizēt </w:t>
            </w:r>
            <w:r>
              <w:rPr>
                <w:sz w:val="20"/>
                <w:szCs w:val="20"/>
              </w:rPr>
              <w:t xml:space="preserve">vadlīnijas par identificētajiem riskiem un rekomendētajiem risku mazinošiem </w:t>
            </w:r>
            <w:r>
              <w:rPr>
                <w:sz w:val="20"/>
                <w:szCs w:val="20"/>
              </w:rPr>
              <w:lastRenderedPageBreak/>
              <w:t>pasākumiem</w:t>
            </w:r>
            <w:r w:rsidR="00186872">
              <w:rPr>
                <w:sz w:val="20"/>
                <w:szCs w:val="20"/>
              </w:rPr>
              <w:t>, kā arī uzņēmumu risku novērtējumu veikšanu</w:t>
            </w:r>
          </w:p>
        </w:tc>
        <w:tc>
          <w:tcPr>
            <w:tcW w:w="1559" w:type="dxa"/>
          </w:tcPr>
          <w:p w14:paraId="0EB0EBAF" w14:textId="77777777" w:rsidR="009C3DCE" w:rsidRPr="00FC0326" w:rsidRDefault="00186872" w:rsidP="00C01BB0">
            <w:pPr>
              <w:rPr>
                <w:rFonts w:cs="Times New Roman"/>
                <w:sz w:val="20"/>
                <w:szCs w:val="20"/>
              </w:rPr>
            </w:pPr>
            <w:r>
              <w:rPr>
                <w:rFonts w:cs="Times New Roman"/>
                <w:sz w:val="20"/>
                <w:szCs w:val="20"/>
              </w:rPr>
              <w:lastRenderedPageBreak/>
              <w:t>Moneyval rekomendācija 1.4., 1.5.</w:t>
            </w:r>
            <w:r w:rsidR="00DD7E4F">
              <w:rPr>
                <w:rFonts w:cs="Times New Roman"/>
                <w:sz w:val="20"/>
                <w:szCs w:val="20"/>
              </w:rPr>
              <w:t>, 1.9.</w:t>
            </w:r>
          </w:p>
        </w:tc>
        <w:tc>
          <w:tcPr>
            <w:tcW w:w="2551" w:type="dxa"/>
            <w:shd w:val="clear" w:color="auto" w:fill="auto"/>
          </w:tcPr>
          <w:p w14:paraId="344E4B01" w14:textId="77777777" w:rsidR="00DD7E4F" w:rsidRDefault="00DD7E4F" w:rsidP="008B4FF0">
            <w:pPr>
              <w:jc w:val="both"/>
              <w:rPr>
                <w:rFonts w:cs="Times New Roman"/>
                <w:sz w:val="20"/>
                <w:szCs w:val="20"/>
              </w:rPr>
            </w:pPr>
            <w:r>
              <w:rPr>
                <w:rFonts w:cs="Times New Roman"/>
                <w:sz w:val="20"/>
                <w:szCs w:val="20"/>
              </w:rPr>
              <w:t xml:space="preserve">Nodrošināta </w:t>
            </w:r>
            <w:r w:rsidR="003E3569">
              <w:rPr>
                <w:rFonts w:cs="Times New Roman"/>
                <w:sz w:val="20"/>
                <w:szCs w:val="20"/>
              </w:rPr>
              <w:t xml:space="preserve">NILLTFN </w:t>
            </w:r>
            <w:r>
              <w:rPr>
                <w:rFonts w:cs="Times New Roman"/>
                <w:sz w:val="20"/>
                <w:szCs w:val="20"/>
              </w:rPr>
              <w:t xml:space="preserve">likumu subjektu informēšana par identificētajiem riskiem </w:t>
            </w:r>
            <w:r>
              <w:rPr>
                <w:rFonts w:cs="Times New Roman"/>
                <w:sz w:val="20"/>
                <w:szCs w:val="20"/>
              </w:rPr>
              <w:lastRenderedPageBreak/>
              <w:t>un rekomendētajiem risku mazinošiem pasākumiem</w:t>
            </w:r>
            <w:r w:rsidR="003E3569">
              <w:rPr>
                <w:rFonts w:cs="Times New Roman"/>
                <w:sz w:val="20"/>
                <w:szCs w:val="20"/>
              </w:rPr>
              <w:t>.</w:t>
            </w:r>
          </w:p>
          <w:p w14:paraId="3AA02235" w14:textId="77777777" w:rsidR="00DD7E4F" w:rsidRDefault="00DD7E4F" w:rsidP="00FC417E">
            <w:pPr>
              <w:jc w:val="both"/>
              <w:rPr>
                <w:rFonts w:cs="Times New Roman"/>
                <w:sz w:val="20"/>
                <w:szCs w:val="20"/>
              </w:rPr>
            </w:pPr>
            <w:r>
              <w:rPr>
                <w:rFonts w:cs="Times New Roman"/>
                <w:sz w:val="20"/>
                <w:szCs w:val="20"/>
              </w:rPr>
              <w:t>Likuma subjekti izmanto NRA rezultātus, veicot savus riska novērtējumus</w:t>
            </w:r>
            <w:r w:rsidR="003E3569">
              <w:rPr>
                <w:rFonts w:cs="Times New Roman"/>
                <w:sz w:val="20"/>
                <w:szCs w:val="20"/>
              </w:rPr>
              <w:t>.</w:t>
            </w:r>
          </w:p>
        </w:tc>
        <w:tc>
          <w:tcPr>
            <w:tcW w:w="2694" w:type="dxa"/>
          </w:tcPr>
          <w:p w14:paraId="2C4D119D" w14:textId="77777777" w:rsidR="009C3DCE" w:rsidRDefault="00DD7E4F" w:rsidP="00AE7B8A">
            <w:pPr>
              <w:jc w:val="both"/>
              <w:rPr>
                <w:rFonts w:cs="Times New Roman"/>
                <w:sz w:val="20"/>
                <w:szCs w:val="20"/>
              </w:rPr>
            </w:pPr>
            <w:r>
              <w:rPr>
                <w:rFonts w:cs="Times New Roman"/>
                <w:sz w:val="20"/>
                <w:szCs w:val="20"/>
              </w:rPr>
              <w:lastRenderedPageBreak/>
              <w:t xml:space="preserve">Aktualizētas vadlīnijas likuma subjektiem. </w:t>
            </w:r>
          </w:p>
        </w:tc>
        <w:tc>
          <w:tcPr>
            <w:tcW w:w="1134" w:type="dxa"/>
            <w:shd w:val="clear" w:color="auto" w:fill="auto"/>
          </w:tcPr>
          <w:p w14:paraId="23A97D04" w14:textId="77777777" w:rsidR="009C3DCE" w:rsidRPr="00A37320" w:rsidRDefault="00186872" w:rsidP="00A37320">
            <w:pPr>
              <w:jc w:val="center"/>
              <w:rPr>
                <w:sz w:val="20"/>
                <w:szCs w:val="20"/>
              </w:rPr>
            </w:pPr>
            <w:r w:rsidRPr="00602772">
              <w:rPr>
                <w:sz w:val="20"/>
                <w:szCs w:val="20"/>
              </w:rPr>
              <w:t xml:space="preserve">FKTK, VID, LB, IAUI, LZAP, </w:t>
            </w:r>
            <w:r w:rsidRPr="00602772">
              <w:rPr>
                <w:sz w:val="20"/>
                <w:szCs w:val="20"/>
              </w:rPr>
              <w:lastRenderedPageBreak/>
              <w:t xml:space="preserve">LZNP, LZRA, </w:t>
            </w:r>
            <w:r w:rsidR="0090763B">
              <w:rPr>
                <w:sz w:val="20"/>
                <w:szCs w:val="20"/>
              </w:rPr>
              <w:t>NKMP</w:t>
            </w:r>
            <w:r w:rsidRPr="00602772">
              <w:rPr>
                <w:sz w:val="20"/>
                <w:szCs w:val="20"/>
              </w:rPr>
              <w:t>, PTAC, SM</w:t>
            </w:r>
          </w:p>
        </w:tc>
        <w:tc>
          <w:tcPr>
            <w:tcW w:w="1275" w:type="dxa"/>
            <w:shd w:val="clear" w:color="auto" w:fill="auto"/>
          </w:tcPr>
          <w:p w14:paraId="382DD925" w14:textId="77777777" w:rsidR="009C3DCE" w:rsidRPr="00602772" w:rsidRDefault="009C3DCE" w:rsidP="00C01BB0">
            <w:pPr>
              <w:jc w:val="center"/>
              <w:rPr>
                <w:sz w:val="20"/>
                <w:szCs w:val="20"/>
              </w:rPr>
            </w:pPr>
          </w:p>
        </w:tc>
        <w:tc>
          <w:tcPr>
            <w:tcW w:w="1418" w:type="dxa"/>
            <w:shd w:val="clear" w:color="auto" w:fill="auto"/>
          </w:tcPr>
          <w:p w14:paraId="51F04059" w14:textId="77777777" w:rsidR="009C3DCE" w:rsidRDefault="00186872" w:rsidP="008F0044">
            <w:pPr>
              <w:jc w:val="center"/>
              <w:rPr>
                <w:rFonts w:cs="Times New Roman"/>
                <w:bCs/>
                <w:sz w:val="20"/>
                <w:szCs w:val="20"/>
              </w:rPr>
            </w:pPr>
            <w:r>
              <w:rPr>
                <w:rFonts w:cs="Times New Roman"/>
                <w:bCs/>
                <w:sz w:val="20"/>
                <w:szCs w:val="20"/>
              </w:rPr>
              <w:t xml:space="preserve">2019.gada </w:t>
            </w:r>
            <w:r w:rsidR="008F0044">
              <w:rPr>
                <w:rFonts w:cs="Times New Roman"/>
                <w:bCs/>
                <w:sz w:val="20"/>
                <w:szCs w:val="20"/>
              </w:rPr>
              <w:t>1.aprīlis</w:t>
            </w:r>
          </w:p>
        </w:tc>
      </w:tr>
      <w:tr w:rsidR="009C3DCE" w:rsidRPr="00FC0326" w14:paraId="71B04553" w14:textId="77777777" w:rsidTr="00FE237C">
        <w:trPr>
          <w:trHeight w:val="543"/>
        </w:trPr>
        <w:tc>
          <w:tcPr>
            <w:tcW w:w="709" w:type="dxa"/>
          </w:tcPr>
          <w:p w14:paraId="4E78F88C" w14:textId="77777777" w:rsidR="009C3DCE" w:rsidRDefault="00DD7E4F" w:rsidP="00C01BB0">
            <w:pPr>
              <w:jc w:val="center"/>
              <w:rPr>
                <w:rFonts w:cs="Times New Roman"/>
                <w:bCs/>
                <w:sz w:val="20"/>
                <w:szCs w:val="20"/>
              </w:rPr>
            </w:pPr>
            <w:r>
              <w:rPr>
                <w:rFonts w:cs="Times New Roman"/>
                <w:bCs/>
                <w:sz w:val="20"/>
                <w:szCs w:val="20"/>
              </w:rPr>
              <w:t>1.4.</w:t>
            </w:r>
          </w:p>
        </w:tc>
        <w:tc>
          <w:tcPr>
            <w:tcW w:w="3686" w:type="dxa"/>
            <w:shd w:val="clear" w:color="auto" w:fill="auto"/>
          </w:tcPr>
          <w:p w14:paraId="11E3FF6F" w14:textId="77777777" w:rsidR="009C3DCE" w:rsidRDefault="00DD7E4F" w:rsidP="00DD7E4F">
            <w:pPr>
              <w:jc w:val="both"/>
              <w:rPr>
                <w:sz w:val="20"/>
                <w:szCs w:val="20"/>
              </w:rPr>
            </w:pPr>
            <w:r>
              <w:rPr>
                <w:sz w:val="20"/>
                <w:szCs w:val="20"/>
              </w:rPr>
              <w:t>Atbilstoši 3. nacionālajam NILLTF risku novērtējumam, veikt nepieciešamās izmaiņas politikas plānošanas dokumentos un normat</w:t>
            </w:r>
            <w:r w:rsidR="00C34DB8">
              <w:rPr>
                <w:sz w:val="20"/>
                <w:szCs w:val="20"/>
              </w:rPr>
              <w:t>īvajos aktos.</w:t>
            </w:r>
          </w:p>
        </w:tc>
        <w:tc>
          <w:tcPr>
            <w:tcW w:w="1559" w:type="dxa"/>
          </w:tcPr>
          <w:p w14:paraId="72CB005D" w14:textId="77777777" w:rsidR="009C3DCE" w:rsidRPr="00FC0326" w:rsidRDefault="00DD7E4F" w:rsidP="00C01BB0">
            <w:pPr>
              <w:rPr>
                <w:rFonts w:cs="Times New Roman"/>
                <w:sz w:val="20"/>
                <w:szCs w:val="20"/>
              </w:rPr>
            </w:pPr>
            <w:r>
              <w:rPr>
                <w:rFonts w:cs="Times New Roman"/>
                <w:sz w:val="20"/>
                <w:szCs w:val="20"/>
              </w:rPr>
              <w:t xml:space="preserve">Moneyval rekomendācija 1.8., </w:t>
            </w:r>
            <w:r w:rsidR="00C34DB8">
              <w:rPr>
                <w:rFonts w:cs="Times New Roman"/>
                <w:sz w:val="20"/>
                <w:szCs w:val="20"/>
              </w:rPr>
              <w:t>1.11.</w:t>
            </w:r>
          </w:p>
        </w:tc>
        <w:tc>
          <w:tcPr>
            <w:tcW w:w="2551" w:type="dxa"/>
            <w:shd w:val="clear" w:color="auto" w:fill="auto"/>
          </w:tcPr>
          <w:p w14:paraId="70D9F514" w14:textId="77777777" w:rsidR="009C3DCE" w:rsidRDefault="00DD7E4F" w:rsidP="00FC417E">
            <w:pPr>
              <w:jc w:val="both"/>
              <w:rPr>
                <w:rFonts w:cs="Times New Roman"/>
                <w:sz w:val="20"/>
                <w:szCs w:val="20"/>
              </w:rPr>
            </w:pPr>
            <w:r>
              <w:rPr>
                <w:rFonts w:cs="Times New Roman"/>
                <w:sz w:val="20"/>
                <w:szCs w:val="20"/>
              </w:rPr>
              <w:t>Nodrošināt</w:t>
            </w:r>
            <w:r w:rsidR="00C34DB8">
              <w:rPr>
                <w:rFonts w:cs="Times New Roman"/>
                <w:sz w:val="20"/>
                <w:szCs w:val="20"/>
              </w:rPr>
              <w:t>,</w:t>
            </w:r>
            <w:r>
              <w:rPr>
                <w:rFonts w:cs="Times New Roman"/>
                <w:sz w:val="20"/>
                <w:szCs w:val="20"/>
              </w:rPr>
              <w:t xml:space="preserve"> ka </w:t>
            </w:r>
            <w:r w:rsidR="00C34DB8">
              <w:rPr>
                <w:rFonts w:cs="Times New Roman"/>
                <w:sz w:val="20"/>
                <w:szCs w:val="20"/>
              </w:rPr>
              <w:t>politikas plānošanas dokumenti un normatīvie akti atbilst identificētajiem NILLTF riskiem</w:t>
            </w:r>
            <w:r w:rsidR="003E3569">
              <w:rPr>
                <w:rFonts w:cs="Times New Roman"/>
                <w:sz w:val="20"/>
                <w:szCs w:val="20"/>
              </w:rPr>
              <w:t>.</w:t>
            </w:r>
          </w:p>
        </w:tc>
        <w:tc>
          <w:tcPr>
            <w:tcW w:w="2694" w:type="dxa"/>
          </w:tcPr>
          <w:p w14:paraId="749C05DC" w14:textId="77777777" w:rsidR="009C3DCE" w:rsidRDefault="00C34DB8" w:rsidP="003E3569">
            <w:pPr>
              <w:jc w:val="both"/>
              <w:rPr>
                <w:rFonts w:cs="Times New Roman"/>
                <w:sz w:val="20"/>
                <w:szCs w:val="20"/>
              </w:rPr>
            </w:pPr>
            <w:r>
              <w:rPr>
                <w:rFonts w:cs="Times New Roman"/>
                <w:sz w:val="20"/>
                <w:szCs w:val="20"/>
              </w:rPr>
              <w:t>Sagatavoti priekšlikumi nepieciešamajiem grozījumiem politikas plānošanas dokumentos un normatīvajos aktos</w:t>
            </w:r>
            <w:r w:rsidR="003E3569">
              <w:rPr>
                <w:rFonts w:cs="Times New Roman"/>
                <w:sz w:val="20"/>
                <w:szCs w:val="20"/>
              </w:rPr>
              <w:t>.</w:t>
            </w:r>
          </w:p>
        </w:tc>
        <w:tc>
          <w:tcPr>
            <w:tcW w:w="1134" w:type="dxa"/>
            <w:shd w:val="clear" w:color="auto" w:fill="auto"/>
          </w:tcPr>
          <w:p w14:paraId="2099C408" w14:textId="77777777" w:rsidR="009C3DCE" w:rsidRPr="00A37320" w:rsidRDefault="00C34DB8" w:rsidP="00A37320">
            <w:pPr>
              <w:jc w:val="center"/>
              <w:rPr>
                <w:sz w:val="20"/>
                <w:szCs w:val="20"/>
              </w:rPr>
            </w:pPr>
            <w:r w:rsidRPr="00A37320">
              <w:rPr>
                <w:sz w:val="20"/>
                <w:szCs w:val="20"/>
              </w:rPr>
              <w:t>FM, TM</w:t>
            </w:r>
            <w:r w:rsidR="003E3569" w:rsidRPr="00A37320">
              <w:rPr>
                <w:sz w:val="20"/>
                <w:szCs w:val="20"/>
              </w:rPr>
              <w:t>, IeM</w:t>
            </w:r>
            <w:r w:rsidR="008268C4" w:rsidRPr="00A37320">
              <w:rPr>
                <w:sz w:val="20"/>
                <w:szCs w:val="20"/>
              </w:rPr>
              <w:t>, ĀM</w:t>
            </w:r>
            <w:r w:rsidR="0048177B">
              <w:rPr>
                <w:sz w:val="20"/>
                <w:szCs w:val="20"/>
              </w:rPr>
              <w:t>, EM</w:t>
            </w:r>
          </w:p>
        </w:tc>
        <w:tc>
          <w:tcPr>
            <w:tcW w:w="1275" w:type="dxa"/>
            <w:shd w:val="clear" w:color="auto" w:fill="auto"/>
          </w:tcPr>
          <w:p w14:paraId="46022B2A" w14:textId="77777777" w:rsidR="009C3DCE" w:rsidRPr="00602772" w:rsidRDefault="009C3DCE" w:rsidP="00C01BB0">
            <w:pPr>
              <w:jc w:val="center"/>
              <w:rPr>
                <w:sz w:val="20"/>
                <w:szCs w:val="20"/>
              </w:rPr>
            </w:pPr>
          </w:p>
        </w:tc>
        <w:tc>
          <w:tcPr>
            <w:tcW w:w="1418" w:type="dxa"/>
            <w:shd w:val="clear" w:color="auto" w:fill="auto"/>
          </w:tcPr>
          <w:p w14:paraId="5C3ED64E" w14:textId="77777777" w:rsidR="009C3DCE" w:rsidRDefault="00A34EB7" w:rsidP="00AE7B8A">
            <w:pPr>
              <w:jc w:val="center"/>
              <w:rPr>
                <w:rFonts w:cs="Times New Roman"/>
                <w:bCs/>
                <w:sz w:val="20"/>
                <w:szCs w:val="20"/>
              </w:rPr>
            </w:pPr>
            <w:r>
              <w:rPr>
                <w:rFonts w:cs="Times New Roman"/>
                <w:bCs/>
                <w:sz w:val="20"/>
                <w:szCs w:val="20"/>
              </w:rPr>
              <w:t>2019.gada 30.novemb</w:t>
            </w:r>
            <w:r w:rsidR="00C34DB8">
              <w:rPr>
                <w:rFonts w:cs="Times New Roman"/>
                <w:bCs/>
                <w:sz w:val="20"/>
                <w:szCs w:val="20"/>
              </w:rPr>
              <w:t>r</w:t>
            </w:r>
            <w:r>
              <w:rPr>
                <w:rFonts w:cs="Times New Roman"/>
                <w:bCs/>
                <w:sz w:val="20"/>
                <w:szCs w:val="20"/>
              </w:rPr>
              <w:t>i</w:t>
            </w:r>
            <w:r w:rsidR="00C34DB8">
              <w:rPr>
                <w:rFonts w:cs="Times New Roman"/>
                <w:bCs/>
                <w:sz w:val="20"/>
                <w:szCs w:val="20"/>
              </w:rPr>
              <w:t>s</w:t>
            </w:r>
          </w:p>
        </w:tc>
      </w:tr>
      <w:tr w:rsidR="00C34DB8" w:rsidRPr="00FC0326" w14:paraId="068C6610" w14:textId="77777777" w:rsidTr="00FE237C">
        <w:trPr>
          <w:trHeight w:val="543"/>
        </w:trPr>
        <w:tc>
          <w:tcPr>
            <w:tcW w:w="709" w:type="dxa"/>
          </w:tcPr>
          <w:p w14:paraId="12607CF0" w14:textId="77777777" w:rsidR="00C34DB8" w:rsidRDefault="00C34DB8" w:rsidP="00C34DB8">
            <w:pPr>
              <w:jc w:val="center"/>
              <w:rPr>
                <w:rFonts w:cs="Times New Roman"/>
                <w:bCs/>
                <w:sz w:val="20"/>
                <w:szCs w:val="20"/>
              </w:rPr>
            </w:pPr>
            <w:r>
              <w:rPr>
                <w:rFonts w:cs="Times New Roman"/>
                <w:bCs/>
                <w:sz w:val="20"/>
                <w:szCs w:val="20"/>
              </w:rPr>
              <w:t>1.5.</w:t>
            </w:r>
          </w:p>
        </w:tc>
        <w:tc>
          <w:tcPr>
            <w:tcW w:w="3686" w:type="dxa"/>
            <w:shd w:val="clear" w:color="auto" w:fill="auto"/>
          </w:tcPr>
          <w:p w14:paraId="1AA5B95D" w14:textId="77777777" w:rsidR="0063784C" w:rsidRDefault="003E3569" w:rsidP="00505985">
            <w:pPr>
              <w:jc w:val="both"/>
              <w:rPr>
                <w:rFonts w:cs="Times New Roman"/>
                <w:sz w:val="20"/>
                <w:szCs w:val="20"/>
              </w:rPr>
            </w:pPr>
            <w:r>
              <w:rPr>
                <w:rFonts w:cs="Times New Roman"/>
                <w:sz w:val="20"/>
                <w:szCs w:val="20"/>
              </w:rPr>
              <w:t>Aktualizēt k</w:t>
            </w:r>
            <w:r w:rsidR="008F0044">
              <w:rPr>
                <w:rFonts w:cs="Times New Roman"/>
                <w:sz w:val="20"/>
                <w:szCs w:val="20"/>
              </w:rPr>
              <w:t>ompetento iestāžu darbības plān</w:t>
            </w:r>
            <w:r>
              <w:rPr>
                <w:rFonts w:cs="Times New Roman"/>
                <w:sz w:val="20"/>
                <w:szCs w:val="20"/>
              </w:rPr>
              <w:t>us</w:t>
            </w:r>
            <w:r w:rsidR="008F0044">
              <w:rPr>
                <w:rFonts w:cs="Times New Roman"/>
                <w:sz w:val="20"/>
                <w:szCs w:val="20"/>
              </w:rPr>
              <w:t xml:space="preserve"> atbilstoši aktuālajiem NILLTF risk</w:t>
            </w:r>
            <w:r w:rsidR="007D1989">
              <w:rPr>
                <w:rFonts w:cs="Times New Roman"/>
                <w:sz w:val="20"/>
                <w:szCs w:val="20"/>
              </w:rPr>
              <w:t>iem.</w:t>
            </w:r>
          </w:p>
          <w:p w14:paraId="62C4E4C6" w14:textId="77777777" w:rsidR="00C34DB8" w:rsidRDefault="00C34DB8" w:rsidP="00C34DB8">
            <w:pPr>
              <w:jc w:val="both"/>
              <w:rPr>
                <w:sz w:val="20"/>
                <w:szCs w:val="20"/>
              </w:rPr>
            </w:pPr>
          </w:p>
        </w:tc>
        <w:tc>
          <w:tcPr>
            <w:tcW w:w="1559" w:type="dxa"/>
          </w:tcPr>
          <w:p w14:paraId="36895E6A" w14:textId="77777777" w:rsidR="00C34DB8" w:rsidRPr="00FC0326" w:rsidRDefault="00C34DB8" w:rsidP="00C34DB8">
            <w:pPr>
              <w:rPr>
                <w:rFonts w:cs="Times New Roman"/>
                <w:sz w:val="20"/>
                <w:szCs w:val="20"/>
              </w:rPr>
            </w:pPr>
            <w:r>
              <w:rPr>
                <w:rFonts w:cs="Times New Roman"/>
                <w:sz w:val="20"/>
                <w:szCs w:val="20"/>
              </w:rPr>
              <w:t>Moneyval rekomendācija 1.10., 1.12.</w:t>
            </w:r>
          </w:p>
        </w:tc>
        <w:tc>
          <w:tcPr>
            <w:tcW w:w="2551" w:type="dxa"/>
            <w:shd w:val="clear" w:color="auto" w:fill="auto"/>
          </w:tcPr>
          <w:p w14:paraId="4EF7E438" w14:textId="77777777" w:rsidR="00C34DB8" w:rsidRDefault="008F0044" w:rsidP="0025344E">
            <w:pPr>
              <w:jc w:val="both"/>
              <w:rPr>
                <w:rFonts w:cs="Times New Roman"/>
                <w:sz w:val="20"/>
                <w:szCs w:val="20"/>
              </w:rPr>
            </w:pPr>
            <w:r>
              <w:rPr>
                <w:rFonts w:cs="Times New Roman"/>
                <w:sz w:val="20"/>
                <w:szCs w:val="20"/>
              </w:rPr>
              <w:t>Kompetento iestāžu darbības</w:t>
            </w:r>
            <w:r w:rsidR="0063784C">
              <w:rPr>
                <w:rFonts w:cs="Times New Roman"/>
                <w:sz w:val="20"/>
                <w:szCs w:val="20"/>
              </w:rPr>
              <w:t xml:space="preserve"> plāni ir atbilstoši NRA identificētajiem riskiem, definē uz nākotni vērstus un atbilstoši prioritizētus pasākumus, nosaka precīzus termiņus un izmērāmus ieviešanas rezultātus, un tie tiek ieviesti saprātīgi mazinot toleranci pret likuma subjektu formālu pieeju atbilstībai</w:t>
            </w:r>
            <w:r w:rsidR="007D1989">
              <w:rPr>
                <w:rFonts w:cs="Times New Roman"/>
                <w:sz w:val="20"/>
                <w:szCs w:val="20"/>
              </w:rPr>
              <w:t>.</w:t>
            </w:r>
          </w:p>
        </w:tc>
        <w:tc>
          <w:tcPr>
            <w:tcW w:w="2694" w:type="dxa"/>
          </w:tcPr>
          <w:p w14:paraId="16FB1EC6" w14:textId="77777777" w:rsidR="00C34DB8" w:rsidRDefault="0063784C" w:rsidP="00FC0F83">
            <w:pPr>
              <w:jc w:val="both"/>
              <w:rPr>
                <w:rFonts w:cs="Times New Roman"/>
                <w:sz w:val="20"/>
                <w:szCs w:val="20"/>
              </w:rPr>
            </w:pPr>
            <w:r>
              <w:rPr>
                <w:sz w:val="20"/>
                <w:szCs w:val="20"/>
              </w:rPr>
              <w:t>Atbilstoši 3. nacionālajam NILLTF risku novērtējumam, aktualizēti kompetento iestāžu rīcības plāni</w:t>
            </w:r>
          </w:p>
        </w:tc>
        <w:tc>
          <w:tcPr>
            <w:tcW w:w="1134" w:type="dxa"/>
            <w:shd w:val="clear" w:color="auto" w:fill="auto"/>
          </w:tcPr>
          <w:p w14:paraId="3AD85105" w14:textId="77777777" w:rsidR="00C34DB8" w:rsidRPr="00A37320" w:rsidRDefault="0063784C" w:rsidP="00A37320">
            <w:pPr>
              <w:jc w:val="center"/>
              <w:rPr>
                <w:sz w:val="20"/>
                <w:szCs w:val="20"/>
              </w:rPr>
            </w:pPr>
            <w:r w:rsidRPr="00602772">
              <w:rPr>
                <w:sz w:val="20"/>
                <w:szCs w:val="20"/>
              </w:rPr>
              <w:t xml:space="preserve">FKTK, VID, LB, IAUI, LZAP, LZNP, LZRA, </w:t>
            </w:r>
            <w:r w:rsidR="0090763B">
              <w:rPr>
                <w:sz w:val="20"/>
                <w:szCs w:val="20"/>
              </w:rPr>
              <w:t>NKMP</w:t>
            </w:r>
            <w:r w:rsidRPr="00602772">
              <w:rPr>
                <w:sz w:val="20"/>
                <w:szCs w:val="20"/>
              </w:rPr>
              <w:t>, PTAC, SM</w:t>
            </w:r>
            <w:r w:rsidR="008F0044">
              <w:rPr>
                <w:sz w:val="20"/>
                <w:szCs w:val="20"/>
              </w:rPr>
              <w:t>, ĢP, VP, KNAB</w:t>
            </w:r>
          </w:p>
        </w:tc>
        <w:tc>
          <w:tcPr>
            <w:tcW w:w="1275" w:type="dxa"/>
            <w:shd w:val="clear" w:color="auto" w:fill="auto"/>
          </w:tcPr>
          <w:p w14:paraId="17A90469" w14:textId="77777777" w:rsidR="00C34DB8" w:rsidRPr="00602772" w:rsidRDefault="00C34DB8" w:rsidP="00FC0F83">
            <w:pPr>
              <w:jc w:val="center"/>
              <w:rPr>
                <w:sz w:val="20"/>
                <w:szCs w:val="20"/>
              </w:rPr>
            </w:pPr>
          </w:p>
        </w:tc>
        <w:tc>
          <w:tcPr>
            <w:tcW w:w="1418" w:type="dxa"/>
            <w:shd w:val="clear" w:color="auto" w:fill="auto"/>
          </w:tcPr>
          <w:p w14:paraId="4A1AF095" w14:textId="77777777" w:rsidR="00C34DB8" w:rsidRDefault="00C34DB8" w:rsidP="0063784C">
            <w:pPr>
              <w:jc w:val="center"/>
              <w:rPr>
                <w:rFonts w:cs="Times New Roman"/>
                <w:bCs/>
                <w:sz w:val="20"/>
                <w:szCs w:val="20"/>
              </w:rPr>
            </w:pPr>
            <w:r>
              <w:rPr>
                <w:rFonts w:cs="Times New Roman"/>
                <w:bCs/>
                <w:sz w:val="20"/>
                <w:szCs w:val="20"/>
              </w:rPr>
              <w:t>2019.gada 30.novembr</w:t>
            </w:r>
            <w:r w:rsidR="0063784C">
              <w:rPr>
                <w:rFonts w:cs="Times New Roman"/>
                <w:bCs/>
                <w:sz w:val="20"/>
                <w:szCs w:val="20"/>
              </w:rPr>
              <w:t>i</w:t>
            </w:r>
            <w:r>
              <w:rPr>
                <w:rFonts w:cs="Times New Roman"/>
                <w:bCs/>
                <w:sz w:val="20"/>
                <w:szCs w:val="20"/>
              </w:rPr>
              <w:t>s</w:t>
            </w:r>
          </w:p>
        </w:tc>
      </w:tr>
      <w:tr w:rsidR="00C34DB8" w:rsidRPr="00FC0326" w14:paraId="5D5E6E76" w14:textId="77777777" w:rsidTr="00FE237C">
        <w:trPr>
          <w:trHeight w:val="543"/>
        </w:trPr>
        <w:tc>
          <w:tcPr>
            <w:tcW w:w="709" w:type="dxa"/>
          </w:tcPr>
          <w:p w14:paraId="533436CC" w14:textId="77777777" w:rsidR="00C34DB8" w:rsidRDefault="00A832FD" w:rsidP="00C01BB0">
            <w:pPr>
              <w:jc w:val="center"/>
              <w:rPr>
                <w:rFonts w:cs="Times New Roman"/>
                <w:bCs/>
                <w:sz w:val="20"/>
                <w:szCs w:val="20"/>
              </w:rPr>
            </w:pPr>
            <w:r>
              <w:rPr>
                <w:rFonts w:cs="Times New Roman"/>
                <w:bCs/>
                <w:sz w:val="20"/>
                <w:szCs w:val="20"/>
              </w:rPr>
              <w:t xml:space="preserve">1.6. </w:t>
            </w:r>
          </w:p>
        </w:tc>
        <w:tc>
          <w:tcPr>
            <w:tcW w:w="3686" w:type="dxa"/>
            <w:shd w:val="clear" w:color="auto" w:fill="auto"/>
          </w:tcPr>
          <w:p w14:paraId="152718CA" w14:textId="77777777" w:rsidR="00C34DB8" w:rsidRDefault="00A832FD" w:rsidP="00A832FD">
            <w:pPr>
              <w:jc w:val="both"/>
              <w:rPr>
                <w:sz w:val="20"/>
                <w:szCs w:val="20"/>
              </w:rPr>
            </w:pPr>
            <w:r>
              <w:rPr>
                <w:sz w:val="20"/>
                <w:szCs w:val="20"/>
              </w:rPr>
              <w:t>Pārskatīt Finanšu sektora attīstības padomes</w:t>
            </w:r>
            <w:r w:rsidR="007D1989">
              <w:rPr>
                <w:sz w:val="20"/>
                <w:szCs w:val="20"/>
              </w:rPr>
              <w:t xml:space="preserve"> sastāvu un </w:t>
            </w:r>
            <w:r>
              <w:rPr>
                <w:sz w:val="20"/>
                <w:szCs w:val="20"/>
              </w:rPr>
              <w:t xml:space="preserve"> mandātu</w:t>
            </w:r>
            <w:r w:rsidR="007D1989">
              <w:rPr>
                <w:sz w:val="20"/>
                <w:szCs w:val="20"/>
              </w:rPr>
              <w:t>.</w:t>
            </w:r>
          </w:p>
        </w:tc>
        <w:tc>
          <w:tcPr>
            <w:tcW w:w="1559" w:type="dxa"/>
          </w:tcPr>
          <w:p w14:paraId="17EEA758" w14:textId="77777777" w:rsidR="00C34DB8" w:rsidRDefault="00A832FD" w:rsidP="00C01BB0">
            <w:pPr>
              <w:rPr>
                <w:rFonts w:cs="Times New Roman"/>
                <w:sz w:val="20"/>
                <w:szCs w:val="20"/>
              </w:rPr>
            </w:pPr>
            <w:r>
              <w:rPr>
                <w:rFonts w:cs="Times New Roman"/>
                <w:sz w:val="20"/>
                <w:szCs w:val="20"/>
              </w:rPr>
              <w:t>Moneyval rekomendācija 1.13., 1.14.</w:t>
            </w:r>
          </w:p>
          <w:p w14:paraId="3996AA05" w14:textId="77777777" w:rsidR="00BD2BE0" w:rsidRDefault="00BD2BE0" w:rsidP="00C01BB0">
            <w:pPr>
              <w:rPr>
                <w:rFonts w:cs="Times New Roman"/>
                <w:sz w:val="20"/>
                <w:szCs w:val="20"/>
              </w:rPr>
            </w:pPr>
          </w:p>
          <w:p w14:paraId="64054D7E" w14:textId="77777777" w:rsidR="00BD2BE0" w:rsidRPr="00BD2BE0" w:rsidRDefault="00BD2BE0" w:rsidP="00BD2BE0">
            <w:pPr>
              <w:jc w:val="both"/>
              <w:rPr>
                <w:sz w:val="20"/>
                <w:szCs w:val="20"/>
              </w:rPr>
            </w:pPr>
            <w:r>
              <w:rPr>
                <w:sz w:val="20"/>
                <w:szCs w:val="20"/>
              </w:rPr>
              <w:t>Pasākumu plāns 2017.-2019.g. 1.1.pasākums</w:t>
            </w:r>
          </w:p>
          <w:p w14:paraId="3A7AC625" w14:textId="77777777" w:rsidR="00BD2BE0" w:rsidRDefault="00BD2BE0" w:rsidP="00C01BB0">
            <w:pPr>
              <w:rPr>
                <w:rFonts w:cs="Times New Roman"/>
                <w:sz w:val="20"/>
                <w:szCs w:val="20"/>
              </w:rPr>
            </w:pPr>
          </w:p>
        </w:tc>
        <w:tc>
          <w:tcPr>
            <w:tcW w:w="2551" w:type="dxa"/>
            <w:shd w:val="clear" w:color="auto" w:fill="auto"/>
          </w:tcPr>
          <w:p w14:paraId="13105E73" w14:textId="77777777" w:rsidR="00C34DB8" w:rsidRDefault="00A832FD" w:rsidP="00505985">
            <w:pPr>
              <w:jc w:val="both"/>
              <w:rPr>
                <w:rFonts w:cs="Times New Roman"/>
                <w:sz w:val="20"/>
                <w:szCs w:val="20"/>
              </w:rPr>
            </w:pPr>
            <w:r>
              <w:rPr>
                <w:rFonts w:cs="Times New Roman"/>
                <w:sz w:val="20"/>
                <w:szCs w:val="20"/>
              </w:rPr>
              <w:t>Nodrošināt NILLTF globālo tendenču un to ietekmi lokālā līmen</w:t>
            </w:r>
            <w:r w:rsidR="0064100C">
              <w:rPr>
                <w:rFonts w:cs="Times New Roman"/>
                <w:sz w:val="20"/>
                <w:szCs w:val="20"/>
              </w:rPr>
              <w:t>ī iz</w:t>
            </w:r>
            <w:r>
              <w:rPr>
                <w:rFonts w:cs="Times New Roman"/>
                <w:sz w:val="20"/>
                <w:szCs w:val="20"/>
              </w:rPr>
              <w:t>vērtē</w:t>
            </w:r>
            <w:r w:rsidR="0064100C">
              <w:rPr>
                <w:rFonts w:cs="Times New Roman"/>
                <w:sz w:val="20"/>
                <w:szCs w:val="20"/>
              </w:rPr>
              <w:t>šanu</w:t>
            </w:r>
          </w:p>
        </w:tc>
        <w:tc>
          <w:tcPr>
            <w:tcW w:w="2694" w:type="dxa"/>
          </w:tcPr>
          <w:p w14:paraId="76040F8E" w14:textId="77777777" w:rsidR="00C15031" w:rsidRDefault="002A5952" w:rsidP="00A832FD">
            <w:pPr>
              <w:jc w:val="both"/>
              <w:rPr>
                <w:rFonts w:cs="Times New Roman"/>
                <w:sz w:val="20"/>
                <w:szCs w:val="20"/>
              </w:rPr>
            </w:pPr>
            <w:r>
              <w:rPr>
                <w:rFonts w:cs="Times New Roman"/>
                <w:sz w:val="20"/>
                <w:szCs w:val="20"/>
              </w:rPr>
              <w:t>Veiktas izmaiņas</w:t>
            </w:r>
            <w:r w:rsidR="00A832FD">
              <w:rPr>
                <w:rFonts w:cs="Times New Roman"/>
                <w:sz w:val="20"/>
                <w:szCs w:val="20"/>
              </w:rPr>
              <w:t xml:space="preserve"> Finanšu sektora attīstības padomes </w:t>
            </w:r>
            <w:r w:rsidR="007D1989">
              <w:rPr>
                <w:rFonts w:cs="Times New Roman"/>
                <w:sz w:val="20"/>
                <w:szCs w:val="20"/>
              </w:rPr>
              <w:t>nolikumā</w:t>
            </w:r>
            <w:r w:rsidR="00A832FD">
              <w:rPr>
                <w:rFonts w:cs="Times New Roman"/>
                <w:sz w:val="20"/>
                <w:szCs w:val="20"/>
              </w:rPr>
              <w:t>, paredzot, ka</w:t>
            </w:r>
            <w:r w:rsidR="00C15031">
              <w:rPr>
                <w:rFonts w:cs="Times New Roman"/>
                <w:sz w:val="20"/>
                <w:szCs w:val="20"/>
              </w:rPr>
              <w:t>:</w:t>
            </w:r>
          </w:p>
          <w:p w14:paraId="14D5BA1E" w14:textId="77777777" w:rsidR="00C34DB8" w:rsidRDefault="00C15031" w:rsidP="00A832FD">
            <w:pPr>
              <w:jc w:val="both"/>
              <w:rPr>
                <w:rFonts w:cs="Times New Roman"/>
                <w:sz w:val="20"/>
                <w:szCs w:val="20"/>
              </w:rPr>
            </w:pPr>
            <w:r>
              <w:rPr>
                <w:rFonts w:cs="Times New Roman"/>
                <w:sz w:val="20"/>
                <w:szCs w:val="20"/>
              </w:rPr>
              <w:t xml:space="preserve">- </w:t>
            </w:r>
            <w:r w:rsidR="00A832FD">
              <w:rPr>
                <w:rFonts w:cs="Times New Roman"/>
                <w:sz w:val="20"/>
                <w:szCs w:val="20"/>
              </w:rPr>
              <w:t xml:space="preserve"> Finanšu sektora attīstības padome regulāri izskata informāciju par NILLTF globālajām tendencēm un to ietekmi lokālā līmenī</w:t>
            </w:r>
            <w:r w:rsidR="008F0044">
              <w:rPr>
                <w:rFonts w:cs="Times New Roman"/>
                <w:sz w:val="20"/>
                <w:szCs w:val="20"/>
              </w:rPr>
              <w:t>;</w:t>
            </w:r>
          </w:p>
          <w:p w14:paraId="6651CA5E" w14:textId="77777777" w:rsidR="008F0044" w:rsidRDefault="008F0044" w:rsidP="007D1989">
            <w:pPr>
              <w:jc w:val="both"/>
              <w:rPr>
                <w:rFonts w:cs="Times New Roman"/>
                <w:sz w:val="20"/>
                <w:szCs w:val="20"/>
              </w:rPr>
            </w:pPr>
            <w:r>
              <w:rPr>
                <w:rFonts w:cs="Times New Roman"/>
                <w:sz w:val="20"/>
                <w:szCs w:val="20"/>
              </w:rPr>
              <w:t xml:space="preserve">- </w:t>
            </w:r>
            <w:r w:rsidR="007D1989">
              <w:rPr>
                <w:rFonts w:cs="Times New Roman"/>
                <w:sz w:val="20"/>
                <w:szCs w:val="20"/>
              </w:rPr>
              <w:t>sastāvā pārstāvētas atbilstošās institūcijas un nevalstiskās organizācijas</w:t>
            </w:r>
            <w:r>
              <w:rPr>
                <w:rFonts w:cs="Times New Roman"/>
                <w:sz w:val="20"/>
                <w:szCs w:val="20"/>
              </w:rPr>
              <w:t>.</w:t>
            </w:r>
          </w:p>
        </w:tc>
        <w:tc>
          <w:tcPr>
            <w:tcW w:w="1134" w:type="dxa"/>
            <w:shd w:val="clear" w:color="auto" w:fill="auto"/>
          </w:tcPr>
          <w:p w14:paraId="6ACD5E33" w14:textId="77777777" w:rsidR="00C34DB8" w:rsidRPr="00A37320" w:rsidRDefault="00A832FD" w:rsidP="00A37320">
            <w:pPr>
              <w:jc w:val="center"/>
              <w:rPr>
                <w:sz w:val="20"/>
                <w:szCs w:val="20"/>
              </w:rPr>
            </w:pPr>
            <w:r w:rsidRPr="00A37320">
              <w:rPr>
                <w:sz w:val="20"/>
                <w:szCs w:val="20"/>
              </w:rPr>
              <w:t>FM</w:t>
            </w:r>
          </w:p>
        </w:tc>
        <w:tc>
          <w:tcPr>
            <w:tcW w:w="1275" w:type="dxa"/>
            <w:shd w:val="clear" w:color="auto" w:fill="auto"/>
          </w:tcPr>
          <w:p w14:paraId="63A3B380" w14:textId="77777777" w:rsidR="00C34DB8" w:rsidRPr="00602772" w:rsidRDefault="00C34DB8" w:rsidP="00C01BB0">
            <w:pPr>
              <w:jc w:val="center"/>
              <w:rPr>
                <w:sz w:val="20"/>
                <w:szCs w:val="20"/>
              </w:rPr>
            </w:pPr>
          </w:p>
        </w:tc>
        <w:tc>
          <w:tcPr>
            <w:tcW w:w="1418" w:type="dxa"/>
            <w:shd w:val="clear" w:color="auto" w:fill="auto"/>
          </w:tcPr>
          <w:p w14:paraId="1A2A21C6" w14:textId="77777777" w:rsidR="00C34DB8" w:rsidRDefault="00A832FD" w:rsidP="007466C4">
            <w:pPr>
              <w:jc w:val="center"/>
              <w:rPr>
                <w:rFonts w:cs="Times New Roman"/>
                <w:bCs/>
                <w:sz w:val="20"/>
                <w:szCs w:val="20"/>
              </w:rPr>
            </w:pPr>
            <w:r>
              <w:rPr>
                <w:rFonts w:cs="Times New Roman"/>
                <w:bCs/>
                <w:sz w:val="20"/>
                <w:szCs w:val="20"/>
              </w:rPr>
              <w:t xml:space="preserve">2018.gada </w:t>
            </w:r>
            <w:r w:rsidR="007466C4">
              <w:rPr>
                <w:rFonts w:cs="Times New Roman"/>
                <w:bCs/>
                <w:sz w:val="20"/>
                <w:szCs w:val="20"/>
              </w:rPr>
              <w:t>15</w:t>
            </w:r>
            <w:r>
              <w:rPr>
                <w:rFonts w:cs="Times New Roman"/>
                <w:bCs/>
                <w:sz w:val="20"/>
                <w:szCs w:val="20"/>
              </w:rPr>
              <w:t>.decembris</w:t>
            </w:r>
          </w:p>
        </w:tc>
      </w:tr>
      <w:tr w:rsidR="00DD7E4F" w:rsidRPr="00FC0326" w14:paraId="7D787811" w14:textId="77777777" w:rsidTr="00FE237C">
        <w:trPr>
          <w:trHeight w:val="543"/>
        </w:trPr>
        <w:tc>
          <w:tcPr>
            <w:tcW w:w="709" w:type="dxa"/>
          </w:tcPr>
          <w:p w14:paraId="0AC0944A" w14:textId="77777777" w:rsidR="00DD7E4F" w:rsidRDefault="003E16BD" w:rsidP="00C01BB0">
            <w:pPr>
              <w:jc w:val="center"/>
              <w:rPr>
                <w:rFonts w:cs="Times New Roman"/>
                <w:bCs/>
                <w:sz w:val="20"/>
                <w:szCs w:val="20"/>
              </w:rPr>
            </w:pPr>
            <w:r>
              <w:rPr>
                <w:rFonts w:cs="Times New Roman"/>
                <w:bCs/>
                <w:sz w:val="20"/>
                <w:szCs w:val="20"/>
              </w:rPr>
              <w:t>1.7.</w:t>
            </w:r>
          </w:p>
        </w:tc>
        <w:tc>
          <w:tcPr>
            <w:tcW w:w="3686" w:type="dxa"/>
            <w:shd w:val="clear" w:color="auto" w:fill="auto"/>
          </w:tcPr>
          <w:p w14:paraId="1905922F" w14:textId="77777777" w:rsidR="00DD7E4F" w:rsidRDefault="00A832FD" w:rsidP="00DD7E4F">
            <w:pPr>
              <w:jc w:val="both"/>
              <w:rPr>
                <w:sz w:val="20"/>
                <w:szCs w:val="20"/>
              </w:rPr>
            </w:pPr>
            <w:r>
              <w:rPr>
                <w:sz w:val="20"/>
                <w:szCs w:val="20"/>
              </w:rPr>
              <w:t>Pārskatīt Kontroles dienesta Konsultatīvās padomes mandātu</w:t>
            </w:r>
          </w:p>
        </w:tc>
        <w:tc>
          <w:tcPr>
            <w:tcW w:w="1559" w:type="dxa"/>
          </w:tcPr>
          <w:p w14:paraId="05C5CA81" w14:textId="77777777" w:rsidR="00DD7E4F" w:rsidRDefault="0064100C" w:rsidP="00C01BB0">
            <w:pPr>
              <w:rPr>
                <w:rFonts w:cs="Times New Roman"/>
                <w:sz w:val="20"/>
                <w:szCs w:val="20"/>
              </w:rPr>
            </w:pPr>
            <w:r>
              <w:rPr>
                <w:rFonts w:cs="Times New Roman"/>
                <w:sz w:val="20"/>
                <w:szCs w:val="20"/>
              </w:rPr>
              <w:t>Moneyval rekomendācija 1.14., 1.15.</w:t>
            </w:r>
          </w:p>
          <w:p w14:paraId="0FF65789" w14:textId="77777777" w:rsidR="00BD2BE0" w:rsidRDefault="00BD2BE0" w:rsidP="00C01BB0">
            <w:pPr>
              <w:rPr>
                <w:rFonts w:cs="Times New Roman"/>
                <w:sz w:val="20"/>
                <w:szCs w:val="20"/>
              </w:rPr>
            </w:pPr>
          </w:p>
          <w:p w14:paraId="7888DDBC" w14:textId="77777777" w:rsidR="00BD2BE0" w:rsidRPr="00BD2BE0" w:rsidRDefault="00BD2BE0" w:rsidP="00BD2BE0">
            <w:pPr>
              <w:jc w:val="both"/>
              <w:rPr>
                <w:sz w:val="20"/>
                <w:szCs w:val="20"/>
              </w:rPr>
            </w:pPr>
            <w:r>
              <w:rPr>
                <w:sz w:val="20"/>
                <w:szCs w:val="20"/>
              </w:rPr>
              <w:lastRenderedPageBreak/>
              <w:t>Pasākumu plāns 2017.-2019.g. 1.1., 1.3.pasākums</w:t>
            </w:r>
          </w:p>
          <w:p w14:paraId="35AF73A0" w14:textId="77777777" w:rsidR="00BD2BE0" w:rsidRDefault="00BD2BE0" w:rsidP="00C01BB0">
            <w:pPr>
              <w:rPr>
                <w:rFonts w:cs="Times New Roman"/>
                <w:sz w:val="20"/>
                <w:szCs w:val="20"/>
              </w:rPr>
            </w:pPr>
          </w:p>
        </w:tc>
        <w:tc>
          <w:tcPr>
            <w:tcW w:w="2551" w:type="dxa"/>
            <w:shd w:val="clear" w:color="auto" w:fill="auto"/>
          </w:tcPr>
          <w:p w14:paraId="26F3A48F" w14:textId="77777777" w:rsidR="00DD7E4F" w:rsidRDefault="0064100C" w:rsidP="008B4FF0">
            <w:pPr>
              <w:jc w:val="both"/>
              <w:rPr>
                <w:rFonts w:cs="Times New Roman"/>
                <w:sz w:val="20"/>
                <w:szCs w:val="20"/>
              </w:rPr>
            </w:pPr>
            <w:r>
              <w:rPr>
                <w:rFonts w:cs="Times New Roman"/>
                <w:sz w:val="20"/>
                <w:szCs w:val="20"/>
              </w:rPr>
              <w:lastRenderedPageBreak/>
              <w:t>Nodrošināt kompetento iestāžu koordinētu rīcību, kā arī regulāru NILLTF risku, tendenču analīzi</w:t>
            </w:r>
            <w:r w:rsidR="007D1989">
              <w:rPr>
                <w:rFonts w:cs="Times New Roman"/>
                <w:sz w:val="20"/>
                <w:szCs w:val="20"/>
              </w:rPr>
              <w:t xml:space="preserve"> un </w:t>
            </w:r>
            <w:r>
              <w:rPr>
                <w:rFonts w:cs="Times New Roman"/>
                <w:sz w:val="20"/>
                <w:szCs w:val="20"/>
              </w:rPr>
              <w:t xml:space="preserve"> stratēģisko analīzi</w:t>
            </w:r>
            <w:r w:rsidR="007D1989">
              <w:rPr>
                <w:rFonts w:cs="Times New Roman"/>
                <w:sz w:val="20"/>
                <w:szCs w:val="20"/>
              </w:rPr>
              <w:t>.</w:t>
            </w:r>
          </w:p>
        </w:tc>
        <w:tc>
          <w:tcPr>
            <w:tcW w:w="2694" w:type="dxa"/>
          </w:tcPr>
          <w:p w14:paraId="6BFCB6D9" w14:textId="77777777" w:rsidR="00DD7E4F" w:rsidRDefault="002A5952" w:rsidP="00A832FD">
            <w:pPr>
              <w:jc w:val="both"/>
              <w:rPr>
                <w:rFonts w:cs="Times New Roman"/>
                <w:sz w:val="20"/>
                <w:szCs w:val="20"/>
              </w:rPr>
            </w:pPr>
            <w:r>
              <w:rPr>
                <w:rFonts w:cs="Times New Roman"/>
                <w:sz w:val="20"/>
                <w:szCs w:val="20"/>
              </w:rPr>
              <w:t>Veiktas izmaiņas</w:t>
            </w:r>
            <w:r w:rsidR="00A832FD">
              <w:rPr>
                <w:rFonts w:cs="Times New Roman"/>
                <w:sz w:val="20"/>
                <w:szCs w:val="20"/>
              </w:rPr>
              <w:t xml:space="preserve"> Kontroles dienesta Konsultatīvās padomes mandātā</w:t>
            </w:r>
            <w:r w:rsidR="00C15031">
              <w:rPr>
                <w:rFonts w:cs="Times New Roman"/>
                <w:sz w:val="20"/>
                <w:szCs w:val="20"/>
              </w:rPr>
              <w:t>, paredzot, ka</w:t>
            </w:r>
            <w:r w:rsidR="007D1989">
              <w:rPr>
                <w:rFonts w:cs="Times New Roman"/>
                <w:sz w:val="20"/>
                <w:szCs w:val="20"/>
              </w:rPr>
              <w:t xml:space="preserve"> padome</w:t>
            </w:r>
            <w:r w:rsidR="00C15031">
              <w:rPr>
                <w:rFonts w:cs="Times New Roman"/>
                <w:sz w:val="20"/>
                <w:szCs w:val="20"/>
              </w:rPr>
              <w:t>:</w:t>
            </w:r>
          </w:p>
          <w:p w14:paraId="58FF85D0" w14:textId="77777777" w:rsidR="00C15031" w:rsidRDefault="00C15031" w:rsidP="00C15031">
            <w:pPr>
              <w:jc w:val="both"/>
              <w:rPr>
                <w:rFonts w:cs="Times New Roman"/>
                <w:sz w:val="20"/>
                <w:szCs w:val="20"/>
              </w:rPr>
            </w:pPr>
            <w:r>
              <w:rPr>
                <w:rFonts w:cs="Times New Roman"/>
                <w:sz w:val="20"/>
                <w:szCs w:val="20"/>
              </w:rPr>
              <w:lastRenderedPageBreak/>
              <w:t>- veic horizontālu informācijas apmaiņu par NILLTF riskiem, tendencēm un lietām;</w:t>
            </w:r>
          </w:p>
          <w:p w14:paraId="5DBD5474" w14:textId="77777777" w:rsidR="00C15031" w:rsidRDefault="00C15031" w:rsidP="00C15031">
            <w:pPr>
              <w:jc w:val="both"/>
              <w:rPr>
                <w:rFonts w:cs="Times New Roman"/>
                <w:sz w:val="20"/>
                <w:szCs w:val="20"/>
              </w:rPr>
            </w:pPr>
            <w:r>
              <w:rPr>
                <w:rFonts w:cs="Times New Roman"/>
                <w:sz w:val="20"/>
                <w:szCs w:val="20"/>
              </w:rPr>
              <w:t xml:space="preserve">- regulāri informē </w:t>
            </w:r>
            <w:r w:rsidR="007D1989">
              <w:rPr>
                <w:rFonts w:cs="Times New Roman"/>
                <w:sz w:val="20"/>
                <w:szCs w:val="20"/>
              </w:rPr>
              <w:t>FSAP</w:t>
            </w:r>
            <w:r>
              <w:rPr>
                <w:rFonts w:cs="Times New Roman"/>
                <w:sz w:val="20"/>
                <w:szCs w:val="20"/>
              </w:rPr>
              <w:t xml:space="preserve"> par NILLTF globālajām tendencēm un to ietekmi lokālā līmenī;</w:t>
            </w:r>
          </w:p>
          <w:p w14:paraId="435DC274" w14:textId="77777777" w:rsidR="00C15031" w:rsidRDefault="00C15031" w:rsidP="00C15031">
            <w:pPr>
              <w:jc w:val="both"/>
              <w:rPr>
                <w:rFonts w:cs="Times New Roman"/>
                <w:sz w:val="20"/>
                <w:szCs w:val="20"/>
              </w:rPr>
            </w:pPr>
            <w:r>
              <w:rPr>
                <w:rFonts w:cs="Times New Roman"/>
                <w:sz w:val="20"/>
                <w:szCs w:val="20"/>
              </w:rPr>
              <w:t>- apkopo informāciju par kompetento iestāžu veikto stratēģisko analīzi.</w:t>
            </w:r>
          </w:p>
          <w:p w14:paraId="7EF9AD96" w14:textId="77777777" w:rsidR="00C15031" w:rsidRDefault="00C15031" w:rsidP="00C15031">
            <w:pPr>
              <w:jc w:val="both"/>
              <w:rPr>
                <w:rFonts w:cs="Times New Roman"/>
                <w:sz w:val="20"/>
                <w:szCs w:val="20"/>
              </w:rPr>
            </w:pPr>
          </w:p>
        </w:tc>
        <w:tc>
          <w:tcPr>
            <w:tcW w:w="1134" w:type="dxa"/>
            <w:shd w:val="clear" w:color="auto" w:fill="auto"/>
          </w:tcPr>
          <w:p w14:paraId="4B853E57" w14:textId="77777777" w:rsidR="00DD7E4F" w:rsidRPr="00A37320" w:rsidRDefault="00783E10" w:rsidP="00783E10">
            <w:pPr>
              <w:jc w:val="center"/>
              <w:rPr>
                <w:sz w:val="20"/>
                <w:szCs w:val="20"/>
              </w:rPr>
            </w:pPr>
            <w:r>
              <w:rPr>
                <w:sz w:val="20"/>
                <w:szCs w:val="20"/>
              </w:rPr>
              <w:lastRenderedPageBreak/>
              <w:t>FM</w:t>
            </w:r>
          </w:p>
        </w:tc>
        <w:tc>
          <w:tcPr>
            <w:tcW w:w="1275" w:type="dxa"/>
            <w:shd w:val="clear" w:color="auto" w:fill="auto"/>
          </w:tcPr>
          <w:p w14:paraId="51B56A58" w14:textId="77777777" w:rsidR="00DD7E4F" w:rsidRPr="00602772" w:rsidRDefault="00783E10" w:rsidP="00C01BB0">
            <w:pPr>
              <w:jc w:val="center"/>
              <w:rPr>
                <w:sz w:val="20"/>
                <w:szCs w:val="20"/>
              </w:rPr>
            </w:pPr>
            <w:r>
              <w:rPr>
                <w:sz w:val="20"/>
                <w:szCs w:val="20"/>
              </w:rPr>
              <w:t>KD</w:t>
            </w:r>
          </w:p>
        </w:tc>
        <w:tc>
          <w:tcPr>
            <w:tcW w:w="1418" w:type="dxa"/>
            <w:shd w:val="clear" w:color="auto" w:fill="auto"/>
          </w:tcPr>
          <w:p w14:paraId="37BD8A89" w14:textId="77777777" w:rsidR="00DD7E4F" w:rsidRDefault="003E16BD" w:rsidP="008F0044">
            <w:pPr>
              <w:jc w:val="center"/>
              <w:rPr>
                <w:rFonts w:cs="Times New Roman"/>
                <w:bCs/>
                <w:sz w:val="20"/>
                <w:szCs w:val="20"/>
              </w:rPr>
            </w:pPr>
            <w:r>
              <w:rPr>
                <w:rFonts w:cs="Times New Roman"/>
                <w:bCs/>
                <w:sz w:val="20"/>
                <w:szCs w:val="20"/>
              </w:rPr>
              <w:t xml:space="preserve">2018.gada </w:t>
            </w:r>
            <w:r w:rsidR="008F0044">
              <w:rPr>
                <w:rFonts w:cs="Times New Roman"/>
                <w:bCs/>
                <w:sz w:val="20"/>
                <w:szCs w:val="20"/>
              </w:rPr>
              <w:t>15</w:t>
            </w:r>
            <w:r w:rsidR="007466C4">
              <w:rPr>
                <w:rFonts w:cs="Times New Roman"/>
                <w:bCs/>
                <w:sz w:val="20"/>
                <w:szCs w:val="20"/>
              </w:rPr>
              <w:t>.</w:t>
            </w:r>
            <w:r>
              <w:rPr>
                <w:rFonts w:cs="Times New Roman"/>
                <w:bCs/>
                <w:sz w:val="20"/>
                <w:szCs w:val="20"/>
              </w:rPr>
              <w:t>decembris</w:t>
            </w:r>
          </w:p>
        </w:tc>
      </w:tr>
    </w:tbl>
    <w:p w14:paraId="11A31D43" w14:textId="77777777" w:rsidR="00BE193D" w:rsidRDefault="00BE193D" w:rsidP="00E24F37">
      <w:pPr>
        <w:pStyle w:val="Heading2"/>
        <w:rPr>
          <w:rFonts w:ascii="Times New Roman" w:hAnsi="Times New Roman" w:cs="Times New Roman"/>
          <w:b/>
          <w:color w:val="auto"/>
          <w:sz w:val="28"/>
          <w:szCs w:val="28"/>
        </w:rPr>
      </w:pPr>
      <w:bookmarkStart w:id="7" w:name="_Toc524977650"/>
    </w:p>
    <w:p w14:paraId="39A65B32" w14:textId="77777777" w:rsidR="00FF0BBA" w:rsidRPr="00E24F37" w:rsidRDefault="00FF0BBA" w:rsidP="00E24F37">
      <w:pPr>
        <w:pStyle w:val="Heading2"/>
        <w:rPr>
          <w:rFonts w:ascii="Times New Roman" w:hAnsi="Times New Roman" w:cs="Times New Roman"/>
          <w:b/>
          <w:color w:val="auto"/>
          <w:sz w:val="28"/>
          <w:szCs w:val="28"/>
        </w:rPr>
      </w:pPr>
      <w:r w:rsidRPr="00E24F37">
        <w:rPr>
          <w:rFonts w:ascii="Times New Roman" w:hAnsi="Times New Roman" w:cs="Times New Roman"/>
          <w:b/>
          <w:color w:val="auto"/>
          <w:sz w:val="28"/>
          <w:szCs w:val="28"/>
        </w:rPr>
        <w:t xml:space="preserve">2.rīcības virziens – </w:t>
      </w:r>
      <w:r w:rsidR="00FE237C">
        <w:rPr>
          <w:rFonts w:ascii="Times New Roman" w:hAnsi="Times New Roman" w:cs="Times New Roman"/>
          <w:b/>
          <w:color w:val="auto"/>
          <w:sz w:val="28"/>
          <w:szCs w:val="28"/>
        </w:rPr>
        <w:t>S</w:t>
      </w:r>
      <w:r w:rsidRPr="00E24F37">
        <w:rPr>
          <w:rFonts w:ascii="Times New Roman" w:hAnsi="Times New Roman" w:cs="Times New Roman"/>
          <w:b/>
          <w:color w:val="auto"/>
          <w:sz w:val="28"/>
          <w:szCs w:val="28"/>
        </w:rPr>
        <w:t>tarptautiskā sadarbība</w:t>
      </w:r>
      <w:bookmarkEnd w:id="7"/>
      <w:r w:rsidRPr="00E24F37">
        <w:rPr>
          <w:rFonts w:ascii="Times New Roman" w:hAnsi="Times New Roman" w:cs="Times New Roman"/>
          <w:b/>
          <w:color w:val="auto"/>
          <w:sz w:val="28"/>
          <w:szCs w:val="28"/>
        </w:rPr>
        <w:t xml:space="preserve">  </w:t>
      </w:r>
    </w:p>
    <w:p w14:paraId="3E056E6C" w14:textId="77777777" w:rsidR="00FF0BBA" w:rsidRPr="00FC0326" w:rsidRDefault="00FF0BBA" w:rsidP="00FF0BBA">
      <w:pPr>
        <w:jc w:val="both"/>
        <w:rPr>
          <w:sz w:val="28"/>
          <w:szCs w:val="28"/>
        </w:rPr>
      </w:pPr>
    </w:p>
    <w:p w14:paraId="7169F63B" w14:textId="77777777" w:rsidR="00FF0BBA" w:rsidRPr="00FC0326" w:rsidRDefault="00FF0BBA" w:rsidP="00FF0BBA">
      <w:pPr>
        <w:jc w:val="both"/>
        <w:rPr>
          <w:szCs w:val="24"/>
        </w:rPr>
      </w:pPr>
      <w:r w:rsidRPr="00FC0326">
        <w:rPr>
          <w:szCs w:val="24"/>
        </w:rPr>
        <w:t>Par rīcības virzienu atbildīgā iestāde: TM</w:t>
      </w:r>
    </w:p>
    <w:p w14:paraId="09181CD7" w14:textId="77777777" w:rsidR="009C6D67" w:rsidRPr="00FC0326" w:rsidRDefault="00FF0BBA" w:rsidP="009C6D67">
      <w:pPr>
        <w:jc w:val="both"/>
        <w:rPr>
          <w:szCs w:val="24"/>
        </w:rPr>
      </w:pPr>
      <w:r w:rsidRPr="00FC0326">
        <w:rPr>
          <w:szCs w:val="24"/>
        </w:rPr>
        <w:t xml:space="preserve">Līdzatbildīgās iestādes: KD, VP, </w:t>
      </w:r>
      <w:r w:rsidR="009C6D67" w:rsidRPr="00FC0326">
        <w:rPr>
          <w:szCs w:val="24"/>
        </w:rPr>
        <w:t>VID</w:t>
      </w:r>
      <w:r w:rsidRPr="00FC0326">
        <w:rPr>
          <w:szCs w:val="24"/>
        </w:rPr>
        <w:t xml:space="preserve">, DP, </w:t>
      </w:r>
      <w:r w:rsidR="009C6D67" w:rsidRPr="00FC0326">
        <w:rPr>
          <w:szCs w:val="24"/>
        </w:rPr>
        <w:t>ĢP</w:t>
      </w:r>
      <w:r w:rsidRPr="00FC0326">
        <w:rPr>
          <w:szCs w:val="24"/>
        </w:rPr>
        <w:t xml:space="preserve">, KNAB, </w:t>
      </w:r>
      <w:r w:rsidR="009C6D67" w:rsidRPr="00FC0326">
        <w:rPr>
          <w:szCs w:val="24"/>
        </w:rPr>
        <w:t xml:space="preserve">FKTK, LB, IAUI, LZAP, LZNP, LZRA, </w:t>
      </w:r>
      <w:r w:rsidR="0090763B">
        <w:rPr>
          <w:szCs w:val="24"/>
        </w:rPr>
        <w:t>NKMP</w:t>
      </w:r>
      <w:r w:rsidR="001B243A" w:rsidRPr="00FC0326">
        <w:rPr>
          <w:szCs w:val="24"/>
        </w:rPr>
        <w:t>, PTAC</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410"/>
        <w:gridCol w:w="2693"/>
        <w:gridCol w:w="1276"/>
        <w:gridCol w:w="1275"/>
        <w:gridCol w:w="1418"/>
      </w:tblGrid>
      <w:tr w:rsidR="00A37320" w:rsidRPr="00FC0326" w14:paraId="033AECD2" w14:textId="77777777" w:rsidTr="00A37320">
        <w:tc>
          <w:tcPr>
            <w:tcW w:w="4395" w:type="dxa"/>
            <w:gridSpan w:val="2"/>
          </w:tcPr>
          <w:p w14:paraId="7D170AB1" w14:textId="77777777" w:rsidR="00A37320" w:rsidRPr="00FC0326" w:rsidRDefault="00A37320" w:rsidP="000215A6">
            <w:pPr>
              <w:rPr>
                <w:rFonts w:cs="Times New Roman"/>
                <w:b/>
                <w:bCs/>
                <w:sz w:val="20"/>
                <w:szCs w:val="20"/>
              </w:rPr>
            </w:pPr>
            <w:r w:rsidRPr="00FC0326">
              <w:rPr>
                <w:rFonts w:cs="Times New Roman"/>
                <w:b/>
                <w:bCs/>
                <w:sz w:val="20"/>
                <w:szCs w:val="20"/>
              </w:rPr>
              <w:t>2.Rīcības virziens</w:t>
            </w:r>
          </w:p>
        </w:tc>
        <w:tc>
          <w:tcPr>
            <w:tcW w:w="10631" w:type="dxa"/>
            <w:gridSpan w:val="6"/>
          </w:tcPr>
          <w:p w14:paraId="7802170B" w14:textId="77777777" w:rsidR="00A37320" w:rsidRPr="00FC0326" w:rsidRDefault="00A37320" w:rsidP="000215A6">
            <w:pPr>
              <w:jc w:val="both"/>
              <w:rPr>
                <w:rFonts w:cs="Times New Roman"/>
                <w:b/>
                <w:bCs/>
                <w:sz w:val="20"/>
                <w:szCs w:val="20"/>
              </w:rPr>
            </w:pPr>
            <w:r>
              <w:rPr>
                <w:rFonts w:cs="Times New Roman"/>
                <w:b/>
                <w:bCs/>
                <w:sz w:val="20"/>
                <w:szCs w:val="20"/>
              </w:rPr>
              <w:t>Starptautiskā sadarbība</w:t>
            </w:r>
          </w:p>
        </w:tc>
      </w:tr>
      <w:tr w:rsidR="00A37320" w:rsidRPr="00FC0326" w14:paraId="4D7E6354" w14:textId="77777777" w:rsidTr="00A37320">
        <w:tc>
          <w:tcPr>
            <w:tcW w:w="4395" w:type="dxa"/>
            <w:gridSpan w:val="2"/>
          </w:tcPr>
          <w:p w14:paraId="069BF674" w14:textId="77777777" w:rsidR="00A37320" w:rsidRPr="00FC0326" w:rsidRDefault="00A37320" w:rsidP="000215A6">
            <w:pPr>
              <w:rPr>
                <w:rFonts w:cs="Times New Roman"/>
                <w:b/>
                <w:bCs/>
                <w:sz w:val="20"/>
                <w:szCs w:val="20"/>
              </w:rPr>
            </w:pPr>
            <w:r w:rsidRPr="00FC0326">
              <w:rPr>
                <w:rFonts w:cs="Times New Roman"/>
                <w:b/>
                <w:bCs/>
                <w:sz w:val="20"/>
                <w:szCs w:val="20"/>
              </w:rPr>
              <w:t>Sasniedzamie apakšmērķi:</w:t>
            </w:r>
          </w:p>
        </w:tc>
        <w:tc>
          <w:tcPr>
            <w:tcW w:w="10631" w:type="dxa"/>
            <w:gridSpan w:val="6"/>
          </w:tcPr>
          <w:p w14:paraId="284A8288" w14:textId="77777777" w:rsidR="00A37320" w:rsidRPr="002E4633" w:rsidRDefault="00A37320" w:rsidP="000215A6">
            <w:pPr>
              <w:jc w:val="both"/>
              <w:rPr>
                <w:rFonts w:cs="Times New Roman"/>
                <w:b/>
                <w:bCs/>
                <w:sz w:val="20"/>
                <w:szCs w:val="20"/>
              </w:rPr>
            </w:pPr>
            <w:r>
              <w:rPr>
                <w:rFonts w:cs="Times New Roman"/>
                <w:b/>
                <w:bCs/>
                <w:sz w:val="20"/>
                <w:szCs w:val="20"/>
              </w:rPr>
              <w:t>1. Novērsti trūkumi tiesiskajā regulējumā attiecībā uz starptautisko sadarbību noziedzīgi iegūtu līdzekļu legalizācijas novēršanā un apkarošanā</w:t>
            </w:r>
          </w:p>
        </w:tc>
      </w:tr>
      <w:tr w:rsidR="00A37320" w:rsidRPr="00FC0326" w14:paraId="654AB0A5" w14:textId="77777777" w:rsidTr="00A37320">
        <w:tc>
          <w:tcPr>
            <w:tcW w:w="4395" w:type="dxa"/>
            <w:gridSpan w:val="2"/>
          </w:tcPr>
          <w:p w14:paraId="04B5667F" w14:textId="77777777" w:rsidR="00A37320" w:rsidRPr="00FC0326" w:rsidRDefault="00A37320" w:rsidP="000215A6">
            <w:pPr>
              <w:rPr>
                <w:rFonts w:cs="Times New Roman"/>
                <w:b/>
                <w:bCs/>
                <w:sz w:val="20"/>
                <w:szCs w:val="20"/>
              </w:rPr>
            </w:pPr>
          </w:p>
        </w:tc>
        <w:tc>
          <w:tcPr>
            <w:tcW w:w="10631" w:type="dxa"/>
            <w:gridSpan w:val="6"/>
          </w:tcPr>
          <w:p w14:paraId="3E29D12E" w14:textId="77777777" w:rsidR="00A37320" w:rsidRPr="00FC0326" w:rsidRDefault="00A37320" w:rsidP="000215A6">
            <w:pPr>
              <w:jc w:val="both"/>
              <w:rPr>
                <w:rFonts w:cs="Times New Roman"/>
                <w:b/>
                <w:bCs/>
                <w:sz w:val="20"/>
                <w:szCs w:val="20"/>
              </w:rPr>
            </w:pPr>
            <w:r w:rsidRPr="00FC0326">
              <w:rPr>
                <w:rFonts w:cs="Times New Roman"/>
                <w:b/>
                <w:bCs/>
                <w:sz w:val="20"/>
                <w:szCs w:val="20"/>
              </w:rPr>
              <w:t>2.</w:t>
            </w:r>
            <w:r>
              <w:rPr>
                <w:rFonts w:cs="Times New Roman"/>
                <w:b/>
                <w:bCs/>
                <w:sz w:val="20"/>
                <w:szCs w:val="20"/>
              </w:rPr>
              <w:t xml:space="preserve"> </w:t>
            </w:r>
            <w:r w:rsidRPr="002E4633">
              <w:rPr>
                <w:rFonts w:cs="Times New Roman"/>
                <w:b/>
                <w:bCs/>
                <w:sz w:val="20"/>
                <w:szCs w:val="20"/>
              </w:rPr>
              <w:t xml:space="preserve">Nodrošināta efektīva un ātra starptautiskā sadarbība </w:t>
            </w:r>
            <w:r w:rsidRPr="00CE4B72">
              <w:rPr>
                <w:rFonts w:cs="Times New Roman"/>
                <w:b/>
                <w:bCs/>
                <w:sz w:val="20"/>
                <w:szCs w:val="20"/>
              </w:rPr>
              <w:t>noziedzīgi iegūtu līdzekļu legalizācijas novēršanā un apkarošanā</w:t>
            </w:r>
          </w:p>
        </w:tc>
      </w:tr>
      <w:tr w:rsidR="00A37320" w:rsidRPr="00FC0326" w14:paraId="08250B39" w14:textId="77777777" w:rsidTr="00A37320">
        <w:tc>
          <w:tcPr>
            <w:tcW w:w="4395" w:type="dxa"/>
            <w:gridSpan w:val="2"/>
          </w:tcPr>
          <w:p w14:paraId="7D678919" w14:textId="77777777" w:rsidR="00A37320" w:rsidRPr="00FC0326" w:rsidRDefault="00A37320" w:rsidP="000215A6">
            <w:pPr>
              <w:rPr>
                <w:rFonts w:cs="Times New Roman"/>
                <w:b/>
                <w:bCs/>
                <w:sz w:val="20"/>
                <w:szCs w:val="20"/>
              </w:rPr>
            </w:pPr>
          </w:p>
        </w:tc>
        <w:tc>
          <w:tcPr>
            <w:tcW w:w="10631" w:type="dxa"/>
            <w:gridSpan w:val="6"/>
          </w:tcPr>
          <w:p w14:paraId="08037826" w14:textId="77777777" w:rsidR="00A37320" w:rsidRPr="00FC0326" w:rsidRDefault="00A37320" w:rsidP="000215A6">
            <w:pPr>
              <w:jc w:val="both"/>
              <w:rPr>
                <w:rFonts w:cs="Times New Roman"/>
                <w:b/>
                <w:bCs/>
                <w:sz w:val="20"/>
                <w:szCs w:val="20"/>
              </w:rPr>
            </w:pPr>
            <w:r w:rsidRPr="00FC0326">
              <w:rPr>
                <w:rFonts w:cs="Times New Roman"/>
                <w:b/>
                <w:bCs/>
                <w:sz w:val="20"/>
                <w:szCs w:val="20"/>
              </w:rPr>
              <w:t>3.</w:t>
            </w:r>
            <w:r>
              <w:rPr>
                <w:rFonts w:cs="Times New Roman"/>
                <w:b/>
                <w:bCs/>
                <w:sz w:val="20"/>
                <w:szCs w:val="20"/>
              </w:rPr>
              <w:t xml:space="preserve"> Izveidota kr</w:t>
            </w:r>
            <w:r w:rsidR="00161E8F">
              <w:rPr>
                <w:rFonts w:cs="Times New Roman"/>
                <w:b/>
                <w:bCs/>
                <w:sz w:val="20"/>
                <w:szCs w:val="20"/>
              </w:rPr>
              <w:t>itēriju sistēma, kas ļauj priori</w:t>
            </w:r>
            <w:r>
              <w:rPr>
                <w:rFonts w:cs="Times New Roman"/>
                <w:b/>
                <w:bCs/>
                <w:sz w:val="20"/>
                <w:szCs w:val="20"/>
              </w:rPr>
              <w:t>tizēt starptautiskās sadarbības lūgumus</w:t>
            </w:r>
          </w:p>
        </w:tc>
      </w:tr>
      <w:tr w:rsidR="00A37320" w:rsidRPr="00FC0326" w14:paraId="6C90B3B8" w14:textId="77777777" w:rsidTr="00A37320">
        <w:tc>
          <w:tcPr>
            <w:tcW w:w="4395" w:type="dxa"/>
            <w:gridSpan w:val="2"/>
          </w:tcPr>
          <w:p w14:paraId="102C2CC7" w14:textId="77777777" w:rsidR="00A37320" w:rsidRPr="00FC0326" w:rsidRDefault="00A37320" w:rsidP="000215A6">
            <w:pPr>
              <w:rPr>
                <w:rFonts w:cs="Times New Roman"/>
                <w:b/>
                <w:bCs/>
                <w:sz w:val="20"/>
                <w:szCs w:val="20"/>
              </w:rPr>
            </w:pPr>
          </w:p>
        </w:tc>
        <w:tc>
          <w:tcPr>
            <w:tcW w:w="10631" w:type="dxa"/>
            <w:gridSpan w:val="6"/>
          </w:tcPr>
          <w:p w14:paraId="09BE8212" w14:textId="77777777" w:rsidR="00A37320" w:rsidRPr="00FC0326" w:rsidRDefault="00A37320" w:rsidP="000215A6">
            <w:pPr>
              <w:jc w:val="both"/>
              <w:rPr>
                <w:rFonts w:cs="Times New Roman"/>
                <w:b/>
                <w:bCs/>
                <w:sz w:val="20"/>
                <w:szCs w:val="20"/>
              </w:rPr>
            </w:pPr>
            <w:r>
              <w:rPr>
                <w:rFonts w:cs="Times New Roman"/>
                <w:b/>
                <w:bCs/>
                <w:sz w:val="20"/>
                <w:szCs w:val="20"/>
              </w:rPr>
              <w:t>4. Ieviesta efektīva starptautiskās sadarbības lietu vadības sistēma</w:t>
            </w:r>
          </w:p>
        </w:tc>
      </w:tr>
      <w:tr w:rsidR="00A37320" w:rsidRPr="00FC0326" w14:paraId="78C994A8" w14:textId="77777777" w:rsidTr="00A37320">
        <w:tc>
          <w:tcPr>
            <w:tcW w:w="709" w:type="dxa"/>
          </w:tcPr>
          <w:p w14:paraId="064B891E" w14:textId="77777777" w:rsidR="00A37320" w:rsidRPr="00FC0326" w:rsidRDefault="00A37320" w:rsidP="000215A6">
            <w:pPr>
              <w:jc w:val="center"/>
              <w:rPr>
                <w:rFonts w:cs="Times New Roman"/>
                <w:bCs/>
                <w:sz w:val="20"/>
                <w:szCs w:val="20"/>
              </w:rPr>
            </w:pPr>
            <w:r w:rsidRPr="00FC0326">
              <w:rPr>
                <w:rFonts w:cs="Times New Roman"/>
                <w:bCs/>
                <w:sz w:val="20"/>
                <w:szCs w:val="20"/>
              </w:rPr>
              <w:t>Nr. P.k.</w:t>
            </w:r>
          </w:p>
        </w:tc>
        <w:tc>
          <w:tcPr>
            <w:tcW w:w="3686" w:type="dxa"/>
            <w:shd w:val="clear" w:color="auto" w:fill="auto"/>
          </w:tcPr>
          <w:p w14:paraId="1AD7ED56" w14:textId="77777777" w:rsidR="00A37320" w:rsidRPr="00FC0326" w:rsidRDefault="00A37320" w:rsidP="000215A6">
            <w:pPr>
              <w:jc w:val="center"/>
              <w:rPr>
                <w:rFonts w:cs="Times New Roman"/>
                <w:bCs/>
                <w:i/>
                <w:sz w:val="20"/>
                <w:szCs w:val="20"/>
              </w:rPr>
            </w:pPr>
            <w:r w:rsidRPr="00FC0326">
              <w:rPr>
                <w:rFonts w:cs="Times New Roman"/>
                <w:b/>
                <w:bCs/>
                <w:sz w:val="20"/>
                <w:szCs w:val="20"/>
              </w:rPr>
              <w:t>Pasākums</w:t>
            </w:r>
          </w:p>
        </w:tc>
        <w:tc>
          <w:tcPr>
            <w:tcW w:w="1559" w:type="dxa"/>
          </w:tcPr>
          <w:p w14:paraId="68B8C0E0" w14:textId="77777777" w:rsidR="00A37320" w:rsidRPr="00FC0326" w:rsidRDefault="00A37320" w:rsidP="000215A6">
            <w:pPr>
              <w:ind w:right="-108"/>
              <w:rPr>
                <w:rFonts w:cs="Times New Roman"/>
                <w:b/>
                <w:sz w:val="20"/>
                <w:szCs w:val="20"/>
              </w:rPr>
            </w:pPr>
            <w:r w:rsidRPr="00FC0326">
              <w:rPr>
                <w:rFonts w:cs="Times New Roman"/>
                <w:b/>
                <w:sz w:val="20"/>
                <w:szCs w:val="20"/>
              </w:rPr>
              <w:t xml:space="preserve">Avots </w:t>
            </w:r>
          </w:p>
        </w:tc>
        <w:tc>
          <w:tcPr>
            <w:tcW w:w="2410" w:type="dxa"/>
            <w:shd w:val="clear" w:color="auto" w:fill="auto"/>
          </w:tcPr>
          <w:p w14:paraId="12CC39E7" w14:textId="77777777" w:rsidR="00A37320" w:rsidRPr="00FC0326" w:rsidRDefault="00A37320" w:rsidP="000215A6">
            <w:pPr>
              <w:rPr>
                <w:rFonts w:cs="Times New Roman"/>
                <w:b/>
                <w:bCs/>
                <w:i/>
                <w:sz w:val="20"/>
                <w:szCs w:val="20"/>
              </w:rPr>
            </w:pPr>
            <w:r w:rsidRPr="00FC0326">
              <w:rPr>
                <w:rFonts w:cs="Times New Roman"/>
                <w:b/>
                <w:sz w:val="20"/>
                <w:szCs w:val="20"/>
              </w:rPr>
              <w:t>Darbības rezultāts</w:t>
            </w:r>
          </w:p>
        </w:tc>
        <w:tc>
          <w:tcPr>
            <w:tcW w:w="2693" w:type="dxa"/>
          </w:tcPr>
          <w:p w14:paraId="3FD6154E" w14:textId="77777777" w:rsidR="00A37320" w:rsidRPr="00FC0326" w:rsidRDefault="00A37320" w:rsidP="000215A6">
            <w:pPr>
              <w:jc w:val="center"/>
              <w:rPr>
                <w:rFonts w:cs="Times New Roman"/>
                <w:bCs/>
                <w:i/>
                <w:sz w:val="20"/>
                <w:szCs w:val="20"/>
              </w:rPr>
            </w:pPr>
            <w:r w:rsidRPr="00FC0326">
              <w:rPr>
                <w:rFonts w:cs="Times New Roman"/>
                <w:b/>
                <w:sz w:val="20"/>
                <w:szCs w:val="20"/>
              </w:rPr>
              <w:t>Rezultatīvais rādītājs</w:t>
            </w:r>
          </w:p>
        </w:tc>
        <w:tc>
          <w:tcPr>
            <w:tcW w:w="1276" w:type="dxa"/>
            <w:shd w:val="clear" w:color="auto" w:fill="auto"/>
          </w:tcPr>
          <w:p w14:paraId="12FC28A1" w14:textId="77777777" w:rsidR="00A37320" w:rsidRPr="00FC0326" w:rsidRDefault="00A37320" w:rsidP="000215A6">
            <w:pPr>
              <w:jc w:val="center"/>
              <w:rPr>
                <w:rFonts w:cs="Times New Roman"/>
                <w:bCs/>
                <w:i/>
                <w:sz w:val="20"/>
                <w:szCs w:val="20"/>
              </w:rPr>
            </w:pPr>
            <w:r w:rsidRPr="00FC0326">
              <w:rPr>
                <w:rFonts w:cs="Times New Roman"/>
                <w:b/>
                <w:bCs/>
                <w:sz w:val="20"/>
                <w:szCs w:val="20"/>
              </w:rPr>
              <w:t>Atbildīgā institūcija</w:t>
            </w:r>
          </w:p>
        </w:tc>
        <w:tc>
          <w:tcPr>
            <w:tcW w:w="1275" w:type="dxa"/>
            <w:shd w:val="clear" w:color="auto" w:fill="auto"/>
          </w:tcPr>
          <w:p w14:paraId="6EAF736A" w14:textId="77777777" w:rsidR="00A37320" w:rsidRPr="00FC0326" w:rsidRDefault="00A37320" w:rsidP="000215A6">
            <w:pPr>
              <w:jc w:val="center"/>
              <w:rPr>
                <w:rFonts w:cs="Times New Roman"/>
                <w:bCs/>
                <w:i/>
                <w:sz w:val="20"/>
                <w:szCs w:val="20"/>
              </w:rPr>
            </w:pPr>
            <w:r w:rsidRPr="00FC0326">
              <w:rPr>
                <w:rFonts w:cs="Times New Roman"/>
                <w:b/>
                <w:bCs/>
                <w:sz w:val="20"/>
                <w:szCs w:val="20"/>
              </w:rPr>
              <w:t>Līdz-atbildīgās institūcijas</w:t>
            </w:r>
          </w:p>
        </w:tc>
        <w:tc>
          <w:tcPr>
            <w:tcW w:w="1418" w:type="dxa"/>
            <w:shd w:val="clear" w:color="auto" w:fill="auto"/>
          </w:tcPr>
          <w:p w14:paraId="5BEB9BEC" w14:textId="77777777" w:rsidR="00A37320" w:rsidRPr="00FC0326" w:rsidRDefault="00A37320" w:rsidP="000215A6">
            <w:pPr>
              <w:jc w:val="center"/>
              <w:rPr>
                <w:rFonts w:cs="Times New Roman"/>
                <w:bCs/>
                <w:i/>
                <w:sz w:val="20"/>
                <w:szCs w:val="20"/>
              </w:rPr>
            </w:pPr>
            <w:r w:rsidRPr="00FC0326">
              <w:rPr>
                <w:rFonts w:cs="Times New Roman"/>
                <w:b/>
                <w:bCs/>
                <w:sz w:val="20"/>
                <w:szCs w:val="20"/>
              </w:rPr>
              <w:t>Izpildes termiņš</w:t>
            </w:r>
          </w:p>
        </w:tc>
      </w:tr>
      <w:tr w:rsidR="00A37320" w:rsidRPr="00A3142E" w14:paraId="5E19BA15" w14:textId="77777777" w:rsidTr="00A37320">
        <w:trPr>
          <w:trHeight w:val="1228"/>
        </w:trPr>
        <w:tc>
          <w:tcPr>
            <w:tcW w:w="709" w:type="dxa"/>
            <w:vMerge w:val="restart"/>
            <w:shd w:val="clear" w:color="auto" w:fill="FFFFFF" w:themeFill="background1"/>
          </w:tcPr>
          <w:p w14:paraId="6858EEC2" w14:textId="77777777" w:rsidR="00A37320" w:rsidRDefault="00A37320" w:rsidP="000215A6">
            <w:pPr>
              <w:rPr>
                <w:rFonts w:cs="Times New Roman"/>
                <w:sz w:val="20"/>
                <w:szCs w:val="20"/>
              </w:rPr>
            </w:pPr>
            <w:r>
              <w:rPr>
                <w:rFonts w:cs="Times New Roman"/>
                <w:sz w:val="20"/>
                <w:szCs w:val="20"/>
              </w:rPr>
              <w:t>2.1.</w:t>
            </w:r>
          </w:p>
          <w:p w14:paraId="36CC80E3" w14:textId="77777777" w:rsidR="00A37320" w:rsidRDefault="00A37320" w:rsidP="000215A6">
            <w:pPr>
              <w:rPr>
                <w:rFonts w:cs="Times New Roman"/>
                <w:sz w:val="20"/>
                <w:szCs w:val="20"/>
              </w:rPr>
            </w:pPr>
          </w:p>
        </w:tc>
        <w:tc>
          <w:tcPr>
            <w:tcW w:w="3686" w:type="dxa"/>
            <w:shd w:val="clear" w:color="auto" w:fill="FFFFFF" w:themeFill="background1"/>
          </w:tcPr>
          <w:p w14:paraId="5E795A55" w14:textId="77777777" w:rsidR="00A37320" w:rsidRDefault="00A37320" w:rsidP="000215A6">
            <w:pPr>
              <w:jc w:val="both"/>
              <w:rPr>
                <w:rFonts w:cs="Times New Roman"/>
                <w:sz w:val="20"/>
                <w:szCs w:val="20"/>
              </w:rPr>
            </w:pPr>
            <w:r>
              <w:rPr>
                <w:rFonts w:cs="Times New Roman"/>
                <w:sz w:val="20"/>
                <w:szCs w:val="20"/>
              </w:rPr>
              <w:t>1. I</w:t>
            </w:r>
            <w:r w:rsidRPr="00EC5D6E">
              <w:rPr>
                <w:rFonts w:cs="Times New Roman"/>
                <w:sz w:val="20"/>
                <w:szCs w:val="20"/>
              </w:rPr>
              <w:t>zvērtē</w:t>
            </w:r>
            <w:r>
              <w:rPr>
                <w:rFonts w:cs="Times New Roman"/>
                <w:sz w:val="20"/>
                <w:szCs w:val="20"/>
              </w:rPr>
              <w:t>t</w:t>
            </w:r>
            <w:r w:rsidRPr="00EC5D6E">
              <w:rPr>
                <w:rFonts w:cs="Times New Roman"/>
                <w:sz w:val="20"/>
                <w:szCs w:val="20"/>
              </w:rPr>
              <w:t xml:space="preserve"> normatīvo regulējumu attiecībā uz uzraug</w:t>
            </w:r>
            <w:r>
              <w:rPr>
                <w:rFonts w:cs="Times New Roman"/>
                <w:sz w:val="20"/>
                <w:szCs w:val="20"/>
              </w:rPr>
              <w:t>ošo iestāžu</w:t>
            </w:r>
            <w:r w:rsidRPr="00EC5D6E">
              <w:rPr>
                <w:rFonts w:cs="Times New Roman"/>
                <w:sz w:val="20"/>
                <w:szCs w:val="20"/>
              </w:rPr>
              <w:t xml:space="preserve"> starptautisko sadarbību.</w:t>
            </w:r>
          </w:p>
        </w:tc>
        <w:tc>
          <w:tcPr>
            <w:tcW w:w="1559" w:type="dxa"/>
            <w:vMerge w:val="restart"/>
            <w:shd w:val="clear" w:color="auto" w:fill="FFFFFF" w:themeFill="background1"/>
          </w:tcPr>
          <w:p w14:paraId="708B4EDC" w14:textId="77777777" w:rsidR="00A37320" w:rsidRDefault="00A37320" w:rsidP="000215A6">
            <w:pPr>
              <w:jc w:val="both"/>
              <w:rPr>
                <w:rFonts w:cs="Times New Roman"/>
                <w:sz w:val="20"/>
                <w:szCs w:val="20"/>
              </w:rPr>
            </w:pPr>
            <w:r>
              <w:rPr>
                <w:rFonts w:cs="Times New Roman"/>
                <w:sz w:val="20"/>
                <w:szCs w:val="20"/>
              </w:rPr>
              <w:t>Moneyval rekomendācija 2.1., 2.2., 2.3.</w:t>
            </w:r>
          </w:p>
          <w:p w14:paraId="2B5D41EA" w14:textId="77777777" w:rsidR="00A37320" w:rsidRDefault="00A37320" w:rsidP="000215A6">
            <w:pPr>
              <w:jc w:val="both"/>
              <w:rPr>
                <w:rFonts w:cs="Times New Roman"/>
                <w:sz w:val="20"/>
                <w:szCs w:val="20"/>
              </w:rPr>
            </w:pPr>
          </w:p>
        </w:tc>
        <w:tc>
          <w:tcPr>
            <w:tcW w:w="2410" w:type="dxa"/>
            <w:shd w:val="clear" w:color="auto" w:fill="FFFFFF" w:themeFill="background1"/>
          </w:tcPr>
          <w:p w14:paraId="33B66861" w14:textId="77777777" w:rsidR="00A37320" w:rsidRPr="00A3142E" w:rsidRDefault="00A37320" w:rsidP="000215A6">
            <w:pPr>
              <w:jc w:val="both"/>
              <w:rPr>
                <w:rFonts w:cs="Times New Roman"/>
                <w:sz w:val="20"/>
                <w:szCs w:val="20"/>
              </w:rPr>
            </w:pPr>
            <w:r>
              <w:rPr>
                <w:rFonts w:cs="Times New Roman"/>
                <w:sz w:val="20"/>
                <w:szCs w:val="20"/>
              </w:rPr>
              <w:t xml:space="preserve">Uzlabota uzraugošo iestāžu starptautiskā sadarbība noziedzīgi iegūtu līdzekļu legalizācijas un terorisma finansēšanas novēršanas jomā </w:t>
            </w:r>
          </w:p>
        </w:tc>
        <w:tc>
          <w:tcPr>
            <w:tcW w:w="2693" w:type="dxa"/>
            <w:shd w:val="clear" w:color="auto" w:fill="FFFFFF" w:themeFill="background1"/>
          </w:tcPr>
          <w:p w14:paraId="77CF17D1" w14:textId="77777777" w:rsidR="00A37320" w:rsidRPr="00A3142E" w:rsidRDefault="00A37320" w:rsidP="000215A6">
            <w:pPr>
              <w:jc w:val="both"/>
              <w:rPr>
                <w:rFonts w:cs="Times New Roman"/>
                <w:sz w:val="20"/>
                <w:szCs w:val="20"/>
              </w:rPr>
            </w:pPr>
            <w:r>
              <w:rPr>
                <w:rFonts w:cs="Times New Roman"/>
                <w:sz w:val="20"/>
                <w:szCs w:val="20"/>
              </w:rPr>
              <w:t xml:space="preserve">Sagatavots pārskats par </w:t>
            </w:r>
            <w:r w:rsidRPr="0006608E">
              <w:rPr>
                <w:rFonts w:cs="Times New Roman"/>
                <w:sz w:val="20"/>
                <w:szCs w:val="20"/>
              </w:rPr>
              <w:t>normatīvo regulējumu attiecībā uz uzraugošo iestāžu starptautisko sadarbību</w:t>
            </w:r>
            <w:r>
              <w:rPr>
                <w:rFonts w:cs="Times New Roman"/>
                <w:sz w:val="20"/>
                <w:szCs w:val="20"/>
              </w:rPr>
              <w:t xml:space="preserve"> </w:t>
            </w:r>
            <w:r w:rsidRPr="00924F6B">
              <w:rPr>
                <w:rFonts w:cs="Times New Roman"/>
                <w:sz w:val="20"/>
                <w:szCs w:val="20"/>
              </w:rPr>
              <w:t>un iesniegts Tieslietu ministrijā.</w:t>
            </w:r>
          </w:p>
        </w:tc>
        <w:tc>
          <w:tcPr>
            <w:tcW w:w="1276" w:type="dxa"/>
            <w:shd w:val="clear" w:color="auto" w:fill="FFFFFF" w:themeFill="background1"/>
          </w:tcPr>
          <w:p w14:paraId="5ED1B12C" w14:textId="77777777" w:rsidR="00A37320" w:rsidRPr="00A3142E" w:rsidRDefault="00A37320" w:rsidP="000215A6">
            <w:pPr>
              <w:jc w:val="center"/>
              <w:rPr>
                <w:rFonts w:cs="Times New Roman"/>
                <w:sz w:val="20"/>
                <w:szCs w:val="20"/>
              </w:rPr>
            </w:pPr>
            <w:r>
              <w:rPr>
                <w:rFonts w:cs="Times New Roman"/>
                <w:sz w:val="20"/>
                <w:szCs w:val="20"/>
              </w:rPr>
              <w:t xml:space="preserve">VID, </w:t>
            </w:r>
            <w:r w:rsidRPr="0006608E">
              <w:rPr>
                <w:rFonts w:cs="Times New Roman"/>
                <w:sz w:val="20"/>
                <w:szCs w:val="20"/>
              </w:rPr>
              <w:t xml:space="preserve">FKTK, LB, IAUI, LZAP, LZNP, LZRA, </w:t>
            </w:r>
            <w:r>
              <w:rPr>
                <w:rFonts w:cs="Times New Roman"/>
                <w:sz w:val="20"/>
                <w:szCs w:val="20"/>
              </w:rPr>
              <w:t>NKMP</w:t>
            </w:r>
            <w:r w:rsidRPr="0006608E">
              <w:rPr>
                <w:rFonts w:cs="Times New Roman"/>
                <w:sz w:val="20"/>
                <w:szCs w:val="20"/>
              </w:rPr>
              <w:t>, PTAC</w:t>
            </w:r>
            <w:r>
              <w:rPr>
                <w:rFonts w:cs="Times New Roman"/>
                <w:sz w:val="20"/>
                <w:szCs w:val="20"/>
              </w:rPr>
              <w:t>, VDI, KD</w:t>
            </w:r>
          </w:p>
        </w:tc>
        <w:tc>
          <w:tcPr>
            <w:tcW w:w="1275" w:type="dxa"/>
            <w:shd w:val="clear" w:color="auto" w:fill="FFFFFF" w:themeFill="background1"/>
          </w:tcPr>
          <w:p w14:paraId="2D86D5C1" w14:textId="77777777" w:rsidR="00A37320" w:rsidRPr="00A3142E" w:rsidRDefault="00A37320" w:rsidP="000215A6">
            <w:pPr>
              <w:jc w:val="center"/>
              <w:rPr>
                <w:rFonts w:cs="Times New Roman"/>
                <w:sz w:val="20"/>
                <w:szCs w:val="20"/>
              </w:rPr>
            </w:pPr>
          </w:p>
        </w:tc>
        <w:tc>
          <w:tcPr>
            <w:tcW w:w="1418" w:type="dxa"/>
            <w:shd w:val="clear" w:color="auto" w:fill="FFFFFF" w:themeFill="background1"/>
          </w:tcPr>
          <w:p w14:paraId="28C30EC1" w14:textId="77777777" w:rsidR="00A37320" w:rsidRPr="00A3142E" w:rsidRDefault="00A37320" w:rsidP="000215A6">
            <w:pPr>
              <w:jc w:val="center"/>
              <w:rPr>
                <w:rFonts w:cs="Times New Roman"/>
                <w:sz w:val="20"/>
                <w:szCs w:val="20"/>
              </w:rPr>
            </w:pPr>
            <w:r>
              <w:rPr>
                <w:rFonts w:cs="Times New Roman"/>
                <w:sz w:val="20"/>
                <w:szCs w:val="20"/>
              </w:rPr>
              <w:t>2018.gada 1.novembris</w:t>
            </w:r>
          </w:p>
        </w:tc>
      </w:tr>
      <w:tr w:rsidR="00A37320" w:rsidRPr="00A3142E" w14:paraId="70573455" w14:textId="77777777" w:rsidTr="00A37320">
        <w:trPr>
          <w:trHeight w:val="1228"/>
        </w:trPr>
        <w:tc>
          <w:tcPr>
            <w:tcW w:w="709" w:type="dxa"/>
            <w:vMerge/>
            <w:shd w:val="clear" w:color="auto" w:fill="FFFFFF" w:themeFill="background1"/>
          </w:tcPr>
          <w:p w14:paraId="1C04ABC5" w14:textId="77777777" w:rsidR="00A37320" w:rsidRDefault="00A37320" w:rsidP="000215A6">
            <w:pPr>
              <w:rPr>
                <w:rFonts w:cs="Times New Roman"/>
                <w:sz w:val="20"/>
                <w:szCs w:val="20"/>
              </w:rPr>
            </w:pPr>
          </w:p>
        </w:tc>
        <w:tc>
          <w:tcPr>
            <w:tcW w:w="3686" w:type="dxa"/>
            <w:shd w:val="clear" w:color="auto" w:fill="FFFFFF" w:themeFill="background1"/>
          </w:tcPr>
          <w:p w14:paraId="7A3E6CDE" w14:textId="77777777" w:rsidR="00A37320" w:rsidRDefault="00A37320" w:rsidP="000215A6">
            <w:pPr>
              <w:jc w:val="both"/>
              <w:rPr>
                <w:rFonts w:cs="Times New Roman"/>
                <w:sz w:val="20"/>
                <w:szCs w:val="20"/>
              </w:rPr>
            </w:pPr>
            <w:r>
              <w:rPr>
                <w:rFonts w:cs="Times New Roman"/>
                <w:sz w:val="20"/>
                <w:szCs w:val="20"/>
              </w:rPr>
              <w:t xml:space="preserve">2. Apkopot izvērtējuma rezultātus un sagatavot ziņojumu FSAP </w:t>
            </w:r>
          </w:p>
        </w:tc>
        <w:tc>
          <w:tcPr>
            <w:tcW w:w="1559" w:type="dxa"/>
            <w:vMerge/>
            <w:shd w:val="clear" w:color="auto" w:fill="FFFFFF" w:themeFill="background1"/>
          </w:tcPr>
          <w:p w14:paraId="47E38BB7" w14:textId="77777777" w:rsidR="00A37320" w:rsidRDefault="00A37320" w:rsidP="000215A6">
            <w:pPr>
              <w:jc w:val="both"/>
              <w:rPr>
                <w:rFonts w:cs="Times New Roman"/>
                <w:sz w:val="20"/>
                <w:szCs w:val="20"/>
              </w:rPr>
            </w:pPr>
          </w:p>
        </w:tc>
        <w:tc>
          <w:tcPr>
            <w:tcW w:w="2410" w:type="dxa"/>
            <w:shd w:val="clear" w:color="auto" w:fill="FFFFFF" w:themeFill="background1"/>
          </w:tcPr>
          <w:p w14:paraId="7F73CA1D" w14:textId="77777777" w:rsidR="00A37320" w:rsidRPr="00A3142E" w:rsidRDefault="00A37320" w:rsidP="000215A6">
            <w:pPr>
              <w:jc w:val="both"/>
              <w:rPr>
                <w:rFonts w:cs="Times New Roman"/>
                <w:sz w:val="20"/>
                <w:szCs w:val="20"/>
              </w:rPr>
            </w:pPr>
            <w:r w:rsidRPr="0006608E">
              <w:rPr>
                <w:rFonts w:cs="Times New Roman"/>
                <w:sz w:val="20"/>
                <w:szCs w:val="20"/>
              </w:rPr>
              <w:t xml:space="preserve">Novērsti trūkumi tiesiskajā regulējumā attiecībā uz </w:t>
            </w:r>
            <w:r>
              <w:rPr>
                <w:rFonts w:cs="Times New Roman"/>
                <w:sz w:val="20"/>
                <w:szCs w:val="20"/>
              </w:rPr>
              <w:t xml:space="preserve">uzraugošo iestāžu </w:t>
            </w:r>
            <w:r w:rsidRPr="0006608E">
              <w:rPr>
                <w:rFonts w:cs="Times New Roman"/>
                <w:sz w:val="20"/>
                <w:szCs w:val="20"/>
              </w:rPr>
              <w:t>starptautisko sadarbību noziedzīgi iegūtu līdzekļu legalizācijas novēršanā un apkarošanā</w:t>
            </w:r>
          </w:p>
        </w:tc>
        <w:tc>
          <w:tcPr>
            <w:tcW w:w="2693" w:type="dxa"/>
            <w:shd w:val="clear" w:color="auto" w:fill="FFFFFF" w:themeFill="background1"/>
          </w:tcPr>
          <w:p w14:paraId="181DA430" w14:textId="77777777" w:rsidR="00A37320" w:rsidRPr="00A3142E" w:rsidRDefault="00A37320" w:rsidP="000215A6">
            <w:pPr>
              <w:jc w:val="both"/>
              <w:rPr>
                <w:rFonts w:cs="Times New Roman"/>
                <w:sz w:val="20"/>
                <w:szCs w:val="20"/>
              </w:rPr>
            </w:pPr>
            <w:r>
              <w:rPr>
                <w:rFonts w:cs="Times New Roman"/>
                <w:sz w:val="20"/>
                <w:szCs w:val="20"/>
              </w:rPr>
              <w:t>Iesniegts ziņojums FSAP</w:t>
            </w:r>
          </w:p>
        </w:tc>
        <w:tc>
          <w:tcPr>
            <w:tcW w:w="1276" w:type="dxa"/>
            <w:shd w:val="clear" w:color="auto" w:fill="FFFFFF" w:themeFill="background1"/>
          </w:tcPr>
          <w:p w14:paraId="44307D69" w14:textId="77777777" w:rsidR="00A37320" w:rsidRPr="00A3142E" w:rsidRDefault="00A37320" w:rsidP="000215A6">
            <w:pPr>
              <w:jc w:val="center"/>
              <w:rPr>
                <w:rFonts w:cs="Times New Roman"/>
                <w:sz w:val="20"/>
                <w:szCs w:val="20"/>
              </w:rPr>
            </w:pPr>
            <w:r>
              <w:rPr>
                <w:rFonts w:cs="Times New Roman"/>
                <w:sz w:val="20"/>
                <w:szCs w:val="20"/>
              </w:rPr>
              <w:t>TM</w:t>
            </w:r>
          </w:p>
        </w:tc>
        <w:tc>
          <w:tcPr>
            <w:tcW w:w="1275" w:type="dxa"/>
            <w:shd w:val="clear" w:color="auto" w:fill="FFFFFF" w:themeFill="background1"/>
          </w:tcPr>
          <w:p w14:paraId="1347F2EC" w14:textId="77777777" w:rsidR="00A37320" w:rsidRPr="00A3142E" w:rsidRDefault="00A37320" w:rsidP="000215A6">
            <w:pPr>
              <w:jc w:val="center"/>
              <w:rPr>
                <w:rFonts w:cs="Times New Roman"/>
                <w:sz w:val="20"/>
                <w:szCs w:val="20"/>
              </w:rPr>
            </w:pPr>
            <w:r>
              <w:rPr>
                <w:rFonts w:cs="Times New Roman"/>
                <w:sz w:val="20"/>
                <w:szCs w:val="20"/>
              </w:rPr>
              <w:t xml:space="preserve">VID, KD, VDI, </w:t>
            </w:r>
            <w:r w:rsidRPr="0006608E">
              <w:rPr>
                <w:rFonts w:cs="Times New Roman"/>
                <w:sz w:val="20"/>
                <w:szCs w:val="20"/>
              </w:rPr>
              <w:t xml:space="preserve">FKTK, LB, IAUI, LZAP, LZNP, LZRA, </w:t>
            </w:r>
            <w:r>
              <w:rPr>
                <w:rFonts w:cs="Times New Roman"/>
                <w:sz w:val="20"/>
                <w:szCs w:val="20"/>
              </w:rPr>
              <w:t>NKMP</w:t>
            </w:r>
            <w:r w:rsidRPr="0006608E">
              <w:rPr>
                <w:rFonts w:cs="Times New Roman"/>
                <w:sz w:val="20"/>
                <w:szCs w:val="20"/>
              </w:rPr>
              <w:t>, PTAC</w:t>
            </w:r>
          </w:p>
        </w:tc>
        <w:tc>
          <w:tcPr>
            <w:tcW w:w="1418" w:type="dxa"/>
            <w:shd w:val="clear" w:color="auto" w:fill="FFFFFF" w:themeFill="background1"/>
          </w:tcPr>
          <w:p w14:paraId="4A3F100A" w14:textId="77777777" w:rsidR="00A37320" w:rsidRPr="00A3142E" w:rsidRDefault="00A37320" w:rsidP="000215A6">
            <w:pPr>
              <w:jc w:val="center"/>
              <w:rPr>
                <w:rFonts w:cs="Times New Roman"/>
                <w:sz w:val="20"/>
                <w:szCs w:val="20"/>
              </w:rPr>
            </w:pPr>
            <w:r>
              <w:rPr>
                <w:rFonts w:cs="Times New Roman"/>
                <w:sz w:val="20"/>
                <w:szCs w:val="20"/>
              </w:rPr>
              <w:t>2019.gada 1.februāris</w:t>
            </w:r>
          </w:p>
        </w:tc>
      </w:tr>
      <w:tr w:rsidR="00A37320" w:rsidRPr="00A3142E" w14:paraId="37CEEA9E" w14:textId="77777777" w:rsidTr="00A37320">
        <w:trPr>
          <w:trHeight w:val="1228"/>
        </w:trPr>
        <w:tc>
          <w:tcPr>
            <w:tcW w:w="709" w:type="dxa"/>
            <w:shd w:val="clear" w:color="auto" w:fill="FFFFFF" w:themeFill="background1"/>
          </w:tcPr>
          <w:p w14:paraId="5C7FA5E0" w14:textId="77777777" w:rsidR="00A37320" w:rsidRDefault="00A37320" w:rsidP="000215A6">
            <w:pPr>
              <w:rPr>
                <w:rFonts w:cs="Times New Roman"/>
                <w:sz w:val="20"/>
                <w:szCs w:val="20"/>
              </w:rPr>
            </w:pPr>
            <w:r>
              <w:rPr>
                <w:rFonts w:cs="Times New Roman"/>
                <w:sz w:val="20"/>
                <w:szCs w:val="20"/>
              </w:rPr>
              <w:t>2.2.</w:t>
            </w:r>
          </w:p>
        </w:tc>
        <w:tc>
          <w:tcPr>
            <w:tcW w:w="3686" w:type="dxa"/>
            <w:shd w:val="clear" w:color="auto" w:fill="FFFFFF" w:themeFill="background1"/>
          </w:tcPr>
          <w:p w14:paraId="280B6C1A" w14:textId="77777777" w:rsidR="00A37320" w:rsidRPr="00EC5D6E" w:rsidRDefault="00A37320" w:rsidP="000215A6">
            <w:pPr>
              <w:jc w:val="both"/>
              <w:rPr>
                <w:rFonts w:cs="Times New Roman"/>
                <w:sz w:val="20"/>
                <w:szCs w:val="20"/>
              </w:rPr>
            </w:pPr>
            <w:r>
              <w:rPr>
                <w:rFonts w:cs="Times New Roman"/>
                <w:sz w:val="20"/>
                <w:szCs w:val="20"/>
              </w:rPr>
              <w:t>I</w:t>
            </w:r>
            <w:r w:rsidRPr="00EC5D6E">
              <w:rPr>
                <w:rFonts w:cs="Times New Roman"/>
                <w:sz w:val="20"/>
                <w:szCs w:val="20"/>
              </w:rPr>
              <w:t>zstrādāt pamatprincip</w:t>
            </w:r>
            <w:r>
              <w:rPr>
                <w:rFonts w:cs="Times New Roman"/>
                <w:sz w:val="20"/>
                <w:szCs w:val="20"/>
              </w:rPr>
              <w:t>us</w:t>
            </w:r>
            <w:r w:rsidRPr="00EC5D6E">
              <w:rPr>
                <w:rFonts w:cs="Times New Roman"/>
                <w:sz w:val="20"/>
                <w:szCs w:val="20"/>
              </w:rPr>
              <w:t xml:space="preserve"> starptautisk</w:t>
            </w:r>
            <w:r>
              <w:rPr>
                <w:rFonts w:cs="Times New Roman"/>
                <w:sz w:val="20"/>
                <w:szCs w:val="20"/>
              </w:rPr>
              <w:t>ai</w:t>
            </w:r>
            <w:r w:rsidRPr="00EC5D6E">
              <w:rPr>
                <w:rFonts w:cs="Times New Roman"/>
                <w:sz w:val="20"/>
                <w:szCs w:val="20"/>
              </w:rPr>
              <w:t xml:space="preserve"> sadarbībai (skaidri un droši ceļi, mehānismi un kanāli, pa kuriem iesniegt un izpildīt pieprasījumus, skaidra prioritāšu lietu vadības sistēma šiem mērķiem un skaidri procesi saņemtās informācijas aizsardzībai), kuri tālāk tiks iestrādāti uzraugu iekšējos normatīvajos aktos.</w:t>
            </w:r>
          </w:p>
        </w:tc>
        <w:tc>
          <w:tcPr>
            <w:tcW w:w="1559" w:type="dxa"/>
            <w:shd w:val="clear" w:color="auto" w:fill="FFFFFF" w:themeFill="background1"/>
          </w:tcPr>
          <w:p w14:paraId="593EE03C" w14:textId="77777777" w:rsidR="00A37320" w:rsidRDefault="00A37320" w:rsidP="000215A6">
            <w:pPr>
              <w:jc w:val="both"/>
              <w:rPr>
                <w:rFonts w:cs="Times New Roman"/>
                <w:sz w:val="20"/>
                <w:szCs w:val="20"/>
              </w:rPr>
            </w:pPr>
            <w:r w:rsidRPr="00EC5D6E">
              <w:rPr>
                <w:rFonts w:cs="Times New Roman"/>
                <w:sz w:val="20"/>
                <w:szCs w:val="20"/>
              </w:rPr>
              <w:t>Moneyval rekomendācija 2.1., 2.2.</w:t>
            </w:r>
            <w:r>
              <w:rPr>
                <w:rFonts w:cs="Times New Roman"/>
                <w:sz w:val="20"/>
                <w:szCs w:val="20"/>
              </w:rPr>
              <w:t>, 2.3.</w:t>
            </w:r>
          </w:p>
        </w:tc>
        <w:tc>
          <w:tcPr>
            <w:tcW w:w="2410" w:type="dxa"/>
            <w:shd w:val="clear" w:color="auto" w:fill="FFFFFF" w:themeFill="background1"/>
          </w:tcPr>
          <w:p w14:paraId="5C2D3FE0" w14:textId="77777777" w:rsidR="00A37320" w:rsidRPr="00A3142E" w:rsidRDefault="00A37320" w:rsidP="000215A6">
            <w:pPr>
              <w:jc w:val="both"/>
              <w:rPr>
                <w:rFonts w:cs="Times New Roman"/>
                <w:sz w:val="20"/>
                <w:szCs w:val="20"/>
              </w:rPr>
            </w:pPr>
            <w:r>
              <w:rPr>
                <w:rFonts w:cs="Times New Roman"/>
                <w:sz w:val="20"/>
                <w:szCs w:val="20"/>
              </w:rPr>
              <w:t xml:space="preserve">Nodrošināti uzraugošo iestāžu </w:t>
            </w:r>
            <w:r w:rsidRPr="0006608E">
              <w:rPr>
                <w:rFonts w:cs="Times New Roman"/>
                <w:sz w:val="20"/>
                <w:szCs w:val="20"/>
              </w:rPr>
              <w:t>skaidri un droši ceļi, mehānismi un kanāli, pa kuriem iesniegt un izpildīt pieprasījumus, skaidra prioritāšu lietu vadības sistēma šiem mērķiem, un skaidri procesi saņemtās informācijas aizsardzība</w:t>
            </w:r>
            <w:r>
              <w:rPr>
                <w:rFonts w:cs="Times New Roman"/>
                <w:sz w:val="20"/>
                <w:szCs w:val="20"/>
              </w:rPr>
              <w:t>.</w:t>
            </w:r>
          </w:p>
        </w:tc>
        <w:tc>
          <w:tcPr>
            <w:tcW w:w="2693" w:type="dxa"/>
            <w:shd w:val="clear" w:color="auto" w:fill="FFFFFF" w:themeFill="background1"/>
          </w:tcPr>
          <w:p w14:paraId="4EF86BA9" w14:textId="77777777" w:rsidR="00A37320" w:rsidRPr="00A3142E" w:rsidRDefault="00A37320" w:rsidP="000215A6">
            <w:pPr>
              <w:jc w:val="both"/>
              <w:rPr>
                <w:rFonts w:cs="Times New Roman"/>
                <w:sz w:val="20"/>
                <w:szCs w:val="20"/>
              </w:rPr>
            </w:pPr>
            <w:r>
              <w:rPr>
                <w:rFonts w:cs="Times New Roman"/>
                <w:sz w:val="20"/>
                <w:szCs w:val="20"/>
              </w:rPr>
              <w:t>Izstrādāti pamatprincipi uzraugu starptautiskajai sadarbībai noziedzīgi iegūtu līdzekļu legalizācijas un terorisma finansēšanas novēršanas jomā un iesniegti FSAP</w:t>
            </w:r>
          </w:p>
        </w:tc>
        <w:tc>
          <w:tcPr>
            <w:tcW w:w="1276" w:type="dxa"/>
            <w:shd w:val="clear" w:color="auto" w:fill="FFFFFF" w:themeFill="background1"/>
          </w:tcPr>
          <w:p w14:paraId="2B4712D4" w14:textId="77777777" w:rsidR="00A37320" w:rsidRPr="00A3142E" w:rsidRDefault="00A37320" w:rsidP="000215A6">
            <w:pPr>
              <w:jc w:val="center"/>
              <w:rPr>
                <w:rFonts w:cs="Times New Roman"/>
                <w:sz w:val="20"/>
                <w:szCs w:val="20"/>
              </w:rPr>
            </w:pPr>
            <w:r>
              <w:rPr>
                <w:rFonts w:cs="Times New Roman"/>
                <w:sz w:val="20"/>
                <w:szCs w:val="20"/>
              </w:rPr>
              <w:t>TM</w:t>
            </w:r>
          </w:p>
        </w:tc>
        <w:tc>
          <w:tcPr>
            <w:tcW w:w="1275" w:type="dxa"/>
            <w:shd w:val="clear" w:color="auto" w:fill="FFFFFF" w:themeFill="background1"/>
          </w:tcPr>
          <w:p w14:paraId="60AA2016" w14:textId="77777777" w:rsidR="00A37320" w:rsidRPr="00A3142E" w:rsidRDefault="00A37320" w:rsidP="000215A6">
            <w:pPr>
              <w:jc w:val="center"/>
              <w:rPr>
                <w:rFonts w:cs="Times New Roman"/>
                <w:sz w:val="20"/>
                <w:szCs w:val="20"/>
              </w:rPr>
            </w:pPr>
            <w:r>
              <w:rPr>
                <w:rFonts w:cs="Times New Roman"/>
                <w:sz w:val="20"/>
                <w:szCs w:val="20"/>
              </w:rPr>
              <w:t xml:space="preserve">VID, </w:t>
            </w:r>
            <w:r w:rsidRPr="0006608E">
              <w:rPr>
                <w:rFonts w:cs="Times New Roman"/>
                <w:sz w:val="20"/>
                <w:szCs w:val="20"/>
              </w:rPr>
              <w:t xml:space="preserve">FKTK, LB, IAUI, LZAP, LZNP, LZRA, </w:t>
            </w:r>
            <w:r>
              <w:rPr>
                <w:rFonts w:cs="Times New Roman"/>
                <w:sz w:val="20"/>
                <w:szCs w:val="20"/>
              </w:rPr>
              <w:t>NKMP</w:t>
            </w:r>
            <w:r w:rsidRPr="0006608E">
              <w:rPr>
                <w:rFonts w:cs="Times New Roman"/>
                <w:sz w:val="20"/>
                <w:szCs w:val="20"/>
              </w:rPr>
              <w:t>, PTAC</w:t>
            </w:r>
          </w:p>
        </w:tc>
        <w:tc>
          <w:tcPr>
            <w:tcW w:w="1418" w:type="dxa"/>
            <w:shd w:val="clear" w:color="auto" w:fill="FFFFFF" w:themeFill="background1"/>
          </w:tcPr>
          <w:p w14:paraId="799DDA5C" w14:textId="77777777" w:rsidR="00A37320" w:rsidRPr="00A3142E" w:rsidRDefault="00A37320" w:rsidP="000215A6">
            <w:pPr>
              <w:jc w:val="center"/>
              <w:rPr>
                <w:rFonts w:cs="Times New Roman"/>
                <w:sz w:val="20"/>
                <w:szCs w:val="20"/>
              </w:rPr>
            </w:pPr>
            <w:r>
              <w:rPr>
                <w:rFonts w:cs="Times New Roman"/>
                <w:sz w:val="20"/>
                <w:szCs w:val="20"/>
              </w:rPr>
              <w:t>2019.gada 1.jūlijs</w:t>
            </w:r>
          </w:p>
        </w:tc>
      </w:tr>
      <w:tr w:rsidR="00A37320" w:rsidRPr="00A3142E" w14:paraId="0C1CB5AB" w14:textId="77777777" w:rsidTr="00A37320">
        <w:trPr>
          <w:trHeight w:val="1228"/>
        </w:trPr>
        <w:tc>
          <w:tcPr>
            <w:tcW w:w="709" w:type="dxa"/>
            <w:shd w:val="clear" w:color="auto" w:fill="FFFFFF" w:themeFill="background1"/>
          </w:tcPr>
          <w:p w14:paraId="180B7828" w14:textId="77777777" w:rsidR="00A37320" w:rsidRDefault="00A37320" w:rsidP="000215A6">
            <w:pPr>
              <w:rPr>
                <w:rFonts w:cs="Times New Roman"/>
                <w:sz w:val="20"/>
                <w:szCs w:val="20"/>
              </w:rPr>
            </w:pPr>
            <w:r>
              <w:rPr>
                <w:rFonts w:cs="Times New Roman"/>
                <w:sz w:val="20"/>
                <w:szCs w:val="20"/>
              </w:rPr>
              <w:t>2.3.</w:t>
            </w:r>
          </w:p>
        </w:tc>
        <w:tc>
          <w:tcPr>
            <w:tcW w:w="3686" w:type="dxa"/>
            <w:shd w:val="clear" w:color="auto" w:fill="FFFFFF" w:themeFill="background1"/>
          </w:tcPr>
          <w:p w14:paraId="0B0D5852" w14:textId="77777777" w:rsidR="00A37320" w:rsidRPr="00EC5D6E" w:rsidRDefault="00A37320" w:rsidP="000215A6">
            <w:pPr>
              <w:jc w:val="both"/>
              <w:rPr>
                <w:rFonts w:cs="Times New Roman"/>
                <w:sz w:val="20"/>
                <w:szCs w:val="20"/>
              </w:rPr>
            </w:pPr>
            <w:r>
              <w:rPr>
                <w:rFonts w:cs="Times New Roman"/>
                <w:sz w:val="20"/>
                <w:szCs w:val="20"/>
              </w:rPr>
              <w:t>Izstrādāti</w:t>
            </w:r>
            <w:r w:rsidRPr="00994454">
              <w:rPr>
                <w:rFonts w:cs="Times New Roman"/>
                <w:sz w:val="20"/>
                <w:szCs w:val="20"/>
              </w:rPr>
              <w:t xml:space="preserve"> priekšlikumi</w:t>
            </w:r>
            <w:r>
              <w:rPr>
                <w:rFonts w:cs="Times New Roman"/>
                <w:sz w:val="20"/>
                <w:szCs w:val="20"/>
              </w:rPr>
              <w:t xml:space="preserve"> normatīvo aktu grozījumiem</w:t>
            </w:r>
            <w:r w:rsidRPr="00994454">
              <w:rPr>
                <w:rFonts w:cs="Times New Roman"/>
                <w:sz w:val="20"/>
                <w:szCs w:val="20"/>
              </w:rPr>
              <w:t xml:space="preserve"> attiecībā uz pilnvarojumu veikt pieprasījumu ārvalstu partneru vārdā.</w:t>
            </w:r>
          </w:p>
        </w:tc>
        <w:tc>
          <w:tcPr>
            <w:tcW w:w="1559" w:type="dxa"/>
            <w:shd w:val="clear" w:color="auto" w:fill="FFFFFF" w:themeFill="background1"/>
          </w:tcPr>
          <w:p w14:paraId="1A0207B3" w14:textId="77777777" w:rsidR="00A37320" w:rsidRPr="00EC5D6E" w:rsidRDefault="00A37320" w:rsidP="000215A6">
            <w:pPr>
              <w:jc w:val="both"/>
              <w:rPr>
                <w:rFonts w:cs="Times New Roman"/>
                <w:sz w:val="20"/>
                <w:szCs w:val="20"/>
              </w:rPr>
            </w:pPr>
            <w:r>
              <w:rPr>
                <w:rFonts w:cs="Times New Roman"/>
                <w:sz w:val="20"/>
                <w:szCs w:val="20"/>
              </w:rPr>
              <w:t>Moneyval rekomendācija 2.3.</w:t>
            </w:r>
          </w:p>
        </w:tc>
        <w:tc>
          <w:tcPr>
            <w:tcW w:w="2410" w:type="dxa"/>
            <w:shd w:val="clear" w:color="auto" w:fill="FFFFFF" w:themeFill="background1"/>
          </w:tcPr>
          <w:p w14:paraId="5AEE238F" w14:textId="77777777" w:rsidR="00A37320" w:rsidRDefault="00A37320" w:rsidP="000215A6">
            <w:pPr>
              <w:jc w:val="both"/>
              <w:rPr>
                <w:rFonts w:cs="Times New Roman"/>
                <w:sz w:val="20"/>
                <w:szCs w:val="20"/>
              </w:rPr>
            </w:pPr>
            <w:r>
              <w:rPr>
                <w:rFonts w:cs="Times New Roman"/>
                <w:sz w:val="20"/>
                <w:szCs w:val="20"/>
              </w:rPr>
              <w:t>Nodrošinātas uzraugošo iestāžu tiesības izpildīt ārvalstu partneru pieprasījumus noziedzīgi iegūtu līdzekļu legalizācijas un terorisma finansēšanas novēršanas jomā</w:t>
            </w:r>
          </w:p>
        </w:tc>
        <w:tc>
          <w:tcPr>
            <w:tcW w:w="2693" w:type="dxa"/>
            <w:shd w:val="clear" w:color="auto" w:fill="FFFFFF" w:themeFill="background1"/>
          </w:tcPr>
          <w:p w14:paraId="7CD7145D" w14:textId="77777777" w:rsidR="00A37320" w:rsidRDefault="00A37320" w:rsidP="000215A6">
            <w:pPr>
              <w:jc w:val="both"/>
              <w:rPr>
                <w:rFonts w:cs="Times New Roman"/>
                <w:sz w:val="20"/>
                <w:szCs w:val="20"/>
              </w:rPr>
            </w:pPr>
            <w:r>
              <w:rPr>
                <w:rFonts w:cs="Times New Roman"/>
                <w:sz w:val="20"/>
                <w:szCs w:val="20"/>
              </w:rPr>
              <w:t>Izstrādāti priekšlikumi un iesniegti FSAP</w:t>
            </w:r>
          </w:p>
        </w:tc>
        <w:tc>
          <w:tcPr>
            <w:tcW w:w="1276" w:type="dxa"/>
            <w:shd w:val="clear" w:color="auto" w:fill="FFFFFF" w:themeFill="background1"/>
          </w:tcPr>
          <w:p w14:paraId="623537CF" w14:textId="77777777" w:rsidR="00A37320" w:rsidRDefault="00A37320" w:rsidP="000215A6">
            <w:pPr>
              <w:jc w:val="center"/>
              <w:rPr>
                <w:rFonts w:cs="Times New Roman"/>
                <w:sz w:val="20"/>
                <w:szCs w:val="20"/>
              </w:rPr>
            </w:pPr>
            <w:r>
              <w:rPr>
                <w:rFonts w:cs="Times New Roman"/>
                <w:sz w:val="20"/>
                <w:szCs w:val="20"/>
              </w:rPr>
              <w:t>TM</w:t>
            </w:r>
          </w:p>
        </w:tc>
        <w:tc>
          <w:tcPr>
            <w:tcW w:w="1275" w:type="dxa"/>
            <w:shd w:val="clear" w:color="auto" w:fill="FFFFFF" w:themeFill="background1"/>
          </w:tcPr>
          <w:p w14:paraId="2EAADC23" w14:textId="77777777" w:rsidR="00A37320" w:rsidRPr="0006608E" w:rsidRDefault="00A37320" w:rsidP="000215A6">
            <w:pPr>
              <w:jc w:val="center"/>
              <w:rPr>
                <w:rFonts w:cs="Times New Roman"/>
                <w:sz w:val="20"/>
                <w:szCs w:val="20"/>
              </w:rPr>
            </w:pPr>
            <w:r>
              <w:rPr>
                <w:rFonts w:cs="Times New Roman"/>
                <w:sz w:val="20"/>
                <w:szCs w:val="20"/>
              </w:rPr>
              <w:t xml:space="preserve">VID, </w:t>
            </w:r>
            <w:r w:rsidRPr="00994454">
              <w:rPr>
                <w:rFonts w:cs="Times New Roman"/>
                <w:sz w:val="20"/>
                <w:szCs w:val="20"/>
              </w:rPr>
              <w:t xml:space="preserve">FKTK, LB, IAUI, LZAP, LZNP, LZRA, </w:t>
            </w:r>
            <w:r>
              <w:rPr>
                <w:rFonts w:cs="Times New Roman"/>
                <w:sz w:val="20"/>
                <w:szCs w:val="20"/>
              </w:rPr>
              <w:t>NKMP</w:t>
            </w:r>
            <w:r w:rsidRPr="00994454">
              <w:rPr>
                <w:rFonts w:cs="Times New Roman"/>
                <w:sz w:val="20"/>
                <w:szCs w:val="20"/>
              </w:rPr>
              <w:t>, PTAC</w:t>
            </w:r>
          </w:p>
        </w:tc>
        <w:tc>
          <w:tcPr>
            <w:tcW w:w="1418" w:type="dxa"/>
            <w:shd w:val="clear" w:color="auto" w:fill="FFFFFF" w:themeFill="background1"/>
          </w:tcPr>
          <w:p w14:paraId="6BCBFFAE" w14:textId="77777777" w:rsidR="00A37320" w:rsidRDefault="00A37320" w:rsidP="000215A6">
            <w:pPr>
              <w:jc w:val="center"/>
              <w:rPr>
                <w:rFonts w:cs="Times New Roman"/>
                <w:sz w:val="20"/>
                <w:szCs w:val="20"/>
              </w:rPr>
            </w:pPr>
            <w:r>
              <w:rPr>
                <w:rFonts w:cs="Times New Roman"/>
                <w:sz w:val="20"/>
                <w:szCs w:val="20"/>
              </w:rPr>
              <w:t>2019.gada 1.jūlijs</w:t>
            </w:r>
          </w:p>
        </w:tc>
      </w:tr>
      <w:tr w:rsidR="00E0534B" w:rsidRPr="00A3142E" w14:paraId="16473FA1" w14:textId="77777777" w:rsidTr="00A37320">
        <w:trPr>
          <w:trHeight w:val="1228"/>
        </w:trPr>
        <w:tc>
          <w:tcPr>
            <w:tcW w:w="709" w:type="dxa"/>
            <w:vMerge w:val="restart"/>
            <w:shd w:val="clear" w:color="auto" w:fill="FFFFFF" w:themeFill="background1"/>
          </w:tcPr>
          <w:p w14:paraId="4472138C" w14:textId="77777777" w:rsidR="00E0534B" w:rsidRDefault="00E0534B" w:rsidP="000215A6">
            <w:pPr>
              <w:rPr>
                <w:rFonts w:cs="Times New Roman"/>
                <w:sz w:val="20"/>
                <w:szCs w:val="20"/>
              </w:rPr>
            </w:pPr>
            <w:bookmarkStart w:id="8" w:name="_Hlk524707587"/>
            <w:r>
              <w:rPr>
                <w:rFonts w:cs="Times New Roman"/>
                <w:sz w:val="20"/>
                <w:szCs w:val="20"/>
              </w:rPr>
              <w:t>2.4.</w:t>
            </w:r>
          </w:p>
        </w:tc>
        <w:tc>
          <w:tcPr>
            <w:tcW w:w="3686" w:type="dxa"/>
            <w:shd w:val="clear" w:color="auto" w:fill="FFFFFF" w:themeFill="background1"/>
          </w:tcPr>
          <w:p w14:paraId="6764C510" w14:textId="77777777" w:rsidR="00E0534B" w:rsidRDefault="00E0534B" w:rsidP="000215A6">
            <w:pPr>
              <w:jc w:val="both"/>
              <w:rPr>
                <w:rFonts w:cs="Times New Roman"/>
                <w:sz w:val="20"/>
                <w:szCs w:val="20"/>
              </w:rPr>
            </w:pPr>
            <w:r>
              <w:rPr>
                <w:rFonts w:cs="Times New Roman"/>
                <w:sz w:val="20"/>
                <w:szCs w:val="20"/>
              </w:rPr>
              <w:t>1.</w:t>
            </w:r>
            <w:r w:rsidRPr="00B60025">
              <w:rPr>
                <w:rFonts w:cs="Times New Roman"/>
                <w:sz w:val="20"/>
                <w:szCs w:val="20"/>
              </w:rPr>
              <w:t>Sagatavot budžeta pieprasījumu, lai nodrošinātu nepieciešamos cilvēkresursus starptautiskajai sadarbībai</w:t>
            </w:r>
            <w:r>
              <w:rPr>
                <w:rFonts w:cs="Times New Roman"/>
                <w:sz w:val="20"/>
                <w:szCs w:val="20"/>
              </w:rPr>
              <w:t>.</w:t>
            </w:r>
          </w:p>
        </w:tc>
        <w:tc>
          <w:tcPr>
            <w:tcW w:w="1559" w:type="dxa"/>
            <w:vMerge w:val="restart"/>
            <w:shd w:val="clear" w:color="auto" w:fill="FFFFFF" w:themeFill="background1"/>
          </w:tcPr>
          <w:p w14:paraId="1FE8E389" w14:textId="77777777" w:rsidR="00E0534B" w:rsidRDefault="00E0534B" w:rsidP="000215A6">
            <w:pPr>
              <w:jc w:val="both"/>
              <w:rPr>
                <w:rFonts w:cs="Times New Roman"/>
                <w:sz w:val="20"/>
                <w:szCs w:val="20"/>
              </w:rPr>
            </w:pPr>
            <w:r w:rsidRPr="00B60025">
              <w:rPr>
                <w:rFonts w:cs="Times New Roman"/>
                <w:sz w:val="20"/>
                <w:szCs w:val="20"/>
              </w:rPr>
              <w:t>Moneyval rekomendācija 2.</w:t>
            </w:r>
            <w:r>
              <w:rPr>
                <w:rFonts w:cs="Times New Roman"/>
                <w:sz w:val="20"/>
                <w:szCs w:val="20"/>
              </w:rPr>
              <w:t>4</w:t>
            </w:r>
            <w:r w:rsidRPr="00B60025">
              <w:rPr>
                <w:rFonts w:cs="Times New Roman"/>
                <w:sz w:val="20"/>
                <w:szCs w:val="20"/>
              </w:rPr>
              <w:t>.</w:t>
            </w:r>
          </w:p>
        </w:tc>
        <w:tc>
          <w:tcPr>
            <w:tcW w:w="2410" w:type="dxa"/>
            <w:vMerge w:val="restart"/>
            <w:shd w:val="clear" w:color="auto" w:fill="FFFFFF" w:themeFill="background1"/>
          </w:tcPr>
          <w:p w14:paraId="446DC7C0" w14:textId="77777777" w:rsidR="00E0534B" w:rsidRDefault="00E0534B" w:rsidP="000215A6">
            <w:pPr>
              <w:jc w:val="both"/>
              <w:rPr>
                <w:rFonts w:cs="Times New Roman"/>
                <w:sz w:val="20"/>
                <w:szCs w:val="20"/>
              </w:rPr>
            </w:pPr>
            <w:r>
              <w:rPr>
                <w:rFonts w:cs="Times New Roman"/>
                <w:sz w:val="20"/>
                <w:szCs w:val="20"/>
              </w:rPr>
              <w:t>Nodrošināta cilvēkresursu kapacitāte efektīvai starptautiskajai sadarbībai krimināltiesiskajā jomā</w:t>
            </w:r>
          </w:p>
        </w:tc>
        <w:tc>
          <w:tcPr>
            <w:tcW w:w="2693" w:type="dxa"/>
            <w:shd w:val="clear" w:color="auto" w:fill="FFFFFF" w:themeFill="background1"/>
          </w:tcPr>
          <w:p w14:paraId="4294E771" w14:textId="77777777" w:rsidR="00E0534B" w:rsidRDefault="00E0534B" w:rsidP="000215A6">
            <w:pPr>
              <w:jc w:val="both"/>
              <w:rPr>
                <w:rFonts w:cs="Times New Roman"/>
                <w:sz w:val="20"/>
                <w:szCs w:val="20"/>
              </w:rPr>
            </w:pPr>
            <w:r>
              <w:rPr>
                <w:rFonts w:cs="Times New Roman"/>
                <w:sz w:val="20"/>
                <w:szCs w:val="20"/>
              </w:rPr>
              <w:t>1.Sagatavots budžeta pieprasījums, lai nodrošinātu nepieciešamās papildu štata vietas ar 2020.gada 1.janvāri.</w:t>
            </w:r>
          </w:p>
        </w:tc>
        <w:tc>
          <w:tcPr>
            <w:tcW w:w="1276" w:type="dxa"/>
            <w:shd w:val="clear" w:color="auto" w:fill="FFFFFF" w:themeFill="background1"/>
          </w:tcPr>
          <w:p w14:paraId="657FB9F5" w14:textId="77777777" w:rsidR="00E0534B" w:rsidRDefault="00E0534B" w:rsidP="00F40752">
            <w:pPr>
              <w:jc w:val="center"/>
              <w:rPr>
                <w:rFonts w:cs="Times New Roman"/>
                <w:sz w:val="20"/>
                <w:szCs w:val="20"/>
              </w:rPr>
            </w:pPr>
            <w:r>
              <w:rPr>
                <w:rFonts w:cs="Times New Roman"/>
                <w:sz w:val="20"/>
                <w:szCs w:val="20"/>
              </w:rPr>
              <w:t>IeM(VP)</w:t>
            </w:r>
          </w:p>
        </w:tc>
        <w:tc>
          <w:tcPr>
            <w:tcW w:w="1275" w:type="dxa"/>
            <w:shd w:val="clear" w:color="auto" w:fill="FFFFFF" w:themeFill="background1"/>
          </w:tcPr>
          <w:p w14:paraId="700DD906" w14:textId="77777777" w:rsidR="00E0534B" w:rsidRDefault="00E0534B" w:rsidP="000215A6">
            <w:pPr>
              <w:jc w:val="center"/>
              <w:rPr>
                <w:rFonts w:cs="Times New Roman"/>
                <w:sz w:val="20"/>
                <w:szCs w:val="20"/>
              </w:rPr>
            </w:pPr>
            <w:r>
              <w:rPr>
                <w:rFonts w:cs="Times New Roman"/>
                <w:sz w:val="20"/>
                <w:szCs w:val="20"/>
              </w:rPr>
              <w:t>FM</w:t>
            </w:r>
          </w:p>
        </w:tc>
        <w:tc>
          <w:tcPr>
            <w:tcW w:w="1418" w:type="dxa"/>
            <w:shd w:val="clear" w:color="auto" w:fill="FFFFFF" w:themeFill="background1"/>
          </w:tcPr>
          <w:p w14:paraId="5E4BA008" w14:textId="77777777" w:rsidR="00E0534B" w:rsidRDefault="00E0534B" w:rsidP="000215A6">
            <w:pPr>
              <w:jc w:val="center"/>
              <w:rPr>
                <w:rFonts w:cs="Times New Roman"/>
                <w:sz w:val="20"/>
                <w:szCs w:val="20"/>
              </w:rPr>
            </w:pPr>
            <w:r>
              <w:rPr>
                <w:rFonts w:cs="Times New Roman"/>
                <w:sz w:val="20"/>
                <w:szCs w:val="20"/>
              </w:rPr>
              <w:t>2019.gada 1.maijs</w:t>
            </w:r>
          </w:p>
        </w:tc>
      </w:tr>
      <w:tr w:rsidR="00E0534B" w:rsidRPr="00A3142E" w14:paraId="0370890C" w14:textId="77777777" w:rsidTr="00A37320">
        <w:trPr>
          <w:trHeight w:val="1228"/>
        </w:trPr>
        <w:tc>
          <w:tcPr>
            <w:tcW w:w="709" w:type="dxa"/>
            <w:vMerge/>
            <w:shd w:val="clear" w:color="auto" w:fill="FFFFFF" w:themeFill="background1"/>
          </w:tcPr>
          <w:p w14:paraId="4660CC78" w14:textId="77777777" w:rsidR="00E0534B" w:rsidRDefault="00E0534B" w:rsidP="000215A6">
            <w:pPr>
              <w:rPr>
                <w:rFonts w:cs="Times New Roman"/>
                <w:sz w:val="20"/>
                <w:szCs w:val="20"/>
              </w:rPr>
            </w:pPr>
          </w:p>
        </w:tc>
        <w:tc>
          <w:tcPr>
            <w:tcW w:w="3686" w:type="dxa"/>
            <w:shd w:val="clear" w:color="auto" w:fill="FFFFFF" w:themeFill="background1"/>
          </w:tcPr>
          <w:p w14:paraId="0A90EE4A" w14:textId="77777777" w:rsidR="00E0534B" w:rsidRDefault="00E0534B" w:rsidP="000215A6">
            <w:pPr>
              <w:jc w:val="both"/>
              <w:rPr>
                <w:rFonts w:cs="Times New Roman"/>
                <w:sz w:val="20"/>
                <w:szCs w:val="20"/>
              </w:rPr>
            </w:pPr>
            <w:r>
              <w:rPr>
                <w:rFonts w:cs="Times New Roman"/>
                <w:sz w:val="20"/>
                <w:szCs w:val="20"/>
              </w:rPr>
              <w:t>2. Izvērtēt nepieciešamību stiprināt kapacitāti krimināltiesiskajā starptautiskajā sadarbībā.</w:t>
            </w:r>
          </w:p>
        </w:tc>
        <w:tc>
          <w:tcPr>
            <w:tcW w:w="1559" w:type="dxa"/>
            <w:vMerge/>
            <w:shd w:val="clear" w:color="auto" w:fill="FFFFFF" w:themeFill="background1"/>
          </w:tcPr>
          <w:p w14:paraId="7512466D" w14:textId="77777777" w:rsidR="00E0534B" w:rsidRDefault="00E0534B" w:rsidP="000215A6">
            <w:pPr>
              <w:jc w:val="both"/>
              <w:rPr>
                <w:rFonts w:cs="Times New Roman"/>
                <w:sz w:val="20"/>
                <w:szCs w:val="20"/>
              </w:rPr>
            </w:pPr>
          </w:p>
        </w:tc>
        <w:tc>
          <w:tcPr>
            <w:tcW w:w="2410" w:type="dxa"/>
            <w:vMerge/>
            <w:shd w:val="clear" w:color="auto" w:fill="FFFFFF" w:themeFill="background1"/>
          </w:tcPr>
          <w:p w14:paraId="5924B09E" w14:textId="77777777" w:rsidR="00E0534B" w:rsidRDefault="00E0534B" w:rsidP="000215A6">
            <w:pPr>
              <w:jc w:val="both"/>
              <w:rPr>
                <w:rFonts w:cs="Times New Roman"/>
                <w:sz w:val="20"/>
                <w:szCs w:val="20"/>
              </w:rPr>
            </w:pPr>
          </w:p>
        </w:tc>
        <w:tc>
          <w:tcPr>
            <w:tcW w:w="2693" w:type="dxa"/>
            <w:shd w:val="clear" w:color="auto" w:fill="FFFFFF" w:themeFill="background1"/>
          </w:tcPr>
          <w:p w14:paraId="6F988253" w14:textId="77777777" w:rsidR="00E0534B" w:rsidRDefault="00E0534B" w:rsidP="000215A6">
            <w:pPr>
              <w:jc w:val="both"/>
              <w:rPr>
                <w:rFonts w:cs="Times New Roman"/>
                <w:sz w:val="20"/>
                <w:szCs w:val="20"/>
              </w:rPr>
            </w:pPr>
            <w:r>
              <w:rPr>
                <w:rFonts w:cs="Times New Roman"/>
                <w:sz w:val="20"/>
                <w:szCs w:val="20"/>
              </w:rPr>
              <w:t>2. Izvērtējums par nepieciešamajiem cilvēkresursiem, lai nodrošinātu pilnvērtīgu krimināltiesisko starptautisko sadarbību.</w:t>
            </w:r>
          </w:p>
        </w:tc>
        <w:tc>
          <w:tcPr>
            <w:tcW w:w="1276" w:type="dxa"/>
            <w:shd w:val="clear" w:color="auto" w:fill="FFFFFF" w:themeFill="background1"/>
          </w:tcPr>
          <w:p w14:paraId="48CC9DB1" w14:textId="77777777" w:rsidR="00E0534B" w:rsidRDefault="00E0534B" w:rsidP="000215A6">
            <w:pPr>
              <w:jc w:val="center"/>
              <w:rPr>
                <w:rFonts w:cs="Times New Roman"/>
                <w:sz w:val="20"/>
                <w:szCs w:val="20"/>
              </w:rPr>
            </w:pPr>
            <w:r>
              <w:rPr>
                <w:rFonts w:cs="Times New Roman"/>
                <w:sz w:val="20"/>
                <w:szCs w:val="20"/>
              </w:rPr>
              <w:t>ĢP</w:t>
            </w:r>
          </w:p>
        </w:tc>
        <w:tc>
          <w:tcPr>
            <w:tcW w:w="1275" w:type="dxa"/>
            <w:shd w:val="clear" w:color="auto" w:fill="FFFFFF" w:themeFill="background1"/>
          </w:tcPr>
          <w:p w14:paraId="6CCA6CBC" w14:textId="77777777" w:rsidR="00E0534B" w:rsidRDefault="00E0534B" w:rsidP="000215A6">
            <w:pPr>
              <w:jc w:val="center"/>
              <w:rPr>
                <w:rFonts w:cs="Times New Roman"/>
                <w:sz w:val="20"/>
                <w:szCs w:val="20"/>
              </w:rPr>
            </w:pPr>
          </w:p>
        </w:tc>
        <w:tc>
          <w:tcPr>
            <w:tcW w:w="1418" w:type="dxa"/>
            <w:shd w:val="clear" w:color="auto" w:fill="FFFFFF" w:themeFill="background1"/>
          </w:tcPr>
          <w:p w14:paraId="2CBA558B" w14:textId="77777777" w:rsidR="00E0534B" w:rsidRDefault="00E0534B" w:rsidP="000215A6">
            <w:pPr>
              <w:jc w:val="center"/>
              <w:rPr>
                <w:rFonts w:cs="Times New Roman"/>
                <w:sz w:val="20"/>
                <w:szCs w:val="20"/>
              </w:rPr>
            </w:pPr>
            <w:r>
              <w:rPr>
                <w:rFonts w:cs="Times New Roman"/>
                <w:sz w:val="20"/>
                <w:szCs w:val="20"/>
              </w:rPr>
              <w:t>2018.gada 28.decembris</w:t>
            </w:r>
          </w:p>
        </w:tc>
      </w:tr>
      <w:bookmarkEnd w:id="8"/>
      <w:tr w:rsidR="00A37320" w:rsidRPr="00A3142E" w14:paraId="42E3211A" w14:textId="77777777" w:rsidTr="00A37320">
        <w:trPr>
          <w:trHeight w:val="1228"/>
        </w:trPr>
        <w:tc>
          <w:tcPr>
            <w:tcW w:w="709" w:type="dxa"/>
            <w:shd w:val="clear" w:color="auto" w:fill="FFFFFF" w:themeFill="background1"/>
          </w:tcPr>
          <w:p w14:paraId="0F4632C8" w14:textId="77777777" w:rsidR="00A37320" w:rsidRPr="00A3142E" w:rsidRDefault="00CF2B71" w:rsidP="000215A6">
            <w:pPr>
              <w:rPr>
                <w:rFonts w:cs="Times New Roman"/>
                <w:sz w:val="20"/>
                <w:szCs w:val="20"/>
              </w:rPr>
            </w:pPr>
            <w:r>
              <w:rPr>
                <w:rFonts w:cs="Times New Roman"/>
                <w:sz w:val="20"/>
                <w:szCs w:val="20"/>
              </w:rPr>
              <w:lastRenderedPageBreak/>
              <w:t>2.5</w:t>
            </w:r>
            <w:r w:rsidR="00A37320">
              <w:rPr>
                <w:rFonts w:cs="Times New Roman"/>
                <w:sz w:val="20"/>
                <w:szCs w:val="20"/>
              </w:rPr>
              <w:t>.</w:t>
            </w:r>
          </w:p>
        </w:tc>
        <w:tc>
          <w:tcPr>
            <w:tcW w:w="3686" w:type="dxa"/>
            <w:shd w:val="clear" w:color="auto" w:fill="FFFFFF" w:themeFill="background1"/>
          </w:tcPr>
          <w:p w14:paraId="1316D696" w14:textId="77777777" w:rsidR="00A37320" w:rsidRPr="00A3142E" w:rsidRDefault="00A37320" w:rsidP="000215A6">
            <w:pPr>
              <w:jc w:val="both"/>
              <w:rPr>
                <w:rFonts w:cs="Times New Roman"/>
                <w:sz w:val="20"/>
                <w:szCs w:val="20"/>
              </w:rPr>
            </w:pPr>
            <w:r>
              <w:rPr>
                <w:rFonts w:cs="Times New Roman"/>
                <w:sz w:val="20"/>
                <w:szCs w:val="20"/>
              </w:rPr>
              <w:t>Izvērtēt</w:t>
            </w:r>
            <w:r w:rsidRPr="00EC5D6E">
              <w:rPr>
                <w:rFonts w:cs="Times New Roman"/>
                <w:sz w:val="20"/>
                <w:szCs w:val="20"/>
              </w:rPr>
              <w:t xml:space="preserve"> KPL regulējum</w:t>
            </w:r>
            <w:r>
              <w:rPr>
                <w:rFonts w:cs="Times New Roman"/>
                <w:sz w:val="20"/>
                <w:szCs w:val="20"/>
              </w:rPr>
              <w:t>u</w:t>
            </w:r>
            <w:r w:rsidRPr="00EC5D6E">
              <w:rPr>
                <w:rFonts w:cs="Times New Roman"/>
                <w:sz w:val="20"/>
                <w:szCs w:val="20"/>
              </w:rPr>
              <w:t xml:space="preserve"> attiecībā uz iespēju noteikt deleģējumu izstrādāt normatīvo aktu par tiesiskās palīdzības lūgumu prioritizēšanu, kas attiecīgi praksē nodrošinās ātru rīcību attiecībā uz tiesiskās palīdzības lūgumu izpildi</w:t>
            </w:r>
            <w:r>
              <w:rPr>
                <w:rFonts w:cs="Times New Roman"/>
                <w:sz w:val="20"/>
                <w:szCs w:val="20"/>
              </w:rPr>
              <w:t xml:space="preserve"> un nepieciešamības gadījumā izstrādāt grozījumus Kriminālprocesa likumā</w:t>
            </w:r>
          </w:p>
        </w:tc>
        <w:tc>
          <w:tcPr>
            <w:tcW w:w="1559" w:type="dxa"/>
            <w:shd w:val="clear" w:color="auto" w:fill="FFFFFF" w:themeFill="background1"/>
          </w:tcPr>
          <w:p w14:paraId="6E32E73F" w14:textId="77777777" w:rsidR="00A37320" w:rsidRPr="00A3142E" w:rsidRDefault="00A37320" w:rsidP="000215A6">
            <w:pPr>
              <w:jc w:val="both"/>
              <w:rPr>
                <w:rFonts w:cs="Times New Roman"/>
                <w:sz w:val="20"/>
                <w:szCs w:val="20"/>
              </w:rPr>
            </w:pPr>
            <w:r>
              <w:rPr>
                <w:rFonts w:cs="Times New Roman"/>
                <w:sz w:val="20"/>
                <w:szCs w:val="20"/>
              </w:rPr>
              <w:t xml:space="preserve">Moneyval rekomendācija 2.5. </w:t>
            </w:r>
          </w:p>
        </w:tc>
        <w:tc>
          <w:tcPr>
            <w:tcW w:w="2410" w:type="dxa"/>
            <w:shd w:val="clear" w:color="auto" w:fill="FFFFFF" w:themeFill="background1"/>
          </w:tcPr>
          <w:p w14:paraId="31DE42EA" w14:textId="77777777" w:rsidR="00A37320" w:rsidRPr="00A3142E" w:rsidRDefault="00A37320" w:rsidP="000215A6">
            <w:pPr>
              <w:jc w:val="both"/>
              <w:rPr>
                <w:rFonts w:cs="Times New Roman"/>
                <w:sz w:val="20"/>
                <w:szCs w:val="20"/>
              </w:rPr>
            </w:pPr>
            <w:r>
              <w:rPr>
                <w:rFonts w:cs="Times New Roman"/>
                <w:sz w:val="20"/>
                <w:szCs w:val="20"/>
              </w:rPr>
              <w:t>Izveidoti kritēriji tiesiskās palīdzības lūgumu prioritizācijā</w:t>
            </w:r>
          </w:p>
        </w:tc>
        <w:tc>
          <w:tcPr>
            <w:tcW w:w="2693" w:type="dxa"/>
            <w:shd w:val="clear" w:color="auto" w:fill="FFFFFF" w:themeFill="background1"/>
          </w:tcPr>
          <w:p w14:paraId="36B9DB8E" w14:textId="77777777" w:rsidR="00A37320" w:rsidRPr="00A3142E" w:rsidRDefault="00A37320" w:rsidP="000215A6">
            <w:pPr>
              <w:jc w:val="both"/>
              <w:rPr>
                <w:rFonts w:cs="Times New Roman"/>
                <w:sz w:val="20"/>
                <w:szCs w:val="20"/>
              </w:rPr>
            </w:pPr>
            <w:r>
              <w:rPr>
                <w:rFonts w:cs="Times New Roman"/>
                <w:sz w:val="20"/>
                <w:szCs w:val="20"/>
              </w:rPr>
              <w:t>Grozījumi Kriminālprocesa likumā</w:t>
            </w:r>
          </w:p>
        </w:tc>
        <w:tc>
          <w:tcPr>
            <w:tcW w:w="1276" w:type="dxa"/>
            <w:shd w:val="clear" w:color="auto" w:fill="FFFFFF" w:themeFill="background1"/>
          </w:tcPr>
          <w:p w14:paraId="1328BA8B" w14:textId="77777777" w:rsidR="00A37320" w:rsidRPr="00A3142E" w:rsidRDefault="00A37320" w:rsidP="000215A6">
            <w:pPr>
              <w:jc w:val="center"/>
              <w:rPr>
                <w:rFonts w:cs="Times New Roman"/>
                <w:sz w:val="20"/>
                <w:szCs w:val="20"/>
              </w:rPr>
            </w:pPr>
            <w:r>
              <w:rPr>
                <w:rFonts w:cs="Times New Roman"/>
                <w:sz w:val="20"/>
                <w:szCs w:val="20"/>
              </w:rPr>
              <w:t>TM</w:t>
            </w:r>
          </w:p>
        </w:tc>
        <w:tc>
          <w:tcPr>
            <w:tcW w:w="1275" w:type="dxa"/>
            <w:shd w:val="clear" w:color="auto" w:fill="FFFFFF" w:themeFill="background1"/>
          </w:tcPr>
          <w:p w14:paraId="1C8925D0" w14:textId="77777777" w:rsidR="00A37320" w:rsidRPr="00A3142E" w:rsidRDefault="00A37320" w:rsidP="000215A6">
            <w:pPr>
              <w:jc w:val="center"/>
              <w:rPr>
                <w:rFonts w:cs="Times New Roman"/>
                <w:sz w:val="20"/>
                <w:szCs w:val="20"/>
              </w:rPr>
            </w:pPr>
            <w:r>
              <w:rPr>
                <w:rFonts w:cs="Times New Roman"/>
                <w:sz w:val="20"/>
                <w:szCs w:val="20"/>
              </w:rPr>
              <w:t>IeM(VP)</w:t>
            </w:r>
          </w:p>
        </w:tc>
        <w:tc>
          <w:tcPr>
            <w:tcW w:w="1418" w:type="dxa"/>
            <w:shd w:val="clear" w:color="auto" w:fill="FFFFFF" w:themeFill="background1"/>
          </w:tcPr>
          <w:p w14:paraId="547C62B2" w14:textId="77777777" w:rsidR="00A37320" w:rsidRPr="00A3142E" w:rsidRDefault="00A37320" w:rsidP="000215A6">
            <w:pPr>
              <w:jc w:val="center"/>
              <w:rPr>
                <w:rFonts w:cs="Times New Roman"/>
                <w:sz w:val="20"/>
                <w:szCs w:val="20"/>
              </w:rPr>
            </w:pPr>
            <w:r>
              <w:rPr>
                <w:rFonts w:cs="Times New Roman"/>
                <w:sz w:val="20"/>
                <w:szCs w:val="20"/>
              </w:rPr>
              <w:t>2019.gada 1.marts</w:t>
            </w:r>
          </w:p>
        </w:tc>
      </w:tr>
      <w:tr w:rsidR="00A37320" w:rsidRPr="00A3142E" w14:paraId="3A4E9389" w14:textId="77777777" w:rsidTr="00A37320">
        <w:trPr>
          <w:trHeight w:val="1228"/>
        </w:trPr>
        <w:tc>
          <w:tcPr>
            <w:tcW w:w="709" w:type="dxa"/>
            <w:shd w:val="clear" w:color="auto" w:fill="FFFFFF" w:themeFill="background1"/>
          </w:tcPr>
          <w:p w14:paraId="1E79C581" w14:textId="77777777" w:rsidR="00A37320" w:rsidRDefault="00CF2B71" w:rsidP="000215A6">
            <w:pPr>
              <w:rPr>
                <w:rFonts w:cs="Times New Roman"/>
                <w:sz w:val="20"/>
                <w:szCs w:val="20"/>
              </w:rPr>
            </w:pPr>
            <w:r>
              <w:rPr>
                <w:rFonts w:cs="Times New Roman"/>
                <w:sz w:val="20"/>
                <w:szCs w:val="20"/>
              </w:rPr>
              <w:t>2.6</w:t>
            </w:r>
            <w:r w:rsidR="00A37320">
              <w:rPr>
                <w:rFonts w:cs="Times New Roman"/>
                <w:sz w:val="20"/>
                <w:szCs w:val="20"/>
              </w:rPr>
              <w:t>.</w:t>
            </w:r>
          </w:p>
        </w:tc>
        <w:tc>
          <w:tcPr>
            <w:tcW w:w="3686" w:type="dxa"/>
            <w:shd w:val="clear" w:color="auto" w:fill="FFFFFF" w:themeFill="background1"/>
          </w:tcPr>
          <w:p w14:paraId="409A9E49" w14:textId="77777777" w:rsidR="00A37320" w:rsidRDefault="00A37320" w:rsidP="000215A6">
            <w:pPr>
              <w:jc w:val="both"/>
              <w:rPr>
                <w:rFonts w:cs="Times New Roman"/>
                <w:sz w:val="20"/>
                <w:szCs w:val="20"/>
              </w:rPr>
            </w:pPr>
            <w:r w:rsidRPr="00BF7B20">
              <w:rPr>
                <w:rFonts w:cs="Times New Roman"/>
                <w:sz w:val="20"/>
                <w:szCs w:val="20"/>
              </w:rPr>
              <w:t>Izstrādāt kritērijus LV ARO pieprasījumu un lietu (gan nacionālo, gan ārvalstu) apstrādes un izpildes prioritātes noteikšanai.</w:t>
            </w:r>
          </w:p>
        </w:tc>
        <w:tc>
          <w:tcPr>
            <w:tcW w:w="1559" w:type="dxa"/>
            <w:shd w:val="clear" w:color="auto" w:fill="FFFFFF" w:themeFill="background1"/>
          </w:tcPr>
          <w:p w14:paraId="06B727BF" w14:textId="77777777" w:rsidR="00A37320" w:rsidRDefault="00A37320" w:rsidP="000215A6">
            <w:pPr>
              <w:jc w:val="both"/>
              <w:rPr>
                <w:rFonts w:cs="Times New Roman"/>
                <w:sz w:val="20"/>
                <w:szCs w:val="20"/>
              </w:rPr>
            </w:pPr>
            <w:r w:rsidRPr="00E142B3">
              <w:rPr>
                <w:rFonts w:cs="Times New Roman"/>
                <w:sz w:val="20"/>
                <w:szCs w:val="20"/>
              </w:rPr>
              <w:t>Moneyval rekomendācija 2.5.</w:t>
            </w:r>
          </w:p>
        </w:tc>
        <w:tc>
          <w:tcPr>
            <w:tcW w:w="2410" w:type="dxa"/>
            <w:shd w:val="clear" w:color="auto" w:fill="FFFFFF" w:themeFill="background1"/>
          </w:tcPr>
          <w:p w14:paraId="3B7C79F7" w14:textId="77777777" w:rsidR="00A37320" w:rsidRPr="00E142B3" w:rsidRDefault="00A37320" w:rsidP="00505985">
            <w:pPr>
              <w:jc w:val="both"/>
              <w:rPr>
                <w:rFonts w:cs="Times New Roman"/>
                <w:sz w:val="20"/>
                <w:szCs w:val="20"/>
              </w:rPr>
            </w:pPr>
            <w:r w:rsidRPr="00E142B3">
              <w:rPr>
                <w:rFonts w:cs="Times New Roman"/>
                <w:sz w:val="20"/>
                <w:szCs w:val="20"/>
              </w:rPr>
              <w:t>Efektivizēta LV ARO pieprasījumu/ lietu izskatīšana un izpilde, kā arī resursu izmantošana</w:t>
            </w:r>
          </w:p>
          <w:p w14:paraId="315FDFAF" w14:textId="77777777" w:rsidR="00A37320" w:rsidRDefault="00A37320" w:rsidP="00BE193D">
            <w:pPr>
              <w:jc w:val="both"/>
              <w:rPr>
                <w:rFonts w:cs="Times New Roman"/>
                <w:sz w:val="20"/>
                <w:szCs w:val="20"/>
              </w:rPr>
            </w:pPr>
          </w:p>
        </w:tc>
        <w:tc>
          <w:tcPr>
            <w:tcW w:w="2693" w:type="dxa"/>
            <w:shd w:val="clear" w:color="auto" w:fill="FFFFFF" w:themeFill="background1"/>
          </w:tcPr>
          <w:p w14:paraId="46150614" w14:textId="77777777" w:rsidR="00A37320" w:rsidRPr="00E142B3" w:rsidRDefault="00A37320" w:rsidP="00505985">
            <w:pPr>
              <w:jc w:val="both"/>
              <w:rPr>
                <w:rFonts w:cs="Times New Roman"/>
                <w:sz w:val="20"/>
                <w:szCs w:val="20"/>
              </w:rPr>
            </w:pPr>
            <w:r w:rsidRPr="00E142B3">
              <w:rPr>
                <w:rFonts w:cs="Times New Roman"/>
                <w:sz w:val="20"/>
                <w:szCs w:val="20"/>
              </w:rPr>
              <w:t xml:space="preserve">Uzlabota saņemto pieprasījumu/ lietu kvalitāte un paātrināts apstrādes un izpildes process </w:t>
            </w:r>
          </w:p>
          <w:p w14:paraId="2F970E60" w14:textId="77777777" w:rsidR="00A37320" w:rsidRDefault="00A37320" w:rsidP="00BE193D">
            <w:pPr>
              <w:jc w:val="both"/>
              <w:rPr>
                <w:rFonts w:cs="Times New Roman"/>
                <w:sz w:val="20"/>
                <w:szCs w:val="20"/>
              </w:rPr>
            </w:pPr>
          </w:p>
        </w:tc>
        <w:tc>
          <w:tcPr>
            <w:tcW w:w="1276" w:type="dxa"/>
            <w:shd w:val="clear" w:color="auto" w:fill="FFFFFF" w:themeFill="background1"/>
          </w:tcPr>
          <w:p w14:paraId="510F3BEF" w14:textId="77777777" w:rsidR="00A37320" w:rsidRDefault="00A37320" w:rsidP="000215A6">
            <w:pPr>
              <w:jc w:val="center"/>
              <w:rPr>
                <w:rFonts w:cs="Times New Roman"/>
                <w:sz w:val="20"/>
                <w:szCs w:val="20"/>
              </w:rPr>
            </w:pPr>
            <w:r>
              <w:rPr>
                <w:rFonts w:cs="Times New Roman"/>
                <w:sz w:val="20"/>
                <w:szCs w:val="20"/>
              </w:rPr>
              <w:t>IeM(VP)</w:t>
            </w:r>
          </w:p>
        </w:tc>
        <w:tc>
          <w:tcPr>
            <w:tcW w:w="1275" w:type="dxa"/>
            <w:shd w:val="clear" w:color="auto" w:fill="FFFFFF" w:themeFill="background1"/>
          </w:tcPr>
          <w:p w14:paraId="507B2F77" w14:textId="77777777" w:rsidR="00A37320" w:rsidRDefault="00A37320" w:rsidP="000215A6">
            <w:pPr>
              <w:jc w:val="center"/>
              <w:rPr>
                <w:rFonts w:cs="Times New Roman"/>
                <w:sz w:val="20"/>
                <w:szCs w:val="20"/>
              </w:rPr>
            </w:pPr>
          </w:p>
        </w:tc>
        <w:tc>
          <w:tcPr>
            <w:tcW w:w="1418" w:type="dxa"/>
            <w:shd w:val="clear" w:color="auto" w:fill="FFFFFF" w:themeFill="background1"/>
          </w:tcPr>
          <w:p w14:paraId="20D8DACC" w14:textId="77777777" w:rsidR="00A37320" w:rsidRDefault="00A37320" w:rsidP="000215A6">
            <w:pPr>
              <w:jc w:val="center"/>
              <w:rPr>
                <w:rFonts w:cs="Times New Roman"/>
                <w:sz w:val="20"/>
                <w:szCs w:val="20"/>
              </w:rPr>
            </w:pPr>
            <w:r>
              <w:rPr>
                <w:rFonts w:cs="Times New Roman"/>
                <w:sz w:val="20"/>
                <w:szCs w:val="20"/>
              </w:rPr>
              <w:t>2019.gada 1.marts</w:t>
            </w:r>
          </w:p>
        </w:tc>
      </w:tr>
      <w:tr w:rsidR="00A37320" w:rsidRPr="00A3142E" w14:paraId="2CCC368E" w14:textId="77777777" w:rsidTr="00A37320">
        <w:trPr>
          <w:trHeight w:val="1228"/>
        </w:trPr>
        <w:tc>
          <w:tcPr>
            <w:tcW w:w="709" w:type="dxa"/>
            <w:shd w:val="clear" w:color="auto" w:fill="FFFFFF" w:themeFill="background1"/>
          </w:tcPr>
          <w:p w14:paraId="737EB6EC" w14:textId="77777777" w:rsidR="00A37320" w:rsidRDefault="00CF2B71" w:rsidP="000215A6">
            <w:pPr>
              <w:rPr>
                <w:rFonts w:cs="Times New Roman"/>
                <w:sz w:val="20"/>
                <w:szCs w:val="20"/>
              </w:rPr>
            </w:pPr>
            <w:r>
              <w:rPr>
                <w:rFonts w:cs="Times New Roman"/>
                <w:sz w:val="20"/>
                <w:szCs w:val="20"/>
              </w:rPr>
              <w:t>2.7</w:t>
            </w:r>
            <w:r w:rsidR="00A37320">
              <w:rPr>
                <w:rFonts w:cs="Times New Roman"/>
                <w:sz w:val="20"/>
                <w:szCs w:val="20"/>
              </w:rPr>
              <w:t>.</w:t>
            </w:r>
          </w:p>
        </w:tc>
        <w:tc>
          <w:tcPr>
            <w:tcW w:w="3686" w:type="dxa"/>
            <w:shd w:val="clear" w:color="auto" w:fill="FFFFFF" w:themeFill="background1"/>
          </w:tcPr>
          <w:p w14:paraId="5F3C78DD" w14:textId="77777777" w:rsidR="00A37320" w:rsidRDefault="00A37320" w:rsidP="000215A6">
            <w:pPr>
              <w:jc w:val="both"/>
              <w:rPr>
                <w:rFonts w:cs="Times New Roman"/>
                <w:sz w:val="20"/>
                <w:szCs w:val="20"/>
              </w:rPr>
            </w:pPr>
            <w:r>
              <w:rPr>
                <w:rFonts w:cs="Times New Roman"/>
                <w:sz w:val="20"/>
                <w:szCs w:val="20"/>
              </w:rPr>
              <w:t>Izvērtēt iespējas uzlabot S</w:t>
            </w:r>
            <w:r w:rsidRPr="00D01DBA">
              <w:rPr>
                <w:rFonts w:cs="Times New Roman"/>
                <w:sz w:val="20"/>
                <w:szCs w:val="20"/>
              </w:rPr>
              <w:t>tarptautiskās krimināltiesiskās sadarbības lūgumu informācijas sistēm</w:t>
            </w:r>
            <w:r>
              <w:rPr>
                <w:rFonts w:cs="Times New Roman"/>
                <w:sz w:val="20"/>
                <w:szCs w:val="20"/>
              </w:rPr>
              <w:t xml:space="preserve">u kopsakarā ar plānotajām izmaiņām TIS. </w:t>
            </w:r>
          </w:p>
        </w:tc>
        <w:tc>
          <w:tcPr>
            <w:tcW w:w="1559" w:type="dxa"/>
            <w:shd w:val="clear" w:color="auto" w:fill="FFFFFF" w:themeFill="background1"/>
          </w:tcPr>
          <w:p w14:paraId="2DF59D50" w14:textId="77777777" w:rsidR="00A37320" w:rsidRDefault="00A37320" w:rsidP="000215A6">
            <w:pPr>
              <w:jc w:val="both"/>
              <w:rPr>
                <w:rFonts w:cs="Times New Roman"/>
                <w:sz w:val="20"/>
                <w:szCs w:val="20"/>
              </w:rPr>
            </w:pPr>
            <w:r>
              <w:rPr>
                <w:rFonts w:cs="Times New Roman"/>
                <w:sz w:val="20"/>
                <w:szCs w:val="20"/>
              </w:rPr>
              <w:t>Moneyval rekomendācija 2.5.</w:t>
            </w:r>
          </w:p>
        </w:tc>
        <w:tc>
          <w:tcPr>
            <w:tcW w:w="2410" w:type="dxa"/>
            <w:shd w:val="clear" w:color="auto" w:fill="FFFFFF" w:themeFill="background1"/>
          </w:tcPr>
          <w:p w14:paraId="42A0D689" w14:textId="77777777" w:rsidR="00A37320" w:rsidRDefault="00A37320" w:rsidP="000215A6">
            <w:pPr>
              <w:jc w:val="both"/>
              <w:rPr>
                <w:rFonts w:cs="Times New Roman"/>
                <w:sz w:val="20"/>
                <w:szCs w:val="20"/>
              </w:rPr>
            </w:pPr>
            <w:r>
              <w:rPr>
                <w:rFonts w:cs="Times New Roman"/>
                <w:sz w:val="20"/>
                <w:szCs w:val="20"/>
              </w:rPr>
              <w:t>Nodrošināta s</w:t>
            </w:r>
            <w:r w:rsidRPr="00994454">
              <w:rPr>
                <w:rFonts w:cs="Times New Roman"/>
                <w:sz w:val="20"/>
                <w:szCs w:val="20"/>
              </w:rPr>
              <w:t>tarptautiskās krimināltiesiskās sadarbības lūgumu</w:t>
            </w:r>
            <w:r>
              <w:rPr>
                <w:rFonts w:cs="Times New Roman"/>
                <w:sz w:val="20"/>
                <w:szCs w:val="20"/>
              </w:rPr>
              <w:t xml:space="preserve"> vadības sistēmas funkcionēšana</w:t>
            </w:r>
          </w:p>
        </w:tc>
        <w:tc>
          <w:tcPr>
            <w:tcW w:w="2693" w:type="dxa"/>
            <w:shd w:val="clear" w:color="auto" w:fill="FFFFFF" w:themeFill="background1"/>
          </w:tcPr>
          <w:p w14:paraId="2F5322C2" w14:textId="77777777" w:rsidR="00A37320" w:rsidRDefault="00A37320" w:rsidP="000215A6">
            <w:pPr>
              <w:jc w:val="both"/>
              <w:rPr>
                <w:rFonts w:cs="Times New Roman"/>
                <w:sz w:val="20"/>
                <w:szCs w:val="20"/>
              </w:rPr>
            </w:pPr>
            <w:r>
              <w:rPr>
                <w:rFonts w:cs="Times New Roman"/>
                <w:sz w:val="20"/>
                <w:szCs w:val="20"/>
              </w:rPr>
              <w:t xml:space="preserve">Izstrādāti priekšlikumi </w:t>
            </w:r>
            <w:r w:rsidRPr="00994454">
              <w:rPr>
                <w:rFonts w:cs="Times New Roman"/>
                <w:sz w:val="20"/>
                <w:szCs w:val="20"/>
              </w:rPr>
              <w:t>Starptautiskās krimināltiesiskās sadarbības lūgumu informācijas sistēm</w:t>
            </w:r>
            <w:r>
              <w:rPr>
                <w:rFonts w:cs="Times New Roman"/>
                <w:sz w:val="20"/>
                <w:szCs w:val="20"/>
              </w:rPr>
              <w:t>as uzlabošanā</w:t>
            </w:r>
          </w:p>
        </w:tc>
        <w:tc>
          <w:tcPr>
            <w:tcW w:w="1276" w:type="dxa"/>
            <w:shd w:val="clear" w:color="auto" w:fill="FFFFFF" w:themeFill="background1"/>
          </w:tcPr>
          <w:p w14:paraId="23692FEA" w14:textId="77777777" w:rsidR="00A37320" w:rsidRDefault="00A37320" w:rsidP="000215A6">
            <w:pPr>
              <w:jc w:val="center"/>
              <w:rPr>
                <w:rFonts w:cs="Times New Roman"/>
                <w:sz w:val="20"/>
                <w:szCs w:val="20"/>
              </w:rPr>
            </w:pPr>
            <w:r>
              <w:rPr>
                <w:rFonts w:cs="Times New Roman"/>
                <w:sz w:val="20"/>
                <w:szCs w:val="20"/>
              </w:rPr>
              <w:t>TM</w:t>
            </w:r>
          </w:p>
        </w:tc>
        <w:tc>
          <w:tcPr>
            <w:tcW w:w="1275" w:type="dxa"/>
            <w:shd w:val="clear" w:color="auto" w:fill="FFFFFF" w:themeFill="background1"/>
          </w:tcPr>
          <w:p w14:paraId="155FE9C5" w14:textId="77777777" w:rsidR="00A37320" w:rsidRDefault="00A37320" w:rsidP="000215A6">
            <w:pPr>
              <w:jc w:val="center"/>
              <w:rPr>
                <w:rFonts w:cs="Times New Roman"/>
                <w:sz w:val="20"/>
                <w:szCs w:val="20"/>
              </w:rPr>
            </w:pPr>
            <w:r>
              <w:rPr>
                <w:rFonts w:cs="Times New Roman"/>
                <w:sz w:val="20"/>
                <w:szCs w:val="20"/>
              </w:rPr>
              <w:t>ĢP, IeM(VP)</w:t>
            </w:r>
          </w:p>
        </w:tc>
        <w:tc>
          <w:tcPr>
            <w:tcW w:w="1418" w:type="dxa"/>
            <w:shd w:val="clear" w:color="auto" w:fill="FFFFFF" w:themeFill="background1"/>
          </w:tcPr>
          <w:p w14:paraId="1B97E22A" w14:textId="77777777" w:rsidR="00A37320" w:rsidRPr="00A3142E" w:rsidRDefault="00A37320" w:rsidP="000215A6">
            <w:pPr>
              <w:jc w:val="center"/>
              <w:rPr>
                <w:rFonts w:cs="Times New Roman"/>
                <w:sz w:val="20"/>
                <w:szCs w:val="20"/>
              </w:rPr>
            </w:pPr>
            <w:r>
              <w:rPr>
                <w:rFonts w:cs="Times New Roman"/>
                <w:sz w:val="20"/>
                <w:szCs w:val="20"/>
              </w:rPr>
              <w:t>2019.gada 1.marts</w:t>
            </w:r>
          </w:p>
        </w:tc>
      </w:tr>
      <w:tr w:rsidR="00A37320" w14:paraId="7BE2C50D" w14:textId="77777777" w:rsidTr="00A37320">
        <w:trPr>
          <w:trHeight w:val="122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55C280" w14:textId="77777777" w:rsidR="00A37320" w:rsidRPr="00601ABD" w:rsidRDefault="00CF2B71" w:rsidP="000215A6">
            <w:pPr>
              <w:rPr>
                <w:rFonts w:cs="Times New Roman"/>
                <w:sz w:val="20"/>
                <w:szCs w:val="20"/>
              </w:rPr>
            </w:pPr>
            <w:r>
              <w:rPr>
                <w:rFonts w:cs="Times New Roman"/>
                <w:sz w:val="20"/>
                <w:szCs w:val="20"/>
              </w:rPr>
              <w:t>2.8</w:t>
            </w:r>
            <w:r w:rsidR="00A37320" w:rsidRPr="00601ABD">
              <w:rPr>
                <w:rFonts w:cs="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364F8" w14:textId="77777777" w:rsidR="00A37320" w:rsidRPr="00601ABD" w:rsidRDefault="00A37320" w:rsidP="000215A6">
            <w:pPr>
              <w:jc w:val="both"/>
              <w:rPr>
                <w:rFonts w:cs="Times New Roman"/>
                <w:sz w:val="20"/>
                <w:szCs w:val="20"/>
              </w:rPr>
            </w:pPr>
            <w:r w:rsidRPr="00601ABD">
              <w:rPr>
                <w:rFonts w:cs="Times New Roman"/>
                <w:sz w:val="20"/>
                <w:szCs w:val="20"/>
              </w:rPr>
              <w:t>Izstrādāt grozījumus KPL, paredzot mehānismu attiecībā uz ES valstu pilsoņu izdošanu ārpus ES valstīm</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D1547F8" w14:textId="77777777" w:rsidR="00A37320" w:rsidRPr="00601ABD" w:rsidRDefault="00A37320" w:rsidP="000215A6">
            <w:pPr>
              <w:jc w:val="both"/>
              <w:rPr>
                <w:rFonts w:cs="Times New Roman"/>
                <w:sz w:val="20"/>
                <w:szCs w:val="20"/>
              </w:rPr>
            </w:pPr>
            <w:r w:rsidRPr="00601ABD">
              <w:rPr>
                <w:rFonts w:cs="Times New Roman"/>
                <w:sz w:val="20"/>
                <w:szCs w:val="20"/>
              </w:rPr>
              <w:t>Moneyval rekomendācija 2.6.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476F90B" w14:textId="77777777" w:rsidR="00A37320" w:rsidRPr="00601ABD" w:rsidRDefault="00A37320" w:rsidP="000215A6">
            <w:pPr>
              <w:jc w:val="both"/>
              <w:rPr>
                <w:rFonts w:cs="Times New Roman"/>
                <w:sz w:val="20"/>
                <w:szCs w:val="20"/>
              </w:rPr>
            </w:pPr>
            <w:r w:rsidRPr="00601ABD">
              <w:rPr>
                <w:rFonts w:cs="Times New Roman"/>
                <w:sz w:val="20"/>
                <w:szCs w:val="20"/>
              </w:rPr>
              <w:t>Nodrošināts skaidrs un ātrs mehānisms attiecībā uz citu ES valstu pilsoņu izdošanu ārpus ES valstīm.</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33CEFE4" w14:textId="77777777" w:rsidR="00A37320" w:rsidRPr="00601ABD" w:rsidRDefault="00A37320" w:rsidP="000215A6">
            <w:pPr>
              <w:jc w:val="both"/>
              <w:rPr>
                <w:rFonts w:cs="Times New Roman"/>
                <w:sz w:val="20"/>
                <w:szCs w:val="20"/>
              </w:rPr>
            </w:pPr>
            <w:r w:rsidRPr="00601ABD">
              <w:rPr>
                <w:rFonts w:cs="Times New Roman"/>
                <w:sz w:val="20"/>
                <w:szCs w:val="20"/>
              </w:rPr>
              <w:t>Izstrādāti un iesniegti Saeimā grozījumi Kriminālprocesa likumā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3CBCFF3" w14:textId="77777777" w:rsidR="00A37320" w:rsidRPr="00601ABD" w:rsidRDefault="00A37320" w:rsidP="000215A6">
            <w:pPr>
              <w:jc w:val="center"/>
              <w:rPr>
                <w:rFonts w:cs="Times New Roman"/>
                <w:sz w:val="20"/>
                <w:szCs w:val="20"/>
              </w:rPr>
            </w:pPr>
            <w:r w:rsidRPr="00601ABD">
              <w:rPr>
                <w:rFonts w:cs="Times New Roman"/>
                <w:sz w:val="20"/>
                <w:szCs w:val="20"/>
              </w:rPr>
              <w:t>TM</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CF57A1E" w14:textId="77777777" w:rsidR="00A37320" w:rsidRPr="00601ABD" w:rsidRDefault="00A37320" w:rsidP="000215A6">
            <w:pPr>
              <w:jc w:val="center"/>
              <w:rPr>
                <w:rFonts w:cs="Times New Roman"/>
                <w:sz w:val="20"/>
                <w:szCs w:val="20"/>
              </w:rPr>
            </w:pPr>
            <w:r w:rsidRPr="00601ABD">
              <w:rPr>
                <w:rFonts w:cs="Times New Roman"/>
                <w:sz w:val="20"/>
                <w:szCs w:val="20"/>
              </w:rPr>
              <w:t>ĢP</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05A8667" w14:textId="77777777" w:rsidR="00A37320" w:rsidRDefault="00A37320" w:rsidP="00A37320">
            <w:pPr>
              <w:jc w:val="center"/>
              <w:rPr>
                <w:rFonts w:cs="Times New Roman"/>
                <w:sz w:val="20"/>
                <w:szCs w:val="20"/>
              </w:rPr>
            </w:pPr>
            <w:r w:rsidRPr="00601ABD">
              <w:rPr>
                <w:rFonts w:cs="Times New Roman"/>
                <w:sz w:val="20"/>
                <w:szCs w:val="20"/>
              </w:rPr>
              <w:t>2018.</w:t>
            </w:r>
            <w:r>
              <w:rPr>
                <w:rFonts w:cs="Times New Roman"/>
                <w:sz w:val="20"/>
                <w:szCs w:val="20"/>
              </w:rPr>
              <w:t>gada 28.decembris</w:t>
            </w:r>
          </w:p>
        </w:tc>
      </w:tr>
    </w:tbl>
    <w:p w14:paraId="45AE874C" w14:textId="77777777" w:rsidR="00FF0BBA" w:rsidRPr="00FC0326" w:rsidRDefault="00FF0BBA" w:rsidP="00FF0BBA">
      <w:pPr>
        <w:jc w:val="both"/>
        <w:rPr>
          <w:b/>
          <w:sz w:val="28"/>
          <w:szCs w:val="28"/>
        </w:rPr>
      </w:pPr>
      <w:r w:rsidRPr="00FC0326">
        <w:rPr>
          <w:b/>
          <w:sz w:val="28"/>
          <w:szCs w:val="28"/>
        </w:rPr>
        <w:tab/>
      </w:r>
    </w:p>
    <w:p w14:paraId="538946F3" w14:textId="77777777" w:rsidR="00FF0BBA" w:rsidRPr="00E24F37" w:rsidRDefault="004E31A9" w:rsidP="00E24F37">
      <w:pPr>
        <w:pStyle w:val="Heading2"/>
        <w:rPr>
          <w:rFonts w:ascii="Times New Roman" w:hAnsi="Times New Roman" w:cs="Times New Roman"/>
          <w:b/>
          <w:color w:val="auto"/>
          <w:sz w:val="28"/>
          <w:szCs w:val="28"/>
        </w:rPr>
      </w:pPr>
      <w:bookmarkStart w:id="9" w:name="_Toc524977651"/>
      <w:r w:rsidRPr="00E24F37">
        <w:rPr>
          <w:rFonts w:ascii="Times New Roman" w:hAnsi="Times New Roman" w:cs="Times New Roman"/>
          <w:b/>
          <w:color w:val="auto"/>
          <w:sz w:val="28"/>
          <w:szCs w:val="28"/>
        </w:rPr>
        <w:t>3</w:t>
      </w:r>
      <w:r w:rsidR="00FF0BBA" w:rsidRPr="00E24F37">
        <w:rPr>
          <w:rFonts w:ascii="Times New Roman" w:hAnsi="Times New Roman" w:cs="Times New Roman"/>
          <w:b/>
          <w:color w:val="auto"/>
          <w:sz w:val="28"/>
          <w:szCs w:val="28"/>
        </w:rPr>
        <w:t xml:space="preserve">.rīcības virziens – </w:t>
      </w:r>
      <w:r w:rsidRPr="00E24F37">
        <w:rPr>
          <w:rFonts w:ascii="Times New Roman" w:hAnsi="Times New Roman" w:cs="Times New Roman"/>
          <w:b/>
          <w:color w:val="auto"/>
          <w:sz w:val="28"/>
          <w:szCs w:val="28"/>
        </w:rPr>
        <w:t>Uzraudzība</w:t>
      </w:r>
      <w:bookmarkEnd w:id="9"/>
      <w:r w:rsidR="00FF0BBA" w:rsidRPr="00E24F37">
        <w:rPr>
          <w:rFonts w:ascii="Times New Roman" w:hAnsi="Times New Roman" w:cs="Times New Roman"/>
          <w:b/>
          <w:color w:val="auto"/>
          <w:sz w:val="28"/>
          <w:szCs w:val="28"/>
        </w:rPr>
        <w:t xml:space="preserve">  </w:t>
      </w:r>
    </w:p>
    <w:p w14:paraId="5473B809" w14:textId="77777777" w:rsidR="00FF0BBA" w:rsidRPr="00FC0326" w:rsidRDefault="00FF0BBA" w:rsidP="00FF0BBA">
      <w:pPr>
        <w:jc w:val="both"/>
        <w:rPr>
          <w:sz w:val="28"/>
          <w:szCs w:val="28"/>
        </w:rPr>
      </w:pPr>
    </w:p>
    <w:p w14:paraId="7668105A" w14:textId="77777777" w:rsidR="00E50F53" w:rsidRPr="00FC0326" w:rsidRDefault="00E50F53" w:rsidP="00E50F53">
      <w:pPr>
        <w:jc w:val="both"/>
        <w:rPr>
          <w:szCs w:val="24"/>
        </w:rPr>
      </w:pPr>
      <w:r w:rsidRPr="00FC0326">
        <w:rPr>
          <w:szCs w:val="24"/>
        </w:rPr>
        <w:t xml:space="preserve">Par rīcības virzienu atbildīgā iestāde: </w:t>
      </w:r>
      <w:r w:rsidR="00F351E8" w:rsidRPr="00FC0326">
        <w:rPr>
          <w:szCs w:val="24"/>
        </w:rPr>
        <w:t xml:space="preserve">FM </w:t>
      </w:r>
    </w:p>
    <w:p w14:paraId="114839CB" w14:textId="77777777" w:rsidR="00E50F53" w:rsidRPr="00FC0326" w:rsidRDefault="00E50F53" w:rsidP="00E50F53">
      <w:pPr>
        <w:jc w:val="both"/>
        <w:rPr>
          <w:szCs w:val="24"/>
        </w:rPr>
      </w:pPr>
      <w:r w:rsidRPr="00FC0326">
        <w:rPr>
          <w:szCs w:val="24"/>
        </w:rPr>
        <w:t xml:space="preserve">Līdzatbildīgās iestādes: </w:t>
      </w:r>
      <w:r w:rsidR="00251D90">
        <w:rPr>
          <w:szCs w:val="24"/>
        </w:rPr>
        <w:t xml:space="preserve">KD, </w:t>
      </w:r>
      <w:r w:rsidRPr="00FC0326">
        <w:rPr>
          <w:szCs w:val="24"/>
        </w:rPr>
        <w:t xml:space="preserve">FKTK, VID, LB, IAUI, LZAP, LZNP, LZRA, </w:t>
      </w:r>
      <w:r w:rsidR="00865258">
        <w:rPr>
          <w:szCs w:val="24"/>
        </w:rPr>
        <w:t>NKMP</w:t>
      </w:r>
      <w:r w:rsidR="00F351E8" w:rsidRPr="00FC0326">
        <w:rPr>
          <w:szCs w:val="24"/>
        </w:rPr>
        <w:t>, PTAC, SM</w:t>
      </w:r>
    </w:p>
    <w:p w14:paraId="1ADDE635" w14:textId="77777777" w:rsidR="00FF0BBA" w:rsidRPr="00FC0326" w:rsidRDefault="00FF0BBA" w:rsidP="00FF0BBA">
      <w:pPr>
        <w:jc w:val="both"/>
        <w:rPr>
          <w:sz w:val="28"/>
          <w:szCs w:val="28"/>
        </w:rPr>
      </w:pPr>
    </w:p>
    <w:tbl>
      <w:tblPr>
        <w:tblW w:w="149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410"/>
        <w:gridCol w:w="2693"/>
        <w:gridCol w:w="1159"/>
        <w:gridCol w:w="1276"/>
        <w:gridCol w:w="1417"/>
      </w:tblGrid>
      <w:tr w:rsidR="007E62EB" w:rsidRPr="00FC0326" w14:paraId="58D51960" w14:textId="77777777" w:rsidTr="00A37320">
        <w:tc>
          <w:tcPr>
            <w:tcW w:w="4395" w:type="dxa"/>
            <w:gridSpan w:val="2"/>
          </w:tcPr>
          <w:p w14:paraId="4DD54157" w14:textId="77777777" w:rsidR="007E62EB" w:rsidRPr="00FC0326" w:rsidRDefault="007E62EB" w:rsidP="007E62EB">
            <w:pPr>
              <w:rPr>
                <w:rFonts w:cs="Times New Roman"/>
                <w:b/>
                <w:bCs/>
                <w:sz w:val="20"/>
                <w:szCs w:val="20"/>
              </w:rPr>
            </w:pPr>
            <w:r w:rsidRPr="00FC0326">
              <w:rPr>
                <w:rFonts w:cs="Times New Roman"/>
                <w:b/>
                <w:bCs/>
                <w:sz w:val="20"/>
                <w:szCs w:val="20"/>
              </w:rPr>
              <w:t>1.Rīcības virziens</w:t>
            </w:r>
          </w:p>
        </w:tc>
        <w:tc>
          <w:tcPr>
            <w:tcW w:w="10514" w:type="dxa"/>
            <w:gridSpan w:val="6"/>
          </w:tcPr>
          <w:p w14:paraId="09388864" w14:textId="77777777" w:rsidR="007E62EB" w:rsidRPr="00FC0326" w:rsidRDefault="00D026CE" w:rsidP="00D026CE">
            <w:pPr>
              <w:jc w:val="both"/>
              <w:rPr>
                <w:rFonts w:cs="Times New Roman"/>
                <w:b/>
                <w:bCs/>
                <w:sz w:val="20"/>
                <w:szCs w:val="20"/>
              </w:rPr>
            </w:pPr>
            <w:r>
              <w:rPr>
                <w:rFonts w:cs="Times New Roman"/>
                <w:b/>
                <w:bCs/>
                <w:sz w:val="20"/>
                <w:szCs w:val="20"/>
              </w:rPr>
              <w:t>UZRAUDZĪBA</w:t>
            </w:r>
            <w:r w:rsidR="000738D1" w:rsidRPr="00FC0326">
              <w:rPr>
                <w:rFonts w:cs="Times New Roman"/>
                <w:b/>
                <w:bCs/>
                <w:sz w:val="20"/>
                <w:szCs w:val="20"/>
              </w:rPr>
              <w:t xml:space="preserve"> </w:t>
            </w:r>
          </w:p>
        </w:tc>
      </w:tr>
      <w:tr w:rsidR="007E62EB" w:rsidRPr="00FC0326" w14:paraId="18FC36E3" w14:textId="77777777" w:rsidTr="00A37320">
        <w:tc>
          <w:tcPr>
            <w:tcW w:w="4395" w:type="dxa"/>
            <w:gridSpan w:val="2"/>
          </w:tcPr>
          <w:p w14:paraId="023B68CC" w14:textId="77777777" w:rsidR="007E62EB" w:rsidRPr="00FC0326" w:rsidRDefault="007E62EB" w:rsidP="007E62EB">
            <w:pPr>
              <w:rPr>
                <w:rFonts w:cs="Times New Roman"/>
                <w:b/>
                <w:bCs/>
                <w:sz w:val="20"/>
                <w:szCs w:val="20"/>
              </w:rPr>
            </w:pPr>
            <w:r w:rsidRPr="00FC0326">
              <w:rPr>
                <w:rFonts w:cs="Times New Roman"/>
                <w:b/>
                <w:bCs/>
                <w:sz w:val="20"/>
                <w:szCs w:val="20"/>
              </w:rPr>
              <w:t>Sasniedzamie apakšmērķi:</w:t>
            </w:r>
          </w:p>
        </w:tc>
        <w:tc>
          <w:tcPr>
            <w:tcW w:w="10514" w:type="dxa"/>
            <w:gridSpan w:val="6"/>
          </w:tcPr>
          <w:p w14:paraId="3C300352" w14:textId="77777777" w:rsidR="007E62EB" w:rsidRPr="00FC0326" w:rsidRDefault="007E62EB" w:rsidP="00A63D6A">
            <w:pPr>
              <w:jc w:val="both"/>
              <w:rPr>
                <w:rFonts w:cs="Times New Roman"/>
                <w:b/>
                <w:bCs/>
                <w:sz w:val="20"/>
                <w:szCs w:val="20"/>
              </w:rPr>
            </w:pPr>
            <w:r w:rsidRPr="00FC0326">
              <w:rPr>
                <w:rFonts w:cs="Times New Roman"/>
                <w:b/>
                <w:bCs/>
                <w:sz w:val="20"/>
                <w:szCs w:val="20"/>
              </w:rPr>
              <w:t>1.</w:t>
            </w:r>
            <w:r w:rsidR="000738D1" w:rsidRPr="00FC0326">
              <w:rPr>
                <w:rFonts w:cs="Times New Roman"/>
                <w:b/>
                <w:bCs/>
                <w:sz w:val="20"/>
                <w:szCs w:val="20"/>
              </w:rPr>
              <w:t xml:space="preserve"> Ieviesta uz risku balstīta pieeja uzraudzībā visās uzraudzības un kontroles institūcijās, nodrošinot pietiekamu un riskam atbilstošu pārbaužu veikšanu</w:t>
            </w:r>
            <w:r w:rsidR="00A63D6A" w:rsidRPr="00FC0326">
              <w:rPr>
                <w:rFonts w:cs="Times New Roman"/>
                <w:b/>
                <w:bCs/>
                <w:sz w:val="20"/>
                <w:szCs w:val="20"/>
              </w:rPr>
              <w:t xml:space="preserve"> un pārkāpumu gadījumā veicot proporcionālus, no tālākiem pārkāpumiem atturošus pasākumus</w:t>
            </w:r>
          </w:p>
        </w:tc>
      </w:tr>
      <w:tr w:rsidR="007E62EB" w:rsidRPr="00FC0326" w14:paraId="59247B0A" w14:textId="77777777" w:rsidTr="00A37320">
        <w:tc>
          <w:tcPr>
            <w:tcW w:w="4395" w:type="dxa"/>
            <w:gridSpan w:val="2"/>
          </w:tcPr>
          <w:p w14:paraId="1ED261A2" w14:textId="77777777" w:rsidR="007E62EB" w:rsidRPr="00FC0326" w:rsidRDefault="007E62EB" w:rsidP="007E62EB">
            <w:pPr>
              <w:rPr>
                <w:rFonts w:cs="Times New Roman"/>
                <w:b/>
                <w:bCs/>
                <w:sz w:val="20"/>
                <w:szCs w:val="20"/>
              </w:rPr>
            </w:pPr>
          </w:p>
        </w:tc>
        <w:tc>
          <w:tcPr>
            <w:tcW w:w="10514" w:type="dxa"/>
            <w:gridSpan w:val="6"/>
          </w:tcPr>
          <w:p w14:paraId="07F83C0D" w14:textId="77777777" w:rsidR="007E62EB" w:rsidRPr="00FC0326" w:rsidRDefault="007E62EB" w:rsidP="00A63D6A">
            <w:pPr>
              <w:jc w:val="both"/>
              <w:rPr>
                <w:rFonts w:cs="Times New Roman"/>
                <w:b/>
                <w:bCs/>
                <w:sz w:val="20"/>
                <w:szCs w:val="20"/>
              </w:rPr>
            </w:pPr>
            <w:r w:rsidRPr="00FC0326">
              <w:rPr>
                <w:rFonts w:cs="Times New Roman"/>
                <w:b/>
                <w:bCs/>
                <w:sz w:val="20"/>
                <w:szCs w:val="20"/>
              </w:rPr>
              <w:t>2.</w:t>
            </w:r>
            <w:r w:rsidR="000738D1" w:rsidRPr="00FC0326">
              <w:rPr>
                <w:rFonts w:cs="Times New Roman"/>
                <w:b/>
                <w:bCs/>
                <w:sz w:val="20"/>
                <w:szCs w:val="20"/>
              </w:rPr>
              <w:t xml:space="preserve"> Visas uzraudzības un kontroles institūcijas nodrošina dialogu ar uzraugāmo nozari, sniedzot regulāras apmācības, konsult</w:t>
            </w:r>
            <w:r w:rsidR="00A63D6A" w:rsidRPr="00FC0326">
              <w:rPr>
                <w:rFonts w:cs="Times New Roman"/>
                <w:b/>
                <w:bCs/>
                <w:sz w:val="20"/>
                <w:szCs w:val="20"/>
              </w:rPr>
              <w:t>ācijas un va</w:t>
            </w:r>
            <w:r w:rsidR="000738D1" w:rsidRPr="00FC0326">
              <w:rPr>
                <w:rFonts w:cs="Times New Roman"/>
                <w:b/>
                <w:bCs/>
                <w:sz w:val="20"/>
                <w:szCs w:val="20"/>
              </w:rPr>
              <w:t>d</w:t>
            </w:r>
            <w:r w:rsidR="00A63D6A" w:rsidRPr="00FC0326">
              <w:rPr>
                <w:rFonts w:cs="Times New Roman"/>
                <w:b/>
                <w:bCs/>
                <w:sz w:val="20"/>
                <w:szCs w:val="20"/>
              </w:rPr>
              <w:t>l</w:t>
            </w:r>
            <w:r w:rsidR="000738D1" w:rsidRPr="00FC0326">
              <w:rPr>
                <w:rFonts w:cs="Times New Roman"/>
                <w:b/>
                <w:bCs/>
                <w:sz w:val="20"/>
                <w:szCs w:val="20"/>
              </w:rPr>
              <w:t>īnijas</w:t>
            </w:r>
          </w:p>
        </w:tc>
      </w:tr>
      <w:tr w:rsidR="009A01A0" w:rsidRPr="00FC0326" w14:paraId="16514687" w14:textId="77777777" w:rsidTr="00A37320">
        <w:tc>
          <w:tcPr>
            <w:tcW w:w="4395" w:type="dxa"/>
            <w:gridSpan w:val="2"/>
          </w:tcPr>
          <w:p w14:paraId="679110F0" w14:textId="77777777" w:rsidR="009A01A0" w:rsidRPr="00FC0326" w:rsidRDefault="009A01A0" w:rsidP="007E62EB">
            <w:pPr>
              <w:rPr>
                <w:rFonts w:cs="Times New Roman"/>
                <w:b/>
                <w:bCs/>
                <w:sz w:val="20"/>
                <w:szCs w:val="20"/>
              </w:rPr>
            </w:pPr>
          </w:p>
        </w:tc>
        <w:tc>
          <w:tcPr>
            <w:tcW w:w="10514" w:type="dxa"/>
            <w:gridSpan w:val="6"/>
          </w:tcPr>
          <w:p w14:paraId="4343AD04" w14:textId="77777777" w:rsidR="009A01A0" w:rsidRPr="00FC0326" w:rsidRDefault="009A01A0" w:rsidP="00A45E9A">
            <w:pPr>
              <w:jc w:val="both"/>
              <w:rPr>
                <w:rFonts w:cs="Times New Roman"/>
                <w:b/>
                <w:bCs/>
                <w:sz w:val="20"/>
                <w:szCs w:val="20"/>
              </w:rPr>
            </w:pPr>
            <w:r w:rsidRPr="00FC0326">
              <w:rPr>
                <w:rFonts w:cs="Times New Roman"/>
                <w:b/>
                <w:bCs/>
                <w:sz w:val="20"/>
                <w:szCs w:val="20"/>
              </w:rPr>
              <w:t xml:space="preserve">3. Nodrošināta </w:t>
            </w:r>
            <w:r w:rsidR="00A45E9A">
              <w:rPr>
                <w:rFonts w:cs="Times New Roman"/>
                <w:b/>
                <w:bCs/>
                <w:sz w:val="20"/>
                <w:szCs w:val="20"/>
              </w:rPr>
              <w:t>NILLTFN</w:t>
            </w:r>
            <w:r w:rsidR="00A45E9A" w:rsidRPr="00FC0326">
              <w:rPr>
                <w:rFonts w:cs="Times New Roman"/>
                <w:b/>
                <w:bCs/>
                <w:sz w:val="20"/>
                <w:szCs w:val="20"/>
              </w:rPr>
              <w:t xml:space="preserve"> </w:t>
            </w:r>
            <w:r w:rsidRPr="00FC0326">
              <w:rPr>
                <w:rFonts w:cs="Times New Roman"/>
                <w:b/>
                <w:bCs/>
                <w:sz w:val="20"/>
                <w:szCs w:val="20"/>
              </w:rPr>
              <w:t>prioritizācija un adekvāti resursi</w:t>
            </w:r>
            <w:r w:rsidR="00945564" w:rsidRPr="00FC0326">
              <w:rPr>
                <w:rFonts w:cs="Times New Roman"/>
                <w:b/>
                <w:bCs/>
                <w:sz w:val="20"/>
                <w:szCs w:val="20"/>
              </w:rPr>
              <w:t xml:space="preserve"> uzraudzības un kontroles institūcijās</w:t>
            </w:r>
          </w:p>
        </w:tc>
      </w:tr>
      <w:tr w:rsidR="007E62EB" w:rsidRPr="00FC0326" w14:paraId="42799CB1" w14:textId="77777777" w:rsidTr="00A37320">
        <w:trPr>
          <w:trHeight w:val="543"/>
        </w:trPr>
        <w:tc>
          <w:tcPr>
            <w:tcW w:w="709" w:type="dxa"/>
          </w:tcPr>
          <w:p w14:paraId="470B54E0" w14:textId="77777777" w:rsidR="007E62EB" w:rsidRPr="00FC0326" w:rsidRDefault="007E62EB" w:rsidP="007E62EB">
            <w:pPr>
              <w:jc w:val="center"/>
              <w:rPr>
                <w:rFonts w:cs="Times New Roman"/>
                <w:bCs/>
                <w:sz w:val="20"/>
                <w:szCs w:val="20"/>
              </w:rPr>
            </w:pPr>
            <w:r w:rsidRPr="00FC0326">
              <w:rPr>
                <w:rFonts w:cs="Times New Roman"/>
                <w:bCs/>
                <w:sz w:val="20"/>
                <w:szCs w:val="20"/>
              </w:rPr>
              <w:t>Nr. P.k.</w:t>
            </w:r>
          </w:p>
        </w:tc>
        <w:tc>
          <w:tcPr>
            <w:tcW w:w="3686" w:type="dxa"/>
            <w:shd w:val="clear" w:color="auto" w:fill="auto"/>
          </w:tcPr>
          <w:p w14:paraId="18C3F92F" w14:textId="77777777" w:rsidR="007E62EB" w:rsidRPr="00FC0326" w:rsidRDefault="007E62EB" w:rsidP="007E62EB">
            <w:pPr>
              <w:jc w:val="center"/>
              <w:rPr>
                <w:rFonts w:cs="Times New Roman"/>
                <w:bCs/>
                <w:i/>
                <w:sz w:val="20"/>
                <w:szCs w:val="20"/>
              </w:rPr>
            </w:pPr>
            <w:r w:rsidRPr="00FC0326">
              <w:rPr>
                <w:rFonts w:cs="Times New Roman"/>
                <w:b/>
                <w:bCs/>
                <w:sz w:val="20"/>
                <w:szCs w:val="20"/>
              </w:rPr>
              <w:t>Pasākums</w:t>
            </w:r>
          </w:p>
        </w:tc>
        <w:tc>
          <w:tcPr>
            <w:tcW w:w="1559" w:type="dxa"/>
          </w:tcPr>
          <w:p w14:paraId="313B3174" w14:textId="77777777" w:rsidR="007E62EB" w:rsidRPr="00FC0326" w:rsidRDefault="007E62EB" w:rsidP="007E62EB">
            <w:pPr>
              <w:rPr>
                <w:rFonts w:cs="Times New Roman"/>
                <w:b/>
                <w:sz w:val="20"/>
                <w:szCs w:val="20"/>
              </w:rPr>
            </w:pPr>
            <w:r w:rsidRPr="00FC0326">
              <w:rPr>
                <w:rFonts w:cs="Times New Roman"/>
                <w:b/>
                <w:sz w:val="20"/>
                <w:szCs w:val="20"/>
              </w:rPr>
              <w:t>Pamatojums</w:t>
            </w:r>
          </w:p>
        </w:tc>
        <w:tc>
          <w:tcPr>
            <w:tcW w:w="2410" w:type="dxa"/>
            <w:shd w:val="clear" w:color="auto" w:fill="auto"/>
          </w:tcPr>
          <w:p w14:paraId="46E4FD84" w14:textId="77777777" w:rsidR="007E62EB" w:rsidRPr="00FC0326" w:rsidRDefault="007E62EB" w:rsidP="007E62EB">
            <w:pPr>
              <w:rPr>
                <w:rFonts w:cs="Times New Roman"/>
                <w:b/>
                <w:bCs/>
                <w:i/>
                <w:sz w:val="20"/>
                <w:szCs w:val="20"/>
              </w:rPr>
            </w:pPr>
            <w:r w:rsidRPr="00FC0326">
              <w:rPr>
                <w:rFonts w:cs="Times New Roman"/>
                <w:b/>
                <w:sz w:val="20"/>
                <w:szCs w:val="20"/>
              </w:rPr>
              <w:t>Darbības rezultāts</w:t>
            </w:r>
          </w:p>
        </w:tc>
        <w:tc>
          <w:tcPr>
            <w:tcW w:w="2693" w:type="dxa"/>
          </w:tcPr>
          <w:p w14:paraId="59DE8AA4" w14:textId="77777777" w:rsidR="007E62EB" w:rsidRPr="00FC0326" w:rsidRDefault="007E62EB" w:rsidP="007E62EB">
            <w:pPr>
              <w:jc w:val="center"/>
              <w:rPr>
                <w:rFonts w:cs="Times New Roman"/>
                <w:bCs/>
                <w:i/>
                <w:sz w:val="20"/>
                <w:szCs w:val="20"/>
              </w:rPr>
            </w:pPr>
            <w:r w:rsidRPr="00FC0326">
              <w:rPr>
                <w:rFonts w:cs="Times New Roman"/>
                <w:b/>
                <w:sz w:val="20"/>
                <w:szCs w:val="20"/>
              </w:rPr>
              <w:t>Rezultatīvais rādītājs</w:t>
            </w:r>
          </w:p>
        </w:tc>
        <w:tc>
          <w:tcPr>
            <w:tcW w:w="1159" w:type="dxa"/>
            <w:shd w:val="clear" w:color="auto" w:fill="auto"/>
          </w:tcPr>
          <w:p w14:paraId="49799FAD" w14:textId="77777777" w:rsidR="007E62EB" w:rsidRPr="00FC0326" w:rsidRDefault="007E62EB" w:rsidP="007E62EB">
            <w:pPr>
              <w:jc w:val="center"/>
              <w:rPr>
                <w:rFonts w:cs="Times New Roman"/>
                <w:bCs/>
                <w:i/>
                <w:sz w:val="20"/>
                <w:szCs w:val="20"/>
              </w:rPr>
            </w:pPr>
            <w:r w:rsidRPr="00FC0326">
              <w:rPr>
                <w:rFonts w:cs="Times New Roman"/>
                <w:b/>
                <w:bCs/>
                <w:sz w:val="20"/>
                <w:szCs w:val="20"/>
              </w:rPr>
              <w:t>Atbildīgā institūcija</w:t>
            </w:r>
          </w:p>
        </w:tc>
        <w:tc>
          <w:tcPr>
            <w:tcW w:w="1276" w:type="dxa"/>
            <w:shd w:val="clear" w:color="auto" w:fill="auto"/>
          </w:tcPr>
          <w:p w14:paraId="59EF917A" w14:textId="77777777" w:rsidR="007E62EB" w:rsidRPr="00FC0326" w:rsidRDefault="007E62EB" w:rsidP="007E62EB">
            <w:pPr>
              <w:jc w:val="center"/>
              <w:rPr>
                <w:rFonts w:cs="Times New Roman"/>
                <w:bCs/>
                <w:i/>
                <w:sz w:val="20"/>
                <w:szCs w:val="20"/>
              </w:rPr>
            </w:pPr>
            <w:r w:rsidRPr="00FC0326">
              <w:rPr>
                <w:rFonts w:cs="Times New Roman"/>
                <w:b/>
                <w:bCs/>
                <w:sz w:val="20"/>
                <w:szCs w:val="20"/>
              </w:rPr>
              <w:t>Līdz</w:t>
            </w:r>
            <w:r w:rsidR="00A37320">
              <w:rPr>
                <w:rFonts w:cs="Times New Roman"/>
                <w:b/>
                <w:bCs/>
                <w:sz w:val="20"/>
                <w:szCs w:val="20"/>
              </w:rPr>
              <w:t>-</w:t>
            </w:r>
            <w:r w:rsidRPr="00FC0326">
              <w:rPr>
                <w:rFonts w:cs="Times New Roman"/>
                <w:b/>
                <w:bCs/>
                <w:sz w:val="20"/>
                <w:szCs w:val="20"/>
              </w:rPr>
              <w:t>atbildīgās institūcijas</w:t>
            </w:r>
          </w:p>
        </w:tc>
        <w:tc>
          <w:tcPr>
            <w:tcW w:w="1417" w:type="dxa"/>
            <w:shd w:val="clear" w:color="auto" w:fill="auto"/>
          </w:tcPr>
          <w:p w14:paraId="56ACE929" w14:textId="77777777" w:rsidR="007E62EB" w:rsidRPr="00FC0326" w:rsidRDefault="007E62EB" w:rsidP="007E62EB">
            <w:pPr>
              <w:jc w:val="center"/>
              <w:rPr>
                <w:rFonts w:cs="Times New Roman"/>
                <w:bCs/>
                <w:i/>
                <w:sz w:val="20"/>
                <w:szCs w:val="20"/>
              </w:rPr>
            </w:pPr>
            <w:r w:rsidRPr="00FC0326">
              <w:rPr>
                <w:rFonts w:cs="Times New Roman"/>
                <w:b/>
                <w:bCs/>
                <w:sz w:val="20"/>
                <w:szCs w:val="20"/>
              </w:rPr>
              <w:t>Izpildes termiņš</w:t>
            </w:r>
          </w:p>
        </w:tc>
      </w:tr>
      <w:tr w:rsidR="00B95F5E" w:rsidRPr="00FC0326" w14:paraId="6419D2C8" w14:textId="77777777" w:rsidTr="00A37320">
        <w:trPr>
          <w:trHeight w:val="412"/>
        </w:trPr>
        <w:tc>
          <w:tcPr>
            <w:tcW w:w="709" w:type="dxa"/>
          </w:tcPr>
          <w:p w14:paraId="4E7D0120" w14:textId="77777777" w:rsidR="00B95F5E" w:rsidRPr="00FC0326" w:rsidRDefault="00B95F5E" w:rsidP="007E62EB">
            <w:pPr>
              <w:jc w:val="center"/>
              <w:rPr>
                <w:rFonts w:cs="Times New Roman"/>
                <w:bCs/>
                <w:sz w:val="20"/>
                <w:szCs w:val="20"/>
              </w:rPr>
            </w:pPr>
            <w:r>
              <w:rPr>
                <w:rFonts w:cs="Times New Roman"/>
                <w:bCs/>
                <w:sz w:val="20"/>
                <w:szCs w:val="20"/>
              </w:rPr>
              <w:t>3.1.</w:t>
            </w:r>
          </w:p>
        </w:tc>
        <w:tc>
          <w:tcPr>
            <w:tcW w:w="3686" w:type="dxa"/>
            <w:shd w:val="clear" w:color="auto" w:fill="auto"/>
          </w:tcPr>
          <w:p w14:paraId="2CA105C3" w14:textId="77777777" w:rsidR="00B95F5E" w:rsidRPr="00FC0326" w:rsidRDefault="00B95F5E" w:rsidP="004A7EED">
            <w:pPr>
              <w:jc w:val="both"/>
              <w:rPr>
                <w:rFonts w:cs="Times New Roman"/>
                <w:bCs/>
                <w:sz w:val="20"/>
                <w:szCs w:val="20"/>
              </w:rPr>
            </w:pPr>
            <w:r>
              <w:rPr>
                <w:rFonts w:cs="Times New Roman"/>
                <w:bCs/>
                <w:sz w:val="20"/>
                <w:szCs w:val="20"/>
              </w:rPr>
              <w:t>ABLV</w:t>
            </w:r>
            <w:r w:rsidR="00FB0D3A">
              <w:rPr>
                <w:rFonts w:cs="Times New Roman"/>
                <w:bCs/>
                <w:sz w:val="20"/>
                <w:szCs w:val="20"/>
              </w:rPr>
              <w:t xml:space="preserve"> </w:t>
            </w:r>
            <w:r>
              <w:rPr>
                <w:rFonts w:cs="Times New Roman"/>
                <w:bCs/>
                <w:sz w:val="20"/>
                <w:szCs w:val="20"/>
              </w:rPr>
              <w:t>kontrolēta pašlikvidācijas procesa ieviešana</w:t>
            </w:r>
            <w:r w:rsidR="002D7C68">
              <w:rPr>
                <w:rFonts w:cs="Times New Roman"/>
                <w:bCs/>
                <w:sz w:val="20"/>
                <w:szCs w:val="20"/>
              </w:rPr>
              <w:t>.</w:t>
            </w:r>
          </w:p>
        </w:tc>
        <w:tc>
          <w:tcPr>
            <w:tcW w:w="1559" w:type="dxa"/>
          </w:tcPr>
          <w:p w14:paraId="3866DB36" w14:textId="77777777" w:rsidR="00B95F5E" w:rsidRPr="00FC0326" w:rsidRDefault="00593258" w:rsidP="007E62EB">
            <w:pPr>
              <w:rPr>
                <w:rFonts w:cs="Times New Roman"/>
                <w:sz w:val="20"/>
                <w:szCs w:val="20"/>
              </w:rPr>
            </w:pPr>
            <w:r>
              <w:rPr>
                <w:rFonts w:cs="Times New Roman"/>
                <w:sz w:val="20"/>
                <w:szCs w:val="20"/>
              </w:rPr>
              <w:t xml:space="preserve">2018.gada 21.marta </w:t>
            </w:r>
            <w:r w:rsidR="00E64555">
              <w:rPr>
                <w:rFonts w:cs="Times New Roman"/>
                <w:sz w:val="20"/>
                <w:szCs w:val="20"/>
              </w:rPr>
              <w:t>FSAP</w:t>
            </w:r>
            <w:r w:rsidR="00FB0D3A">
              <w:rPr>
                <w:rFonts w:cs="Times New Roman"/>
                <w:sz w:val="20"/>
                <w:szCs w:val="20"/>
              </w:rPr>
              <w:t xml:space="preserve"> </w:t>
            </w:r>
            <w:r>
              <w:rPr>
                <w:rFonts w:cs="Times New Roman"/>
                <w:sz w:val="20"/>
                <w:szCs w:val="20"/>
              </w:rPr>
              <w:t>lēmums</w:t>
            </w:r>
          </w:p>
        </w:tc>
        <w:tc>
          <w:tcPr>
            <w:tcW w:w="2410" w:type="dxa"/>
            <w:shd w:val="clear" w:color="auto" w:fill="auto"/>
          </w:tcPr>
          <w:p w14:paraId="5CF48A7F" w14:textId="77777777" w:rsidR="00B95F5E" w:rsidRPr="00FC0326" w:rsidRDefault="002D7C68" w:rsidP="009B3ACE">
            <w:pPr>
              <w:jc w:val="both"/>
              <w:rPr>
                <w:rFonts w:cs="Times New Roman"/>
                <w:sz w:val="20"/>
                <w:szCs w:val="20"/>
              </w:rPr>
            </w:pPr>
            <w:r>
              <w:rPr>
                <w:rFonts w:cs="Times New Roman"/>
                <w:sz w:val="20"/>
                <w:szCs w:val="20"/>
              </w:rPr>
              <w:t>Kontrolēts</w:t>
            </w:r>
            <w:r w:rsidR="00725B4A">
              <w:rPr>
                <w:rFonts w:cs="Times New Roman"/>
                <w:sz w:val="20"/>
                <w:szCs w:val="20"/>
              </w:rPr>
              <w:t>,</w:t>
            </w:r>
            <w:r>
              <w:rPr>
                <w:rFonts w:cs="Times New Roman"/>
                <w:sz w:val="20"/>
                <w:szCs w:val="20"/>
              </w:rPr>
              <w:t xml:space="preserve"> pēc atbilstošas metodoloģijas, kas saskaņota ar stratēģiskajiem  starptautiskajiem sadarbības partneriem, ieviests pašlikvidācijas process</w:t>
            </w:r>
            <w:r w:rsidR="00C22658">
              <w:rPr>
                <w:rFonts w:cs="Times New Roman"/>
                <w:sz w:val="20"/>
                <w:szCs w:val="20"/>
              </w:rPr>
              <w:t>, nodrošinot atbilstošu aizdomīgu darījumu analīzi, finanšu līdzekļu iesaldēšanu un efektīvu sadarbību ar tiesību aizsardzības iestādēm.</w:t>
            </w:r>
          </w:p>
        </w:tc>
        <w:tc>
          <w:tcPr>
            <w:tcW w:w="2693" w:type="dxa"/>
          </w:tcPr>
          <w:p w14:paraId="2C7208D9" w14:textId="77777777" w:rsidR="00B95F5E" w:rsidRDefault="00107138" w:rsidP="003C7D93">
            <w:pPr>
              <w:jc w:val="both"/>
              <w:rPr>
                <w:rFonts w:cs="Times New Roman"/>
                <w:sz w:val="20"/>
                <w:szCs w:val="20"/>
              </w:rPr>
            </w:pPr>
            <w:r w:rsidRPr="0009140F">
              <w:rPr>
                <w:sz w:val="20"/>
                <w:szCs w:val="20"/>
              </w:rPr>
              <w:t xml:space="preserve">Regulāri vismaz 2 reizes mēnesī par </w:t>
            </w:r>
            <w:r>
              <w:rPr>
                <w:sz w:val="20"/>
                <w:szCs w:val="20"/>
              </w:rPr>
              <w:t xml:space="preserve">ABLV pašlikvidācijas </w:t>
            </w:r>
            <w:r w:rsidRPr="0009140F">
              <w:rPr>
                <w:sz w:val="20"/>
                <w:szCs w:val="20"/>
              </w:rPr>
              <w:t>procesu informēt FSAP</w:t>
            </w:r>
            <w:r w:rsidR="003C7D93">
              <w:rPr>
                <w:sz w:val="20"/>
                <w:szCs w:val="20"/>
              </w:rPr>
              <w:t>, lai nodrošinātu visu iesaistīto pušu darbības koordināciju efektīva pašlikvidācijas procesa nodrošināšanai.</w:t>
            </w:r>
          </w:p>
        </w:tc>
        <w:tc>
          <w:tcPr>
            <w:tcW w:w="1159" w:type="dxa"/>
            <w:shd w:val="clear" w:color="auto" w:fill="auto"/>
          </w:tcPr>
          <w:p w14:paraId="2DCA3716" w14:textId="77777777" w:rsidR="00B95F5E" w:rsidRPr="00FC0326" w:rsidRDefault="00B95F5E" w:rsidP="007E62EB">
            <w:pPr>
              <w:jc w:val="center"/>
              <w:rPr>
                <w:rFonts w:cs="Times New Roman"/>
                <w:bCs/>
                <w:sz w:val="20"/>
                <w:szCs w:val="20"/>
              </w:rPr>
            </w:pPr>
            <w:r>
              <w:rPr>
                <w:rFonts w:cs="Times New Roman"/>
                <w:bCs/>
                <w:sz w:val="20"/>
                <w:szCs w:val="20"/>
              </w:rPr>
              <w:t>FKTK, KD</w:t>
            </w:r>
          </w:p>
        </w:tc>
        <w:tc>
          <w:tcPr>
            <w:tcW w:w="1276" w:type="dxa"/>
            <w:shd w:val="clear" w:color="auto" w:fill="auto"/>
          </w:tcPr>
          <w:p w14:paraId="41B0210E" w14:textId="77777777" w:rsidR="00B95F5E" w:rsidRPr="00627499" w:rsidRDefault="008C762C" w:rsidP="00627499">
            <w:pPr>
              <w:jc w:val="center"/>
              <w:rPr>
                <w:sz w:val="20"/>
                <w:szCs w:val="20"/>
              </w:rPr>
            </w:pPr>
            <w:r>
              <w:rPr>
                <w:sz w:val="20"/>
                <w:szCs w:val="20"/>
              </w:rPr>
              <w:t>VP, VID, KNAB</w:t>
            </w:r>
          </w:p>
        </w:tc>
        <w:tc>
          <w:tcPr>
            <w:tcW w:w="1417" w:type="dxa"/>
            <w:shd w:val="clear" w:color="auto" w:fill="auto"/>
          </w:tcPr>
          <w:p w14:paraId="1CF0FCAA" w14:textId="77777777" w:rsidR="00B95F5E" w:rsidRDefault="00E64555" w:rsidP="00C97FF2">
            <w:pPr>
              <w:jc w:val="center"/>
              <w:rPr>
                <w:rFonts w:cs="Times New Roman"/>
                <w:bCs/>
                <w:sz w:val="20"/>
                <w:szCs w:val="20"/>
              </w:rPr>
            </w:pPr>
            <w:r>
              <w:rPr>
                <w:rFonts w:cs="Times New Roman"/>
                <w:bCs/>
                <w:sz w:val="20"/>
                <w:szCs w:val="20"/>
              </w:rPr>
              <w:t>Pastāvīgi</w:t>
            </w:r>
          </w:p>
        </w:tc>
      </w:tr>
      <w:tr w:rsidR="00005A22" w:rsidRPr="00FC0326" w14:paraId="5C78FC75" w14:textId="77777777" w:rsidTr="00A37320">
        <w:trPr>
          <w:trHeight w:val="412"/>
        </w:trPr>
        <w:tc>
          <w:tcPr>
            <w:tcW w:w="709" w:type="dxa"/>
          </w:tcPr>
          <w:p w14:paraId="4DB8385E" w14:textId="77777777" w:rsidR="00005A22" w:rsidRPr="00FC0326" w:rsidRDefault="00005A22" w:rsidP="007E62EB">
            <w:pPr>
              <w:jc w:val="center"/>
              <w:rPr>
                <w:rFonts w:cs="Times New Roman"/>
                <w:bCs/>
                <w:sz w:val="20"/>
                <w:szCs w:val="20"/>
              </w:rPr>
            </w:pPr>
            <w:r w:rsidRPr="00FC0326">
              <w:rPr>
                <w:rFonts w:cs="Times New Roman"/>
                <w:bCs/>
                <w:sz w:val="20"/>
                <w:szCs w:val="20"/>
              </w:rPr>
              <w:t>3.</w:t>
            </w:r>
            <w:r w:rsidR="00725B4A">
              <w:rPr>
                <w:rFonts w:cs="Times New Roman"/>
                <w:bCs/>
                <w:sz w:val="20"/>
                <w:szCs w:val="20"/>
              </w:rPr>
              <w:t>2</w:t>
            </w:r>
            <w:r w:rsidRPr="00FC0326">
              <w:rPr>
                <w:rFonts w:cs="Times New Roman"/>
                <w:bCs/>
                <w:sz w:val="20"/>
                <w:szCs w:val="20"/>
              </w:rPr>
              <w:t>.</w:t>
            </w:r>
          </w:p>
        </w:tc>
        <w:tc>
          <w:tcPr>
            <w:tcW w:w="3686" w:type="dxa"/>
            <w:shd w:val="clear" w:color="auto" w:fill="auto"/>
          </w:tcPr>
          <w:p w14:paraId="2F5755B3" w14:textId="77777777" w:rsidR="00D31F7B" w:rsidRPr="00FC0326" w:rsidRDefault="00005A22" w:rsidP="00D31F7B">
            <w:pPr>
              <w:jc w:val="both"/>
              <w:rPr>
                <w:rFonts w:cs="Times New Roman"/>
                <w:bCs/>
                <w:sz w:val="20"/>
                <w:szCs w:val="20"/>
              </w:rPr>
            </w:pPr>
            <w:r w:rsidRPr="00FC0326">
              <w:rPr>
                <w:rFonts w:cs="Times New Roman"/>
                <w:bCs/>
                <w:sz w:val="20"/>
                <w:szCs w:val="20"/>
              </w:rPr>
              <w:t>Izveidot meh</w:t>
            </w:r>
            <w:r w:rsidR="008B4FF0">
              <w:rPr>
                <w:rFonts w:cs="Times New Roman"/>
                <w:bCs/>
                <w:sz w:val="20"/>
                <w:szCs w:val="20"/>
              </w:rPr>
              <w:t>ānismu,</w:t>
            </w:r>
            <w:r w:rsidRPr="00FC0326">
              <w:rPr>
                <w:rFonts w:cs="Times New Roman"/>
                <w:bCs/>
                <w:sz w:val="20"/>
                <w:szCs w:val="20"/>
              </w:rPr>
              <w:t xml:space="preserve"> kas nodrošina, ka visiem uzraugiem, tai skaitā pašregulācijas iestādēm, ir vienota izpratne par </w:t>
            </w:r>
            <w:r w:rsidR="00D31F7B" w:rsidRPr="00FC0326">
              <w:rPr>
                <w:rFonts w:cs="Times New Roman"/>
                <w:bCs/>
                <w:sz w:val="20"/>
                <w:szCs w:val="20"/>
              </w:rPr>
              <w:t>NILLTF riskiem un ka tiek piemēroti adekvāti preventīvie pasākumi šo risku mazināšanai</w:t>
            </w:r>
            <w:r w:rsidR="00A45332">
              <w:rPr>
                <w:rFonts w:cs="Times New Roman"/>
                <w:bCs/>
                <w:sz w:val="20"/>
                <w:szCs w:val="20"/>
              </w:rPr>
              <w:t>. N</w:t>
            </w:r>
            <w:r w:rsidR="00D31F7B" w:rsidRPr="00FC0326">
              <w:rPr>
                <w:rFonts w:cs="Times New Roman"/>
                <w:bCs/>
                <w:sz w:val="20"/>
                <w:szCs w:val="20"/>
              </w:rPr>
              <w:t>odrošināt informācijas apmaiņu par NILLTF riskiem</w:t>
            </w:r>
          </w:p>
        </w:tc>
        <w:tc>
          <w:tcPr>
            <w:tcW w:w="1559" w:type="dxa"/>
          </w:tcPr>
          <w:p w14:paraId="447F8EEA" w14:textId="77777777" w:rsidR="00005A22" w:rsidRPr="00FC0326" w:rsidRDefault="00D31F7B" w:rsidP="007E62EB">
            <w:pPr>
              <w:rPr>
                <w:rFonts w:cs="Times New Roman"/>
                <w:sz w:val="20"/>
                <w:szCs w:val="20"/>
              </w:rPr>
            </w:pPr>
            <w:r w:rsidRPr="00FC0326">
              <w:rPr>
                <w:rFonts w:cs="Times New Roman"/>
                <w:sz w:val="20"/>
                <w:szCs w:val="20"/>
              </w:rPr>
              <w:t>Moneyval rekomendācija 3.1.</w:t>
            </w:r>
          </w:p>
        </w:tc>
        <w:tc>
          <w:tcPr>
            <w:tcW w:w="2410" w:type="dxa"/>
            <w:shd w:val="clear" w:color="auto" w:fill="auto"/>
          </w:tcPr>
          <w:p w14:paraId="6C9A8D82" w14:textId="77777777" w:rsidR="00005A22" w:rsidRPr="00FC0326" w:rsidRDefault="00D31F7B" w:rsidP="009B3ACE">
            <w:pPr>
              <w:jc w:val="both"/>
              <w:rPr>
                <w:rFonts w:cs="Times New Roman"/>
                <w:sz w:val="20"/>
                <w:szCs w:val="20"/>
              </w:rPr>
            </w:pPr>
            <w:r w:rsidRPr="00FC0326">
              <w:rPr>
                <w:rFonts w:cs="Times New Roman"/>
                <w:sz w:val="20"/>
                <w:szCs w:val="20"/>
              </w:rPr>
              <w:t>Izveidota sadarbības platforma Kontroles dienesta vadībā uzraudzības un kontroles institūciju darbības koordinēšanai</w:t>
            </w:r>
          </w:p>
        </w:tc>
        <w:tc>
          <w:tcPr>
            <w:tcW w:w="2693" w:type="dxa"/>
          </w:tcPr>
          <w:p w14:paraId="0033A0A7" w14:textId="77777777" w:rsidR="00005A22" w:rsidRPr="00FC0326" w:rsidRDefault="008F0044" w:rsidP="00A45E9A">
            <w:pPr>
              <w:jc w:val="both"/>
              <w:rPr>
                <w:rFonts w:cs="Times New Roman"/>
                <w:sz w:val="20"/>
                <w:szCs w:val="20"/>
              </w:rPr>
            </w:pPr>
            <w:r>
              <w:rPr>
                <w:rFonts w:cs="Times New Roman"/>
                <w:sz w:val="20"/>
                <w:szCs w:val="20"/>
              </w:rPr>
              <w:t xml:space="preserve">Vismaz reizi mēnesī </w:t>
            </w:r>
            <w:r w:rsidR="008D2793" w:rsidRPr="00FC0326">
              <w:rPr>
                <w:rFonts w:cs="Times New Roman"/>
                <w:sz w:val="20"/>
                <w:szCs w:val="20"/>
              </w:rPr>
              <w:t>KD organizē tikšanās ar uzraudzības un kontroles iestādēm</w:t>
            </w:r>
          </w:p>
        </w:tc>
        <w:tc>
          <w:tcPr>
            <w:tcW w:w="1159" w:type="dxa"/>
            <w:shd w:val="clear" w:color="auto" w:fill="auto"/>
          </w:tcPr>
          <w:p w14:paraId="57A6D3D9" w14:textId="77777777" w:rsidR="00005A22" w:rsidRPr="00FC0326" w:rsidRDefault="008D2793" w:rsidP="007E62EB">
            <w:pPr>
              <w:jc w:val="center"/>
              <w:rPr>
                <w:rFonts w:cs="Times New Roman"/>
                <w:bCs/>
                <w:sz w:val="20"/>
                <w:szCs w:val="20"/>
              </w:rPr>
            </w:pPr>
            <w:r w:rsidRPr="00FC0326">
              <w:rPr>
                <w:rFonts w:cs="Times New Roman"/>
                <w:bCs/>
                <w:sz w:val="20"/>
                <w:szCs w:val="20"/>
              </w:rPr>
              <w:t>KD</w:t>
            </w:r>
          </w:p>
        </w:tc>
        <w:tc>
          <w:tcPr>
            <w:tcW w:w="1276" w:type="dxa"/>
            <w:shd w:val="clear" w:color="auto" w:fill="auto"/>
          </w:tcPr>
          <w:p w14:paraId="361A19FB" w14:textId="77777777" w:rsidR="00005A22" w:rsidRPr="00627499" w:rsidRDefault="00D31F7B" w:rsidP="00865258">
            <w:pPr>
              <w:jc w:val="center"/>
              <w:rPr>
                <w:rFonts w:cs="Times New Roman"/>
                <w:bCs/>
                <w:sz w:val="20"/>
                <w:szCs w:val="20"/>
              </w:rPr>
            </w:pPr>
            <w:r w:rsidRPr="00627499">
              <w:rPr>
                <w:sz w:val="20"/>
                <w:szCs w:val="20"/>
              </w:rPr>
              <w:t xml:space="preserve">FKTK, VID, LB, IAUI, LZAP, LZNP, LZRA, </w:t>
            </w:r>
            <w:r w:rsidR="00865258">
              <w:rPr>
                <w:sz w:val="20"/>
                <w:szCs w:val="20"/>
              </w:rPr>
              <w:t>NKMP</w:t>
            </w:r>
            <w:r w:rsidRPr="00627499">
              <w:rPr>
                <w:sz w:val="20"/>
                <w:szCs w:val="20"/>
              </w:rPr>
              <w:t>, PTAC</w:t>
            </w:r>
          </w:p>
        </w:tc>
        <w:tc>
          <w:tcPr>
            <w:tcW w:w="1417" w:type="dxa"/>
            <w:shd w:val="clear" w:color="auto" w:fill="auto"/>
          </w:tcPr>
          <w:p w14:paraId="2263747F" w14:textId="77777777" w:rsidR="00005A22" w:rsidRPr="00FC0326" w:rsidRDefault="006E38D1" w:rsidP="00C97FF2">
            <w:pPr>
              <w:jc w:val="center"/>
              <w:rPr>
                <w:rFonts w:cs="Times New Roman"/>
                <w:bCs/>
                <w:sz w:val="20"/>
                <w:szCs w:val="20"/>
              </w:rPr>
            </w:pPr>
            <w:r>
              <w:rPr>
                <w:rFonts w:cs="Times New Roman"/>
                <w:bCs/>
                <w:sz w:val="20"/>
                <w:szCs w:val="20"/>
              </w:rPr>
              <w:t>Sākot ar 2018.</w:t>
            </w:r>
            <w:r w:rsidR="006C08DD" w:rsidRPr="00FC0326">
              <w:rPr>
                <w:rFonts w:cs="Times New Roman"/>
                <w:bCs/>
                <w:sz w:val="20"/>
                <w:szCs w:val="20"/>
              </w:rPr>
              <w:t xml:space="preserve">gada </w:t>
            </w:r>
            <w:r>
              <w:rPr>
                <w:rFonts w:cs="Times New Roman"/>
                <w:bCs/>
                <w:sz w:val="20"/>
                <w:szCs w:val="20"/>
              </w:rPr>
              <w:t>15.oktobri</w:t>
            </w:r>
          </w:p>
        </w:tc>
      </w:tr>
      <w:tr w:rsidR="00350DB9" w:rsidRPr="00FC0326" w14:paraId="5D9FC56B" w14:textId="77777777" w:rsidTr="00A37320">
        <w:trPr>
          <w:trHeight w:val="554"/>
        </w:trPr>
        <w:tc>
          <w:tcPr>
            <w:tcW w:w="709" w:type="dxa"/>
            <w:vMerge w:val="restart"/>
          </w:tcPr>
          <w:p w14:paraId="287A09EB" w14:textId="77777777" w:rsidR="00350DB9" w:rsidRPr="00FC0326" w:rsidRDefault="00350DB9" w:rsidP="0028738E">
            <w:pPr>
              <w:jc w:val="center"/>
              <w:rPr>
                <w:sz w:val="20"/>
                <w:szCs w:val="20"/>
              </w:rPr>
            </w:pPr>
            <w:r>
              <w:rPr>
                <w:sz w:val="20"/>
                <w:szCs w:val="20"/>
              </w:rPr>
              <w:t>3.</w:t>
            </w:r>
            <w:r w:rsidR="00725B4A">
              <w:rPr>
                <w:sz w:val="20"/>
                <w:szCs w:val="20"/>
              </w:rPr>
              <w:t>3</w:t>
            </w:r>
            <w:r w:rsidRPr="00FC0326">
              <w:rPr>
                <w:sz w:val="20"/>
                <w:szCs w:val="20"/>
              </w:rPr>
              <w:t>.</w:t>
            </w:r>
          </w:p>
        </w:tc>
        <w:tc>
          <w:tcPr>
            <w:tcW w:w="3686" w:type="dxa"/>
            <w:vMerge w:val="restart"/>
            <w:shd w:val="clear" w:color="auto" w:fill="auto"/>
          </w:tcPr>
          <w:p w14:paraId="6CDB480C" w14:textId="77777777" w:rsidR="00350DB9" w:rsidRPr="00FC0326" w:rsidRDefault="00350DB9" w:rsidP="0028738E">
            <w:pPr>
              <w:jc w:val="both"/>
              <w:rPr>
                <w:sz w:val="20"/>
                <w:szCs w:val="20"/>
              </w:rPr>
            </w:pPr>
            <w:r w:rsidRPr="00FC0326">
              <w:rPr>
                <w:sz w:val="20"/>
                <w:szCs w:val="20"/>
              </w:rPr>
              <w:t>Pārskatīt uzraugošo iestāžu darbinieku skaitu un resursus, lai nodrošinātu, ka tās spēj adekvāti pārvaldīt identificētos riskus un uzraudzīt likuma subjektu rīcību attiecībā uz riskiem</w:t>
            </w:r>
          </w:p>
        </w:tc>
        <w:tc>
          <w:tcPr>
            <w:tcW w:w="1559" w:type="dxa"/>
            <w:vMerge w:val="restart"/>
          </w:tcPr>
          <w:p w14:paraId="3367DFBC" w14:textId="77777777" w:rsidR="00350DB9" w:rsidRPr="00FC0326" w:rsidRDefault="00350DB9" w:rsidP="0028738E">
            <w:pPr>
              <w:jc w:val="both"/>
              <w:rPr>
                <w:sz w:val="20"/>
                <w:szCs w:val="20"/>
              </w:rPr>
            </w:pPr>
            <w:r w:rsidRPr="00FC0326">
              <w:rPr>
                <w:sz w:val="20"/>
                <w:szCs w:val="20"/>
              </w:rPr>
              <w:t>Moneyval rekomendācija 3.5.</w:t>
            </w:r>
          </w:p>
          <w:p w14:paraId="32FEEE03" w14:textId="77777777" w:rsidR="00350DB9" w:rsidRPr="00FC0326" w:rsidRDefault="00350DB9" w:rsidP="0028738E">
            <w:pPr>
              <w:jc w:val="both"/>
              <w:rPr>
                <w:sz w:val="20"/>
                <w:szCs w:val="20"/>
              </w:rPr>
            </w:pPr>
            <w:r w:rsidRPr="00FC0326">
              <w:rPr>
                <w:sz w:val="20"/>
                <w:szCs w:val="20"/>
              </w:rPr>
              <w:t>Pasākumu plāns 2017.-2019.g.</w:t>
            </w:r>
            <w:r>
              <w:rPr>
                <w:sz w:val="20"/>
                <w:szCs w:val="20"/>
              </w:rPr>
              <w:t xml:space="preserve"> 6.1., 6.2., 6.3.  pasākums</w:t>
            </w:r>
          </w:p>
          <w:p w14:paraId="78FDC433" w14:textId="77777777" w:rsidR="00350DB9" w:rsidRPr="00FC0326" w:rsidRDefault="00350DB9" w:rsidP="0028738E">
            <w:pPr>
              <w:jc w:val="both"/>
              <w:rPr>
                <w:sz w:val="20"/>
                <w:szCs w:val="20"/>
              </w:rPr>
            </w:pPr>
          </w:p>
        </w:tc>
        <w:tc>
          <w:tcPr>
            <w:tcW w:w="2410" w:type="dxa"/>
            <w:vMerge w:val="restart"/>
            <w:shd w:val="clear" w:color="auto" w:fill="auto"/>
          </w:tcPr>
          <w:p w14:paraId="3A5CD3EF" w14:textId="77777777" w:rsidR="00350DB9" w:rsidRPr="00FC0326" w:rsidRDefault="00350DB9" w:rsidP="00627499">
            <w:pPr>
              <w:jc w:val="both"/>
              <w:rPr>
                <w:sz w:val="20"/>
                <w:szCs w:val="20"/>
              </w:rPr>
            </w:pPr>
            <w:r>
              <w:rPr>
                <w:sz w:val="20"/>
                <w:szCs w:val="20"/>
              </w:rPr>
              <w:t>Stiprināta uzraudzības un kontroles iestāžu kapacitāte</w:t>
            </w:r>
          </w:p>
        </w:tc>
        <w:tc>
          <w:tcPr>
            <w:tcW w:w="2693" w:type="dxa"/>
          </w:tcPr>
          <w:p w14:paraId="163B57F6" w14:textId="77777777" w:rsidR="00350DB9" w:rsidRDefault="00C22658" w:rsidP="00627499">
            <w:pPr>
              <w:jc w:val="both"/>
              <w:rPr>
                <w:sz w:val="20"/>
                <w:szCs w:val="20"/>
              </w:rPr>
            </w:pPr>
            <w:r>
              <w:rPr>
                <w:sz w:val="20"/>
                <w:szCs w:val="20"/>
              </w:rPr>
              <w:t>1.I</w:t>
            </w:r>
            <w:r w:rsidR="00350DB9" w:rsidRPr="000D6C44">
              <w:rPr>
                <w:sz w:val="20"/>
                <w:szCs w:val="20"/>
              </w:rPr>
              <w:t>zveidotas 6 jaunas amata vietas FKTK Atbilstības kontroles departamentā</w:t>
            </w:r>
            <w:r w:rsidR="00823BDB">
              <w:rPr>
                <w:sz w:val="20"/>
                <w:szCs w:val="20"/>
              </w:rPr>
              <w:t>*</w:t>
            </w:r>
          </w:p>
          <w:p w14:paraId="7DAA2D90" w14:textId="77777777" w:rsidR="00823BDB" w:rsidRPr="000D6C44" w:rsidRDefault="00823BDB" w:rsidP="00627499">
            <w:pPr>
              <w:jc w:val="both"/>
              <w:rPr>
                <w:sz w:val="20"/>
                <w:szCs w:val="20"/>
              </w:rPr>
            </w:pPr>
            <w:r>
              <w:rPr>
                <w:sz w:val="20"/>
                <w:szCs w:val="20"/>
              </w:rPr>
              <w:t>*</w:t>
            </w:r>
            <w:r w:rsidRPr="00823BDB">
              <w:rPr>
                <w:sz w:val="18"/>
                <w:szCs w:val="18"/>
              </w:rPr>
              <w:t>Pēc OECD sistēmas izvērtējuma veikšanas</w:t>
            </w:r>
          </w:p>
        </w:tc>
        <w:tc>
          <w:tcPr>
            <w:tcW w:w="1159" w:type="dxa"/>
            <w:shd w:val="clear" w:color="auto" w:fill="auto"/>
          </w:tcPr>
          <w:p w14:paraId="04A2EC2C" w14:textId="77777777" w:rsidR="00350DB9" w:rsidRPr="00FC0326" w:rsidRDefault="00350DB9" w:rsidP="00627499">
            <w:pPr>
              <w:jc w:val="center"/>
              <w:rPr>
                <w:sz w:val="20"/>
                <w:szCs w:val="20"/>
              </w:rPr>
            </w:pPr>
            <w:r>
              <w:rPr>
                <w:color w:val="000000" w:themeColor="text1"/>
                <w:sz w:val="20"/>
                <w:szCs w:val="20"/>
              </w:rPr>
              <w:t>FKTK</w:t>
            </w:r>
          </w:p>
        </w:tc>
        <w:tc>
          <w:tcPr>
            <w:tcW w:w="1276" w:type="dxa"/>
            <w:shd w:val="clear" w:color="auto" w:fill="auto"/>
          </w:tcPr>
          <w:p w14:paraId="794AF506" w14:textId="77777777" w:rsidR="00350DB9" w:rsidRPr="00FC0326" w:rsidRDefault="00350DB9" w:rsidP="0028738E">
            <w:pPr>
              <w:jc w:val="center"/>
              <w:rPr>
                <w:sz w:val="20"/>
                <w:szCs w:val="20"/>
              </w:rPr>
            </w:pPr>
          </w:p>
        </w:tc>
        <w:tc>
          <w:tcPr>
            <w:tcW w:w="1417" w:type="dxa"/>
            <w:shd w:val="clear" w:color="auto" w:fill="auto"/>
          </w:tcPr>
          <w:p w14:paraId="4BA6EB5A" w14:textId="77777777" w:rsidR="00350DB9" w:rsidRPr="00FC0326" w:rsidRDefault="00350DB9" w:rsidP="00C97FF2">
            <w:pPr>
              <w:jc w:val="center"/>
              <w:rPr>
                <w:sz w:val="20"/>
                <w:szCs w:val="20"/>
              </w:rPr>
            </w:pPr>
            <w:r>
              <w:rPr>
                <w:sz w:val="20"/>
                <w:szCs w:val="20"/>
              </w:rPr>
              <w:t>2019.gada 1.janvāris</w:t>
            </w:r>
          </w:p>
        </w:tc>
      </w:tr>
      <w:tr w:rsidR="00350DB9" w:rsidRPr="00FC0326" w14:paraId="7CE63A6C" w14:textId="77777777" w:rsidTr="00A37320">
        <w:trPr>
          <w:trHeight w:val="554"/>
        </w:trPr>
        <w:tc>
          <w:tcPr>
            <w:tcW w:w="709" w:type="dxa"/>
            <w:vMerge/>
          </w:tcPr>
          <w:p w14:paraId="55657F06" w14:textId="77777777" w:rsidR="00350DB9" w:rsidRPr="00FC0326" w:rsidRDefault="00350DB9" w:rsidP="00627499">
            <w:pPr>
              <w:jc w:val="center"/>
              <w:rPr>
                <w:sz w:val="20"/>
                <w:szCs w:val="20"/>
              </w:rPr>
            </w:pPr>
          </w:p>
        </w:tc>
        <w:tc>
          <w:tcPr>
            <w:tcW w:w="3686" w:type="dxa"/>
            <w:vMerge/>
            <w:shd w:val="clear" w:color="auto" w:fill="auto"/>
          </w:tcPr>
          <w:p w14:paraId="31C6EB43" w14:textId="77777777" w:rsidR="00350DB9" w:rsidRPr="00FC0326" w:rsidRDefault="00350DB9" w:rsidP="00627499">
            <w:pPr>
              <w:jc w:val="both"/>
              <w:rPr>
                <w:sz w:val="20"/>
                <w:szCs w:val="20"/>
              </w:rPr>
            </w:pPr>
          </w:p>
        </w:tc>
        <w:tc>
          <w:tcPr>
            <w:tcW w:w="1559" w:type="dxa"/>
            <w:vMerge/>
          </w:tcPr>
          <w:p w14:paraId="373C3A43" w14:textId="77777777" w:rsidR="00350DB9" w:rsidRPr="00FC0326" w:rsidRDefault="00350DB9" w:rsidP="00627499">
            <w:pPr>
              <w:jc w:val="both"/>
              <w:rPr>
                <w:sz w:val="20"/>
                <w:szCs w:val="20"/>
              </w:rPr>
            </w:pPr>
          </w:p>
        </w:tc>
        <w:tc>
          <w:tcPr>
            <w:tcW w:w="2410" w:type="dxa"/>
            <w:vMerge/>
            <w:shd w:val="clear" w:color="auto" w:fill="auto"/>
          </w:tcPr>
          <w:p w14:paraId="1C93FCC6" w14:textId="77777777" w:rsidR="00350DB9" w:rsidRDefault="00350DB9" w:rsidP="00627499">
            <w:pPr>
              <w:jc w:val="both"/>
              <w:rPr>
                <w:sz w:val="20"/>
                <w:szCs w:val="20"/>
              </w:rPr>
            </w:pPr>
          </w:p>
        </w:tc>
        <w:tc>
          <w:tcPr>
            <w:tcW w:w="2693" w:type="dxa"/>
          </w:tcPr>
          <w:p w14:paraId="74550900" w14:textId="77777777" w:rsidR="00350DB9" w:rsidRPr="000D6C44" w:rsidRDefault="00C22658" w:rsidP="00350DB9">
            <w:pPr>
              <w:jc w:val="both"/>
              <w:rPr>
                <w:rFonts w:eastAsia="Times New Roman"/>
                <w:bCs/>
                <w:sz w:val="20"/>
                <w:szCs w:val="20"/>
                <w:lang w:eastAsia="lv-LV"/>
              </w:rPr>
            </w:pPr>
            <w:r>
              <w:rPr>
                <w:rFonts w:eastAsia="Times New Roman"/>
                <w:bCs/>
                <w:sz w:val="20"/>
                <w:szCs w:val="20"/>
                <w:lang w:eastAsia="lv-LV"/>
              </w:rPr>
              <w:t>2.</w:t>
            </w:r>
            <w:r w:rsidR="00350DB9" w:rsidRPr="000D6C44">
              <w:rPr>
                <w:rFonts w:eastAsia="Times New Roman"/>
                <w:bCs/>
                <w:sz w:val="20"/>
                <w:szCs w:val="20"/>
                <w:lang w:eastAsia="lv-LV"/>
              </w:rPr>
              <w:t xml:space="preserve">2017.gadā veiktas izmaiņas VID struktūrā, izveidojot struktūrvienību ar 21 amata vietām, tajā skaitā 10 jaunas amata vietas. </w:t>
            </w:r>
          </w:p>
          <w:p w14:paraId="7D47335E" w14:textId="77777777" w:rsidR="00350DB9" w:rsidRPr="000D6C44" w:rsidRDefault="003923D2" w:rsidP="00C8593B">
            <w:pPr>
              <w:jc w:val="both"/>
              <w:rPr>
                <w:sz w:val="20"/>
                <w:szCs w:val="20"/>
              </w:rPr>
            </w:pPr>
            <w:r w:rsidRPr="000D6C44">
              <w:rPr>
                <w:rFonts w:eastAsia="Times New Roman"/>
                <w:bCs/>
                <w:sz w:val="20"/>
                <w:szCs w:val="20"/>
                <w:lang w:eastAsia="lv-LV"/>
              </w:rPr>
              <w:lastRenderedPageBreak/>
              <w:t>2019.gadā novirzīt VID 25 amata vietas nodrošinot nelegāli iegūtu līdzekļu legalizācijas novēršanas uz riska analīzi balstītas uzraudzības funkcijas stiprināšanai</w:t>
            </w:r>
          </w:p>
        </w:tc>
        <w:tc>
          <w:tcPr>
            <w:tcW w:w="1159" w:type="dxa"/>
            <w:shd w:val="clear" w:color="auto" w:fill="auto"/>
          </w:tcPr>
          <w:p w14:paraId="2F8A8C6B" w14:textId="77777777" w:rsidR="00350DB9" w:rsidRPr="0056332C" w:rsidRDefault="00350DB9" w:rsidP="00627499">
            <w:pPr>
              <w:jc w:val="center"/>
              <w:rPr>
                <w:color w:val="000000" w:themeColor="text1"/>
                <w:sz w:val="20"/>
                <w:szCs w:val="20"/>
              </w:rPr>
            </w:pPr>
            <w:r>
              <w:rPr>
                <w:color w:val="000000" w:themeColor="text1"/>
                <w:sz w:val="20"/>
                <w:szCs w:val="20"/>
              </w:rPr>
              <w:lastRenderedPageBreak/>
              <w:t>VID</w:t>
            </w:r>
          </w:p>
        </w:tc>
        <w:tc>
          <w:tcPr>
            <w:tcW w:w="1276" w:type="dxa"/>
            <w:shd w:val="clear" w:color="auto" w:fill="auto"/>
          </w:tcPr>
          <w:p w14:paraId="7139B4AB" w14:textId="77777777" w:rsidR="00350DB9" w:rsidRPr="00FC0326" w:rsidRDefault="00350DB9" w:rsidP="00627499">
            <w:pPr>
              <w:jc w:val="center"/>
              <w:rPr>
                <w:sz w:val="20"/>
                <w:szCs w:val="20"/>
              </w:rPr>
            </w:pPr>
          </w:p>
        </w:tc>
        <w:tc>
          <w:tcPr>
            <w:tcW w:w="1417" w:type="dxa"/>
            <w:shd w:val="clear" w:color="auto" w:fill="auto"/>
          </w:tcPr>
          <w:p w14:paraId="4DD4EF1E" w14:textId="77777777" w:rsidR="00350DB9" w:rsidRPr="00FC0326" w:rsidRDefault="00350DB9" w:rsidP="00C97FF2">
            <w:pPr>
              <w:jc w:val="center"/>
              <w:rPr>
                <w:sz w:val="20"/>
                <w:szCs w:val="20"/>
              </w:rPr>
            </w:pPr>
            <w:r>
              <w:rPr>
                <w:sz w:val="20"/>
                <w:szCs w:val="20"/>
              </w:rPr>
              <w:t>2019.gada 1.janvāris</w:t>
            </w:r>
          </w:p>
        </w:tc>
      </w:tr>
      <w:tr w:rsidR="00350DB9" w:rsidRPr="00FC0326" w14:paraId="22C0DD60" w14:textId="77777777" w:rsidTr="00A37320">
        <w:trPr>
          <w:trHeight w:val="713"/>
        </w:trPr>
        <w:tc>
          <w:tcPr>
            <w:tcW w:w="709" w:type="dxa"/>
            <w:vMerge/>
          </w:tcPr>
          <w:p w14:paraId="275C29FC" w14:textId="77777777" w:rsidR="00350DB9" w:rsidRPr="00FC0326" w:rsidRDefault="00350DB9" w:rsidP="003A6E7A">
            <w:pPr>
              <w:jc w:val="center"/>
              <w:rPr>
                <w:sz w:val="20"/>
                <w:szCs w:val="20"/>
              </w:rPr>
            </w:pPr>
          </w:p>
        </w:tc>
        <w:tc>
          <w:tcPr>
            <w:tcW w:w="3686" w:type="dxa"/>
            <w:vMerge/>
            <w:shd w:val="clear" w:color="auto" w:fill="auto"/>
          </w:tcPr>
          <w:p w14:paraId="15C37FFE" w14:textId="77777777" w:rsidR="00350DB9" w:rsidRPr="00FC0326" w:rsidRDefault="00350DB9" w:rsidP="003A6E7A">
            <w:pPr>
              <w:jc w:val="both"/>
              <w:rPr>
                <w:sz w:val="20"/>
                <w:szCs w:val="20"/>
              </w:rPr>
            </w:pPr>
          </w:p>
        </w:tc>
        <w:tc>
          <w:tcPr>
            <w:tcW w:w="1559" w:type="dxa"/>
            <w:vMerge/>
          </w:tcPr>
          <w:p w14:paraId="0811E5C7" w14:textId="77777777" w:rsidR="00350DB9" w:rsidRPr="00FC0326" w:rsidRDefault="00350DB9" w:rsidP="003A6E7A">
            <w:pPr>
              <w:jc w:val="both"/>
              <w:rPr>
                <w:sz w:val="20"/>
                <w:szCs w:val="20"/>
              </w:rPr>
            </w:pPr>
          </w:p>
        </w:tc>
        <w:tc>
          <w:tcPr>
            <w:tcW w:w="2410" w:type="dxa"/>
            <w:vMerge/>
            <w:shd w:val="clear" w:color="auto" w:fill="auto"/>
          </w:tcPr>
          <w:p w14:paraId="31A8C71B" w14:textId="77777777" w:rsidR="00350DB9" w:rsidRDefault="00350DB9" w:rsidP="003A6E7A">
            <w:pPr>
              <w:jc w:val="both"/>
              <w:rPr>
                <w:sz w:val="20"/>
                <w:szCs w:val="20"/>
              </w:rPr>
            </w:pPr>
          </w:p>
        </w:tc>
        <w:tc>
          <w:tcPr>
            <w:tcW w:w="2693" w:type="dxa"/>
          </w:tcPr>
          <w:p w14:paraId="32EB190C" w14:textId="77777777" w:rsidR="00350DB9" w:rsidRPr="000D6C44" w:rsidRDefault="00C22658" w:rsidP="00505985">
            <w:pPr>
              <w:jc w:val="both"/>
              <w:rPr>
                <w:sz w:val="20"/>
                <w:szCs w:val="20"/>
              </w:rPr>
            </w:pPr>
            <w:r>
              <w:rPr>
                <w:sz w:val="20"/>
                <w:szCs w:val="20"/>
              </w:rPr>
              <w:t>3.</w:t>
            </w:r>
            <w:r w:rsidR="00350DB9" w:rsidRPr="000D6C44">
              <w:rPr>
                <w:sz w:val="20"/>
                <w:szCs w:val="20"/>
              </w:rPr>
              <w:t>2017. un 2018.gadā izveidotas 8 jaunas amata vietas PTAC, izveidojot jaunu nodaļu PTAC licencēto komercsabiedrību uzraudzībai</w:t>
            </w:r>
          </w:p>
        </w:tc>
        <w:tc>
          <w:tcPr>
            <w:tcW w:w="1159" w:type="dxa"/>
            <w:shd w:val="clear" w:color="auto" w:fill="auto"/>
          </w:tcPr>
          <w:p w14:paraId="002CAAB8" w14:textId="77777777" w:rsidR="00350DB9" w:rsidRPr="00FC0326" w:rsidRDefault="00350DB9" w:rsidP="003A6E7A">
            <w:pPr>
              <w:jc w:val="center"/>
              <w:rPr>
                <w:sz w:val="20"/>
                <w:szCs w:val="20"/>
              </w:rPr>
            </w:pPr>
            <w:r>
              <w:rPr>
                <w:sz w:val="20"/>
                <w:szCs w:val="20"/>
              </w:rPr>
              <w:t>PTAC</w:t>
            </w:r>
          </w:p>
        </w:tc>
        <w:tc>
          <w:tcPr>
            <w:tcW w:w="1276" w:type="dxa"/>
            <w:shd w:val="clear" w:color="auto" w:fill="auto"/>
          </w:tcPr>
          <w:p w14:paraId="4C9E01A7" w14:textId="77777777" w:rsidR="00350DB9" w:rsidRPr="00FC0326" w:rsidRDefault="00350DB9" w:rsidP="003A6E7A">
            <w:pPr>
              <w:rPr>
                <w:sz w:val="20"/>
                <w:szCs w:val="20"/>
              </w:rPr>
            </w:pPr>
          </w:p>
        </w:tc>
        <w:tc>
          <w:tcPr>
            <w:tcW w:w="1417" w:type="dxa"/>
            <w:shd w:val="clear" w:color="auto" w:fill="auto"/>
          </w:tcPr>
          <w:p w14:paraId="64B22EF8" w14:textId="77777777" w:rsidR="00350DB9" w:rsidRPr="00FC0326" w:rsidRDefault="00350DB9" w:rsidP="00C97FF2">
            <w:pPr>
              <w:ind w:right="-108"/>
              <w:jc w:val="center"/>
              <w:rPr>
                <w:sz w:val="20"/>
                <w:szCs w:val="20"/>
              </w:rPr>
            </w:pPr>
            <w:r>
              <w:rPr>
                <w:sz w:val="20"/>
                <w:szCs w:val="20"/>
              </w:rPr>
              <w:t>2018.gada 1.janvāris</w:t>
            </w:r>
          </w:p>
        </w:tc>
      </w:tr>
      <w:tr w:rsidR="00350DB9" w:rsidRPr="00FC0326" w14:paraId="7D40D33E" w14:textId="77777777" w:rsidTr="00A37320">
        <w:trPr>
          <w:trHeight w:val="952"/>
        </w:trPr>
        <w:tc>
          <w:tcPr>
            <w:tcW w:w="709" w:type="dxa"/>
            <w:vMerge/>
          </w:tcPr>
          <w:p w14:paraId="5BF97A53" w14:textId="77777777" w:rsidR="00350DB9" w:rsidRPr="00FC0326" w:rsidRDefault="00350DB9" w:rsidP="00627499">
            <w:pPr>
              <w:jc w:val="center"/>
              <w:rPr>
                <w:sz w:val="20"/>
                <w:szCs w:val="20"/>
              </w:rPr>
            </w:pPr>
          </w:p>
        </w:tc>
        <w:tc>
          <w:tcPr>
            <w:tcW w:w="3686" w:type="dxa"/>
            <w:vMerge/>
            <w:shd w:val="clear" w:color="auto" w:fill="auto"/>
          </w:tcPr>
          <w:p w14:paraId="0CD6A2D0" w14:textId="77777777" w:rsidR="00350DB9" w:rsidRPr="00FC0326" w:rsidRDefault="00350DB9" w:rsidP="00627499">
            <w:pPr>
              <w:jc w:val="both"/>
              <w:rPr>
                <w:sz w:val="20"/>
                <w:szCs w:val="20"/>
              </w:rPr>
            </w:pPr>
          </w:p>
        </w:tc>
        <w:tc>
          <w:tcPr>
            <w:tcW w:w="1559" w:type="dxa"/>
            <w:vMerge/>
          </w:tcPr>
          <w:p w14:paraId="2130C52E" w14:textId="77777777" w:rsidR="00350DB9" w:rsidRPr="00FC0326" w:rsidRDefault="00350DB9" w:rsidP="00627499">
            <w:pPr>
              <w:jc w:val="both"/>
              <w:rPr>
                <w:sz w:val="20"/>
                <w:szCs w:val="20"/>
              </w:rPr>
            </w:pPr>
          </w:p>
        </w:tc>
        <w:tc>
          <w:tcPr>
            <w:tcW w:w="2410" w:type="dxa"/>
            <w:vMerge/>
            <w:shd w:val="clear" w:color="auto" w:fill="auto"/>
          </w:tcPr>
          <w:p w14:paraId="6709315A" w14:textId="77777777" w:rsidR="00350DB9" w:rsidRDefault="00350DB9" w:rsidP="00627499">
            <w:pPr>
              <w:jc w:val="both"/>
              <w:rPr>
                <w:sz w:val="20"/>
                <w:szCs w:val="20"/>
              </w:rPr>
            </w:pPr>
          </w:p>
        </w:tc>
        <w:tc>
          <w:tcPr>
            <w:tcW w:w="2693" w:type="dxa"/>
          </w:tcPr>
          <w:p w14:paraId="66B73A03" w14:textId="77777777" w:rsidR="00350DB9" w:rsidRPr="000D6C44" w:rsidRDefault="00C22658" w:rsidP="009B3ACE">
            <w:pPr>
              <w:jc w:val="both"/>
              <w:rPr>
                <w:sz w:val="20"/>
                <w:szCs w:val="20"/>
              </w:rPr>
            </w:pPr>
            <w:r>
              <w:rPr>
                <w:sz w:val="20"/>
                <w:szCs w:val="20"/>
              </w:rPr>
              <w:t>4.</w:t>
            </w:r>
            <w:r w:rsidR="00350DB9" w:rsidRPr="000D6C44">
              <w:rPr>
                <w:sz w:val="20"/>
                <w:szCs w:val="20"/>
              </w:rPr>
              <w:t>2018.gadā IAUI izveidota jauna amata vieta ar specializāciju NILLTFN jautājumos</w:t>
            </w:r>
          </w:p>
        </w:tc>
        <w:tc>
          <w:tcPr>
            <w:tcW w:w="1159" w:type="dxa"/>
            <w:shd w:val="clear" w:color="auto" w:fill="auto"/>
          </w:tcPr>
          <w:p w14:paraId="1E3969A5" w14:textId="77777777" w:rsidR="00350DB9" w:rsidRPr="00FC0326" w:rsidRDefault="00350DB9" w:rsidP="00627499">
            <w:pPr>
              <w:jc w:val="center"/>
              <w:rPr>
                <w:sz w:val="20"/>
                <w:szCs w:val="20"/>
              </w:rPr>
            </w:pPr>
            <w:r>
              <w:rPr>
                <w:sz w:val="20"/>
                <w:szCs w:val="20"/>
              </w:rPr>
              <w:t>IAUI</w:t>
            </w:r>
          </w:p>
        </w:tc>
        <w:tc>
          <w:tcPr>
            <w:tcW w:w="1276" w:type="dxa"/>
            <w:shd w:val="clear" w:color="auto" w:fill="auto"/>
          </w:tcPr>
          <w:p w14:paraId="1B96AFA4" w14:textId="77777777" w:rsidR="00350DB9" w:rsidRPr="00FC0326" w:rsidRDefault="00350DB9" w:rsidP="00627499">
            <w:pPr>
              <w:rPr>
                <w:sz w:val="20"/>
                <w:szCs w:val="20"/>
              </w:rPr>
            </w:pPr>
          </w:p>
        </w:tc>
        <w:tc>
          <w:tcPr>
            <w:tcW w:w="1417" w:type="dxa"/>
            <w:shd w:val="clear" w:color="auto" w:fill="auto"/>
          </w:tcPr>
          <w:p w14:paraId="7EDCF21A" w14:textId="77777777" w:rsidR="00350DB9" w:rsidRPr="00FC0326" w:rsidRDefault="00350DB9" w:rsidP="00C97FF2">
            <w:pPr>
              <w:ind w:right="-108"/>
              <w:jc w:val="center"/>
              <w:rPr>
                <w:sz w:val="20"/>
                <w:szCs w:val="20"/>
              </w:rPr>
            </w:pPr>
            <w:r>
              <w:rPr>
                <w:sz w:val="20"/>
                <w:szCs w:val="20"/>
              </w:rPr>
              <w:t>2018.gada 1.janvāris</w:t>
            </w:r>
          </w:p>
        </w:tc>
      </w:tr>
      <w:tr w:rsidR="00350DB9" w:rsidRPr="00FC0326" w14:paraId="0D533246" w14:textId="77777777" w:rsidTr="00A37320">
        <w:trPr>
          <w:trHeight w:val="589"/>
        </w:trPr>
        <w:tc>
          <w:tcPr>
            <w:tcW w:w="709" w:type="dxa"/>
            <w:vMerge/>
          </w:tcPr>
          <w:p w14:paraId="3AF4DED8" w14:textId="77777777" w:rsidR="00350DB9" w:rsidRPr="00FC0326" w:rsidRDefault="00350DB9" w:rsidP="00350DB9">
            <w:pPr>
              <w:jc w:val="center"/>
              <w:rPr>
                <w:sz w:val="20"/>
                <w:szCs w:val="20"/>
              </w:rPr>
            </w:pPr>
          </w:p>
        </w:tc>
        <w:tc>
          <w:tcPr>
            <w:tcW w:w="3686" w:type="dxa"/>
            <w:vMerge/>
            <w:shd w:val="clear" w:color="auto" w:fill="auto"/>
          </w:tcPr>
          <w:p w14:paraId="5F15DEE8" w14:textId="77777777" w:rsidR="00350DB9" w:rsidRPr="00FC0326" w:rsidRDefault="00350DB9" w:rsidP="00350DB9">
            <w:pPr>
              <w:jc w:val="both"/>
              <w:rPr>
                <w:sz w:val="20"/>
                <w:szCs w:val="20"/>
              </w:rPr>
            </w:pPr>
          </w:p>
        </w:tc>
        <w:tc>
          <w:tcPr>
            <w:tcW w:w="1559" w:type="dxa"/>
            <w:vMerge/>
          </w:tcPr>
          <w:p w14:paraId="65154D56" w14:textId="77777777" w:rsidR="00350DB9" w:rsidRPr="00FC0326" w:rsidRDefault="00350DB9" w:rsidP="00350DB9">
            <w:pPr>
              <w:jc w:val="both"/>
              <w:rPr>
                <w:sz w:val="20"/>
                <w:szCs w:val="20"/>
              </w:rPr>
            </w:pPr>
          </w:p>
        </w:tc>
        <w:tc>
          <w:tcPr>
            <w:tcW w:w="2410" w:type="dxa"/>
            <w:vMerge/>
            <w:shd w:val="clear" w:color="auto" w:fill="auto"/>
          </w:tcPr>
          <w:p w14:paraId="7D44BB06" w14:textId="77777777" w:rsidR="00350DB9" w:rsidRDefault="00350DB9" w:rsidP="00350DB9">
            <w:pPr>
              <w:jc w:val="both"/>
              <w:rPr>
                <w:sz w:val="20"/>
                <w:szCs w:val="20"/>
              </w:rPr>
            </w:pPr>
          </w:p>
        </w:tc>
        <w:tc>
          <w:tcPr>
            <w:tcW w:w="2693" w:type="dxa"/>
          </w:tcPr>
          <w:p w14:paraId="50C7CCC4" w14:textId="77777777" w:rsidR="00350DB9" w:rsidRPr="000D6C44" w:rsidRDefault="00C22658" w:rsidP="009B3ACE">
            <w:pPr>
              <w:jc w:val="both"/>
              <w:rPr>
                <w:sz w:val="20"/>
                <w:szCs w:val="20"/>
              </w:rPr>
            </w:pPr>
            <w:r>
              <w:rPr>
                <w:sz w:val="20"/>
                <w:szCs w:val="20"/>
              </w:rPr>
              <w:t>5.</w:t>
            </w:r>
            <w:r w:rsidR="00350DB9" w:rsidRPr="000D6C44">
              <w:rPr>
                <w:sz w:val="20"/>
                <w:szCs w:val="20"/>
              </w:rPr>
              <w:t xml:space="preserve">2019.gadā izveidotas 3 jaunas amata vietas </w:t>
            </w:r>
            <w:r w:rsidR="00350DB9" w:rsidRPr="000D6C44">
              <w:rPr>
                <w:rFonts w:eastAsia="Times New Roman"/>
                <w:bCs/>
                <w:sz w:val="20"/>
                <w:szCs w:val="20"/>
                <w:lang w:eastAsia="lv-LV"/>
              </w:rPr>
              <w:t>NKMP</w:t>
            </w:r>
          </w:p>
        </w:tc>
        <w:tc>
          <w:tcPr>
            <w:tcW w:w="1159" w:type="dxa"/>
            <w:shd w:val="clear" w:color="auto" w:fill="auto"/>
          </w:tcPr>
          <w:p w14:paraId="1C075126" w14:textId="77777777" w:rsidR="00350DB9" w:rsidRPr="00FC0326" w:rsidRDefault="00350DB9" w:rsidP="00350DB9">
            <w:pPr>
              <w:jc w:val="center"/>
              <w:rPr>
                <w:sz w:val="20"/>
                <w:szCs w:val="20"/>
              </w:rPr>
            </w:pPr>
            <w:r>
              <w:rPr>
                <w:color w:val="000000" w:themeColor="text1"/>
                <w:sz w:val="20"/>
                <w:szCs w:val="20"/>
              </w:rPr>
              <w:t>NKMP</w:t>
            </w:r>
          </w:p>
        </w:tc>
        <w:tc>
          <w:tcPr>
            <w:tcW w:w="1276" w:type="dxa"/>
            <w:shd w:val="clear" w:color="auto" w:fill="auto"/>
          </w:tcPr>
          <w:p w14:paraId="5FC0DF64" w14:textId="77777777" w:rsidR="00350DB9" w:rsidRPr="00FC0326" w:rsidRDefault="00350DB9" w:rsidP="00350DB9">
            <w:pPr>
              <w:rPr>
                <w:sz w:val="20"/>
                <w:szCs w:val="20"/>
              </w:rPr>
            </w:pPr>
          </w:p>
        </w:tc>
        <w:tc>
          <w:tcPr>
            <w:tcW w:w="1417" w:type="dxa"/>
            <w:shd w:val="clear" w:color="auto" w:fill="auto"/>
          </w:tcPr>
          <w:p w14:paraId="0546EF33" w14:textId="77777777" w:rsidR="00350DB9" w:rsidRPr="00FC0326" w:rsidRDefault="00350DB9" w:rsidP="00C97FF2">
            <w:pPr>
              <w:ind w:right="-108"/>
              <w:jc w:val="center"/>
              <w:rPr>
                <w:sz w:val="20"/>
                <w:szCs w:val="20"/>
              </w:rPr>
            </w:pPr>
            <w:r>
              <w:rPr>
                <w:sz w:val="20"/>
                <w:szCs w:val="20"/>
              </w:rPr>
              <w:t>2019.gada 1.janvāris</w:t>
            </w:r>
          </w:p>
        </w:tc>
      </w:tr>
      <w:tr w:rsidR="00350DB9" w:rsidRPr="00FC0326" w14:paraId="4D6679DD" w14:textId="77777777" w:rsidTr="00A37320">
        <w:trPr>
          <w:trHeight w:val="1270"/>
        </w:trPr>
        <w:tc>
          <w:tcPr>
            <w:tcW w:w="709" w:type="dxa"/>
            <w:vMerge w:val="restart"/>
          </w:tcPr>
          <w:p w14:paraId="4BBC6A7D" w14:textId="77777777" w:rsidR="00350DB9" w:rsidRPr="00FC0326" w:rsidRDefault="00350DB9" w:rsidP="00350DB9">
            <w:pPr>
              <w:jc w:val="center"/>
              <w:rPr>
                <w:sz w:val="20"/>
                <w:szCs w:val="20"/>
              </w:rPr>
            </w:pPr>
            <w:r w:rsidRPr="00FC0326">
              <w:rPr>
                <w:sz w:val="20"/>
                <w:szCs w:val="20"/>
              </w:rPr>
              <w:t>3.</w:t>
            </w:r>
            <w:r w:rsidR="00725B4A">
              <w:rPr>
                <w:sz w:val="20"/>
                <w:szCs w:val="20"/>
              </w:rPr>
              <w:t>4</w:t>
            </w:r>
            <w:r w:rsidRPr="00FC0326">
              <w:rPr>
                <w:sz w:val="20"/>
                <w:szCs w:val="20"/>
              </w:rPr>
              <w:t>.</w:t>
            </w:r>
          </w:p>
        </w:tc>
        <w:tc>
          <w:tcPr>
            <w:tcW w:w="3686" w:type="dxa"/>
            <w:vMerge w:val="restart"/>
            <w:shd w:val="clear" w:color="auto" w:fill="auto"/>
          </w:tcPr>
          <w:p w14:paraId="164E2D0E" w14:textId="77777777" w:rsidR="00350DB9" w:rsidRPr="00FC0326" w:rsidRDefault="00350DB9" w:rsidP="00350DB9">
            <w:pPr>
              <w:jc w:val="both"/>
              <w:rPr>
                <w:sz w:val="20"/>
                <w:szCs w:val="20"/>
              </w:rPr>
            </w:pPr>
            <w:r w:rsidRPr="00FC0326">
              <w:rPr>
                <w:sz w:val="20"/>
                <w:szCs w:val="20"/>
              </w:rPr>
              <w:t xml:space="preserve">Būtiski palielināt NILLTFN </w:t>
            </w:r>
            <w:r>
              <w:rPr>
                <w:sz w:val="20"/>
                <w:szCs w:val="20"/>
              </w:rPr>
              <w:t>klātienes</w:t>
            </w:r>
            <w:r w:rsidRPr="00FC0326">
              <w:rPr>
                <w:sz w:val="20"/>
                <w:szCs w:val="20"/>
              </w:rPr>
              <w:t xml:space="preserve"> pārbaužu skaitu ārvalstu klientu </w:t>
            </w:r>
            <w:r w:rsidR="00A45332">
              <w:rPr>
                <w:sz w:val="20"/>
                <w:szCs w:val="20"/>
              </w:rPr>
              <w:t>ap</w:t>
            </w:r>
            <w:r w:rsidRPr="00FC0326">
              <w:rPr>
                <w:sz w:val="20"/>
                <w:szCs w:val="20"/>
              </w:rPr>
              <w:t>kalpojošās kredītiestādēs un pārstāvniecībās</w:t>
            </w:r>
          </w:p>
          <w:p w14:paraId="50233E4A" w14:textId="77777777" w:rsidR="00350DB9" w:rsidRPr="00FC0326" w:rsidRDefault="00350DB9" w:rsidP="00350DB9">
            <w:pPr>
              <w:jc w:val="both"/>
              <w:rPr>
                <w:sz w:val="20"/>
                <w:szCs w:val="20"/>
              </w:rPr>
            </w:pPr>
            <w:r w:rsidRPr="00FC0326">
              <w:rPr>
                <w:sz w:val="20"/>
                <w:szCs w:val="20"/>
              </w:rPr>
              <w:t xml:space="preserve"> </w:t>
            </w:r>
          </w:p>
        </w:tc>
        <w:tc>
          <w:tcPr>
            <w:tcW w:w="1559" w:type="dxa"/>
            <w:vMerge w:val="restart"/>
          </w:tcPr>
          <w:p w14:paraId="73196C4E" w14:textId="77777777" w:rsidR="00350DB9" w:rsidRDefault="00350DB9" w:rsidP="00350DB9">
            <w:pPr>
              <w:jc w:val="both"/>
              <w:rPr>
                <w:sz w:val="20"/>
                <w:szCs w:val="20"/>
              </w:rPr>
            </w:pPr>
            <w:r w:rsidRPr="00FC0326">
              <w:rPr>
                <w:sz w:val="20"/>
                <w:szCs w:val="20"/>
              </w:rPr>
              <w:t>Moneyval rekomendācija 3.2.</w:t>
            </w:r>
          </w:p>
          <w:p w14:paraId="315CDADB" w14:textId="77777777" w:rsidR="00350DB9" w:rsidRPr="00FC0326" w:rsidRDefault="00350DB9" w:rsidP="00350DB9">
            <w:pPr>
              <w:jc w:val="both"/>
              <w:rPr>
                <w:sz w:val="20"/>
                <w:szCs w:val="20"/>
              </w:rPr>
            </w:pPr>
            <w:r w:rsidRPr="00FC0326">
              <w:rPr>
                <w:sz w:val="20"/>
                <w:szCs w:val="20"/>
              </w:rPr>
              <w:t>Pasākumu plāns 2017.-2019.g.</w:t>
            </w:r>
            <w:r>
              <w:rPr>
                <w:sz w:val="20"/>
                <w:szCs w:val="20"/>
              </w:rPr>
              <w:t xml:space="preserve"> 6.6 p. pasākums</w:t>
            </w:r>
            <w:r w:rsidRPr="00FC0326">
              <w:rPr>
                <w:sz w:val="20"/>
                <w:szCs w:val="20"/>
              </w:rPr>
              <w:t xml:space="preserve"> </w:t>
            </w:r>
          </w:p>
        </w:tc>
        <w:tc>
          <w:tcPr>
            <w:tcW w:w="2410" w:type="dxa"/>
            <w:vMerge w:val="restart"/>
            <w:shd w:val="clear" w:color="auto" w:fill="auto"/>
          </w:tcPr>
          <w:p w14:paraId="5244DA66" w14:textId="77777777" w:rsidR="00350DB9" w:rsidRDefault="00350DB9" w:rsidP="00350DB9">
            <w:pPr>
              <w:jc w:val="both"/>
              <w:rPr>
                <w:sz w:val="20"/>
                <w:szCs w:val="20"/>
              </w:rPr>
            </w:pPr>
            <w:r>
              <w:rPr>
                <w:sz w:val="20"/>
                <w:szCs w:val="20"/>
              </w:rPr>
              <w:t>Efektivizēts uzraudzības process, nodrošinot ātrāku un lielāka apjoma datu apstrādi;</w:t>
            </w:r>
          </w:p>
          <w:p w14:paraId="367B68E7" w14:textId="77777777" w:rsidR="00350DB9" w:rsidRPr="00FC0326" w:rsidRDefault="00350DB9" w:rsidP="00350DB9">
            <w:pPr>
              <w:jc w:val="both"/>
              <w:rPr>
                <w:sz w:val="20"/>
                <w:szCs w:val="20"/>
              </w:rPr>
            </w:pPr>
            <w:r>
              <w:rPr>
                <w:rFonts w:eastAsia="Times New Roman"/>
                <w:sz w:val="20"/>
                <w:szCs w:val="20"/>
              </w:rPr>
              <w:t>Ieviests IT risinājums analītisko datu apstrādei un pārbaužu metodoloģijā noteikti konkrēti riski;</w:t>
            </w:r>
          </w:p>
          <w:p w14:paraId="37742456" w14:textId="77777777" w:rsidR="00350DB9" w:rsidRDefault="00350DB9" w:rsidP="00350DB9">
            <w:pPr>
              <w:jc w:val="both"/>
              <w:rPr>
                <w:sz w:val="20"/>
                <w:szCs w:val="20"/>
              </w:rPr>
            </w:pPr>
            <w:r w:rsidRPr="00FC0326">
              <w:rPr>
                <w:sz w:val="20"/>
                <w:szCs w:val="20"/>
              </w:rPr>
              <w:t xml:space="preserve">Veiktas </w:t>
            </w:r>
            <w:r>
              <w:rPr>
                <w:sz w:val="20"/>
                <w:szCs w:val="20"/>
              </w:rPr>
              <w:t>uzraudzības</w:t>
            </w:r>
            <w:r w:rsidRPr="00FC0326">
              <w:rPr>
                <w:sz w:val="20"/>
                <w:szCs w:val="20"/>
              </w:rPr>
              <w:t xml:space="preserve"> pārbaudes</w:t>
            </w:r>
          </w:p>
          <w:p w14:paraId="7DA2B67A" w14:textId="77777777" w:rsidR="00350DB9" w:rsidRPr="00FC0326" w:rsidRDefault="00350DB9" w:rsidP="00350DB9">
            <w:pPr>
              <w:jc w:val="both"/>
              <w:rPr>
                <w:sz w:val="20"/>
                <w:szCs w:val="20"/>
              </w:rPr>
            </w:pPr>
          </w:p>
        </w:tc>
        <w:tc>
          <w:tcPr>
            <w:tcW w:w="2693" w:type="dxa"/>
          </w:tcPr>
          <w:p w14:paraId="663F7236" w14:textId="77777777" w:rsidR="00350DB9" w:rsidRPr="00FC0326" w:rsidRDefault="00C22658" w:rsidP="009B3ACE">
            <w:pPr>
              <w:jc w:val="both"/>
              <w:rPr>
                <w:sz w:val="20"/>
                <w:szCs w:val="20"/>
              </w:rPr>
            </w:pPr>
            <w:r>
              <w:rPr>
                <w:sz w:val="20"/>
                <w:szCs w:val="20"/>
              </w:rPr>
              <w:t>1.</w:t>
            </w:r>
            <w:r w:rsidR="00350DB9">
              <w:rPr>
                <w:sz w:val="20"/>
                <w:szCs w:val="20"/>
              </w:rPr>
              <w:t>Automātiskais datu skrīnings pret sankciju (ES, OFAC, ANO) un PNP sarakstiem (</w:t>
            </w:r>
            <w:r w:rsidR="00350DB9" w:rsidRPr="009B3ACE">
              <w:rPr>
                <w:i/>
                <w:sz w:val="20"/>
                <w:szCs w:val="20"/>
              </w:rPr>
              <w:t>Accuity com</w:t>
            </w:r>
            <w:r w:rsidR="005D0CCC">
              <w:rPr>
                <w:i/>
                <w:sz w:val="20"/>
                <w:szCs w:val="20"/>
              </w:rPr>
              <w:t>p</w:t>
            </w:r>
            <w:r w:rsidR="00350DB9" w:rsidRPr="009B3ACE">
              <w:rPr>
                <w:i/>
                <w:sz w:val="20"/>
                <w:szCs w:val="20"/>
              </w:rPr>
              <w:t>liance link</w:t>
            </w:r>
            <w:r w:rsidR="00350DB9">
              <w:rPr>
                <w:sz w:val="20"/>
                <w:szCs w:val="20"/>
              </w:rPr>
              <w:t>)</w:t>
            </w:r>
          </w:p>
        </w:tc>
        <w:tc>
          <w:tcPr>
            <w:tcW w:w="1159" w:type="dxa"/>
            <w:shd w:val="clear" w:color="auto" w:fill="auto"/>
          </w:tcPr>
          <w:p w14:paraId="2B0D6041" w14:textId="77777777" w:rsidR="00350DB9" w:rsidRPr="00FC0326" w:rsidRDefault="00350DB9" w:rsidP="00350DB9">
            <w:pPr>
              <w:jc w:val="center"/>
              <w:rPr>
                <w:sz w:val="20"/>
                <w:szCs w:val="20"/>
              </w:rPr>
            </w:pPr>
            <w:r w:rsidRPr="00FC0326">
              <w:rPr>
                <w:sz w:val="20"/>
                <w:szCs w:val="20"/>
              </w:rPr>
              <w:t>FKTK</w:t>
            </w:r>
          </w:p>
        </w:tc>
        <w:tc>
          <w:tcPr>
            <w:tcW w:w="1276" w:type="dxa"/>
            <w:shd w:val="clear" w:color="auto" w:fill="auto"/>
          </w:tcPr>
          <w:p w14:paraId="3B3260E6" w14:textId="77777777" w:rsidR="00350DB9" w:rsidRPr="00FC0326" w:rsidRDefault="00350DB9" w:rsidP="00350DB9">
            <w:pPr>
              <w:rPr>
                <w:sz w:val="20"/>
                <w:szCs w:val="20"/>
              </w:rPr>
            </w:pPr>
          </w:p>
        </w:tc>
        <w:tc>
          <w:tcPr>
            <w:tcW w:w="1417" w:type="dxa"/>
            <w:shd w:val="clear" w:color="auto" w:fill="auto"/>
          </w:tcPr>
          <w:p w14:paraId="16BC35BE" w14:textId="77777777" w:rsidR="00350DB9" w:rsidRPr="00FC0326" w:rsidRDefault="00350DB9" w:rsidP="00C97FF2">
            <w:pPr>
              <w:ind w:right="-108"/>
              <w:jc w:val="center"/>
              <w:rPr>
                <w:sz w:val="20"/>
                <w:szCs w:val="20"/>
              </w:rPr>
            </w:pPr>
            <w:r w:rsidRPr="00FC0326">
              <w:rPr>
                <w:sz w:val="20"/>
                <w:szCs w:val="20"/>
              </w:rPr>
              <w:t>201</w:t>
            </w:r>
            <w:r>
              <w:rPr>
                <w:sz w:val="20"/>
                <w:szCs w:val="20"/>
              </w:rPr>
              <w:t>8</w:t>
            </w:r>
            <w:r w:rsidRPr="00FC0326">
              <w:rPr>
                <w:sz w:val="20"/>
                <w:szCs w:val="20"/>
              </w:rPr>
              <w:t>.gada 31.decembris</w:t>
            </w:r>
          </w:p>
        </w:tc>
      </w:tr>
      <w:tr w:rsidR="00350DB9" w:rsidRPr="00FC0326" w14:paraId="79E059D5" w14:textId="77777777" w:rsidTr="00A37320">
        <w:trPr>
          <w:trHeight w:val="58"/>
        </w:trPr>
        <w:tc>
          <w:tcPr>
            <w:tcW w:w="709" w:type="dxa"/>
            <w:vMerge/>
          </w:tcPr>
          <w:p w14:paraId="6F5DE3D5" w14:textId="77777777" w:rsidR="00350DB9" w:rsidRPr="00FC0326" w:rsidRDefault="00350DB9" w:rsidP="00350DB9">
            <w:pPr>
              <w:jc w:val="center"/>
              <w:rPr>
                <w:sz w:val="20"/>
                <w:szCs w:val="20"/>
              </w:rPr>
            </w:pPr>
          </w:p>
        </w:tc>
        <w:tc>
          <w:tcPr>
            <w:tcW w:w="3686" w:type="dxa"/>
            <w:vMerge/>
            <w:shd w:val="clear" w:color="auto" w:fill="auto"/>
          </w:tcPr>
          <w:p w14:paraId="7FFA4654" w14:textId="77777777" w:rsidR="00350DB9" w:rsidRPr="00FC0326" w:rsidRDefault="00350DB9" w:rsidP="00350DB9">
            <w:pPr>
              <w:jc w:val="both"/>
              <w:rPr>
                <w:sz w:val="20"/>
                <w:szCs w:val="20"/>
              </w:rPr>
            </w:pPr>
          </w:p>
        </w:tc>
        <w:tc>
          <w:tcPr>
            <w:tcW w:w="1559" w:type="dxa"/>
            <w:vMerge/>
          </w:tcPr>
          <w:p w14:paraId="3F6910B5" w14:textId="77777777" w:rsidR="00350DB9" w:rsidRPr="00FC0326" w:rsidRDefault="00350DB9" w:rsidP="00350DB9">
            <w:pPr>
              <w:jc w:val="both"/>
              <w:rPr>
                <w:sz w:val="20"/>
                <w:szCs w:val="20"/>
              </w:rPr>
            </w:pPr>
          </w:p>
        </w:tc>
        <w:tc>
          <w:tcPr>
            <w:tcW w:w="2410" w:type="dxa"/>
            <w:vMerge/>
            <w:shd w:val="clear" w:color="auto" w:fill="auto"/>
          </w:tcPr>
          <w:p w14:paraId="3CB2C3E6" w14:textId="77777777" w:rsidR="00350DB9" w:rsidRPr="00FC0326" w:rsidRDefault="00350DB9" w:rsidP="00350DB9">
            <w:pPr>
              <w:jc w:val="both"/>
              <w:rPr>
                <w:sz w:val="20"/>
                <w:szCs w:val="20"/>
              </w:rPr>
            </w:pPr>
          </w:p>
        </w:tc>
        <w:tc>
          <w:tcPr>
            <w:tcW w:w="2693" w:type="dxa"/>
          </w:tcPr>
          <w:p w14:paraId="311227B8" w14:textId="77777777" w:rsidR="00350DB9" w:rsidRDefault="00C22658" w:rsidP="009B3ACE">
            <w:pPr>
              <w:jc w:val="both"/>
              <w:rPr>
                <w:rFonts w:eastAsia="Times New Roman"/>
                <w:sz w:val="20"/>
                <w:szCs w:val="20"/>
              </w:rPr>
            </w:pPr>
            <w:r>
              <w:rPr>
                <w:rFonts w:eastAsia="Times New Roman"/>
                <w:sz w:val="20"/>
                <w:szCs w:val="20"/>
              </w:rPr>
              <w:t>2.</w:t>
            </w:r>
            <w:r w:rsidR="00350DB9">
              <w:rPr>
                <w:rFonts w:eastAsia="Times New Roman"/>
                <w:sz w:val="20"/>
                <w:szCs w:val="20"/>
              </w:rPr>
              <w:t>Iespējamo naudas atmazgāšanas shēmu un starptautisko sankciju prasību neizpildes apiešanas, aizdomīgo darījumu tipoloģiju identifikācijas un analīzes rīki (IBMI2)</w:t>
            </w:r>
          </w:p>
        </w:tc>
        <w:tc>
          <w:tcPr>
            <w:tcW w:w="1159" w:type="dxa"/>
            <w:shd w:val="clear" w:color="auto" w:fill="auto"/>
          </w:tcPr>
          <w:p w14:paraId="208A9D88" w14:textId="77777777" w:rsidR="00350DB9" w:rsidRPr="00FC0326" w:rsidRDefault="00350DB9" w:rsidP="00350DB9">
            <w:pPr>
              <w:jc w:val="center"/>
              <w:rPr>
                <w:sz w:val="20"/>
                <w:szCs w:val="20"/>
              </w:rPr>
            </w:pPr>
            <w:r>
              <w:rPr>
                <w:sz w:val="20"/>
                <w:szCs w:val="20"/>
              </w:rPr>
              <w:t>FKTK</w:t>
            </w:r>
          </w:p>
        </w:tc>
        <w:tc>
          <w:tcPr>
            <w:tcW w:w="1276" w:type="dxa"/>
            <w:shd w:val="clear" w:color="auto" w:fill="auto"/>
          </w:tcPr>
          <w:p w14:paraId="00CA1C2A" w14:textId="77777777" w:rsidR="00350DB9" w:rsidRPr="00FC0326" w:rsidRDefault="00350DB9" w:rsidP="00350DB9">
            <w:pPr>
              <w:rPr>
                <w:sz w:val="20"/>
                <w:szCs w:val="20"/>
              </w:rPr>
            </w:pPr>
          </w:p>
        </w:tc>
        <w:tc>
          <w:tcPr>
            <w:tcW w:w="1417" w:type="dxa"/>
            <w:shd w:val="clear" w:color="auto" w:fill="auto"/>
          </w:tcPr>
          <w:p w14:paraId="64A71BBF" w14:textId="77777777" w:rsidR="00350DB9" w:rsidRPr="00FC0326" w:rsidRDefault="00350DB9" w:rsidP="00C97FF2">
            <w:pPr>
              <w:ind w:right="-108"/>
              <w:jc w:val="center"/>
              <w:rPr>
                <w:sz w:val="20"/>
                <w:szCs w:val="20"/>
              </w:rPr>
            </w:pPr>
            <w:r>
              <w:rPr>
                <w:sz w:val="20"/>
                <w:szCs w:val="20"/>
              </w:rPr>
              <w:t xml:space="preserve">2019.gada </w:t>
            </w:r>
            <w:r w:rsidR="009B3ACE">
              <w:rPr>
                <w:sz w:val="20"/>
                <w:szCs w:val="20"/>
              </w:rPr>
              <w:t>30.jūnijs</w:t>
            </w:r>
          </w:p>
        </w:tc>
      </w:tr>
      <w:tr w:rsidR="00350DB9" w:rsidRPr="00FC0326" w14:paraId="1BEB6DB6" w14:textId="77777777" w:rsidTr="00A37320">
        <w:trPr>
          <w:trHeight w:val="412"/>
        </w:trPr>
        <w:tc>
          <w:tcPr>
            <w:tcW w:w="709" w:type="dxa"/>
            <w:vMerge/>
          </w:tcPr>
          <w:p w14:paraId="2EE337D1" w14:textId="77777777" w:rsidR="00350DB9" w:rsidRPr="00FC0326" w:rsidRDefault="00350DB9" w:rsidP="00350DB9">
            <w:pPr>
              <w:jc w:val="center"/>
              <w:rPr>
                <w:color w:val="000000" w:themeColor="text1"/>
                <w:sz w:val="20"/>
                <w:szCs w:val="20"/>
              </w:rPr>
            </w:pPr>
          </w:p>
        </w:tc>
        <w:tc>
          <w:tcPr>
            <w:tcW w:w="3686" w:type="dxa"/>
            <w:vMerge/>
            <w:shd w:val="clear" w:color="auto" w:fill="auto"/>
          </w:tcPr>
          <w:p w14:paraId="5DE11515" w14:textId="77777777" w:rsidR="00350DB9" w:rsidRPr="00FC0326" w:rsidRDefault="00350DB9" w:rsidP="00350DB9">
            <w:pPr>
              <w:jc w:val="both"/>
              <w:rPr>
                <w:color w:val="000000" w:themeColor="text1"/>
                <w:sz w:val="20"/>
                <w:szCs w:val="20"/>
              </w:rPr>
            </w:pPr>
          </w:p>
        </w:tc>
        <w:tc>
          <w:tcPr>
            <w:tcW w:w="1559" w:type="dxa"/>
            <w:vMerge/>
          </w:tcPr>
          <w:p w14:paraId="1EF29D66" w14:textId="77777777" w:rsidR="00350DB9" w:rsidRPr="00FC0326" w:rsidRDefault="00350DB9" w:rsidP="00350DB9">
            <w:pPr>
              <w:jc w:val="both"/>
              <w:rPr>
                <w:color w:val="000000" w:themeColor="text1"/>
                <w:sz w:val="20"/>
                <w:szCs w:val="20"/>
              </w:rPr>
            </w:pPr>
          </w:p>
        </w:tc>
        <w:tc>
          <w:tcPr>
            <w:tcW w:w="2410" w:type="dxa"/>
            <w:vMerge/>
            <w:shd w:val="clear" w:color="auto" w:fill="auto"/>
          </w:tcPr>
          <w:p w14:paraId="5C8D1291" w14:textId="77777777" w:rsidR="00350DB9" w:rsidRPr="00FC0326" w:rsidRDefault="00350DB9" w:rsidP="00350DB9">
            <w:pPr>
              <w:jc w:val="both"/>
              <w:rPr>
                <w:color w:val="000000" w:themeColor="text1"/>
                <w:sz w:val="20"/>
                <w:szCs w:val="20"/>
              </w:rPr>
            </w:pPr>
          </w:p>
        </w:tc>
        <w:tc>
          <w:tcPr>
            <w:tcW w:w="2693" w:type="dxa"/>
          </w:tcPr>
          <w:p w14:paraId="2B0E2D94" w14:textId="77777777" w:rsidR="00350DB9" w:rsidRPr="00FC0326" w:rsidRDefault="00C22658" w:rsidP="009B3ACE">
            <w:pPr>
              <w:jc w:val="both"/>
              <w:rPr>
                <w:color w:val="000000" w:themeColor="text1"/>
                <w:sz w:val="20"/>
                <w:szCs w:val="20"/>
              </w:rPr>
            </w:pPr>
            <w:r>
              <w:rPr>
                <w:rFonts w:eastAsia="Times New Roman"/>
                <w:sz w:val="20"/>
                <w:szCs w:val="20"/>
              </w:rPr>
              <w:t>3.</w:t>
            </w:r>
            <w:r w:rsidR="00350DB9">
              <w:rPr>
                <w:rFonts w:eastAsia="Times New Roman"/>
                <w:sz w:val="20"/>
                <w:szCs w:val="20"/>
              </w:rPr>
              <w:t>Par 20% p</w:t>
            </w:r>
            <w:r w:rsidR="00350DB9" w:rsidRPr="00FC0326">
              <w:rPr>
                <w:rFonts w:eastAsia="Times New Roman"/>
                <w:sz w:val="20"/>
                <w:szCs w:val="20"/>
              </w:rPr>
              <w:t>alielināts pārbaužu skaits attiecībā pret 201</w:t>
            </w:r>
            <w:r w:rsidR="00350DB9">
              <w:rPr>
                <w:rFonts w:eastAsia="Times New Roman"/>
                <w:sz w:val="20"/>
                <w:szCs w:val="20"/>
              </w:rPr>
              <w:t>8</w:t>
            </w:r>
            <w:r w:rsidR="00350DB9" w:rsidRPr="00FC0326">
              <w:rPr>
                <w:rFonts w:eastAsia="Times New Roman"/>
                <w:sz w:val="20"/>
                <w:szCs w:val="20"/>
              </w:rPr>
              <w:t xml:space="preserve">.gadu, nodrošinot, ka pārbaudes tiek veiktas jomās, kurās pastāv paaugstināts NILLTF risks, </w:t>
            </w:r>
            <w:r w:rsidR="00350DB9" w:rsidRPr="00FC0326">
              <w:rPr>
                <w:rFonts w:eastAsia="Times New Roman"/>
                <w:sz w:val="20"/>
                <w:szCs w:val="20"/>
              </w:rPr>
              <w:lastRenderedPageBreak/>
              <w:t>t.sk., pilnveidota speciālo pārbaužu izmantošana</w:t>
            </w:r>
          </w:p>
        </w:tc>
        <w:tc>
          <w:tcPr>
            <w:tcW w:w="1159" w:type="dxa"/>
            <w:shd w:val="clear" w:color="auto" w:fill="auto"/>
          </w:tcPr>
          <w:p w14:paraId="59F745A1" w14:textId="77777777" w:rsidR="00350DB9" w:rsidRPr="00FC0326" w:rsidRDefault="00350DB9" w:rsidP="00350DB9">
            <w:pPr>
              <w:jc w:val="center"/>
              <w:rPr>
                <w:color w:val="000000" w:themeColor="text1"/>
                <w:szCs w:val="24"/>
              </w:rPr>
            </w:pPr>
            <w:r w:rsidRPr="00FC0326">
              <w:rPr>
                <w:sz w:val="20"/>
                <w:szCs w:val="20"/>
              </w:rPr>
              <w:lastRenderedPageBreak/>
              <w:t>FKTK</w:t>
            </w:r>
          </w:p>
        </w:tc>
        <w:tc>
          <w:tcPr>
            <w:tcW w:w="1276" w:type="dxa"/>
            <w:shd w:val="clear" w:color="auto" w:fill="auto"/>
          </w:tcPr>
          <w:p w14:paraId="7E371A89" w14:textId="77777777" w:rsidR="00350DB9" w:rsidRPr="00FC0326" w:rsidRDefault="00350DB9" w:rsidP="00350DB9">
            <w:pPr>
              <w:rPr>
                <w:color w:val="000000" w:themeColor="text1"/>
                <w:sz w:val="20"/>
                <w:szCs w:val="20"/>
              </w:rPr>
            </w:pPr>
          </w:p>
        </w:tc>
        <w:tc>
          <w:tcPr>
            <w:tcW w:w="1417" w:type="dxa"/>
            <w:shd w:val="clear" w:color="auto" w:fill="auto"/>
          </w:tcPr>
          <w:p w14:paraId="2301ECF0" w14:textId="77777777" w:rsidR="00350DB9" w:rsidRPr="00FC0326" w:rsidRDefault="00350DB9" w:rsidP="00C97FF2">
            <w:pPr>
              <w:jc w:val="center"/>
              <w:rPr>
                <w:sz w:val="20"/>
                <w:szCs w:val="20"/>
              </w:rPr>
            </w:pPr>
            <w:r w:rsidRPr="00FC0326">
              <w:rPr>
                <w:sz w:val="20"/>
                <w:szCs w:val="20"/>
              </w:rPr>
              <w:t>201</w:t>
            </w:r>
            <w:r>
              <w:rPr>
                <w:sz w:val="20"/>
                <w:szCs w:val="20"/>
              </w:rPr>
              <w:t>9</w:t>
            </w:r>
            <w:r w:rsidRPr="00FC0326">
              <w:rPr>
                <w:sz w:val="20"/>
                <w:szCs w:val="20"/>
              </w:rPr>
              <w:t>.gada 31.decembris</w:t>
            </w:r>
          </w:p>
        </w:tc>
      </w:tr>
      <w:tr w:rsidR="00350DB9" w:rsidRPr="00FC0326" w14:paraId="189AD353" w14:textId="77777777" w:rsidTr="00A37320">
        <w:trPr>
          <w:trHeight w:val="3534"/>
        </w:trPr>
        <w:tc>
          <w:tcPr>
            <w:tcW w:w="709" w:type="dxa"/>
          </w:tcPr>
          <w:p w14:paraId="31DC8D46" w14:textId="77777777" w:rsidR="00350DB9" w:rsidRPr="00FC0326" w:rsidRDefault="00350DB9" w:rsidP="00350DB9">
            <w:pPr>
              <w:jc w:val="center"/>
              <w:rPr>
                <w:sz w:val="20"/>
                <w:szCs w:val="20"/>
              </w:rPr>
            </w:pPr>
            <w:r w:rsidRPr="00FC0326">
              <w:rPr>
                <w:sz w:val="20"/>
                <w:szCs w:val="20"/>
              </w:rPr>
              <w:t>3.</w:t>
            </w:r>
            <w:r w:rsidR="00725B4A">
              <w:rPr>
                <w:sz w:val="20"/>
                <w:szCs w:val="20"/>
              </w:rPr>
              <w:t>5</w:t>
            </w:r>
            <w:r w:rsidRPr="00FC0326">
              <w:rPr>
                <w:sz w:val="20"/>
                <w:szCs w:val="20"/>
              </w:rPr>
              <w:t>.</w:t>
            </w:r>
          </w:p>
        </w:tc>
        <w:tc>
          <w:tcPr>
            <w:tcW w:w="3686" w:type="dxa"/>
            <w:shd w:val="clear" w:color="auto" w:fill="auto"/>
          </w:tcPr>
          <w:p w14:paraId="75248C12" w14:textId="77777777" w:rsidR="00350DB9" w:rsidRPr="00FC0326" w:rsidRDefault="00350DB9" w:rsidP="00BA4746">
            <w:pPr>
              <w:jc w:val="both"/>
              <w:rPr>
                <w:sz w:val="20"/>
                <w:szCs w:val="20"/>
              </w:rPr>
            </w:pPr>
            <w:r w:rsidRPr="00FC0326">
              <w:rPr>
                <w:sz w:val="20"/>
                <w:szCs w:val="20"/>
              </w:rPr>
              <w:t xml:space="preserve">VID </w:t>
            </w:r>
            <w:r w:rsidR="00BA4746">
              <w:rPr>
                <w:sz w:val="20"/>
                <w:szCs w:val="20"/>
              </w:rPr>
              <w:t>novirzīt</w:t>
            </w:r>
            <w:r w:rsidR="00BA4746" w:rsidRPr="00FC0326">
              <w:rPr>
                <w:sz w:val="20"/>
                <w:szCs w:val="20"/>
              </w:rPr>
              <w:t xml:space="preserve"> </w:t>
            </w:r>
            <w:r w:rsidRPr="00FC0326">
              <w:rPr>
                <w:sz w:val="20"/>
                <w:szCs w:val="20"/>
              </w:rPr>
              <w:t>vairāk resurs</w:t>
            </w:r>
            <w:r w:rsidR="00BA4746">
              <w:rPr>
                <w:sz w:val="20"/>
                <w:szCs w:val="20"/>
              </w:rPr>
              <w:t>us</w:t>
            </w:r>
            <w:r w:rsidRPr="00FC0326">
              <w:rPr>
                <w:sz w:val="20"/>
                <w:szCs w:val="20"/>
              </w:rPr>
              <w:t xml:space="preserve"> NILLTFN uzraudzības programmai un </w:t>
            </w:r>
            <w:r w:rsidR="00BA4746">
              <w:rPr>
                <w:sz w:val="20"/>
                <w:szCs w:val="20"/>
              </w:rPr>
              <w:t>nodrošināt</w:t>
            </w:r>
            <w:r w:rsidR="00BA4746" w:rsidRPr="00FC0326">
              <w:rPr>
                <w:sz w:val="20"/>
                <w:szCs w:val="20"/>
              </w:rPr>
              <w:t xml:space="preserve"> </w:t>
            </w:r>
            <w:r w:rsidRPr="00FC0326">
              <w:rPr>
                <w:sz w:val="20"/>
                <w:szCs w:val="20"/>
              </w:rPr>
              <w:t>adekvāt</w:t>
            </w:r>
            <w:r w:rsidR="00BA4746">
              <w:rPr>
                <w:sz w:val="20"/>
                <w:szCs w:val="20"/>
              </w:rPr>
              <w:t>u</w:t>
            </w:r>
            <w:r w:rsidRPr="00FC0326">
              <w:rPr>
                <w:sz w:val="20"/>
                <w:szCs w:val="20"/>
              </w:rPr>
              <w:t>, uz risku balstīt</w:t>
            </w:r>
            <w:r w:rsidR="00BA4746">
              <w:rPr>
                <w:sz w:val="20"/>
                <w:szCs w:val="20"/>
              </w:rPr>
              <w:t>u</w:t>
            </w:r>
            <w:r w:rsidRPr="00FC0326">
              <w:rPr>
                <w:sz w:val="20"/>
                <w:szCs w:val="20"/>
              </w:rPr>
              <w:t xml:space="preserve"> plaš</w:t>
            </w:r>
            <w:r w:rsidR="00BA4746">
              <w:rPr>
                <w:sz w:val="20"/>
                <w:szCs w:val="20"/>
              </w:rPr>
              <w:t>u</w:t>
            </w:r>
            <w:r w:rsidRPr="00FC0326">
              <w:rPr>
                <w:sz w:val="20"/>
                <w:szCs w:val="20"/>
              </w:rPr>
              <w:t xml:space="preserve"> loka subjektu nosegšan</w:t>
            </w:r>
            <w:r w:rsidR="00BA4746">
              <w:rPr>
                <w:sz w:val="20"/>
                <w:szCs w:val="20"/>
              </w:rPr>
              <w:t>u</w:t>
            </w:r>
            <w:r w:rsidRPr="00FC0326">
              <w:rPr>
                <w:sz w:val="20"/>
                <w:szCs w:val="20"/>
              </w:rPr>
              <w:t xml:space="preserve"> uzraudzības ietvaros</w:t>
            </w:r>
            <w:r w:rsidR="00BA4746">
              <w:rPr>
                <w:sz w:val="20"/>
                <w:szCs w:val="20"/>
              </w:rPr>
              <w:t>.</w:t>
            </w:r>
            <w:r w:rsidRPr="00FC0326">
              <w:rPr>
                <w:sz w:val="20"/>
                <w:szCs w:val="20"/>
              </w:rPr>
              <w:t xml:space="preserve"> </w:t>
            </w:r>
          </w:p>
        </w:tc>
        <w:tc>
          <w:tcPr>
            <w:tcW w:w="1559" w:type="dxa"/>
          </w:tcPr>
          <w:p w14:paraId="161E7FFC" w14:textId="77777777" w:rsidR="00350DB9" w:rsidRPr="00FC0326" w:rsidRDefault="00350DB9" w:rsidP="00350DB9">
            <w:pPr>
              <w:jc w:val="both"/>
              <w:rPr>
                <w:sz w:val="20"/>
                <w:szCs w:val="20"/>
              </w:rPr>
            </w:pPr>
            <w:r w:rsidRPr="00FC0326">
              <w:rPr>
                <w:sz w:val="20"/>
                <w:szCs w:val="20"/>
              </w:rPr>
              <w:t>Moneyval rekomendācija 3.1., 3.5., 3.6.</w:t>
            </w:r>
          </w:p>
        </w:tc>
        <w:tc>
          <w:tcPr>
            <w:tcW w:w="2410" w:type="dxa"/>
            <w:shd w:val="clear" w:color="auto" w:fill="auto"/>
          </w:tcPr>
          <w:p w14:paraId="2B209A53" w14:textId="77777777" w:rsidR="00350DB9" w:rsidRPr="00FC0326" w:rsidRDefault="00350DB9" w:rsidP="00350DB9">
            <w:pPr>
              <w:jc w:val="both"/>
              <w:rPr>
                <w:sz w:val="20"/>
                <w:szCs w:val="20"/>
              </w:rPr>
            </w:pPr>
            <w:r w:rsidRPr="00FC0326">
              <w:rPr>
                <w:sz w:val="20"/>
                <w:szCs w:val="20"/>
              </w:rPr>
              <w:t>Izvērtēt</w:t>
            </w:r>
            <w:r w:rsidR="00BA4746">
              <w:rPr>
                <w:sz w:val="20"/>
                <w:szCs w:val="20"/>
              </w:rPr>
              <w:t>i</w:t>
            </w:r>
            <w:r w:rsidRPr="00FC0326">
              <w:rPr>
                <w:sz w:val="20"/>
                <w:szCs w:val="20"/>
              </w:rPr>
              <w:t xml:space="preserve"> VID iekšēj</w:t>
            </w:r>
            <w:r w:rsidR="00BA4746">
              <w:rPr>
                <w:sz w:val="20"/>
                <w:szCs w:val="20"/>
              </w:rPr>
              <w:t>ie</w:t>
            </w:r>
            <w:r w:rsidRPr="00FC0326">
              <w:rPr>
                <w:sz w:val="20"/>
                <w:szCs w:val="20"/>
              </w:rPr>
              <w:t xml:space="preserve"> resurs</w:t>
            </w:r>
            <w:r w:rsidR="00BA4746">
              <w:rPr>
                <w:sz w:val="20"/>
                <w:szCs w:val="20"/>
              </w:rPr>
              <w:t>i</w:t>
            </w:r>
            <w:r w:rsidRPr="00FC0326">
              <w:rPr>
                <w:sz w:val="20"/>
                <w:szCs w:val="20"/>
              </w:rPr>
              <w:t xml:space="preserve"> ar mērķi stiprināt NILLTFN jomas kapacitāti un nodrošināt būtisku progresu uz risku balstīta plaša subjektu loka uzraudzībā</w:t>
            </w:r>
          </w:p>
        </w:tc>
        <w:tc>
          <w:tcPr>
            <w:tcW w:w="2693" w:type="dxa"/>
          </w:tcPr>
          <w:p w14:paraId="1CCD2956" w14:textId="77777777" w:rsidR="00350DB9" w:rsidRPr="001932D5" w:rsidRDefault="00350DB9" w:rsidP="00350DB9">
            <w:pPr>
              <w:jc w:val="both"/>
              <w:rPr>
                <w:sz w:val="20"/>
                <w:szCs w:val="20"/>
              </w:rPr>
            </w:pPr>
            <w:r w:rsidRPr="00FC0326">
              <w:rPr>
                <w:sz w:val="20"/>
                <w:szCs w:val="20"/>
              </w:rPr>
              <w:t xml:space="preserve">Atbilstoši veiktajam izvērtējumam novirzīti resursi, lai stiprinātu kapacitāti un palielinātu uz riska balstītu klātienes </w:t>
            </w:r>
            <w:r w:rsidRPr="001932D5">
              <w:rPr>
                <w:sz w:val="20"/>
                <w:szCs w:val="20"/>
              </w:rPr>
              <w:t>pārbaužu skaitu.</w:t>
            </w:r>
          </w:p>
          <w:p w14:paraId="05B79127" w14:textId="77777777" w:rsidR="00350DB9" w:rsidRPr="00FC0326" w:rsidRDefault="00350DB9" w:rsidP="00C8593B">
            <w:pPr>
              <w:jc w:val="both"/>
              <w:rPr>
                <w:sz w:val="20"/>
                <w:szCs w:val="20"/>
              </w:rPr>
            </w:pPr>
            <w:r>
              <w:rPr>
                <w:sz w:val="20"/>
                <w:szCs w:val="20"/>
              </w:rPr>
              <w:t xml:space="preserve">Ņemot vērā plānoto darbinieku skaita pieaugumu, tiks palielināts klātienes </w:t>
            </w:r>
            <w:r w:rsidRPr="001932D5">
              <w:rPr>
                <w:sz w:val="20"/>
                <w:szCs w:val="20"/>
              </w:rPr>
              <w:t>pārbaužu skait</w:t>
            </w:r>
            <w:r>
              <w:rPr>
                <w:sz w:val="20"/>
                <w:szCs w:val="20"/>
              </w:rPr>
              <w:t>s</w:t>
            </w:r>
            <w:r w:rsidRPr="001932D5">
              <w:rPr>
                <w:sz w:val="20"/>
                <w:szCs w:val="20"/>
              </w:rPr>
              <w:t xml:space="preserve"> četras reizes, lai sasniegtu 1000</w:t>
            </w:r>
            <w:r w:rsidR="00B05EB5">
              <w:rPr>
                <w:rStyle w:val="FootnoteReference"/>
                <w:sz w:val="20"/>
                <w:szCs w:val="20"/>
              </w:rPr>
              <w:footnoteReference w:id="6"/>
            </w:r>
            <w:r w:rsidRPr="001932D5">
              <w:rPr>
                <w:sz w:val="20"/>
                <w:szCs w:val="20"/>
              </w:rPr>
              <w:t xml:space="preserve"> klātienes pārbaudes gadā</w:t>
            </w:r>
            <w:r>
              <w:rPr>
                <w:sz w:val="20"/>
                <w:szCs w:val="20"/>
              </w:rPr>
              <w:t xml:space="preserve"> (</w:t>
            </w:r>
            <w:r w:rsidRPr="001932D5">
              <w:rPr>
                <w:sz w:val="20"/>
                <w:szCs w:val="20"/>
              </w:rPr>
              <w:t>no ~ 12 000 VID uzraugāmo nodokļu maksātāju 1000 ir tiku</w:t>
            </w:r>
            <w:r>
              <w:rPr>
                <w:sz w:val="20"/>
                <w:szCs w:val="20"/>
              </w:rPr>
              <w:t>ši identificēti kā augsta riska).</w:t>
            </w:r>
          </w:p>
        </w:tc>
        <w:tc>
          <w:tcPr>
            <w:tcW w:w="1159" w:type="dxa"/>
            <w:shd w:val="clear" w:color="auto" w:fill="auto"/>
          </w:tcPr>
          <w:p w14:paraId="6E482E87" w14:textId="77777777" w:rsidR="00350DB9" w:rsidRPr="00FC0326" w:rsidRDefault="00350DB9" w:rsidP="00350DB9">
            <w:pPr>
              <w:jc w:val="center"/>
              <w:rPr>
                <w:sz w:val="20"/>
                <w:szCs w:val="20"/>
              </w:rPr>
            </w:pPr>
            <w:r w:rsidRPr="00FC0326">
              <w:rPr>
                <w:sz w:val="20"/>
                <w:szCs w:val="20"/>
              </w:rPr>
              <w:t>VID</w:t>
            </w:r>
          </w:p>
        </w:tc>
        <w:tc>
          <w:tcPr>
            <w:tcW w:w="1276" w:type="dxa"/>
            <w:shd w:val="clear" w:color="auto" w:fill="auto"/>
          </w:tcPr>
          <w:p w14:paraId="622DD512" w14:textId="77777777" w:rsidR="00350DB9" w:rsidRPr="00FC0326" w:rsidRDefault="00350DB9" w:rsidP="00350DB9">
            <w:pPr>
              <w:jc w:val="center"/>
              <w:rPr>
                <w:sz w:val="20"/>
                <w:szCs w:val="20"/>
              </w:rPr>
            </w:pPr>
            <w:r w:rsidRPr="00FC0326">
              <w:rPr>
                <w:sz w:val="20"/>
                <w:szCs w:val="20"/>
              </w:rPr>
              <w:t>FM</w:t>
            </w:r>
          </w:p>
        </w:tc>
        <w:tc>
          <w:tcPr>
            <w:tcW w:w="1417" w:type="dxa"/>
            <w:shd w:val="clear" w:color="auto" w:fill="auto"/>
          </w:tcPr>
          <w:p w14:paraId="13540043" w14:textId="77777777" w:rsidR="00350DB9" w:rsidRPr="00FC0326" w:rsidRDefault="00350DB9" w:rsidP="00C97FF2">
            <w:pPr>
              <w:jc w:val="center"/>
              <w:rPr>
                <w:sz w:val="20"/>
                <w:szCs w:val="20"/>
              </w:rPr>
            </w:pPr>
            <w:r w:rsidRPr="00FC0326">
              <w:rPr>
                <w:sz w:val="20"/>
                <w:szCs w:val="20"/>
              </w:rPr>
              <w:t>2019.gada 1.septembris</w:t>
            </w:r>
          </w:p>
        </w:tc>
      </w:tr>
      <w:tr w:rsidR="00350DB9" w:rsidRPr="00FC0326" w14:paraId="5237BB36" w14:textId="77777777" w:rsidTr="00A37320">
        <w:trPr>
          <w:trHeight w:val="412"/>
        </w:trPr>
        <w:tc>
          <w:tcPr>
            <w:tcW w:w="709" w:type="dxa"/>
            <w:vMerge w:val="restart"/>
          </w:tcPr>
          <w:p w14:paraId="06A9C77C" w14:textId="77777777" w:rsidR="00350DB9" w:rsidRPr="00FC0326" w:rsidRDefault="00350DB9" w:rsidP="00350DB9">
            <w:pPr>
              <w:jc w:val="center"/>
              <w:rPr>
                <w:color w:val="000000" w:themeColor="text1"/>
                <w:sz w:val="20"/>
                <w:szCs w:val="20"/>
              </w:rPr>
            </w:pPr>
            <w:r w:rsidRPr="00FC0326">
              <w:rPr>
                <w:color w:val="000000" w:themeColor="text1"/>
                <w:sz w:val="20"/>
                <w:szCs w:val="20"/>
              </w:rPr>
              <w:t>3.</w:t>
            </w:r>
            <w:r w:rsidR="00725B4A">
              <w:rPr>
                <w:color w:val="000000" w:themeColor="text1"/>
                <w:sz w:val="20"/>
                <w:szCs w:val="20"/>
              </w:rPr>
              <w:t>6</w:t>
            </w:r>
            <w:r w:rsidRPr="00FC0326">
              <w:rPr>
                <w:color w:val="000000" w:themeColor="text1"/>
                <w:sz w:val="20"/>
                <w:szCs w:val="20"/>
              </w:rPr>
              <w:t>.</w:t>
            </w:r>
          </w:p>
        </w:tc>
        <w:tc>
          <w:tcPr>
            <w:tcW w:w="3686" w:type="dxa"/>
            <w:vMerge w:val="restart"/>
            <w:shd w:val="clear" w:color="auto" w:fill="auto"/>
          </w:tcPr>
          <w:p w14:paraId="3A569998" w14:textId="77777777" w:rsidR="00350DB9" w:rsidRPr="00FC0326" w:rsidRDefault="00350DB9" w:rsidP="00F968A4">
            <w:pPr>
              <w:jc w:val="both"/>
              <w:rPr>
                <w:color w:val="000000" w:themeColor="text1"/>
                <w:sz w:val="20"/>
                <w:szCs w:val="20"/>
              </w:rPr>
            </w:pPr>
            <w:r w:rsidRPr="00FC0326">
              <w:rPr>
                <w:color w:val="000000" w:themeColor="text1"/>
                <w:sz w:val="20"/>
                <w:szCs w:val="20"/>
              </w:rPr>
              <w:t>Pārskatīt</w:t>
            </w:r>
            <w:r w:rsidRPr="00FC0326">
              <w:rPr>
                <w:color w:val="000000" w:themeColor="text1"/>
              </w:rPr>
              <w:t xml:space="preserve"> </w:t>
            </w:r>
            <w:r w:rsidRPr="00FC0326">
              <w:rPr>
                <w:color w:val="000000" w:themeColor="text1"/>
                <w:sz w:val="20"/>
                <w:szCs w:val="20"/>
              </w:rPr>
              <w:t>noteikto sankciju un korektīvo pasākumu piemērošanas kritēriju iekšējos normatīvos</w:t>
            </w:r>
            <w:r w:rsidR="00F968A4">
              <w:rPr>
                <w:color w:val="000000" w:themeColor="text1"/>
                <w:sz w:val="20"/>
                <w:szCs w:val="20"/>
              </w:rPr>
              <w:t xml:space="preserve"> aktus</w:t>
            </w:r>
            <w:r w:rsidRPr="00FC0326">
              <w:rPr>
                <w:color w:val="000000" w:themeColor="text1"/>
                <w:sz w:val="20"/>
                <w:szCs w:val="20"/>
              </w:rPr>
              <w:t>, lai nodrošinātu pilna spektra sankciju piemērošanu gan attiecībā uz institūcijām, gan uz to vadību</w:t>
            </w:r>
            <w:r w:rsidR="00F968A4">
              <w:rPr>
                <w:color w:val="000000" w:themeColor="text1"/>
                <w:sz w:val="20"/>
                <w:szCs w:val="20"/>
              </w:rPr>
              <w:t xml:space="preserve">. izvērtēt piemēroto </w:t>
            </w:r>
            <w:r w:rsidRPr="00FC0326">
              <w:rPr>
                <w:color w:val="000000" w:themeColor="text1"/>
                <w:sz w:val="20"/>
                <w:szCs w:val="20"/>
              </w:rPr>
              <w:t>sankciju ietekm</w:t>
            </w:r>
            <w:r w:rsidR="00F968A4">
              <w:rPr>
                <w:color w:val="000000" w:themeColor="text1"/>
                <w:sz w:val="20"/>
                <w:szCs w:val="20"/>
              </w:rPr>
              <w:t>i</w:t>
            </w:r>
            <w:r w:rsidRPr="00FC0326">
              <w:rPr>
                <w:color w:val="000000" w:themeColor="text1"/>
                <w:sz w:val="20"/>
                <w:szCs w:val="20"/>
              </w:rPr>
              <w:t xml:space="preserve"> uz spēju atturēt no tālākiem pārkāpumiem</w:t>
            </w:r>
          </w:p>
        </w:tc>
        <w:tc>
          <w:tcPr>
            <w:tcW w:w="1559" w:type="dxa"/>
            <w:vMerge w:val="restart"/>
          </w:tcPr>
          <w:p w14:paraId="274F22E1" w14:textId="77777777" w:rsidR="00350DB9" w:rsidRPr="00FC0326" w:rsidRDefault="00350DB9" w:rsidP="00350DB9">
            <w:pPr>
              <w:jc w:val="both"/>
              <w:rPr>
                <w:color w:val="000000" w:themeColor="text1"/>
                <w:sz w:val="20"/>
                <w:szCs w:val="20"/>
              </w:rPr>
            </w:pPr>
            <w:r w:rsidRPr="00FC0326">
              <w:rPr>
                <w:color w:val="000000" w:themeColor="text1"/>
                <w:sz w:val="20"/>
                <w:szCs w:val="20"/>
              </w:rPr>
              <w:t>Moneyval rekomendācija 3.3</w:t>
            </w:r>
          </w:p>
        </w:tc>
        <w:tc>
          <w:tcPr>
            <w:tcW w:w="2410" w:type="dxa"/>
            <w:vMerge w:val="restart"/>
            <w:shd w:val="clear" w:color="auto" w:fill="auto"/>
          </w:tcPr>
          <w:p w14:paraId="21F9D03B" w14:textId="77777777" w:rsidR="00350DB9" w:rsidRPr="00FC0326" w:rsidRDefault="00350DB9" w:rsidP="00350DB9">
            <w:pPr>
              <w:jc w:val="both"/>
              <w:rPr>
                <w:color w:val="000000" w:themeColor="text1"/>
                <w:sz w:val="20"/>
                <w:szCs w:val="20"/>
              </w:rPr>
            </w:pPr>
            <w:r>
              <w:rPr>
                <w:color w:val="000000" w:themeColor="text1"/>
                <w:sz w:val="20"/>
                <w:szCs w:val="20"/>
              </w:rPr>
              <w:t>Sankciju un korektīvo pasākumu piemērošanas izvērtēšana un pilnveidošana</w:t>
            </w:r>
          </w:p>
        </w:tc>
        <w:tc>
          <w:tcPr>
            <w:tcW w:w="2693" w:type="dxa"/>
          </w:tcPr>
          <w:p w14:paraId="07B62DA5" w14:textId="77777777" w:rsidR="00350DB9" w:rsidRPr="00FC0326" w:rsidRDefault="003A4CC8" w:rsidP="009B3ACE">
            <w:pPr>
              <w:jc w:val="both"/>
              <w:rPr>
                <w:color w:val="000000" w:themeColor="text1"/>
                <w:sz w:val="20"/>
                <w:szCs w:val="20"/>
              </w:rPr>
            </w:pPr>
            <w:r>
              <w:rPr>
                <w:color w:val="000000" w:themeColor="text1"/>
                <w:sz w:val="20"/>
                <w:szCs w:val="20"/>
              </w:rPr>
              <w:t xml:space="preserve">1. </w:t>
            </w:r>
            <w:r w:rsidR="00350DB9" w:rsidRPr="00FC0326">
              <w:rPr>
                <w:color w:val="000000" w:themeColor="text1"/>
                <w:sz w:val="20"/>
                <w:szCs w:val="20"/>
              </w:rPr>
              <w:t>Pārskatītas un izvērtētas esošās procedūras</w:t>
            </w:r>
            <w:r w:rsidR="00350DB9">
              <w:rPr>
                <w:color w:val="000000" w:themeColor="text1"/>
                <w:sz w:val="20"/>
                <w:szCs w:val="20"/>
              </w:rPr>
              <w:t>, kas nosaka sankciju un uzraudzības pasākumu piemērošanas kārtību</w:t>
            </w:r>
          </w:p>
          <w:p w14:paraId="7301CDFB" w14:textId="77777777" w:rsidR="00350DB9" w:rsidRPr="00FC0326" w:rsidRDefault="00350DB9" w:rsidP="009B3ACE">
            <w:pPr>
              <w:jc w:val="both"/>
              <w:rPr>
                <w:color w:val="000000" w:themeColor="text1"/>
                <w:sz w:val="20"/>
                <w:szCs w:val="20"/>
              </w:rPr>
            </w:pPr>
            <w:r w:rsidRPr="00FC0326">
              <w:rPr>
                <w:color w:val="000000" w:themeColor="text1"/>
                <w:sz w:val="20"/>
                <w:szCs w:val="20"/>
              </w:rPr>
              <w:t>Veikti grozījumi procedūrās</w:t>
            </w:r>
          </w:p>
        </w:tc>
        <w:tc>
          <w:tcPr>
            <w:tcW w:w="1159" w:type="dxa"/>
            <w:shd w:val="clear" w:color="auto" w:fill="auto"/>
          </w:tcPr>
          <w:p w14:paraId="27481B7C" w14:textId="77777777" w:rsidR="00350DB9" w:rsidRPr="0056332C" w:rsidRDefault="00350DB9" w:rsidP="00350DB9">
            <w:pPr>
              <w:jc w:val="center"/>
              <w:rPr>
                <w:color w:val="000000" w:themeColor="text1"/>
                <w:sz w:val="20"/>
                <w:szCs w:val="20"/>
              </w:rPr>
            </w:pPr>
            <w:r w:rsidRPr="0056332C">
              <w:rPr>
                <w:color w:val="000000" w:themeColor="text1"/>
                <w:sz w:val="20"/>
                <w:szCs w:val="20"/>
              </w:rPr>
              <w:t xml:space="preserve">FKTK, VID, LB, IAUI, LZAP, LZNP, LZRA, </w:t>
            </w:r>
            <w:r w:rsidR="0090763B">
              <w:rPr>
                <w:color w:val="000000" w:themeColor="text1"/>
                <w:sz w:val="20"/>
                <w:szCs w:val="20"/>
              </w:rPr>
              <w:t>NKMP</w:t>
            </w:r>
            <w:r w:rsidRPr="0056332C">
              <w:rPr>
                <w:color w:val="000000" w:themeColor="text1"/>
                <w:sz w:val="20"/>
                <w:szCs w:val="20"/>
              </w:rPr>
              <w:t>, PTAC</w:t>
            </w:r>
          </w:p>
        </w:tc>
        <w:tc>
          <w:tcPr>
            <w:tcW w:w="1276" w:type="dxa"/>
            <w:shd w:val="clear" w:color="auto" w:fill="auto"/>
          </w:tcPr>
          <w:p w14:paraId="14531CEC" w14:textId="77777777" w:rsidR="00350DB9" w:rsidRPr="00FC0326" w:rsidRDefault="00350DB9" w:rsidP="00350DB9">
            <w:pPr>
              <w:rPr>
                <w:color w:val="000000" w:themeColor="text1"/>
                <w:sz w:val="20"/>
                <w:szCs w:val="20"/>
              </w:rPr>
            </w:pPr>
          </w:p>
        </w:tc>
        <w:tc>
          <w:tcPr>
            <w:tcW w:w="1417" w:type="dxa"/>
            <w:shd w:val="clear" w:color="auto" w:fill="auto"/>
          </w:tcPr>
          <w:p w14:paraId="5389380A" w14:textId="77777777" w:rsidR="00350DB9" w:rsidRPr="00FC0326" w:rsidRDefault="00350DB9" w:rsidP="00C97FF2">
            <w:pPr>
              <w:jc w:val="center"/>
              <w:rPr>
                <w:color w:val="000000" w:themeColor="text1"/>
                <w:sz w:val="20"/>
                <w:szCs w:val="20"/>
              </w:rPr>
            </w:pPr>
            <w:r w:rsidRPr="00FC0326">
              <w:rPr>
                <w:sz w:val="20"/>
                <w:szCs w:val="20"/>
              </w:rPr>
              <w:t>2018.gada 31.decembris</w:t>
            </w:r>
          </w:p>
        </w:tc>
      </w:tr>
      <w:tr w:rsidR="00350DB9" w:rsidRPr="00FC0326" w14:paraId="34871474" w14:textId="77777777" w:rsidTr="00A37320">
        <w:trPr>
          <w:trHeight w:val="412"/>
        </w:trPr>
        <w:tc>
          <w:tcPr>
            <w:tcW w:w="709" w:type="dxa"/>
            <w:vMerge/>
          </w:tcPr>
          <w:p w14:paraId="3F15EFD1" w14:textId="77777777" w:rsidR="00350DB9" w:rsidRPr="00FC0326" w:rsidRDefault="00350DB9" w:rsidP="00350DB9">
            <w:pPr>
              <w:jc w:val="center"/>
              <w:rPr>
                <w:color w:val="000000" w:themeColor="text1"/>
                <w:sz w:val="20"/>
                <w:szCs w:val="20"/>
              </w:rPr>
            </w:pPr>
          </w:p>
        </w:tc>
        <w:tc>
          <w:tcPr>
            <w:tcW w:w="3686" w:type="dxa"/>
            <w:vMerge/>
            <w:shd w:val="clear" w:color="auto" w:fill="auto"/>
          </w:tcPr>
          <w:p w14:paraId="479DFFAA" w14:textId="77777777" w:rsidR="00350DB9" w:rsidRPr="00FC0326" w:rsidRDefault="00350DB9" w:rsidP="00350DB9">
            <w:pPr>
              <w:jc w:val="both"/>
              <w:rPr>
                <w:color w:val="000000" w:themeColor="text1"/>
                <w:sz w:val="20"/>
                <w:szCs w:val="20"/>
              </w:rPr>
            </w:pPr>
          </w:p>
        </w:tc>
        <w:tc>
          <w:tcPr>
            <w:tcW w:w="1559" w:type="dxa"/>
            <w:vMerge/>
          </w:tcPr>
          <w:p w14:paraId="1365F553" w14:textId="77777777" w:rsidR="00350DB9" w:rsidRPr="00FC0326" w:rsidRDefault="00350DB9" w:rsidP="00350DB9">
            <w:pPr>
              <w:jc w:val="both"/>
              <w:rPr>
                <w:color w:val="000000" w:themeColor="text1"/>
                <w:sz w:val="20"/>
                <w:szCs w:val="20"/>
              </w:rPr>
            </w:pPr>
          </w:p>
        </w:tc>
        <w:tc>
          <w:tcPr>
            <w:tcW w:w="2410" w:type="dxa"/>
            <w:vMerge/>
            <w:shd w:val="clear" w:color="auto" w:fill="auto"/>
          </w:tcPr>
          <w:p w14:paraId="49813F74" w14:textId="77777777" w:rsidR="00350DB9" w:rsidRPr="00FC0326" w:rsidRDefault="00350DB9" w:rsidP="00350DB9">
            <w:pPr>
              <w:jc w:val="both"/>
              <w:rPr>
                <w:color w:val="000000" w:themeColor="text1"/>
                <w:sz w:val="20"/>
                <w:szCs w:val="20"/>
              </w:rPr>
            </w:pPr>
          </w:p>
        </w:tc>
        <w:tc>
          <w:tcPr>
            <w:tcW w:w="2693" w:type="dxa"/>
          </w:tcPr>
          <w:p w14:paraId="7E6C17DC" w14:textId="77777777" w:rsidR="00350DB9" w:rsidRPr="00FC0326" w:rsidRDefault="003A4CC8" w:rsidP="00FC417E">
            <w:pPr>
              <w:jc w:val="both"/>
              <w:rPr>
                <w:color w:val="000000" w:themeColor="text1"/>
                <w:sz w:val="20"/>
                <w:szCs w:val="20"/>
              </w:rPr>
            </w:pPr>
            <w:r>
              <w:rPr>
                <w:color w:val="000000" w:themeColor="text1"/>
                <w:sz w:val="20"/>
                <w:szCs w:val="20"/>
              </w:rPr>
              <w:t xml:space="preserve">2. </w:t>
            </w:r>
            <w:r w:rsidR="00350DB9">
              <w:rPr>
                <w:color w:val="000000" w:themeColor="text1"/>
                <w:sz w:val="20"/>
                <w:szCs w:val="20"/>
              </w:rPr>
              <w:t xml:space="preserve">Sagatavots pārskats par sankciju un korektīvo pasākumu piemērošanu un iesniegts izskatīšanai saskaņā ar 3.1.pasākumu izveidotajā darba grupā </w:t>
            </w:r>
          </w:p>
        </w:tc>
        <w:tc>
          <w:tcPr>
            <w:tcW w:w="1159" w:type="dxa"/>
            <w:shd w:val="clear" w:color="auto" w:fill="auto"/>
          </w:tcPr>
          <w:p w14:paraId="13DC4125" w14:textId="77777777" w:rsidR="00350DB9" w:rsidRPr="00FC0326" w:rsidRDefault="00350DB9" w:rsidP="00350DB9">
            <w:pPr>
              <w:jc w:val="center"/>
              <w:rPr>
                <w:color w:val="000000" w:themeColor="text1"/>
                <w:szCs w:val="24"/>
              </w:rPr>
            </w:pPr>
            <w:r w:rsidRPr="0056332C">
              <w:rPr>
                <w:color w:val="000000" w:themeColor="text1"/>
                <w:sz w:val="20"/>
                <w:szCs w:val="20"/>
              </w:rPr>
              <w:t xml:space="preserve">FKTK, VID, LB, IAUI, LZAP, LZNP, LZRA, </w:t>
            </w:r>
            <w:r w:rsidR="0090763B">
              <w:rPr>
                <w:color w:val="000000" w:themeColor="text1"/>
                <w:sz w:val="20"/>
                <w:szCs w:val="20"/>
              </w:rPr>
              <w:t>NKMP</w:t>
            </w:r>
            <w:r w:rsidRPr="0056332C">
              <w:rPr>
                <w:color w:val="000000" w:themeColor="text1"/>
                <w:sz w:val="20"/>
                <w:szCs w:val="20"/>
              </w:rPr>
              <w:t>, PTAC</w:t>
            </w:r>
          </w:p>
        </w:tc>
        <w:tc>
          <w:tcPr>
            <w:tcW w:w="1276" w:type="dxa"/>
            <w:shd w:val="clear" w:color="auto" w:fill="auto"/>
          </w:tcPr>
          <w:p w14:paraId="03BBE36A" w14:textId="77777777" w:rsidR="00350DB9" w:rsidRPr="00FC0326" w:rsidRDefault="00350DB9" w:rsidP="002D63BE">
            <w:pPr>
              <w:jc w:val="center"/>
              <w:rPr>
                <w:color w:val="000000" w:themeColor="text1"/>
                <w:sz w:val="20"/>
                <w:szCs w:val="20"/>
              </w:rPr>
            </w:pPr>
            <w:r>
              <w:rPr>
                <w:color w:val="000000" w:themeColor="text1"/>
                <w:sz w:val="20"/>
                <w:szCs w:val="20"/>
              </w:rPr>
              <w:t>KD</w:t>
            </w:r>
          </w:p>
        </w:tc>
        <w:tc>
          <w:tcPr>
            <w:tcW w:w="1417" w:type="dxa"/>
            <w:shd w:val="clear" w:color="auto" w:fill="auto"/>
          </w:tcPr>
          <w:p w14:paraId="5A100B1C" w14:textId="77777777" w:rsidR="00350DB9" w:rsidRPr="00FC0326" w:rsidRDefault="00350DB9" w:rsidP="00C97FF2">
            <w:pPr>
              <w:jc w:val="center"/>
              <w:rPr>
                <w:sz w:val="20"/>
                <w:szCs w:val="20"/>
              </w:rPr>
            </w:pPr>
            <w:r>
              <w:rPr>
                <w:sz w:val="20"/>
                <w:szCs w:val="20"/>
              </w:rPr>
              <w:t>2019.gada 30.jūnijs, turpmāk reizi ceturksnī</w:t>
            </w:r>
          </w:p>
        </w:tc>
      </w:tr>
      <w:tr w:rsidR="0087476E" w:rsidRPr="00FC0326" w14:paraId="0F28210C" w14:textId="77777777" w:rsidTr="00A37320">
        <w:tc>
          <w:tcPr>
            <w:tcW w:w="709" w:type="dxa"/>
            <w:vMerge w:val="restart"/>
          </w:tcPr>
          <w:p w14:paraId="3D287378" w14:textId="77777777" w:rsidR="0087476E" w:rsidRPr="00FC0326" w:rsidRDefault="0087476E" w:rsidP="00350DB9">
            <w:pPr>
              <w:jc w:val="center"/>
              <w:rPr>
                <w:sz w:val="20"/>
                <w:szCs w:val="20"/>
              </w:rPr>
            </w:pPr>
            <w:r>
              <w:rPr>
                <w:sz w:val="20"/>
                <w:szCs w:val="20"/>
              </w:rPr>
              <w:lastRenderedPageBreak/>
              <w:t>3.</w:t>
            </w:r>
            <w:r w:rsidR="00725B4A">
              <w:rPr>
                <w:sz w:val="20"/>
                <w:szCs w:val="20"/>
              </w:rPr>
              <w:t>7</w:t>
            </w:r>
            <w:r w:rsidRPr="00FC0326">
              <w:rPr>
                <w:sz w:val="20"/>
                <w:szCs w:val="20"/>
              </w:rPr>
              <w:t>.</w:t>
            </w:r>
          </w:p>
        </w:tc>
        <w:tc>
          <w:tcPr>
            <w:tcW w:w="3686" w:type="dxa"/>
            <w:vMerge w:val="restart"/>
            <w:shd w:val="clear" w:color="auto" w:fill="auto"/>
          </w:tcPr>
          <w:p w14:paraId="53E28774" w14:textId="77777777" w:rsidR="0087476E" w:rsidRPr="00FC0326" w:rsidRDefault="0087476E" w:rsidP="00350DB9">
            <w:pPr>
              <w:jc w:val="both"/>
              <w:rPr>
                <w:sz w:val="20"/>
                <w:szCs w:val="20"/>
              </w:rPr>
            </w:pPr>
            <w:r>
              <w:rPr>
                <w:sz w:val="20"/>
                <w:szCs w:val="20"/>
              </w:rPr>
              <w:t xml:space="preserve">Nodrošināt uz risku balstītu uzraudzības procesu </w:t>
            </w:r>
          </w:p>
        </w:tc>
        <w:tc>
          <w:tcPr>
            <w:tcW w:w="1559" w:type="dxa"/>
            <w:vMerge w:val="restart"/>
          </w:tcPr>
          <w:p w14:paraId="34734435" w14:textId="77777777" w:rsidR="0087476E" w:rsidRPr="0087476E" w:rsidRDefault="0087476E" w:rsidP="0087476E">
            <w:pPr>
              <w:rPr>
                <w:rFonts w:cs="Times New Roman"/>
                <w:color w:val="000000" w:themeColor="text1"/>
                <w:sz w:val="20"/>
                <w:szCs w:val="20"/>
              </w:rPr>
            </w:pPr>
            <w:r w:rsidRPr="0028738E">
              <w:rPr>
                <w:rFonts w:cs="Times New Roman"/>
                <w:color w:val="000000" w:themeColor="text1"/>
                <w:sz w:val="20"/>
                <w:szCs w:val="20"/>
              </w:rPr>
              <w:t xml:space="preserve">Moneyval rekomendācija </w:t>
            </w:r>
            <w:r>
              <w:rPr>
                <w:rFonts w:cs="Times New Roman"/>
                <w:color w:val="000000" w:themeColor="text1"/>
                <w:sz w:val="20"/>
                <w:szCs w:val="20"/>
              </w:rPr>
              <w:t xml:space="preserve">3.1., 3.4., </w:t>
            </w:r>
            <w:r w:rsidRPr="0028738E">
              <w:rPr>
                <w:rFonts w:cs="Times New Roman"/>
                <w:color w:val="000000" w:themeColor="text1"/>
                <w:sz w:val="20"/>
                <w:szCs w:val="20"/>
              </w:rPr>
              <w:t>4.1, 4.2., 4.3.,. 4.4., 4.5., 4.7.,</w:t>
            </w:r>
            <w:r>
              <w:rPr>
                <w:rFonts w:cs="Times New Roman"/>
                <w:color w:val="000000" w:themeColor="text1"/>
                <w:sz w:val="20"/>
                <w:szCs w:val="20"/>
              </w:rPr>
              <w:t xml:space="preserve"> 4.8.,</w:t>
            </w:r>
            <w:r w:rsidRPr="0028738E">
              <w:rPr>
                <w:rFonts w:cs="Times New Roman"/>
                <w:color w:val="000000" w:themeColor="text1"/>
                <w:sz w:val="20"/>
                <w:szCs w:val="20"/>
              </w:rPr>
              <w:t xml:space="preserve"> 4.16.</w:t>
            </w:r>
            <w:r>
              <w:rPr>
                <w:rFonts w:cs="Times New Roman"/>
                <w:color w:val="000000" w:themeColor="text1"/>
                <w:sz w:val="20"/>
                <w:szCs w:val="20"/>
              </w:rPr>
              <w:t>, 7.3.</w:t>
            </w:r>
          </w:p>
        </w:tc>
        <w:tc>
          <w:tcPr>
            <w:tcW w:w="2410" w:type="dxa"/>
            <w:tcBorders>
              <w:bottom w:val="single" w:sz="4" w:space="0" w:color="auto"/>
            </w:tcBorders>
            <w:shd w:val="clear" w:color="auto" w:fill="auto"/>
          </w:tcPr>
          <w:p w14:paraId="450C81A4" w14:textId="77777777" w:rsidR="0087476E" w:rsidRPr="00FC0326" w:rsidRDefault="00F8172B" w:rsidP="00350DB9">
            <w:pPr>
              <w:jc w:val="both"/>
              <w:rPr>
                <w:sz w:val="20"/>
                <w:szCs w:val="20"/>
              </w:rPr>
            </w:pPr>
            <w:r>
              <w:rPr>
                <w:sz w:val="20"/>
                <w:szCs w:val="20"/>
              </w:rPr>
              <w:t>1.</w:t>
            </w:r>
            <w:r w:rsidR="0087476E" w:rsidRPr="00FC0326">
              <w:rPr>
                <w:sz w:val="20"/>
                <w:szCs w:val="20"/>
              </w:rPr>
              <w:t xml:space="preserve">Pārbaudes NILLTF jomā tiek veiktas atbilstoši novērtētājiem riskiem. </w:t>
            </w:r>
          </w:p>
        </w:tc>
        <w:tc>
          <w:tcPr>
            <w:tcW w:w="2693" w:type="dxa"/>
            <w:tcBorders>
              <w:bottom w:val="single" w:sz="4" w:space="0" w:color="auto"/>
            </w:tcBorders>
          </w:tcPr>
          <w:p w14:paraId="0BD648FF" w14:textId="77777777" w:rsidR="0087476E" w:rsidRPr="00FC0326" w:rsidRDefault="00F8172B" w:rsidP="009B3ACE">
            <w:pPr>
              <w:jc w:val="both"/>
              <w:rPr>
                <w:sz w:val="20"/>
                <w:szCs w:val="20"/>
              </w:rPr>
            </w:pPr>
            <w:r>
              <w:rPr>
                <w:sz w:val="20"/>
                <w:szCs w:val="20"/>
              </w:rPr>
              <w:t>1.</w:t>
            </w:r>
            <w:r w:rsidR="0087476E" w:rsidRPr="00FC0326">
              <w:rPr>
                <w:sz w:val="20"/>
                <w:szCs w:val="20"/>
              </w:rPr>
              <w:t>Visās uzraudzības un kontroles iestādēs ir izveidota nozares apdraudējumu un ievainojamības risku noteikšanas un profilēšanas matrica.</w:t>
            </w:r>
          </w:p>
        </w:tc>
        <w:tc>
          <w:tcPr>
            <w:tcW w:w="1159" w:type="dxa"/>
            <w:tcBorders>
              <w:bottom w:val="single" w:sz="4" w:space="0" w:color="auto"/>
            </w:tcBorders>
            <w:shd w:val="clear" w:color="auto" w:fill="auto"/>
          </w:tcPr>
          <w:p w14:paraId="36BB1F00" w14:textId="77777777" w:rsidR="0087476E" w:rsidRPr="0056332C" w:rsidRDefault="0087476E" w:rsidP="00350DB9">
            <w:pPr>
              <w:jc w:val="center"/>
              <w:rPr>
                <w:sz w:val="20"/>
                <w:szCs w:val="20"/>
              </w:rPr>
            </w:pPr>
            <w:r w:rsidRPr="0056332C">
              <w:rPr>
                <w:color w:val="000000" w:themeColor="text1"/>
                <w:sz w:val="20"/>
                <w:szCs w:val="20"/>
              </w:rPr>
              <w:t xml:space="preserve">FKTK, VID, LB, IAUI, LZAP, LZNP, LZRA, </w:t>
            </w:r>
            <w:r w:rsidR="0090763B">
              <w:rPr>
                <w:color w:val="000000" w:themeColor="text1"/>
                <w:sz w:val="20"/>
                <w:szCs w:val="20"/>
              </w:rPr>
              <w:t>NKMP</w:t>
            </w:r>
            <w:r w:rsidRPr="0056332C">
              <w:rPr>
                <w:color w:val="000000" w:themeColor="text1"/>
                <w:sz w:val="20"/>
                <w:szCs w:val="20"/>
              </w:rPr>
              <w:t>, PTAC</w:t>
            </w:r>
          </w:p>
        </w:tc>
        <w:tc>
          <w:tcPr>
            <w:tcW w:w="1276" w:type="dxa"/>
            <w:tcBorders>
              <w:bottom w:val="single" w:sz="4" w:space="0" w:color="auto"/>
            </w:tcBorders>
            <w:shd w:val="clear" w:color="auto" w:fill="auto"/>
          </w:tcPr>
          <w:p w14:paraId="43A11DF7" w14:textId="77777777" w:rsidR="0087476E" w:rsidRPr="00FC0326" w:rsidRDefault="0087476E" w:rsidP="00350DB9">
            <w:pPr>
              <w:jc w:val="center"/>
              <w:rPr>
                <w:sz w:val="20"/>
                <w:szCs w:val="20"/>
              </w:rPr>
            </w:pPr>
          </w:p>
        </w:tc>
        <w:tc>
          <w:tcPr>
            <w:tcW w:w="1417" w:type="dxa"/>
            <w:tcBorders>
              <w:bottom w:val="single" w:sz="4" w:space="0" w:color="auto"/>
            </w:tcBorders>
            <w:shd w:val="clear" w:color="auto" w:fill="auto"/>
          </w:tcPr>
          <w:p w14:paraId="170753D7" w14:textId="77777777" w:rsidR="0087476E" w:rsidRPr="00FC0326" w:rsidRDefault="0087476E" w:rsidP="00C97FF2">
            <w:pPr>
              <w:jc w:val="center"/>
              <w:rPr>
                <w:sz w:val="20"/>
                <w:szCs w:val="20"/>
              </w:rPr>
            </w:pPr>
            <w:r w:rsidRPr="00FC0326">
              <w:rPr>
                <w:sz w:val="20"/>
                <w:szCs w:val="20"/>
              </w:rPr>
              <w:t>2018.gada 31.decembris.</w:t>
            </w:r>
          </w:p>
        </w:tc>
      </w:tr>
      <w:tr w:rsidR="0087476E" w:rsidRPr="00FC0326" w14:paraId="36E47323" w14:textId="77777777" w:rsidTr="00A37320">
        <w:tc>
          <w:tcPr>
            <w:tcW w:w="709" w:type="dxa"/>
            <w:vMerge/>
            <w:tcBorders>
              <w:bottom w:val="single" w:sz="4" w:space="0" w:color="auto"/>
            </w:tcBorders>
          </w:tcPr>
          <w:p w14:paraId="118876D8" w14:textId="77777777" w:rsidR="0087476E" w:rsidRPr="00FC0326" w:rsidRDefault="0087476E" w:rsidP="00887869">
            <w:pPr>
              <w:jc w:val="center"/>
              <w:rPr>
                <w:sz w:val="20"/>
                <w:szCs w:val="20"/>
              </w:rPr>
            </w:pPr>
          </w:p>
        </w:tc>
        <w:tc>
          <w:tcPr>
            <w:tcW w:w="3686" w:type="dxa"/>
            <w:vMerge/>
            <w:tcBorders>
              <w:bottom w:val="single" w:sz="4" w:space="0" w:color="auto"/>
            </w:tcBorders>
            <w:shd w:val="clear" w:color="auto" w:fill="auto"/>
          </w:tcPr>
          <w:p w14:paraId="3B43F9C3" w14:textId="77777777" w:rsidR="0087476E" w:rsidRDefault="0087476E" w:rsidP="00887869">
            <w:pPr>
              <w:jc w:val="both"/>
              <w:rPr>
                <w:sz w:val="20"/>
                <w:szCs w:val="20"/>
              </w:rPr>
            </w:pPr>
          </w:p>
        </w:tc>
        <w:tc>
          <w:tcPr>
            <w:tcW w:w="1559" w:type="dxa"/>
            <w:vMerge/>
            <w:tcBorders>
              <w:bottom w:val="single" w:sz="4" w:space="0" w:color="auto"/>
            </w:tcBorders>
          </w:tcPr>
          <w:p w14:paraId="39D177A5" w14:textId="77777777" w:rsidR="0087476E" w:rsidRPr="00FC0326" w:rsidRDefault="0087476E" w:rsidP="00887869">
            <w:pPr>
              <w:jc w:val="both"/>
              <w:rPr>
                <w:sz w:val="20"/>
                <w:szCs w:val="20"/>
              </w:rPr>
            </w:pPr>
          </w:p>
        </w:tc>
        <w:tc>
          <w:tcPr>
            <w:tcW w:w="2410" w:type="dxa"/>
            <w:tcBorders>
              <w:top w:val="single" w:sz="4" w:space="0" w:color="auto"/>
              <w:bottom w:val="single" w:sz="4" w:space="0" w:color="auto"/>
              <w:right w:val="single" w:sz="4" w:space="0" w:color="auto"/>
            </w:tcBorders>
            <w:shd w:val="clear" w:color="auto" w:fill="auto"/>
          </w:tcPr>
          <w:p w14:paraId="33E7CB8F" w14:textId="77777777" w:rsidR="0087476E" w:rsidRDefault="00F8172B" w:rsidP="0087476E">
            <w:pPr>
              <w:jc w:val="both"/>
              <w:rPr>
                <w:sz w:val="20"/>
                <w:szCs w:val="20"/>
              </w:rPr>
            </w:pPr>
            <w:r>
              <w:rPr>
                <w:rFonts w:cs="Times New Roman"/>
                <w:color w:val="000000" w:themeColor="text1"/>
                <w:sz w:val="20"/>
                <w:szCs w:val="20"/>
              </w:rPr>
              <w:t>2.</w:t>
            </w:r>
            <w:r w:rsidR="0087476E">
              <w:rPr>
                <w:rFonts w:cs="Times New Roman"/>
                <w:color w:val="000000" w:themeColor="text1"/>
                <w:sz w:val="20"/>
                <w:szCs w:val="20"/>
              </w:rPr>
              <w:t xml:space="preserve">Balstoties uz risku novērtējumu, veikt klātienes un neklātienes pārbaudes, tai skaitā veicot mērķētas uzraudzības pārbaudes jomās, kur identificētas nepilnības. </w:t>
            </w:r>
          </w:p>
        </w:tc>
        <w:tc>
          <w:tcPr>
            <w:tcW w:w="2693" w:type="dxa"/>
            <w:tcBorders>
              <w:top w:val="single" w:sz="4" w:space="0" w:color="auto"/>
              <w:left w:val="single" w:sz="4" w:space="0" w:color="auto"/>
              <w:bottom w:val="single" w:sz="4" w:space="0" w:color="auto"/>
              <w:right w:val="single" w:sz="4" w:space="0" w:color="auto"/>
            </w:tcBorders>
          </w:tcPr>
          <w:p w14:paraId="5E7905E3" w14:textId="77777777" w:rsidR="0087476E" w:rsidRPr="00FC0326" w:rsidRDefault="00F8172B" w:rsidP="0037175D">
            <w:pPr>
              <w:jc w:val="both"/>
              <w:rPr>
                <w:sz w:val="20"/>
                <w:szCs w:val="20"/>
              </w:rPr>
            </w:pPr>
            <w:r>
              <w:rPr>
                <w:rFonts w:cs="Times New Roman"/>
                <w:color w:val="000000" w:themeColor="text1"/>
                <w:sz w:val="20"/>
                <w:szCs w:val="20"/>
              </w:rPr>
              <w:t>2.</w:t>
            </w:r>
            <w:r w:rsidR="0037175D">
              <w:rPr>
                <w:rFonts w:cs="Times New Roman"/>
                <w:color w:val="000000" w:themeColor="text1"/>
                <w:sz w:val="20"/>
                <w:szCs w:val="20"/>
              </w:rPr>
              <w:t>2018.gadā 961 klātienes un 2 696 neklātienes pārbaudes, 2019. gadā 1 759 klātienes un 3 572 neklātienes pārbaudes</w:t>
            </w:r>
            <w:r w:rsidR="00C8593B">
              <w:rPr>
                <w:rFonts w:cs="Times New Roman"/>
                <w:color w:val="000000" w:themeColor="text1"/>
                <w:sz w:val="20"/>
                <w:szCs w:val="20"/>
              </w:rPr>
              <w:t xml:space="preserve"> (3.pielikums).</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63E3C69B" w14:textId="77777777" w:rsidR="0087476E" w:rsidRPr="00627499" w:rsidRDefault="0087476E" w:rsidP="00887869">
            <w:pPr>
              <w:jc w:val="center"/>
              <w:rPr>
                <w:color w:val="000000" w:themeColor="text1"/>
                <w:sz w:val="20"/>
                <w:szCs w:val="20"/>
              </w:rPr>
            </w:pPr>
            <w:r w:rsidRPr="0028738E">
              <w:rPr>
                <w:color w:val="000000" w:themeColor="text1"/>
                <w:sz w:val="20"/>
                <w:szCs w:val="20"/>
              </w:rPr>
              <w:t xml:space="preserve">FKTK, VID, LB, IAUI, LZAP, LZNP, LZRA, </w:t>
            </w:r>
            <w:r w:rsidR="0090763B">
              <w:rPr>
                <w:color w:val="000000" w:themeColor="text1"/>
                <w:sz w:val="20"/>
                <w:szCs w:val="20"/>
              </w:rPr>
              <w:t>NKMP</w:t>
            </w:r>
            <w:r w:rsidRPr="0028738E">
              <w:rPr>
                <w:color w:val="000000" w:themeColor="text1"/>
                <w:sz w:val="20"/>
                <w:szCs w:val="20"/>
              </w:rPr>
              <w:t>, PTAC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470CCA" w14:textId="77777777" w:rsidR="0087476E" w:rsidRPr="00FC0326" w:rsidRDefault="0087476E" w:rsidP="00887869">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C26B1D" w14:textId="77777777" w:rsidR="0087476E" w:rsidRPr="0028738E" w:rsidRDefault="0087476E" w:rsidP="00C97FF2">
            <w:pPr>
              <w:jc w:val="center"/>
              <w:rPr>
                <w:rFonts w:cs="Times New Roman"/>
                <w:bCs/>
                <w:color w:val="000000" w:themeColor="text1"/>
                <w:sz w:val="20"/>
                <w:szCs w:val="20"/>
              </w:rPr>
            </w:pPr>
            <w:r>
              <w:rPr>
                <w:rFonts w:cs="Times New Roman"/>
                <w:bCs/>
                <w:color w:val="000000" w:themeColor="text1"/>
                <w:sz w:val="20"/>
                <w:szCs w:val="20"/>
              </w:rPr>
              <w:t>2019.gada 31.decembris</w:t>
            </w:r>
          </w:p>
          <w:p w14:paraId="5194072F" w14:textId="77777777" w:rsidR="0087476E" w:rsidRDefault="0087476E" w:rsidP="00C97FF2">
            <w:pPr>
              <w:jc w:val="center"/>
              <w:rPr>
                <w:sz w:val="20"/>
                <w:szCs w:val="20"/>
              </w:rPr>
            </w:pPr>
          </w:p>
        </w:tc>
      </w:tr>
      <w:tr w:rsidR="009B3ACE" w:rsidRPr="00FC0326" w14:paraId="45067717" w14:textId="77777777" w:rsidTr="00A37320">
        <w:tc>
          <w:tcPr>
            <w:tcW w:w="709" w:type="dxa"/>
            <w:vMerge w:val="restart"/>
            <w:tcBorders>
              <w:top w:val="single" w:sz="4" w:space="0" w:color="auto"/>
              <w:left w:val="single" w:sz="4" w:space="0" w:color="auto"/>
              <w:right w:val="single" w:sz="4" w:space="0" w:color="auto"/>
            </w:tcBorders>
          </w:tcPr>
          <w:p w14:paraId="7521D01E" w14:textId="77777777" w:rsidR="009B3ACE" w:rsidRPr="00FC0326" w:rsidRDefault="009B3ACE" w:rsidP="00914F28">
            <w:pPr>
              <w:jc w:val="center"/>
              <w:rPr>
                <w:sz w:val="20"/>
                <w:szCs w:val="20"/>
              </w:rPr>
            </w:pPr>
            <w:r w:rsidRPr="00FC0326">
              <w:rPr>
                <w:sz w:val="20"/>
                <w:szCs w:val="20"/>
              </w:rPr>
              <w:t>3.</w:t>
            </w:r>
            <w:r w:rsidR="00725B4A">
              <w:rPr>
                <w:sz w:val="20"/>
                <w:szCs w:val="20"/>
              </w:rPr>
              <w:t>8</w:t>
            </w:r>
            <w:r>
              <w:rPr>
                <w:sz w:val="20"/>
                <w:szCs w:val="20"/>
              </w:rPr>
              <w:t>.</w:t>
            </w:r>
          </w:p>
        </w:tc>
        <w:tc>
          <w:tcPr>
            <w:tcW w:w="3686" w:type="dxa"/>
            <w:vMerge w:val="restart"/>
            <w:tcBorders>
              <w:top w:val="single" w:sz="4" w:space="0" w:color="auto"/>
              <w:left w:val="single" w:sz="4" w:space="0" w:color="auto"/>
              <w:right w:val="single" w:sz="4" w:space="0" w:color="auto"/>
            </w:tcBorders>
            <w:shd w:val="clear" w:color="auto" w:fill="auto"/>
          </w:tcPr>
          <w:p w14:paraId="2D39F6E6" w14:textId="77777777" w:rsidR="009B3ACE" w:rsidRPr="00FC0326" w:rsidRDefault="009B3ACE" w:rsidP="00887869">
            <w:pPr>
              <w:jc w:val="both"/>
              <w:rPr>
                <w:sz w:val="20"/>
                <w:szCs w:val="20"/>
              </w:rPr>
            </w:pPr>
            <w:r>
              <w:rPr>
                <w:sz w:val="20"/>
                <w:szCs w:val="20"/>
              </w:rPr>
              <w:t>Izstrādāt grozījumus NILLTFNL, nosakot reputācijas prasības par NILLTFN prasību izpildes atbildīgajām amatpersonām visos likuma subjektos</w:t>
            </w:r>
          </w:p>
        </w:tc>
        <w:tc>
          <w:tcPr>
            <w:tcW w:w="1559" w:type="dxa"/>
            <w:vMerge w:val="restart"/>
            <w:tcBorders>
              <w:top w:val="single" w:sz="4" w:space="0" w:color="auto"/>
              <w:left w:val="single" w:sz="4" w:space="0" w:color="auto"/>
              <w:right w:val="single" w:sz="4" w:space="0" w:color="auto"/>
            </w:tcBorders>
          </w:tcPr>
          <w:p w14:paraId="23C1B3E4" w14:textId="77777777" w:rsidR="009B3ACE" w:rsidRPr="00FC0326" w:rsidRDefault="009B3ACE" w:rsidP="00887869">
            <w:pPr>
              <w:jc w:val="both"/>
              <w:rPr>
                <w:sz w:val="20"/>
                <w:szCs w:val="20"/>
              </w:rPr>
            </w:pPr>
            <w:r w:rsidRPr="00FC0326">
              <w:rPr>
                <w:sz w:val="20"/>
                <w:szCs w:val="20"/>
              </w:rPr>
              <w:t>Moneyval rekomendācija</w:t>
            </w:r>
            <w:r>
              <w:rPr>
                <w:sz w:val="20"/>
                <w:szCs w:val="20"/>
              </w:rPr>
              <w:t xml:space="preserve"> </w:t>
            </w:r>
            <w:r w:rsidRPr="00FC0326">
              <w:rPr>
                <w:sz w:val="20"/>
                <w:szCs w:val="20"/>
              </w:rPr>
              <w:t>3.7.</w:t>
            </w:r>
          </w:p>
        </w:tc>
        <w:tc>
          <w:tcPr>
            <w:tcW w:w="2410" w:type="dxa"/>
            <w:vMerge w:val="restart"/>
            <w:tcBorders>
              <w:top w:val="single" w:sz="4" w:space="0" w:color="auto"/>
              <w:left w:val="single" w:sz="4" w:space="0" w:color="auto"/>
              <w:right w:val="single" w:sz="4" w:space="0" w:color="auto"/>
            </w:tcBorders>
            <w:shd w:val="clear" w:color="auto" w:fill="auto"/>
          </w:tcPr>
          <w:p w14:paraId="591EFF9A" w14:textId="77777777" w:rsidR="009B3ACE" w:rsidRPr="00FC0326" w:rsidRDefault="009B3ACE" w:rsidP="00887869">
            <w:pPr>
              <w:jc w:val="both"/>
              <w:rPr>
                <w:sz w:val="20"/>
                <w:szCs w:val="20"/>
              </w:rPr>
            </w:pPr>
            <w:r>
              <w:rPr>
                <w:sz w:val="20"/>
                <w:szCs w:val="20"/>
              </w:rPr>
              <w:t>Nodrošināt to, ka reputācijas prasības ir noteiktas visu likumu subjektu par NILLTFN atbildīgajām amatpersonām</w:t>
            </w:r>
          </w:p>
        </w:tc>
        <w:tc>
          <w:tcPr>
            <w:tcW w:w="2693" w:type="dxa"/>
            <w:tcBorders>
              <w:top w:val="single" w:sz="4" w:space="0" w:color="auto"/>
              <w:left w:val="single" w:sz="4" w:space="0" w:color="auto"/>
              <w:bottom w:val="single" w:sz="4" w:space="0" w:color="auto"/>
              <w:right w:val="single" w:sz="4" w:space="0" w:color="auto"/>
            </w:tcBorders>
          </w:tcPr>
          <w:p w14:paraId="1540A59E" w14:textId="77777777" w:rsidR="009B3ACE" w:rsidRDefault="00C22658" w:rsidP="00887869">
            <w:pPr>
              <w:jc w:val="both"/>
              <w:rPr>
                <w:sz w:val="20"/>
                <w:szCs w:val="20"/>
              </w:rPr>
            </w:pPr>
            <w:r>
              <w:rPr>
                <w:sz w:val="20"/>
                <w:szCs w:val="20"/>
              </w:rPr>
              <w:t>1.</w:t>
            </w:r>
            <w:r w:rsidR="009B3ACE">
              <w:rPr>
                <w:sz w:val="20"/>
                <w:szCs w:val="20"/>
              </w:rPr>
              <w:t>Izstrādāti grozījumi NILLTFNL</w:t>
            </w:r>
          </w:p>
          <w:p w14:paraId="6C1E5CBD" w14:textId="77777777" w:rsidR="009B3ACE" w:rsidRDefault="009B3ACE" w:rsidP="00887869">
            <w:pPr>
              <w:jc w:val="both"/>
              <w:rPr>
                <w:sz w:val="20"/>
                <w:szCs w:val="20"/>
              </w:rPr>
            </w:pPr>
          </w:p>
          <w:p w14:paraId="63D89D4B" w14:textId="77777777" w:rsidR="009B3ACE" w:rsidRPr="00FC0326" w:rsidRDefault="009B3ACE" w:rsidP="009B3ACE">
            <w:pPr>
              <w:jc w:val="both"/>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08172FF9" w14:textId="77777777" w:rsidR="009B3ACE" w:rsidRPr="00627499" w:rsidRDefault="009B3ACE" w:rsidP="00887869">
            <w:pPr>
              <w:jc w:val="center"/>
              <w:rPr>
                <w:sz w:val="20"/>
                <w:szCs w:val="20"/>
              </w:rPr>
            </w:pPr>
            <w:r>
              <w:rPr>
                <w:sz w:val="20"/>
                <w:szCs w:val="20"/>
              </w:rPr>
              <w:t>FM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98223E" w14:textId="77777777" w:rsidR="009B3ACE" w:rsidRPr="00FC0326" w:rsidRDefault="009B3ACE" w:rsidP="00887869">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6ACF7" w14:textId="77777777" w:rsidR="009B3ACE" w:rsidRPr="00FC0326" w:rsidRDefault="009B3ACE" w:rsidP="00C97FF2">
            <w:pPr>
              <w:jc w:val="center"/>
              <w:rPr>
                <w:sz w:val="20"/>
                <w:szCs w:val="20"/>
              </w:rPr>
            </w:pPr>
            <w:r>
              <w:rPr>
                <w:sz w:val="20"/>
                <w:szCs w:val="20"/>
              </w:rPr>
              <w:t>2019,gada 1.marts</w:t>
            </w:r>
          </w:p>
        </w:tc>
      </w:tr>
      <w:tr w:rsidR="009B3ACE" w:rsidRPr="00FC0326" w14:paraId="78D25A12" w14:textId="77777777" w:rsidTr="00A37320">
        <w:trPr>
          <w:trHeight w:val="58"/>
        </w:trPr>
        <w:tc>
          <w:tcPr>
            <w:tcW w:w="709" w:type="dxa"/>
            <w:vMerge/>
            <w:tcBorders>
              <w:left w:val="single" w:sz="4" w:space="0" w:color="auto"/>
              <w:bottom w:val="single" w:sz="4" w:space="0" w:color="auto"/>
              <w:right w:val="single" w:sz="4" w:space="0" w:color="auto"/>
            </w:tcBorders>
          </w:tcPr>
          <w:p w14:paraId="241394D5" w14:textId="77777777" w:rsidR="009B3ACE" w:rsidRPr="00FC0326" w:rsidRDefault="009B3ACE" w:rsidP="009B3ACE">
            <w:pPr>
              <w:jc w:val="center"/>
              <w:rPr>
                <w:sz w:val="20"/>
                <w:szCs w:val="20"/>
              </w:rPr>
            </w:pPr>
          </w:p>
        </w:tc>
        <w:tc>
          <w:tcPr>
            <w:tcW w:w="3686" w:type="dxa"/>
            <w:vMerge/>
            <w:tcBorders>
              <w:left w:val="single" w:sz="4" w:space="0" w:color="auto"/>
              <w:bottom w:val="single" w:sz="4" w:space="0" w:color="auto"/>
              <w:right w:val="single" w:sz="4" w:space="0" w:color="auto"/>
            </w:tcBorders>
            <w:shd w:val="clear" w:color="auto" w:fill="auto"/>
          </w:tcPr>
          <w:p w14:paraId="1E41834D" w14:textId="77777777" w:rsidR="009B3ACE" w:rsidRPr="00FC0326" w:rsidRDefault="009B3ACE" w:rsidP="009B3ACE">
            <w:pPr>
              <w:jc w:val="both"/>
              <w:rPr>
                <w:sz w:val="20"/>
                <w:szCs w:val="20"/>
              </w:rPr>
            </w:pPr>
          </w:p>
        </w:tc>
        <w:tc>
          <w:tcPr>
            <w:tcW w:w="1559" w:type="dxa"/>
            <w:vMerge/>
            <w:tcBorders>
              <w:left w:val="single" w:sz="4" w:space="0" w:color="auto"/>
              <w:bottom w:val="single" w:sz="4" w:space="0" w:color="auto"/>
              <w:right w:val="single" w:sz="4" w:space="0" w:color="auto"/>
            </w:tcBorders>
          </w:tcPr>
          <w:p w14:paraId="5256E53B" w14:textId="77777777" w:rsidR="009B3ACE" w:rsidRPr="00FC0326" w:rsidRDefault="009B3ACE" w:rsidP="009B3ACE">
            <w:pPr>
              <w:jc w:val="both"/>
              <w:rPr>
                <w:sz w:val="20"/>
                <w:szCs w:val="20"/>
              </w:rPr>
            </w:pPr>
          </w:p>
        </w:tc>
        <w:tc>
          <w:tcPr>
            <w:tcW w:w="2410" w:type="dxa"/>
            <w:vMerge/>
            <w:tcBorders>
              <w:left w:val="single" w:sz="4" w:space="0" w:color="auto"/>
              <w:bottom w:val="single" w:sz="4" w:space="0" w:color="auto"/>
              <w:right w:val="single" w:sz="4" w:space="0" w:color="auto"/>
            </w:tcBorders>
            <w:shd w:val="clear" w:color="auto" w:fill="auto"/>
          </w:tcPr>
          <w:p w14:paraId="6AA4F47A" w14:textId="77777777" w:rsidR="009B3ACE" w:rsidRDefault="009B3ACE" w:rsidP="009B3ACE">
            <w:pPr>
              <w:jc w:val="both"/>
              <w:rPr>
                <w:sz w:val="20"/>
                <w:szCs w:val="20"/>
              </w:rPr>
            </w:pPr>
          </w:p>
        </w:tc>
        <w:tc>
          <w:tcPr>
            <w:tcW w:w="2693" w:type="dxa"/>
            <w:tcBorders>
              <w:top w:val="single" w:sz="4" w:space="0" w:color="auto"/>
              <w:left w:val="single" w:sz="4" w:space="0" w:color="auto"/>
              <w:bottom w:val="single" w:sz="4" w:space="0" w:color="auto"/>
            </w:tcBorders>
          </w:tcPr>
          <w:p w14:paraId="5543E9AD" w14:textId="77777777" w:rsidR="009B3ACE" w:rsidRPr="00FC0326" w:rsidRDefault="00C22658" w:rsidP="009B3ACE">
            <w:pPr>
              <w:jc w:val="both"/>
              <w:rPr>
                <w:sz w:val="20"/>
                <w:szCs w:val="20"/>
              </w:rPr>
            </w:pPr>
            <w:r>
              <w:rPr>
                <w:sz w:val="20"/>
                <w:szCs w:val="20"/>
              </w:rPr>
              <w:t>2.</w:t>
            </w:r>
            <w:r w:rsidR="009B3ACE">
              <w:rPr>
                <w:sz w:val="20"/>
                <w:szCs w:val="20"/>
              </w:rPr>
              <w:t>Veiktas uzraudzības pārbaudes atbilstoši grozījumiem</w:t>
            </w:r>
          </w:p>
        </w:tc>
        <w:tc>
          <w:tcPr>
            <w:tcW w:w="1159" w:type="dxa"/>
            <w:tcBorders>
              <w:top w:val="single" w:sz="4" w:space="0" w:color="auto"/>
              <w:bottom w:val="single" w:sz="4" w:space="0" w:color="auto"/>
            </w:tcBorders>
            <w:shd w:val="clear" w:color="auto" w:fill="auto"/>
          </w:tcPr>
          <w:p w14:paraId="29686745" w14:textId="77777777" w:rsidR="009B3ACE" w:rsidRPr="00FC0326" w:rsidRDefault="009B3ACE" w:rsidP="009B3ACE">
            <w:pPr>
              <w:jc w:val="center"/>
              <w:rPr>
                <w:sz w:val="20"/>
                <w:szCs w:val="20"/>
              </w:rPr>
            </w:pPr>
            <w:r w:rsidRPr="00627499">
              <w:rPr>
                <w:color w:val="000000" w:themeColor="text1"/>
                <w:sz w:val="20"/>
                <w:szCs w:val="20"/>
              </w:rPr>
              <w:t xml:space="preserve">FKTK, VID, LB, IAUI, LZAP, LZNP, LZRA, </w:t>
            </w:r>
            <w:r w:rsidR="0090763B">
              <w:rPr>
                <w:color w:val="000000" w:themeColor="text1"/>
                <w:sz w:val="20"/>
                <w:szCs w:val="20"/>
              </w:rPr>
              <w:t>NKMP</w:t>
            </w:r>
            <w:r w:rsidRPr="00627499">
              <w:rPr>
                <w:color w:val="000000" w:themeColor="text1"/>
                <w:sz w:val="20"/>
                <w:szCs w:val="20"/>
              </w:rPr>
              <w:t>, PTAC</w:t>
            </w:r>
          </w:p>
        </w:tc>
        <w:tc>
          <w:tcPr>
            <w:tcW w:w="1276" w:type="dxa"/>
            <w:tcBorders>
              <w:top w:val="single" w:sz="4" w:space="0" w:color="auto"/>
              <w:bottom w:val="single" w:sz="4" w:space="0" w:color="auto"/>
            </w:tcBorders>
            <w:shd w:val="clear" w:color="auto" w:fill="auto"/>
          </w:tcPr>
          <w:p w14:paraId="254E783E" w14:textId="77777777" w:rsidR="009B3ACE" w:rsidRPr="00FC0326" w:rsidRDefault="009B3ACE" w:rsidP="009B3ACE">
            <w:pPr>
              <w:jc w:val="center"/>
              <w:rPr>
                <w:sz w:val="20"/>
                <w:szCs w:val="20"/>
              </w:rPr>
            </w:pPr>
          </w:p>
        </w:tc>
        <w:tc>
          <w:tcPr>
            <w:tcW w:w="1417" w:type="dxa"/>
            <w:tcBorders>
              <w:top w:val="single" w:sz="4" w:space="0" w:color="auto"/>
              <w:bottom w:val="single" w:sz="4" w:space="0" w:color="auto"/>
            </w:tcBorders>
            <w:shd w:val="clear" w:color="auto" w:fill="auto"/>
          </w:tcPr>
          <w:p w14:paraId="4E67A283" w14:textId="77777777" w:rsidR="009B3ACE" w:rsidRPr="00FC0326" w:rsidRDefault="009B3ACE" w:rsidP="00C97FF2">
            <w:pPr>
              <w:jc w:val="center"/>
              <w:rPr>
                <w:sz w:val="20"/>
                <w:szCs w:val="20"/>
              </w:rPr>
            </w:pPr>
            <w:r>
              <w:rPr>
                <w:sz w:val="20"/>
                <w:szCs w:val="20"/>
              </w:rPr>
              <w:t>2019.gada 31.decembris</w:t>
            </w:r>
          </w:p>
        </w:tc>
      </w:tr>
      <w:tr w:rsidR="00C8593B" w:rsidRPr="00FC0326" w14:paraId="6BBF4D55" w14:textId="77777777" w:rsidTr="00A37320">
        <w:trPr>
          <w:trHeight w:val="58"/>
        </w:trPr>
        <w:tc>
          <w:tcPr>
            <w:tcW w:w="709" w:type="dxa"/>
            <w:vMerge w:val="restart"/>
            <w:tcBorders>
              <w:top w:val="single" w:sz="4" w:space="0" w:color="auto"/>
            </w:tcBorders>
          </w:tcPr>
          <w:p w14:paraId="38D6669E" w14:textId="77777777" w:rsidR="00C8593B" w:rsidRPr="00FC0326" w:rsidRDefault="00C8593B" w:rsidP="009B3ACE">
            <w:pPr>
              <w:jc w:val="center"/>
              <w:rPr>
                <w:sz w:val="20"/>
                <w:szCs w:val="20"/>
              </w:rPr>
            </w:pPr>
            <w:r w:rsidRPr="00FC0326">
              <w:rPr>
                <w:sz w:val="20"/>
                <w:szCs w:val="20"/>
              </w:rPr>
              <w:t>3.</w:t>
            </w:r>
            <w:r w:rsidR="00725B4A">
              <w:rPr>
                <w:sz w:val="20"/>
                <w:szCs w:val="20"/>
              </w:rPr>
              <w:t>9</w:t>
            </w:r>
            <w:r w:rsidRPr="00FC0326">
              <w:rPr>
                <w:sz w:val="20"/>
                <w:szCs w:val="20"/>
              </w:rPr>
              <w:t>.</w:t>
            </w:r>
          </w:p>
        </w:tc>
        <w:tc>
          <w:tcPr>
            <w:tcW w:w="3686" w:type="dxa"/>
            <w:vMerge w:val="restart"/>
            <w:tcBorders>
              <w:top w:val="single" w:sz="4" w:space="0" w:color="auto"/>
            </w:tcBorders>
            <w:shd w:val="clear" w:color="auto" w:fill="auto"/>
          </w:tcPr>
          <w:p w14:paraId="142B7B77" w14:textId="77777777" w:rsidR="00C8593B" w:rsidRPr="00FC0326" w:rsidRDefault="00C8593B" w:rsidP="009B3ACE">
            <w:pPr>
              <w:jc w:val="both"/>
              <w:rPr>
                <w:sz w:val="20"/>
                <w:szCs w:val="20"/>
              </w:rPr>
            </w:pPr>
            <w:r w:rsidRPr="00FC0326">
              <w:rPr>
                <w:sz w:val="20"/>
                <w:szCs w:val="20"/>
              </w:rPr>
              <w:t>Uzraudzīt kredītiestāžu biznesa modeļu maiņu, samazinot augsta riska klientu īpatsvaru, sasniedzot FKTK noteiktos mērķa lielumus nozarei kopumā.</w:t>
            </w:r>
          </w:p>
        </w:tc>
        <w:tc>
          <w:tcPr>
            <w:tcW w:w="1559" w:type="dxa"/>
            <w:vMerge w:val="restart"/>
            <w:tcBorders>
              <w:top w:val="single" w:sz="4" w:space="0" w:color="auto"/>
            </w:tcBorders>
          </w:tcPr>
          <w:p w14:paraId="632C4351" w14:textId="77777777" w:rsidR="00C8593B" w:rsidRPr="00FC0326" w:rsidRDefault="00C8593B" w:rsidP="009B3ACE">
            <w:pPr>
              <w:jc w:val="both"/>
              <w:rPr>
                <w:sz w:val="20"/>
                <w:szCs w:val="20"/>
              </w:rPr>
            </w:pPr>
            <w:r w:rsidRPr="00FC0326">
              <w:rPr>
                <w:sz w:val="20"/>
                <w:szCs w:val="20"/>
              </w:rPr>
              <w:t>NRA</w:t>
            </w:r>
            <w:r>
              <w:rPr>
                <w:sz w:val="20"/>
                <w:szCs w:val="20"/>
              </w:rPr>
              <w:t>, 23.punktu plāns</w:t>
            </w:r>
          </w:p>
          <w:p w14:paraId="341F7862" w14:textId="77777777" w:rsidR="00C8593B" w:rsidRPr="00FC0326" w:rsidRDefault="00C8593B" w:rsidP="009B3ACE">
            <w:pPr>
              <w:jc w:val="both"/>
              <w:rPr>
                <w:sz w:val="20"/>
                <w:szCs w:val="20"/>
              </w:rPr>
            </w:pPr>
          </w:p>
        </w:tc>
        <w:tc>
          <w:tcPr>
            <w:tcW w:w="2410" w:type="dxa"/>
            <w:vMerge w:val="restart"/>
            <w:tcBorders>
              <w:top w:val="single" w:sz="4" w:space="0" w:color="auto"/>
            </w:tcBorders>
            <w:shd w:val="clear" w:color="auto" w:fill="auto"/>
          </w:tcPr>
          <w:p w14:paraId="365A080A" w14:textId="77777777" w:rsidR="00C8593B" w:rsidRPr="00FC0326" w:rsidRDefault="00C8593B" w:rsidP="009B3ACE">
            <w:pPr>
              <w:jc w:val="both"/>
              <w:rPr>
                <w:sz w:val="20"/>
                <w:szCs w:val="20"/>
              </w:rPr>
            </w:pPr>
            <w:r>
              <w:rPr>
                <w:sz w:val="20"/>
                <w:szCs w:val="20"/>
              </w:rPr>
              <w:t>Risku būtisks samazinājums kredītiestāžu nozarē</w:t>
            </w:r>
          </w:p>
        </w:tc>
        <w:tc>
          <w:tcPr>
            <w:tcW w:w="2693" w:type="dxa"/>
            <w:tcBorders>
              <w:top w:val="single" w:sz="4" w:space="0" w:color="auto"/>
              <w:bottom w:val="single" w:sz="4" w:space="0" w:color="auto"/>
            </w:tcBorders>
          </w:tcPr>
          <w:p w14:paraId="36F34991" w14:textId="77777777" w:rsidR="00C8593B" w:rsidRPr="00FC0326" w:rsidRDefault="00C22658" w:rsidP="00122AD7">
            <w:pPr>
              <w:jc w:val="both"/>
              <w:rPr>
                <w:sz w:val="20"/>
                <w:szCs w:val="20"/>
              </w:rPr>
            </w:pPr>
            <w:r>
              <w:rPr>
                <w:sz w:val="20"/>
                <w:szCs w:val="20"/>
              </w:rPr>
              <w:t>1.</w:t>
            </w:r>
            <w:r w:rsidR="00C8593B" w:rsidRPr="0009140F">
              <w:rPr>
                <w:sz w:val="20"/>
                <w:szCs w:val="20"/>
              </w:rPr>
              <w:t xml:space="preserve">Regulāri vismaz 2 reizes mēnesī par kredītiestāžu biznesa modeļu maiņas procesu un </w:t>
            </w:r>
            <w:r w:rsidR="00122AD7">
              <w:rPr>
                <w:sz w:val="20"/>
                <w:szCs w:val="20"/>
              </w:rPr>
              <w:t xml:space="preserve">rezultātiem </w:t>
            </w:r>
            <w:r w:rsidR="00C8593B" w:rsidRPr="0009140F">
              <w:rPr>
                <w:sz w:val="20"/>
                <w:szCs w:val="20"/>
              </w:rPr>
              <w:t>informēt FSAP</w:t>
            </w:r>
          </w:p>
        </w:tc>
        <w:tc>
          <w:tcPr>
            <w:tcW w:w="1159" w:type="dxa"/>
            <w:tcBorders>
              <w:top w:val="single" w:sz="4" w:space="0" w:color="auto"/>
              <w:bottom w:val="single" w:sz="4" w:space="0" w:color="auto"/>
            </w:tcBorders>
            <w:shd w:val="clear" w:color="auto" w:fill="auto"/>
          </w:tcPr>
          <w:p w14:paraId="2E5A02AA" w14:textId="77777777" w:rsidR="00C8593B" w:rsidRPr="00FC0326" w:rsidRDefault="00C8593B" w:rsidP="009B3ACE">
            <w:pPr>
              <w:jc w:val="center"/>
              <w:rPr>
                <w:sz w:val="20"/>
                <w:szCs w:val="20"/>
              </w:rPr>
            </w:pPr>
            <w:r w:rsidRPr="00FC0326">
              <w:rPr>
                <w:sz w:val="20"/>
                <w:szCs w:val="20"/>
              </w:rPr>
              <w:t>FKTK</w:t>
            </w:r>
          </w:p>
        </w:tc>
        <w:tc>
          <w:tcPr>
            <w:tcW w:w="1276" w:type="dxa"/>
            <w:tcBorders>
              <w:top w:val="single" w:sz="4" w:space="0" w:color="auto"/>
              <w:bottom w:val="single" w:sz="4" w:space="0" w:color="auto"/>
            </w:tcBorders>
            <w:shd w:val="clear" w:color="auto" w:fill="auto"/>
          </w:tcPr>
          <w:p w14:paraId="4E24F612" w14:textId="77777777" w:rsidR="00C8593B" w:rsidRPr="00FC0326" w:rsidRDefault="00C8593B" w:rsidP="009B3ACE">
            <w:pPr>
              <w:jc w:val="center"/>
              <w:rPr>
                <w:sz w:val="20"/>
                <w:szCs w:val="20"/>
              </w:rPr>
            </w:pPr>
          </w:p>
        </w:tc>
        <w:tc>
          <w:tcPr>
            <w:tcW w:w="1417" w:type="dxa"/>
            <w:tcBorders>
              <w:top w:val="single" w:sz="4" w:space="0" w:color="auto"/>
              <w:bottom w:val="single" w:sz="4" w:space="0" w:color="auto"/>
            </w:tcBorders>
            <w:shd w:val="clear" w:color="auto" w:fill="auto"/>
          </w:tcPr>
          <w:p w14:paraId="7B00E0DC" w14:textId="77777777" w:rsidR="00C8593B" w:rsidRPr="00FC0326" w:rsidRDefault="00C8593B" w:rsidP="00C97FF2">
            <w:pPr>
              <w:jc w:val="center"/>
              <w:rPr>
                <w:sz w:val="20"/>
                <w:szCs w:val="20"/>
              </w:rPr>
            </w:pPr>
            <w:r w:rsidRPr="00FC0326">
              <w:rPr>
                <w:sz w:val="20"/>
                <w:szCs w:val="20"/>
              </w:rPr>
              <w:t>2018.gada 31.decembris</w:t>
            </w:r>
          </w:p>
        </w:tc>
      </w:tr>
      <w:tr w:rsidR="00C8593B" w:rsidRPr="00FC0326" w14:paraId="0E4F549B" w14:textId="77777777" w:rsidTr="00A37320">
        <w:trPr>
          <w:trHeight w:val="58"/>
        </w:trPr>
        <w:tc>
          <w:tcPr>
            <w:tcW w:w="709" w:type="dxa"/>
            <w:vMerge/>
            <w:tcBorders>
              <w:bottom w:val="single" w:sz="4" w:space="0" w:color="auto"/>
            </w:tcBorders>
          </w:tcPr>
          <w:p w14:paraId="2506A7FF" w14:textId="77777777" w:rsidR="00C8593B" w:rsidRPr="00FC0326" w:rsidRDefault="00C8593B" w:rsidP="009B3ACE">
            <w:pPr>
              <w:jc w:val="center"/>
              <w:rPr>
                <w:sz w:val="20"/>
                <w:szCs w:val="20"/>
              </w:rPr>
            </w:pPr>
          </w:p>
        </w:tc>
        <w:tc>
          <w:tcPr>
            <w:tcW w:w="3686" w:type="dxa"/>
            <w:vMerge/>
            <w:tcBorders>
              <w:bottom w:val="single" w:sz="4" w:space="0" w:color="auto"/>
            </w:tcBorders>
            <w:shd w:val="clear" w:color="auto" w:fill="auto"/>
          </w:tcPr>
          <w:p w14:paraId="0B67ADB1" w14:textId="77777777" w:rsidR="00C8593B" w:rsidRPr="00FC0326" w:rsidRDefault="00C8593B" w:rsidP="009B3ACE">
            <w:pPr>
              <w:jc w:val="both"/>
              <w:rPr>
                <w:sz w:val="20"/>
                <w:szCs w:val="20"/>
              </w:rPr>
            </w:pPr>
          </w:p>
        </w:tc>
        <w:tc>
          <w:tcPr>
            <w:tcW w:w="1559" w:type="dxa"/>
            <w:vMerge/>
            <w:tcBorders>
              <w:bottom w:val="single" w:sz="4" w:space="0" w:color="auto"/>
            </w:tcBorders>
          </w:tcPr>
          <w:p w14:paraId="237F20CA" w14:textId="77777777" w:rsidR="00C8593B" w:rsidRPr="00FC0326" w:rsidRDefault="00C8593B" w:rsidP="009B3ACE">
            <w:pPr>
              <w:jc w:val="both"/>
              <w:rPr>
                <w:sz w:val="20"/>
                <w:szCs w:val="20"/>
              </w:rPr>
            </w:pPr>
          </w:p>
        </w:tc>
        <w:tc>
          <w:tcPr>
            <w:tcW w:w="2410" w:type="dxa"/>
            <w:vMerge/>
            <w:tcBorders>
              <w:bottom w:val="single" w:sz="4" w:space="0" w:color="auto"/>
            </w:tcBorders>
            <w:shd w:val="clear" w:color="auto" w:fill="auto"/>
          </w:tcPr>
          <w:p w14:paraId="5F19B5C8" w14:textId="77777777" w:rsidR="00C8593B" w:rsidRDefault="00C8593B" w:rsidP="009B3ACE">
            <w:pPr>
              <w:jc w:val="both"/>
              <w:rPr>
                <w:sz w:val="20"/>
                <w:szCs w:val="20"/>
              </w:rPr>
            </w:pPr>
          </w:p>
        </w:tc>
        <w:tc>
          <w:tcPr>
            <w:tcW w:w="2693" w:type="dxa"/>
            <w:tcBorders>
              <w:top w:val="single" w:sz="4" w:space="0" w:color="auto"/>
              <w:bottom w:val="single" w:sz="4" w:space="0" w:color="auto"/>
            </w:tcBorders>
          </w:tcPr>
          <w:p w14:paraId="785F8FAC" w14:textId="77777777" w:rsidR="00C8593B" w:rsidRPr="0009140F" w:rsidRDefault="00C22658" w:rsidP="0009140F">
            <w:pPr>
              <w:jc w:val="both"/>
              <w:rPr>
                <w:sz w:val="20"/>
                <w:szCs w:val="20"/>
              </w:rPr>
            </w:pPr>
            <w:r>
              <w:rPr>
                <w:sz w:val="20"/>
                <w:szCs w:val="20"/>
              </w:rPr>
              <w:t>2.</w:t>
            </w:r>
            <w:r w:rsidR="00C8593B">
              <w:rPr>
                <w:sz w:val="20"/>
                <w:szCs w:val="20"/>
              </w:rPr>
              <w:t>Sagatavots izvērtējums par publicējamo rādītāju kopumu regulārai risku līmeņa monitorēšanai</w:t>
            </w:r>
          </w:p>
        </w:tc>
        <w:tc>
          <w:tcPr>
            <w:tcW w:w="1159" w:type="dxa"/>
            <w:tcBorders>
              <w:top w:val="single" w:sz="4" w:space="0" w:color="auto"/>
              <w:bottom w:val="single" w:sz="4" w:space="0" w:color="auto"/>
            </w:tcBorders>
            <w:shd w:val="clear" w:color="auto" w:fill="auto"/>
          </w:tcPr>
          <w:p w14:paraId="0517A768" w14:textId="77777777" w:rsidR="00C8593B" w:rsidRPr="00FC0326" w:rsidRDefault="00C8593B" w:rsidP="009B3ACE">
            <w:pPr>
              <w:jc w:val="center"/>
              <w:rPr>
                <w:sz w:val="20"/>
                <w:szCs w:val="20"/>
              </w:rPr>
            </w:pPr>
            <w:r>
              <w:rPr>
                <w:sz w:val="20"/>
                <w:szCs w:val="20"/>
              </w:rPr>
              <w:t>FKTK</w:t>
            </w:r>
          </w:p>
        </w:tc>
        <w:tc>
          <w:tcPr>
            <w:tcW w:w="1276" w:type="dxa"/>
            <w:tcBorders>
              <w:top w:val="single" w:sz="4" w:space="0" w:color="auto"/>
              <w:bottom w:val="single" w:sz="4" w:space="0" w:color="auto"/>
            </w:tcBorders>
            <w:shd w:val="clear" w:color="auto" w:fill="auto"/>
          </w:tcPr>
          <w:p w14:paraId="777E063D" w14:textId="77777777" w:rsidR="00C8593B" w:rsidRPr="00FC0326" w:rsidRDefault="00C8593B" w:rsidP="009B3ACE">
            <w:pPr>
              <w:jc w:val="center"/>
              <w:rPr>
                <w:sz w:val="20"/>
                <w:szCs w:val="20"/>
              </w:rPr>
            </w:pPr>
          </w:p>
        </w:tc>
        <w:tc>
          <w:tcPr>
            <w:tcW w:w="1417" w:type="dxa"/>
            <w:tcBorders>
              <w:top w:val="single" w:sz="4" w:space="0" w:color="auto"/>
              <w:bottom w:val="single" w:sz="4" w:space="0" w:color="auto"/>
            </w:tcBorders>
            <w:shd w:val="clear" w:color="auto" w:fill="auto"/>
          </w:tcPr>
          <w:p w14:paraId="38C23A9C" w14:textId="77777777" w:rsidR="00C8593B" w:rsidRPr="00FC0326" w:rsidRDefault="00C8593B" w:rsidP="00F066C2">
            <w:pPr>
              <w:jc w:val="center"/>
              <w:rPr>
                <w:sz w:val="20"/>
                <w:szCs w:val="20"/>
              </w:rPr>
            </w:pPr>
            <w:r w:rsidRPr="00FC0326">
              <w:rPr>
                <w:sz w:val="20"/>
                <w:szCs w:val="20"/>
              </w:rPr>
              <w:t>2018.gada 1.</w:t>
            </w:r>
            <w:r w:rsidR="00F066C2">
              <w:rPr>
                <w:sz w:val="20"/>
                <w:szCs w:val="20"/>
              </w:rPr>
              <w:t>novembris</w:t>
            </w:r>
          </w:p>
        </w:tc>
      </w:tr>
      <w:tr w:rsidR="009B3ACE" w:rsidRPr="00FC0326" w14:paraId="37DFBBFC" w14:textId="77777777" w:rsidTr="00A37320">
        <w:trPr>
          <w:trHeight w:val="58"/>
        </w:trPr>
        <w:tc>
          <w:tcPr>
            <w:tcW w:w="709" w:type="dxa"/>
            <w:tcBorders>
              <w:top w:val="single" w:sz="4" w:space="0" w:color="auto"/>
            </w:tcBorders>
          </w:tcPr>
          <w:p w14:paraId="146D814C" w14:textId="77777777" w:rsidR="009B3ACE" w:rsidRPr="00FC0326" w:rsidRDefault="009B3ACE" w:rsidP="009B3ACE">
            <w:pPr>
              <w:jc w:val="center"/>
              <w:rPr>
                <w:sz w:val="20"/>
                <w:szCs w:val="20"/>
              </w:rPr>
            </w:pPr>
            <w:r>
              <w:rPr>
                <w:sz w:val="20"/>
                <w:szCs w:val="20"/>
              </w:rPr>
              <w:lastRenderedPageBreak/>
              <w:t>3.</w:t>
            </w:r>
            <w:r w:rsidR="00725B4A">
              <w:rPr>
                <w:sz w:val="20"/>
                <w:szCs w:val="20"/>
              </w:rPr>
              <w:t>10.</w:t>
            </w:r>
            <w:r>
              <w:rPr>
                <w:sz w:val="20"/>
                <w:szCs w:val="20"/>
              </w:rPr>
              <w:t>.</w:t>
            </w:r>
          </w:p>
        </w:tc>
        <w:tc>
          <w:tcPr>
            <w:tcW w:w="3686" w:type="dxa"/>
            <w:tcBorders>
              <w:top w:val="single" w:sz="4" w:space="0" w:color="auto"/>
            </w:tcBorders>
            <w:shd w:val="clear" w:color="auto" w:fill="auto"/>
          </w:tcPr>
          <w:p w14:paraId="480602EC" w14:textId="77777777" w:rsidR="009B3ACE" w:rsidRPr="00FC0326" w:rsidRDefault="009B3ACE" w:rsidP="009B3ACE">
            <w:pPr>
              <w:jc w:val="both"/>
              <w:rPr>
                <w:sz w:val="20"/>
                <w:szCs w:val="20"/>
              </w:rPr>
            </w:pPr>
            <w:r>
              <w:rPr>
                <w:sz w:val="20"/>
                <w:szCs w:val="20"/>
              </w:rPr>
              <w:t>Uzlabot informācijas pieejamību uzraudzības un kontroles iestādēm</w:t>
            </w:r>
          </w:p>
        </w:tc>
        <w:tc>
          <w:tcPr>
            <w:tcW w:w="1559" w:type="dxa"/>
            <w:tcBorders>
              <w:top w:val="single" w:sz="4" w:space="0" w:color="auto"/>
            </w:tcBorders>
          </w:tcPr>
          <w:p w14:paraId="29AAE80F" w14:textId="77777777" w:rsidR="009B3ACE" w:rsidRPr="00FC0326" w:rsidRDefault="009B3ACE" w:rsidP="009B3ACE">
            <w:pPr>
              <w:jc w:val="both"/>
              <w:rPr>
                <w:sz w:val="20"/>
                <w:szCs w:val="20"/>
              </w:rPr>
            </w:pPr>
            <w:r>
              <w:rPr>
                <w:sz w:val="20"/>
                <w:szCs w:val="20"/>
              </w:rPr>
              <w:t>23.punktu plāns</w:t>
            </w:r>
          </w:p>
        </w:tc>
        <w:tc>
          <w:tcPr>
            <w:tcW w:w="2410" w:type="dxa"/>
            <w:tcBorders>
              <w:top w:val="single" w:sz="4" w:space="0" w:color="auto"/>
            </w:tcBorders>
            <w:shd w:val="clear" w:color="auto" w:fill="auto"/>
          </w:tcPr>
          <w:p w14:paraId="1C955680" w14:textId="77777777" w:rsidR="009B3ACE" w:rsidRDefault="009B3ACE" w:rsidP="009B3ACE">
            <w:pPr>
              <w:jc w:val="both"/>
              <w:rPr>
                <w:sz w:val="20"/>
                <w:szCs w:val="20"/>
              </w:rPr>
            </w:pPr>
            <w:r>
              <w:rPr>
                <w:sz w:val="20"/>
                <w:szCs w:val="20"/>
              </w:rPr>
              <w:t xml:space="preserve">Uzlabots uzraudzības process </w:t>
            </w:r>
          </w:p>
        </w:tc>
        <w:tc>
          <w:tcPr>
            <w:tcW w:w="2693" w:type="dxa"/>
            <w:tcBorders>
              <w:top w:val="single" w:sz="4" w:space="0" w:color="auto"/>
            </w:tcBorders>
          </w:tcPr>
          <w:p w14:paraId="2824382E" w14:textId="77777777" w:rsidR="009B3ACE" w:rsidRPr="00FC0326" w:rsidRDefault="009B3ACE" w:rsidP="009B3ACE">
            <w:pPr>
              <w:jc w:val="both"/>
              <w:rPr>
                <w:sz w:val="20"/>
                <w:szCs w:val="20"/>
              </w:rPr>
            </w:pPr>
            <w:r>
              <w:rPr>
                <w:sz w:val="20"/>
                <w:szCs w:val="20"/>
              </w:rPr>
              <w:t>Sagatavot izvērtējumu par iespēju nodrošināt bezmaksas piekļuvi valsts reģistriem visām uzraudzības un kontroles institūcijām</w:t>
            </w:r>
          </w:p>
        </w:tc>
        <w:tc>
          <w:tcPr>
            <w:tcW w:w="1159" w:type="dxa"/>
            <w:tcBorders>
              <w:top w:val="single" w:sz="4" w:space="0" w:color="auto"/>
            </w:tcBorders>
            <w:shd w:val="clear" w:color="auto" w:fill="auto"/>
          </w:tcPr>
          <w:p w14:paraId="108C01B9" w14:textId="77777777" w:rsidR="009B3ACE" w:rsidRPr="00FC0326" w:rsidRDefault="009B3ACE" w:rsidP="009B3ACE">
            <w:pPr>
              <w:jc w:val="center"/>
              <w:rPr>
                <w:sz w:val="20"/>
                <w:szCs w:val="20"/>
              </w:rPr>
            </w:pPr>
            <w:r>
              <w:rPr>
                <w:sz w:val="20"/>
                <w:szCs w:val="20"/>
              </w:rPr>
              <w:t>FM</w:t>
            </w:r>
          </w:p>
        </w:tc>
        <w:tc>
          <w:tcPr>
            <w:tcW w:w="1276" w:type="dxa"/>
            <w:tcBorders>
              <w:top w:val="single" w:sz="4" w:space="0" w:color="auto"/>
            </w:tcBorders>
            <w:shd w:val="clear" w:color="auto" w:fill="auto"/>
          </w:tcPr>
          <w:p w14:paraId="662AD4D8" w14:textId="77777777" w:rsidR="009B3ACE" w:rsidRPr="00FC0326" w:rsidRDefault="009B3ACE" w:rsidP="009B3ACE">
            <w:pPr>
              <w:jc w:val="center"/>
              <w:rPr>
                <w:sz w:val="20"/>
                <w:szCs w:val="20"/>
              </w:rPr>
            </w:pPr>
            <w:r>
              <w:rPr>
                <w:sz w:val="20"/>
                <w:szCs w:val="20"/>
              </w:rPr>
              <w:t>TM</w:t>
            </w:r>
          </w:p>
        </w:tc>
        <w:tc>
          <w:tcPr>
            <w:tcW w:w="1417" w:type="dxa"/>
            <w:tcBorders>
              <w:top w:val="single" w:sz="4" w:space="0" w:color="auto"/>
            </w:tcBorders>
            <w:shd w:val="clear" w:color="auto" w:fill="auto"/>
          </w:tcPr>
          <w:p w14:paraId="14345CFB" w14:textId="77777777" w:rsidR="009B3ACE" w:rsidRPr="00FC0326" w:rsidRDefault="009B3ACE" w:rsidP="00C97FF2">
            <w:pPr>
              <w:jc w:val="center"/>
              <w:rPr>
                <w:sz w:val="20"/>
                <w:szCs w:val="20"/>
              </w:rPr>
            </w:pPr>
            <w:r>
              <w:rPr>
                <w:sz w:val="20"/>
                <w:szCs w:val="20"/>
              </w:rPr>
              <w:t>20</w:t>
            </w:r>
            <w:r w:rsidR="00FC417E">
              <w:rPr>
                <w:sz w:val="20"/>
                <w:szCs w:val="20"/>
              </w:rPr>
              <w:t xml:space="preserve">19.gada </w:t>
            </w:r>
            <w:r>
              <w:rPr>
                <w:sz w:val="20"/>
                <w:szCs w:val="20"/>
              </w:rPr>
              <w:t>1.marts</w:t>
            </w:r>
          </w:p>
        </w:tc>
      </w:tr>
    </w:tbl>
    <w:p w14:paraId="1D3B923C" w14:textId="77777777" w:rsidR="007E62EB" w:rsidRPr="00FC0326" w:rsidRDefault="007E62EB" w:rsidP="00FF0BBA">
      <w:pPr>
        <w:jc w:val="both"/>
        <w:rPr>
          <w:sz w:val="28"/>
          <w:szCs w:val="28"/>
        </w:rPr>
      </w:pPr>
    </w:p>
    <w:p w14:paraId="1165B98D" w14:textId="77777777" w:rsidR="00FF0BBA" w:rsidRPr="00E24F37" w:rsidRDefault="00E50F53" w:rsidP="00E24F37">
      <w:pPr>
        <w:pStyle w:val="Heading2"/>
        <w:rPr>
          <w:rFonts w:ascii="Times New Roman" w:hAnsi="Times New Roman" w:cs="Times New Roman"/>
          <w:b/>
          <w:color w:val="auto"/>
          <w:sz w:val="28"/>
          <w:szCs w:val="28"/>
        </w:rPr>
      </w:pPr>
      <w:bookmarkStart w:id="10" w:name="_Toc524977652"/>
      <w:r w:rsidRPr="00E24F37">
        <w:rPr>
          <w:rFonts w:ascii="Times New Roman" w:hAnsi="Times New Roman" w:cs="Times New Roman"/>
          <w:b/>
          <w:color w:val="auto"/>
          <w:sz w:val="28"/>
          <w:szCs w:val="28"/>
        </w:rPr>
        <w:t>4</w:t>
      </w:r>
      <w:r w:rsidR="00FF0BBA" w:rsidRPr="00E24F37">
        <w:rPr>
          <w:rFonts w:ascii="Times New Roman" w:hAnsi="Times New Roman" w:cs="Times New Roman"/>
          <w:b/>
          <w:color w:val="auto"/>
          <w:sz w:val="28"/>
          <w:szCs w:val="28"/>
        </w:rPr>
        <w:t xml:space="preserve">.rīcības virziens – </w:t>
      </w:r>
      <w:r w:rsidR="00FE237C">
        <w:rPr>
          <w:rFonts w:ascii="Times New Roman" w:hAnsi="Times New Roman" w:cs="Times New Roman"/>
          <w:b/>
          <w:color w:val="auto"/>
          <w:sz w:val="28"/>
          <w:szCs w:val="28"/>
        </w:rPr>
        <w:t>P</w:t>
      </w:r>
      <w:r w:rsidRPr="00E24F37">
        <w:rPr>
          <w:rFonts w:ascii="Times New Roman" w:hAnsi="Times New Roman" w:cs="Times New Roman"/>
          <w:b/>
          <w:color w:val="auto"/>
          <w:sz w:val="28"/>
          <w:szCs w:val="28"/>
        </w:rPr>
        <w:t>reventīvie pasākumi</w:t>
      </w:r>
      <w:bookmarkEnd w:id="10"/>
    </w:p>
    <w:p w14:paraId="068C2114" w14:textId="77777777" w:rsidR="00FF0BBA" w:rsidRPr="00FC0326" w:rsidRDefault="00FF0BBA" w:rsidP="00FF0BBA">
      <w:pPr>
        <w:jc w:val="both"/>
        <w:rPr>
          <w:sz w:val="28"/>
          <w:szCs w:val="28"/>
        </w:rPr>
      </w:pPr>
    </w:p>
    <w:p w14:paraId="48DDC159" w14:textId="77777777" w:rsidR="00E50F53" w:rsidRPr="00FC0326" w:rsidRDefault="00E50F53" w:rsidP="00E50F53">
      <w:pPr>
        <w:jc w:val="both"/>
        <w:rPr>
          <w:szCs w:val="24"/>
        </w:rPr>
      </w:pPr>
      <w:r w:rsidRPr="00FC0326">
        <w:rPr>
          <w:szCs w:val="24"/>
        </w:rPr>
        <w:t xml:space="preserve">Par rīcības virzienu atbildīgā iestāde: </w:t>
      </w:r>
      <w:r w:rsidR="00571EFE" w:rsidRPr="00FC0326">
        <w:rPr>
          <w:szCs w:val="24"/>
        </w:rPr>
        <w:t xml:space="preserve">FM </w:t>
      </w:r>
    </w:p>
    <w:p w14:paraId="7E4F5F4D" w14:textId="77777777" w:rsidR="00E50F53" w:rsidRPr="00FC0326" w:rsidRDefault="00E50F53" w:rsidP="00E50F53">
      <w:pPr>
        <w:jc w:val="both"/>
        <w:rPr>
          <w:szCs w:val="24"/>
        </w:rPr>
      </w:pPr>
      <w:r w:rsidRPr="00FC0326">
        <w:rPr>
          <w:szCs w:val="24"/>
        </w:rPr>
        <w:t xml:space="preserve">Līdzatbildīgās iestādes: </w:t>
      </w:r>
      <w:r w:rsidR="00185015">
        <w:rPr>
          <w:szCs w:val="24"/>
        </w:rPr>
        <w:t xml:space="preserve">KD, </w:t>
      </w:r>
      <w:r w:rsidRPr="00FC0326">
        <w:rPr>
          <w:szCs w:val="24"/>
        </w:rPr>
        <w:t xml:space="preserve">FKTK, VID, LB, IAUI, LZAP, LZNP, LZRA, </w:t>
      </w:r>
      <w:r w:rsidR="0090763B">
        <w:rPr>
          <w:szCs w:val="24"/>
        </w:rPr>
        <w:t>NKMP</w:t>
      </w:r>
      <w:r w:rsidR="00571EFE" w:rsidRPr="00FC0326">
        <w:rPr>
          <w:szCs w:val="24"/>
        </w:rPr>
        <w:t>, PTAC, SM</w:t>
      </w:r>
    </w:p>
    <w:p w14:paraId="4608035C" w14:textId="77777777" w:rsidR="00FF0BBA" w:rsidRDefault="00FF0BBA" w:rsidP="00FF0BBA">
      <w:pPr>
        <w:jc w:val="both"/>
        <w:rPr>
          <w:sz w:val="28"/>
          <w:szCs w:val="28"/>
        </w:rPr>
      </w:pPr>
    </w:p>
    <w:p w14:paraId="3C75B9F6" w14:textId="77777777" w:rsidR="0056332C" w:rsidRPr="00FC0326" w:rsidRDefault="0056332C" w:rsidP="00FF0BBA">
      <w:pPr>
        <w:jc w:val="both"/>
        <w:rPr>
          <w:sz w:val="28"/>
          <w:szCs w:val="28"/>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701"/>
        <w:gridCol w:w="2410"/>
        <w:gridCol w:w="2693"/>
        <w:gridCol w:w="1134"/>
        <w:gridCol w:w="1276"/>
        <w:gridCol w:w="1417"/>
      </w:tblGrid>
      <w:tr w:rsidR="004F21C5" w:rsidRPr="0028738E" w14:paraId="1A05F61A" w14:textId="77777777" w:rsidTr="00FE237C">
        <w:tc>
          <w:tcPr>
            <w:tcW w:w="4253" w:type="dxa"/>
            <w:gridSpan w:val="2"/>
          </w:tcPr>
          <w:p w14:paraId="0B6BEE88" w14:textId="77777777" w:rsidR="004F21C5" w:rsidRPr="0028738E" w:rsidRDefault="004F21C5" w:rsidP="004F166A">
            <w:pPr>
              <w:rPr>
                <w:rFonts w:cs="Times New Roman"/>
                <w:b/>
                <w:bCs/>
                <w:sz w:val="20"/>
                <w:szCs w:val="20"/>
              </w:rPr>
            </w:pPr>
            <w:r w:rsidRPr="0028738E">
              <w:rPr>
                <w:rFonts w:cs="Times New Roman"/>
                <w:b/>
                <w:bCs/>
                <w:sz w:val="20"/>
                <w:szCs w:val="20"/>
              </w:rPr>
              <w:t>Rīcības virziens</w:t>
            </w:r>
          </w:p>
        </w:tc>
        <w:tc>
          <w:tcPr>
            <w:tcW w:w="10631" w:type="dxa"/>
            <w:gridSpan w:val="6"/>
          </w:tcPr>
          <w:p w14:paraId="46AA9AEB" w14:textId="77777777" w:rsidR="004F21C5" w:rsidRPr="0028738E" w:rsidRDefault="00DF745E" w:rsidP="00257254">
            <w:pPr>
              <w:jc w:val="both"/>
              <w:rPr>
                <w:rFonts w:cs="Times New Roman"/>
                <w:b/>
                <w:bCs/>
                <w:sz w:val="20"/>
                <w:szCs w:val="20"/>
              </w:rPr>
            </w:pPr>
            <w:r w:rsidRPr="0028738E">
              <w:rPr>
                <w:rFonts w:cs="Times New Roman"/>
                <w:b/>
                <w:bCs/>
                <w:sz w:val="20"/>
                <w:szCs w:val="20"/>
              </w:rPr>
              <w:t>PREVENTĪVIE PASĀKUMI</w:t>
            </w:r>
            <w:r w:rsidR="00FF4F1F" w:rsidRPr="0028738E">
              <w:rPr>
                <w:rFonts w:cs="Times New Roman"/>
                <w:b/>
                <w:bCs/>
                <w:sz w:val="20"/>
                <w:szCs w:val="20"/>
              </w:rPr>
              <w:t xml:space="preserve"> </w:t>
            </w:r>
          </w:p>
        </w:tc>
      </w:tr>
      <w:tr w:rsidR="004F21C5" w:rsidRPr="0028738E" w14:paraId="7724A851" w14:textId="77777777" w:rsidTr="00FE237C">
        <w:tc>
          <w:tcPr>
            <w:tcW w:w="4253" w:type="dxa"/>
            <w:gridSpan w:val="2"/>
          </w:tcPr>
          <w:p w14:paraId="71BEF6EB" w14:textId="77777777" w:rsidR="004F21C5" w:rsidRPr="0028738E" w:rsidRDefault="004F21C5" w:rsidP="004F166A">
            <w:pPr>
              <w:rPr>
                <w:rFonts w:cs="Times New Roman"/>
                <w:b/>
                <w:bCs/>
                <w:sz w:val="20"/>
                <w:szCs w:val="20"/>
              </w:rPr>
            </w:pPr>
            <w:r w:rsidRPr="0028738E">
              <w:rPr>
                <w:rFonts w:cs="Times New Roman"/>
                <w:b/>
                <w:bCs/>
                <w:sz w:val="20"/>
                <w:szCs w:val="20"/>
              </w:rPr>
              <w:t>Sasniedzamie apakšmērķi:</w:t>
            </w:r>
          </w:p>
        </w:tc>
        <w:tc>
          <w:tcPr>
            <w:tcW w:w="10631" w:type="dxa"/>
            <w:gridSpan w:val="6"/>
          </w:tcPr>
          <w:p w14:paraId="46138D68" w14:textId="77777777" w:rsidR="004F21C5" w:rsidRPr="0028738E" w:rsidRDefault="004F21C5" w:rsidP="00257254">
            <w:pPr>
              <w:jc w:val="both"/>
              <w:rPr>
                <w:rFonts w:cs="Times New Roman"/>
                <w:b/>
                <w:bCs/>
                <w:sz w:val="20"/>
                <w:szCs w:val="20"/>
              </w:rPr>
            </w:pPr>
            <w:r w:rsidRPr="0028738E">
              <w:rPr>
                <w:rFonts w:cs="Times New Roman"/>
                <w:b/>
                <w:bCs/>
                <w:sz w:val="20"/>
                <w:szCs w:val="20"/>
              </w:rPr>
              <w:t>1.</w:t>
            </w:r>
            <w:r w:rsidR="00F54D3A" w:rsidRPr="0028738E">
              <w:rPr>
                <w:rFonts w:cs="Times New Roman"/>
                <w:b/>
                <w:bCs/>
                <w:sz w:val="20"/>
                <w:szCs w:val="20"/>
              </w:rPr>
              <w:t xml:space="preserve"> Likuma subjekti izprot tiem piemītošos</w:t>
            </w:r>
            <w:r w:rsidR="00257254" w:rsidRPr="0028738E">
              <w:rPr>
                <w:rFonts w:cs="Times New Roman"/>
                <w:b/>
                <w:bCs/>
                <w:sz w:val="20"/>
                <w:szCs w:val="20"/>
              </w:rPr>
              <w:t xml:space="preserve"> NILLTF</w:t>
            </w:r>
            <w:r w:rsidR="00F54D3A" w:rsidRPr="0028738E">
              <w:rPr>
                <w:rFonts w:cs="Times New Roman"/>
                <w:b/>
                <w:bCs/>
                <w:sz w:val="20"/>
                <w:szCs w:val="20"/>
              </w:rPr>
              <w:t xml:space="preserve"> riskus</w:t>
            </w:r>
          </w:p>
        </w:tc>
      </w:tr>
      <w:tr w:rsidR="00F54D3A" w:rsidRPr="0028738E" w14:paraId="2F823DA3" w14:textId="77777777" w:rsidTr="00FE237C">
        <w:trPr>
          <w:trHeight w:val="88"/>
        </w:trPr>
        <w:tc>
          <w:tcPr>
            <w:tcW w:w="4253" w:type="dxa"/>
            <w:gridSpan w:val="2"/>
          </w:tcPr>
          <w:p w14:paraId="545A2DF3" w14:textId="77777777" w:rsidR="00F54D3A" w:rsidRPr="0028738E" w:rsidRDefault="00F54D3A" w:rsidP="00F54D3A">
            <w:pPr>
              <w:rPr>
                <w:rFonts w:cs="Times New Roman"/>
                <w:b/>
                <w:bCs/>
                <w:sz w:val="20"/>
                <w:szCs w:val="20"/>
              </w:rPr>
            </w:pPr>
          </w:p>
        </w:tc>
        <w:tc>
          <w:tcPr>
            <w:tcW w:w="10631" w:type="dxa"/>
            <w:gridSpan w:val="6"/>
          </w:tcPr>
          <w:p w14:paraId="22A1AD4E" w14:textId="77777777" w:rsidR="00F54D3A" w:rsidRPr="0028738E" w:rsidRDefault="00F54D3A" w:rsidP="00257254">
            <w:pPr>
              <w:jc w:val="both"/>
              <w:rPr>
                <w:rFonts w:cs="Times New Roman"/>
                <w:b/>
                <w:bCs/>
                <w:sz w:val="20"/>
                <w:szCs w:val="20"/>
              </w:rPr>
            </w:pPr>
            <w:r w:rsidRPr="0028738E">
              <w:rPr>
                <w:rFonts w:cs="Times New Roman"/>
                <w:b/>
                <w:bCs/>
                <w:sz w:val="20"/>
                <w:szCs w:val="20"/>
              </w:rPr>
              <w:t xml:space="preserve">2. Likuma </w:t>
            </w:r>
            <w:r w:rsidR="00257254" w:rsidRPr="0028738E">
              <w:rPr>
                <w:rFonts w:cs="Times New Roman"/>
                <w:b/>
                <w:bCs/>
                <w:sz w:val="20"/>
                <w:szCs w:val="20"/>
              </w:rPr>
              <w:t>subjekti piemēro  NILLTFN pasākumus atbilstoši tiem piemītošajam NILLTF riska līmenim</w:t>
            </w:r>
          </w:p>
        </w:tc>
      </w:tr>
      <w:tr w:rsidR="00F54D3A" w:rsidRPr="0028738E" w14:paraId="06F25DE6" w14:textId="77777777" w:rsidTr="00FE237C">
        <w:tc>
          <w:tcPr>
            <w:tcW w:w="4253" w:type="dxa"/>
            <w:gridSpan w:val="2"/>
          </w:tcPr>
          <w:p w14:paraId="328367D0" w14:textId="77777777" w:rsidR="00F54D3A" w:rsidRPr="0028738E" w:rsidRDefault="00F54D3A" w:rsidP="00F54D3A">
            <w:pPr>
              <w:rPr>
                <w:rFonts w:cs="Times New Roman"/>
                <w:b/>
                <w:bCs/>
                <w:sz w:val="20"/>
                <w:szCs w:val="20"/>
              </w:rPr>
            </w:pPr>
          </w:p>
        </w:tc>
        <w:tc>
          <w:tcPr>
            <w:tcW w:w="10631" w:type="dxa"/>
            <w:gridSpan w:val="6"/>
          </w:tcPr>
          <w:p w14:paraId="763268FB" w14:textId="77777777" w:rsidR="00F54D3A" w:rsidRPr="0028738E" w:rsidRDefault="00F54D3A" w:rsidP="007364E5">
            <w:pPr>
              <w:jc w:val="both"/>
              <w:rPr>
                <w:rFonts w:cs="Times New Roman"/>
                <w:b/>
                <w:bCs/>
                <w:sz w:val="20"/>
                <w:szCs w:val="20"/>
              </w:rPr>
            </w:pPr>
            <w:r w:rsidRPr="0028738E">
              <w:rPr>
                <w:rFonts w:cs="Times New Roman"/>
                <w:b/>
                <w:bCs/>
                <w:sz w:val="20"/>
                <w:szCs w:val="20"/>
              </w:rPr>
              <w:t>3. L</w:t>
            </w:r>
            <w:r w:rsidR="00257254" w:rsidRPr="0028738E">
              <w:rPr>
                <w:rFonts w:cs="Times New Roman"/>
                <w:b/>
                <w:bCs/>
                <w:sz w:val="20"/>
                <w:szCs w:val="20"/>
              </w:rPr>
              <w:t>ikumu subjekti sniedz ziņojumus par aizdomīgiem darījumiem, kas sniedz kvalitatīvu ieguldījumu NILLTF izmeklēšanā</w:t>
            </w:r>
            <w:r w:rsidRPr="0028738E">
              <w:rPr>
                <w:rFonts w:cs="Times New Roman"/>
                <w:b/>
                <w:bCs/>
                <w:sz w:val="20"/>
                <w:szCs w:val="20"/>
              </w:rPr>
              <w:t xml:space="preserve"> </w:t>
            </w:r>
          </w:p>
        </w:tc>
      </w:tr>
      <w:tr w:rsidR="00F54D3A" w:rsidRPr="0028738E" w14:paraId="05AEA447" w14:textId="77777777" w:rsidTr="00FE237C">
        <w:tc>
          <w:tcPr>
            <w:tcW w:w="709" w:type="dxa"/>
          </w:tcPr>
          <w:p w14:paraId="1B08E5A6" w14:textId="77777777" w:rsidR="00F54D3A" w:rsidRPr="0028738E" w:rsidRDefault="00F54D3A" w:rsidP="00F54D3A">
            <w:pPr>
              <w:jc w:val="center"/>
              <w:rPr>
                <w:rFonts w:cs="Times New Roman"/>
                <w:bCs/>
                <w:sz w:val="20"/>
                <w:szCs w:val="20"/>
              </w:rPr>
            </w:pPr>
            <w:r w:rsidRPr="0028738E">
              <w:rPr>
                <w:rFonts w:cs="Times New Roman"/>
                <w:bCs/>
                <w:sz w:val="20"/>
                <w:szCs w:val="20"/>
              </w:rPr>
              <w:t>Nr. P.k.</w:t>
            </w:r>
          </w:p>
        </w:tc>
        <w:tc>
          <w:tcPr>
            <w:tcW w:w="3544" w:type="dxa"/>
            <w:shd w:val="clear" w:color="auto" w:fill="auto"/>
          </w:tcPr>
          <w:p w14:paraId="3F5EC169" w14:textId="77777777" w:rsidR="00F54D3A" w:rsidRPr="0028738E" w:rsidRDefault="00F54D3A" w:rsidP="00F54D3A">
            <w:pPr>
              <w:jc w:val="center"/>
              <w:rPr>
                <w:rFonts w:cs="Times New Roman"/>
                <w:bCs/>
                <w:i/>
                <w:sz w:val="20"/>
                <w:szCs w:val="20"/>
              </w:rPr>
            </w:pPr>
            <w:r w:rsidRPr="0028738E">
              <w:rPr>
                <w:rFonts w:cs="Times New Roman"/>
                <w:b/>
                <w:bCs/>
                <w:sz w:val="20"/>
                <w:szCs w:val="20"/>
              </w:rPr>
              <w:t>Pasākums</w:t>
            </w:r>
          </w:p>
        </w:tc>
        <w:tc>
          <w:tcPr>
            <w:tcW w:w="1701" w:type="dxa"/>
          </w:tcPr>
          <w:p w14:paraId="312EA426" w14:textId="77777777" w:rsidR="00F54D3A" w:rsidRPr="0028738E" w:rsidRDefault="00F54D3A" w:rsidP="00F54D3A">
            <w:pPr>
              <w:rPr>
                <w:rFonts w:cs="Times New Roman"/>
                <w:b/>
                <w:sz w:val="20"/>
                <w:szCs w:val="20"/>
              </w:rPr>
            </w:pPr>
            <w:r w:rsidRPr="0028738E">
              <w:rPr>
                <w:rFonts w:cs="Times New Roman"/>
                <w:b/>
                <w:sz w:val="20"/>
                <w:szCs w:val="20"/>
              </w:rPr>
              <w:t>Avots</w:t>
            </w:r>
          </w:p>
        </w:tc>
        <w:tc>
          <w:tcPr>
            <w:tcW w:w="2410" w:type="dxa"/>
            <w:shd w:val="clear" w:color="auto" w:fill="auto"/>
          </w:tcPr>
          <w:p w14:paraId="655C18D3" w14:textId="77777777" w:rsidR="00F54D3A" w:rsidRPr="0028738E" w:rsidRDefault="00F54D3A" w:rsidP="00F54D3A">
            <w:pPr>
              <w:rPr>
                <w:rFonts w:cs="Times New Roman"/>
                <w:b/>
                <w:bCs/>
                <w:i/>
                <w:sz w:val="20"/>
                <w:szCs w:val="20"/>
              </w:rPr>
            </w:pPr>
            <w:r w:rsidRPr="0028738E">
              <w:rPr>
                <w:rFonts w:cs="Times New Roman"/>
                <w:b/>
                <w:sz w:val="20"/>
                <w:szCs w:val="20"/>
              </w:rPr>
              <w:t>Darbības rezultāts</w:t>
            </w:r>
          </w:p>
        </w:tc>
        <w:tc>
          <w:tcPr>
            <w:tcW w:w="2693" w:type="dxa"/>
          </w:tcPr>
          <w:p w14:paraId="19313A62" w14:textId="77777777" w:rsidR="00F54D3A" w:rsidRPr="0028738E" w:rsidRDefault="00F54D3A" w:rsidP="00F54D3A">
            <w:pPr>
              <w:jc w:val="center"/>
              <w:rPr>
                <w:rFonts w:cs="Times New Roman"/>
                <w:bCs/>
                <w:i/>
                <w:sz w:val="20"/>
                <w:szCs w:val="20"/>
              </w:rPr>
            </w:pPr>
            <w:r w:rsidRPr="0028738E">
              <w:rPr>
                <w:rFonts w:cs="Times New Roman"/>
                <w:b/>
                <w:sz w:val="20"/>
                <w:szCs w:val="20"/>
              </w:rPr>
              <w:t>Rezultatīvais rādītājs</w:t>
            </w:r>
          </w:p>
        </w:tc>
        <w:tc>
          <w:tcPr>
            <w:tcW w:w="1134" w:type="dxa"/>
            <w:shd w:val="clear" w:color="auto" w:fill="auto"/>
          </w:tcPr>
          <w:p w14:paraId="10999261" w14:textId="77777777" w:rsidR="00F54D3A" w:rsidRPr="0028738E" w:rsidRDefault="00F54D3A" w:rsidP="00F54D3A">
            <w:pPr>
              <w:jc w:val="center"/>
              <w:rPr>
                <w:rFonts w:cs="Times New Roman"/>
                <w:bCs/>
                <w:i/>
                <w:sz w:val="20"/>
                <w:szCs w:val="20"/>
              </w:rPr>
            </w:pPr>
            <w:r w:rsidRPr="0028738E">
              <w:rPr>
                <w:rFonts w:cs="Times New Roman"/>
                <w:b/>
                <w:bCs/>
                <w:sz w:val="20"/>
                <w:szCs w:val="20"/>
              </w:rPr>
              <w:t>Atbildīgā institūcija</w:t>
            </w:r>
          </w:p>
        </w:tc>
        <w:tc>
          <w:tcPr>
            <w:tcW w:w="1276" w:type="dxa"/>
            <w:shd w:val="clear" w:color="auto" w:fill="auto"/>
          </w:tcPr>
          <w:p w14:paraId="6E913F5E" w14:textId="77777777" w:rsidR="00F54D3A" w:rsidRPr="0028738E" w:rsidRDefault="00F54D3A" w:rsidP="00F54D3A">
            <w:pPr>
              <w:jc w:val="center"/>
              <w:rPr>
                <w:rFonts w:cs="Times New Roman"/>
                <w:bCs/>
                <w:i/>
                <w:sz w:val="20"/>
                <w:szCs w:val="20"/>
              </w:rPr>
            </w:pPr>
            <w:r w:rsidRPr="0028738E">
              <w:rPr>
                <w:rFonts w:cs="Times New Roman"/>
                <w:b/>
                <w:bCs/>
                <w:sz w:val="20"/>
                <w:szCs w:val="20"/>
              </w:rPr>
              <w:t>Līdz</w:t>
            </w:r>
            <w:r w:rsidR="00FE237C">
              <w:rPr>
                <w:rFonts w:cs="Times New Roman"/>
                <w:b/>
                <w:bCs/>
                <w:sz w:val="20"/>
                <w:szCs w:val="20"/>
              </w:rPr>
              <w:t>-</w:t>
            </w:r>
            <w:r w:rsidRPr="0028738E">
              <w:rPr>
                <w:rFonts w:cs="Times New Roman"/>
                <w:b/>
                <w:bCs/>
                <w:sz w:val="20"/>
                <w:szCs w:val="20"/>
              </w:rPr>
              <w:t>atbildīgās institūcijas</w:t>
            </w:r>
          </w:p>
        </w:tc>
        <w:tc>
          <w:tcPr>
            <w:tcW w:w="1417" w:type="dxa"/>
            <w:shd w:val="clear" w:color="auto" w:fill="auto"/>
          </w:tcPr>
          <w:p w14:paraId="5538F8D3" w14:textId="77777777" w:rsidR="00F54D3A" w:rsidRPr="0028738E" w:rsidRDefault="00F54D3A" w:rsidP="00F54D3A">
            <w:pPr>
              <w:jc w:val="center"/>
              <w:rPr>
                <w:rFonts w:cs="Times New Roman"/>
                <w:bCs/>
                <w:i/>
                <w:sz w:val="20"/>
                <w:szCs w:val="20"/>
              </w:rPr>
            </w:pPr>
            <w:r w:rsidRPr="0028738E">
              <w:rPr>
                <w:rFonts w:cs="Times New Roman"/>
                <w:b/>
                <w:bCs/>
                <w:sz w:val="20"/>
                <w:szCs w:val="20"/>
              </w:rPr>
              <w:t>Izpildes termiņš</w:t>
            </w:r>
          </w:p>
        </w:tc>
      </w:tr>
      <w:tr w:rsidR="00887869" w:rsidRPr="0028738E" w14:paraId="614B1414" w14:textId="77777777" w:rsidTr="00FE237C">
        <w:tc>
          <w:tcPr>
            <w:tcW w:w="709" w:type="dxa"/>
            <w:vMerge w:val="restart"/>
          </w:tcPr>
          <w:p w14:paraId="17E0E14E" w14:textId="77777777" w:rsidR="00887869" w:rsidRPr="0028738E" w:rsidRDefault="00887869" w:rsidP="003A6E7A">
            <w:pPr>
              <w:jc w:val="center"/>
              <w:rPr>
                <w:rFonts w:cs="Times New Roman"/>
                <w:bCs/>
                <w:color w:val="000000" w:themeColor="text1"/>
                <w:sz w:val="20"/>
                <w:szCs w:val="20"/>
              </w:rPr>
            </w:pPr>
            <w:r w:rsidRPr="0028738E">
              <w:rPr>
                <w:rFonts w:cs="Times New Roman"/>
                <w:bCs/>
                <w:color w:val="000000" w:themeColor="text1"/>
                <w:sz w:val="20"/>
                <w:szCs w:val="20"/>
              </w:rPr>
              <w:t>4.1.</w:t>
            </w:r>
          </w:p>
        </w:tc>
        <w:tc>
          <w:tcPr>
            <w:tcW w:w="3544" w:type="dxa"/>
            <w:vMerge w:val="restart"/>
            <w:shd w:val="clear" w:color="auto" w:fill="auto"/>
          </w:tcPr>
          <w:p w14:paraId="293038F1" w14:textId="77777777" w:rsidR="003A6E7A" w:rsidRDefault="003A6E7A" w:rsidP="003A6E7A">
            <w:pPr>
              <w:jc w:val="both"/>
              <w:rPr>
                <w:color w:val="000000" w:themeColor="text1"/>
                <w:sz w:val="20"/>
                <w:szCs w:val="20"/>
              </w:rPr>
            </w:pPr>
            <w:r w:rsidRPr="00FC0326">
              <w:rPr>
                <w:color w:val="000000" w:themeColor="text1"/>
                <w:sz w:val="20"/>
                <w:szCs w:val="20"/>
              </w:rPr>
              <w:t xml:space="preserve">Nodrošināt sistēmisku tirgus dalībnieku informēšanu par NILLTF riskiem un preventīvo pasākumu </w:t>
            </w:r>
            <w:r>
              <w:rPr>
                <w:color w:val="000000" w:themeColor="text1"/>
                <w:sz w:val="20"/>
                <w:szCs w:val="20"/>
              </w:rPr>
              <w:t>īstenošanu.</w:t>
            </w:r>
          </w:p>
          <w:p w14:paraId="3A053398" w14:textId="77777777" w:rsidR="00887869" w:rsidRPr="0028738E" w:rsidRDefault="00887869" w:rsidP="003A6E7A">
            <w:pPr>
              <w:jc w:val="both"/>
              <w:rPr>
                <w:rFonts w:cs="Times New Roman"/>
                <w:bCs/>
                <w:color w:val="000000" w:themeColor="text1"/>
                <w:sz w:val="20"/>
                <w:szCs w:val="20"/>
              </w:rPr>
            </w:pPr>
            <w:r w:rsidRPr="0028738E">
              <w:rPr>
                <w:rFonts w:cs="Times New Roman"/>
                <w:bCs/>
                <w:color w:val="000000" w:themeColor="text1"/>
                <w:sz w:val="20"/>
                <w:szCs w:val="20"/>
              </w:rPr>
              <w:t>Attiecībā uz likuma subjektu risku un NILLTFN prasību izpratni, nodrošināt, ka:</w:t>
            </w:r>
          </w:p>
          <w:p w14:paraId="749910FA" w14:textId="77777777" w:rsidR="00887869" w:rsidRPr="0028738E" w:rsidRDefault="00887869" w:rsidP="003A6E7A">
            <w:pPr>
              <w:jc w:val="both"/>
              <w:rPr>
                <w:rFonts w:cs="Times New Roman"/>
                <w:bCs/>
                <w:color w:val="000000" w:themeColor="text1"/>
                <w:sz w:val="20"/>
                <w:szCs w:val="20"/>
              </w:rPr>
            </w:pPr>
            <w:r w:rsidRPr="0028738E">
              <w:rPr>
                <w:rFonts w:cs="Times New Roman"/>
                <w:bCs/>
                <w:color w:val="000000" w:themeColor="text1"/>
                <w:sz w:val="20"/>
                <w:szCs w:val="20"/>
              </w:rPr>
              <w:t>- likuma subjekti, veicot uzņēmuma risku novērtējumu, ir izveidojuši un piemēro pastāvīgas procedūras un atbilstošu dokumentāciju, kā arī regulāri pārskata šīs procedūras;</w:t>
            </w:r>
          </w:p>
          <w:p w14:paraId="2F2D40F4" w14:textId="77777777" w:rsidR="00887869" w:rsidRDefault="00887869" w:rsidP="003A6E7A">
            <w:pPr>
              <w:jc w:val="both"/>
              <w:rPr>
                <w:rFonts w:cs="Times New Roman"/>
                <w:bCs/>
                <w:color w:val="000000" w:themeColor="text1"/>
                <w:sz w:val="20"/>
                <w:szCs w:val="20"/>
              </w:rPr>
            </w:pPr>
            <w:r w:rsidRPr="0028738E">
              <w:rPr>
                <w:rFonts w:cs="Times New Roman"/>
                <w:bCs/>
                <w:color w:val="000000" w:themeColor="text1"/>
                <w:sz w:val="20"/>
                <w:szCs w:val="20"/>
              </w:rPr>
              <w:t>- uzņēmumu veiktajos riska novērtējum</w:t>
            </w:r>
            <w:r w:rsidR="00122AD7">
              <w:rPr>
                <w:rFonts w:cs="Times New Roman"/>
                <w:bCs/>
                <w:color w:val="000000" w:themeColor="text1"/>
                <w:sz w:val="20"/>
                <w:szCs w:val="20"/>
              </w:rPr>
              <w:t>o</w:t>
            </w:r>
            <w:r w:rsidRPr="0028738E">
              <w:rPr>
                <w:rFonts w:cs="Times New Roman"/>
                <w:bCs/>
                <w:color w:val="000000" w:themeColor="text1"/>
                <w:sz w:val="20"/>
                <w:szCs w:val="20"/>
              </w:rPr>
              <w:t xml:space="preserve">s tiek specifiski analizēti arī terorisma finansēšanas draudi un ievainojamība, kā </w:t>
            </w:r>
            <w:r w:rsidRPr="0028738E">
              <w:rPr>
                <w:rFonts w:cs="Times New Roman"/>
                <w:bCs/>
                <w:color w:val="000000" w:themeColor="text1"/>
                <w:sz w:val="20"/>
                <w:szCs w:val="20"/>
              </w:rPr>
              <w:lastRenderedPageBreak/>
              <w:t xml:space="preserve">arī tie atspoguļo faktisko </w:t>
            </w:r>
            <w:r>
              <w:rPr>
                <w:rFonts w:cs="Times New Roman"/>
                <w:bCs/>
                <w:color w:val="000000" w:themeColor="text1"/>
                <w:sz w:val="20"/>
                <w:szCs w:val="20"/>
              </w:rPr>
              <w:t>kopējo NILLTF risk</w:t>
            </w:r>
            <w:r w:rsidR="00122AD7">
              <w:rPr>
                <w:rFonts w:cs="Times New Roman"/>
                <w:bCs/>
                <w:color w:val="000000" w:themeColor="text1"/>
                <w:sz w:val="20"/>
                <w:szCs w:val="20"/>
              </w:rPr>
              <w:t>a</w:t>
            </w:r>
            <w:r>
              <w:rPr>
                <w:rFonts w:cs="Times New Roman"/>
                <w:bCs/>
                <w:color w:val="000000" w:themeColor="text1"/>
                <w:sz w:val="20"/>
                <w:szCs w:val="20"/>
              </w:rPr>
              <w:t xml:space="preserve"> ekspozīciju.</w:t>
            </w:r>
          </w:p>
          <w:p w14:paraId="7621AD79" w14:textId="77777777" w:rsidR="00887869" w:rsidRPr="0028738E" w:rsidRDefault="00887869" w:rsidP="003A6E7A">
            <w:pPr>
              <w:jc w:val="both"/>
              <w:rPr>
                <w:rFonts w:cs="Times New Roman"/>
                <w:bCs/>
                <w:color w:val="000000" w:themeColor="text1"/>
                <w:sz w:val="20"/>
                <w:szCs w:val="20"/>
              </w:rPr>
            </w:pPr>
          </w:p>
          <w:p w14:paraId="0508FD30" w14:textId="77777777" w:rsidR="00887869" w:rsidRPr="0028738E" w:rsidRDefault="00887869" w:rsidP="003A6E7A">
            <w:pPr>
              <w:jc w:val="both"/>
              <w:rPr>
                <w:rFonts w:cs="Times New Roman"/>
                <w:bCs/>
                <w:color w:val="000000" w:themeColor="text1"/>
                <w:sz w:val="20"/>
                <w:szCs w:val="20"/>
              </w:rPr>
            </w:pPr>
            <w:r>
              <w:rPr>
                <w:rFonts w:cs="Times New Roman"/>
                <w:bCs/>
                <w:color w:val="000000" w:themeColor="text1"/>
                <w:sz w:val="20"/>
                <w:szCs w:val="20"/>
              </w:rPr>
              <w:t>Nodrošināt</w:t>
            </w:r>
            <w:r w:rsidRPr="0028738E">
              <w:rPr>
                <w:rFonts w:cs="Times New Roman"/>
                <w:bCs/>
                <w:color w:val="000000" w:themeColor="text1"/>
                <w:sz w:val="20"/>
                <w:szCs w:val="20"/>
              </w:rPr>
              <w:t>, ka likuma subjektu izpratne par terorisma finansēšanas riskiem neaprobežojas ar teroristu sarakstiem;</w:t>
            </w:r>
          </w:p>
          <w:p w14:paraId="44E5C239" w14:textId="77777777" w:rsidR="00887869" w:rsidRDefault="00887869" w:rsidP="003A6E7A">
            <w:pPr>
              <w:jc w:val="both"/>
              <w:rPr>
                <w:rFonts w:cs="Times New Roman"/>
                <w:bCs/>
                <w:color w:val="000000" w:themeColor="text1"/>
                <w:sz w:val="20"/>
                <w:szCs w:val="20"/>
              </w:rPr>
            </w:pPr>
            <w:r w:rsidRPr="0028738E">
              <w:rPr>
                <w:rFonts w:cs="Times New Roman"/>
                <w:bCs/>
                <w:color w:val="000000" w:themeColor="text1"/>
                <w:sz w:val="20"/>
                <w:szCs w:val="20"/>
              </w:rPr>
              <w:t>- visi likuma subjekti ar augstu darījumu aktivitāti nodrošina automatizētus IT risinājumus terorisma finansēšanas kontroles nolūkos, savukārt subjekti ar zemu darījumu aktivitāti pastāvīgi lieto manuālus instrumentus terorisma finansēšanas kontrolei</w:t>
            </w:r>
            <w:r w:rsidR="009B280C">
              <w:rPr>
                <w:rFonts w:cs="Times New Roman"/>
                <w:bCs/>
                <w:color w:val="000000" w:themeColor="text1"/>
                <w:sz w:val="20"/>
                <w:szCs w:val="20"/>
              </w:rPr>
              <w:t>.</w:t>
            </w:r>
          </w:p>
          <w:p w14:paraId="3D58EFDB" w14:textId="77777777" w:rsidR="00887869" w:rsidRDefault="00887869" w:rsidP="003A6E7A">
            <w:pPr>
              <w:jc w:val="both"/>
              <w:rPr>
                <w:rFonts w:cs="Times New Roman"/>
                <w:bCs/>
                <w:color w:val="000000" w:themeColor="text1"/>
                <w:sz w:val="20"/>
                <w:szCs w:val="20"/>
              </w:rPr>
            </w:pPr>
          </w:p>
          <w:p w14:paraId="17F674A9" w14:textId="77777777" w:rsidR="00887869" w:rsidRPr="0028738E" w:rsidRDefault="00887869" w:rsidP="003A6E7A">
            <w:pPr>
              <w:jc w:val="both"/>
              <w:rPr>
                <w:rFonts w:cs="Times New Roman"/>
                <w:bCs/>
                <w:color w:val="000000" w:themeColor="text1"/>
                <w:sz w:val="20"/>
                <w:szCs w:val="20"/>
              </w:rPr>
            </w:pPr>
            <w:r w:rsidRPr="0028738E">
              <w:rPr>
                <w:rFonts w:cs="Times New Roman"/>
                <w:bCs/>
                <w:color w:val="000000" w:themeColor="text1"/>
                <w:sz w:val="20"/>
                <w:szCs w:val="20"/>
              </w:rPr>
              <w:t>Nodrošināt, ka visiem likuma subjektiem:</w:t>
            </w:r>
          </w:p>
          <w:p w14:paraId="64E63189" w14:textId="77777777" w:rsidR="00887869" w:rsidRPr="0028738E" w:rsidRDefault="00887869" w:rsidP="003A6E7A">
            <w:pPr>
              <w:jc w:val="both"/>
              <w:rPr>
                <w:rFonts w:cs="Times New Roman"/>
                <w:bCs/>
                <w:color w:val="000000" w:themeColor="text1"/>
                <w:sz w:val="20"/>
                <w:szCs w:val="20"/>
              </w:rPr>
            </w:pPr>
            <w:r w:rsidRPr="0028738E">
              <w:rPr>
                <w:rFonts w:cs="Times New Roman"/>
                <w:bCs/>
                <w:color w:val="000000" w:themeColor="text1"/>
                <w:sz w:val="20"/>
                <w:szCs w:val="20"/>
              </w:rPr>
              <w:t>- ir izveidoti galvenie NILLTFN iekšējās kontroles sistēmas elementi;</w:t>
            </w:r>
          </w:p>
          <w:p w14:paraId="6E07532C" w14:textId="77777777" w:rsidR="00887869" w:rsidRPr="0028738E" w:rsidRDefault="00887869" w:rsidP="003A6E7A">
            <w:pPr>
              <w:jc w:val="both"/>
              <w:rPr>
                <w:rFonts w:cs="Times New Roman"/>
                <w:bCs/>
                <w:color w:val="000000" w:themeColor="text1"/>
                <w:sz w:val="20"/>
                <w:szCs w:val="20"/>
              </w:rPr>
            </w:pPr>
            <w:r w:rsidRPr="0028738E">
              <w:rPr>
                <w:rFonts w:cs="Times New Roman"/>
                <w:bCs/>
                <w:color w:val="000000" w:themeColor="text1"/>
                <w:sz w:val="20"/>
                <w:szCs w:val="20"/>
              </w:rPr>
              <w:t>- ir ieviestas efektīvas iekšējās kontroles un procedūras;</w:t>
            </w:r>
          </w:p>
          <w:p w14:paraId="2A0EA93C" w14:textId="77777777" w:rsidR="00887869" w:rsidRPr="0028738E" w:rsidRDefault="00887869" w:rsidP="003A6E7A">
            <w:pPr>
              <w:jc w:val="both"/>
              <w:rPr>
                <w:rFonts w:cs="Times New Roman"/>
                <w:bCs/>
                <w:color w:val="000000" w:themeColor="text1"/>
                <w:sz w:val="20"/>
                <w:szCs w:val="20"/>
              </w:rPr>
            </w:pPr>
            <w:r w:rsidRPr="0028738E">
              <w:rPr>
                <w:rFonts w:cs="Times New Roman"/>
                <w:bCs/>
                <w:color w:val="000000" w:themeColor="text1"/>
                <w:sz w:val="20"/>
                <w:szCs w:val="20"/>
              </w:rPr>
              <w:t>- to veikto risku mazinošo pasākumu piemērošanas efektivitāte ir pastiprināta atbilstoši riskam;</w:t>
            </w:r>
          </w:p>
          <w:p w14:paraId="0F7F2C28" w14:textId="77777777" w:rsidR="00887869" w:rsidRDefault="00887869" w:rsidP="003A6E7A">
            <w:pPr>
              <w:jc w:val="both"/>
              <w:rPr>
                <w:rFonts w:cs="Times New Roman"/>
                <w:bCs/>
                <w:color w:val="000000" w:themeColor="text1"/>
                <w:sz w:val="20"/>
                <w:szCs w:val="20"/>
              </w:rPr>
            </w:pPr>
            <w:r w:rsidRPr="0028738E">
              <w:rPr>
                <w:rFonts w:cs="Times New Roman"/>
                <w:bCs/>
                <w:color w:val="000000" w:themeColor="text1"/>
                <w:sz w:val="20"/>
                <w:szCs w:val="20"/>
              </w:rPr>
              <w:t>- ir ieviestas sistēmas, kas nodrošina uz risku balstītu pieeju klienta izpētes pasākumu veikšanā.</w:t>
            </w:r>
          </w:p>
          <w:p w14:paraId="1CCDA757" w14:textId="77777777" w:rsidR="00887869" w:rsidRPr="003A6E7A" w:rsidRDefault="00887869" w:rsidP="003A6E7A">
            <w:pPr>
              <w:jc w:val="both"/>
              <w:rPr>
                <w:sz w:val="20"/>
                <w:szCs w:val="20"/>
              </w:rPr>
            </w:pPr>
            <w:r w:rsidRPr="00FC0326">
              <w:rPr>
                <w:sz w:val="20"/>
                <w:szCs w:val="20"/>
              </w:rPr>
              <w:t>Uzraudzības proc</w:t>
            </w:r>
            <w:r>
              <w:rPr>
                <w:sz w:val="20"/>
                <w:szCs w:val="20"/>
              </w:rPr>
              <w:t xml:space="preserve">esā veikt </w:t>
            </w:r>
            <w:r w:rsidRPr="00481460">
              <w:rPr>
                <w:sz w:val="20"/>
                <w:szCs w:val="20"/>
              </w:rPr>
              <w:t>regulāras amatpersonu kvalifikācijas un reputācijas, kā arī licencēto subjektu akcionāru reputācijas atbilstības</w:t>
            </w:r>
            <w:r w:rsidRPr="00FC0326">
              <w:rPr>
                <w:sz w:val="20"/>
                <w:szCs w:val="20"/>
              </w:rPr>
              <w:t xml:space="preserve"> kontroles gan likuma subjekta darbības uzsākšanas brīdī, gan regulāri tā darbības laikā, kā papildus riska identifikatoru nosakot iepriekš konstatētus pārkāpumus NILLTFN jomā.</w:t>
            </w:r>
          </w:p>
        </w:tc>
        <w:tc>
          <w:tcPr>
            <w:tcW w:w="1701" w:type="dxa"/>
            <w:vMerge w:val="restart"/>
          </w:tcPr>
          <w:p w14:paraId="18997FE9" w14:textId="77777777" w:rsidR="00887869" w:rsidRPr="0028738E" w:rsidRDefault="00887869" w:rsidP="003A6E7A">
            <w:pPr>
              <w:rPr>
                <w:rFonts w:cs="Times New Roman"/>
                <w:color w:val="000000" w:themeColor="text1"/>
                <w:sz w:val="20"/>
                <w:szCs w:val="20"/>
              </w:rPr>
            </w:pPr>
            <w:r w:rsidRPr="0028738E">
              <w:rPr>
                <w:rFonts w:cs="Times New Roman"/>
                <w:color w:val="000000" w:themeColor="text1"/>
                <w:sz w:val="20"/>
                <w:szCs w:val="20"/>
              </w:rPr>
              <w:lastRenderedPageBreak/>
              <w:t xml:space="preserve">Moneyval rekomendācija </w:t>
            </w:r>
            <w:r>
              <w:rPr>
                <w:rFonts w:cs="Times New Roman"/>
                <w:color w:val="000000" w:themeColor="text1"/>
                <w:sz w:val="20"/>
                <w:szCs w:val="20"/>
              </w:rPr>
              <w:t xml:space="preserve">3.4., </w:t>
            </w:r>
            <w:r w:rsidRPr="0028738E">
              <w:rPr>
                <w:rFonts w:cs="Times New Roman"/>
                <w:color w:val="000000" w:themeColor="text1"/>
                <w:sz w:val="20"/>
                <w:szCs w:val="20"/>
              </w:rPr>
              <w:t>4.1, 4.2., 4.3.,. 4.4., 4.5., 4.7.,</w:t>
            </w:r>
            <w:r>
              <w:rPr>
                <w:rFonts w:cs="Times New Roman"/>
                <w:color w:val="000000" w:themeColor="text1"/>
                <w:sz w:val="20"/>
                <w:szCs w:val="20"/>
              </w:rPr>
              <w:t xml:space="preserve"> 4.8.,</w:t>
            </w:r>
            <w:r w:rsidRPr="0028738E">
              <w:rPr>
                <w:rFonts w:cs="Times New Roman"/>
                <w:color w:val="000000" w:themeColor="text1"/>
                <w:sz w:val="20"/>
                <w:szCs w:val="20"/>
              </w:rPr>
              <w:t xml:space="preserve"> 4.16.</w:t>
            </w:r>
            <w:r>
              <w:rPr>
                <w:rFonts w:cs="Times New Roman"/>
                <w:color w:val="000000" w:themeColor="text1"/>
                <w:sz w:val="20"/>
                <w:szCs w:val="20"/>
              </w:rPr>
              <w:t>, 7.3.</w:t>
            </w:r>
          </w:p>
          <w:p w14:paraId="53CCD62D" w14:textId="77777777" w:rsidR="00887869" w:rsidRPr="0028738E" w:rsidRDefault="00887869" w:rsidP="003A6E7A">
            <w:pPr>
              <w:rPr>
                <w:rFonts w:cs="Times New Roman"/>
                <w:color w:val="000000" w:themeColor="text1"/>
                <w:sz w:val="20"/>
                <w:szCs w:val="20"/>
              </w:rPr>
            </w:pPr>
          </w:p>
          <w:p w14:paraId="74414F97" w14:textId="77777777" w:rsidR="00887869" w:rsidRPr="00852A2D" w:rsidRDefault="00887869" w:rsidP="003A6E7A">
            <w:pPr>
              <w:jc w:val="both"/>
              <w:rPr>
                <w:sz w:val="20"/>
                <w:szCs w:val="20"/>
              </w:rPr>
            </w:pPr>
            <w:r w:rsidRPr="0028738E">
              <w:rPr>
                <w:sz w:val="20"/>
                <w:szCs w:val="20"/>
              </w:rPr>
              <w:t>Pasākumu p</w:t>
            </w:r>
            <w:r>
              <w:rPr>
                <w:sz w:val="20"/>
                <w:szCs w:val="20"/>
              </w:rPr>
              <w:t>lāns 2017.-2019.g. 5.1.pasākums</w:t>
            </w:r>
          </w:p>
        </w:tc>
        <w:tc>
          <w:tcPr>
            <w:tcW w:w="2410" w:type="dxa"/>
            <w:shd w:val="clear" w:color="auto" w:fill="auto"/>
          </w:tcPr>
          <w:p w14:paraId="08974C7E" w14:textId="77777777" w:rsidR="00887869" w:rsidRPr="0028738E" w:rsidRDefault="00887869" w:rsidP="003A6E7A">
            <w:pPr>
              <w:jc w:val="both"/>
              <w:rPr>
                <w:rFonts w:cs="Times New Roman"/>
                <w:color w:val="000000" w:themeColor="text1"/>
                <w:sz w:val="20"/>
                <w:szCs w:val="20"/>
              </w:rPr>
            </w:pPr>
            <w:r w:rsidRPr="0028738E">
              <w:rPr>
                <w:rFonts w:cs="Times New Roman"/>
                <w:color w:val="000000" w:themeColor="text1"/>
                <w:sz w:val="20"/>
                <w:szCs w:val="20"/>
              </w:rPr>
              <w:t>1. Atbilstoši sektoru risku novērtējumam,</w:t>
            </w:r>
            <w:r>
              <w:rPr>
                <w:rFonts w:cs="Times New Roman"/>
                <w:color w:val="000000" w:themeColor="text1"/>
                <w:sz w:val="20"/>
                <w:szCs w:val="20"/>
              </w:rPr>
              <w:t xml:space="preserve"> kā arī Moneyval rekomendācijās identificētajām nepilnībām aktualizēti normatīvie noteikumi un</w:t>
            </w:r>
            <w:r w:rsidRPr="0028738E">
              <w:rPr>
                <w:rFonts w:cs="Times New Roman"/>
                <w:color w:val="000000" w:themeColor="text1"/>
                <w:sz w:val="20"/>
                <w:szCs w:val="20"/>
              </w:rPr>
              <w:t xml:space="preserve"> vadlīnijas </w:t>
            </w:r>
            <w:r>
              <w:rPr>
                <w:rFonts w:cs="Times New Roman"/>
                <w:color w:val="000000" w:themeColor="text1"/>
                <w:sz w:val="20"/>
                <w:szCs w:val="20"/>
              </w:rPr>
              <w:t>likuma subjektiem</w:t>
            </w:r>
          </w:p>
        </w:tc>
        <w:tc>
          <w:tcPr>
            <w:tcW w:w="2693" w:type="dxa"/>
          </w:tcPr>
          <w:p w14:paraId="2F5E4256" w14:textId="77777777" w:rsidR="00887869" w:rsidRPr="0028738E" w:rsidRDefault="00016F1F" w:rsidP="0025344E">
            <w:pPr>
              <w:jc w:val="both"/>
              <w:rPr>
                <w:rFonts w:cs="Times New Roman"/>
                <w:b/>
                <w:color w:val="000000" w:themeColor="text1"/>
                <w:sz w:val="20"/>
                <w:szCs w:val="20"/>
              </w:rPr>
            </w:pPr>
            <w:r>
              <w:rPr>
                <w:rFonts w:cs="Times New Roman"/>
                <w:color w:val="000000" w:themeColor="text1"/>
                <w:sz w:val="20"/>
                <w:szCs w:val="20"/>
              </w:rPr>
              <w:t xml:space="preserve">1. </w:t>
            </w:r>
            <w:r w:rsidR="00887869" w:rsidRPr="0028738E">
              <w:rPr>
                <w:rFonts w:cs="Times New Roman"/>
                <w:color w:val="000000" w:themeColor="text1"/>
                <w:sz w:val="20"/>
                <w:szCs w:val="20"/>
              </w:rPr>
              <w:t>Aktualizētas vadlīnijas</w:t>
            </w:r>
          </w:p>
        </w:tc>
        <w:tc>
          <w:tcPr>
            <w:tcW w:w="1134" w:type="dxa"/>
            <w:shd w:val="clear" w:color="auto" w:fill="auto"/>
          </w:tcPr>
          <w:p w14:paraId="4E23986F" w14:textId="77777777" w:rsidR="00887869" w:rsidRPr="0028738E" w:rsidRDefault="00887869" w:rsidP="003A6E7A">
            <w:pPr>
              <w:jc w:val="center"/>
              <w:rPr>
                <w:rFonts w:cs="Times New Roman"/>
                <w:b/>
                <w:bCs/>
                <w:color w:val="000000" w:themeColor="text1"/>
                <w:sz w:val="20"/>
                <w:szCs w:val="20"/>
              </w:rPr>
            </w:pPr>
            <w:r w:rsidRPr="0028738E">
              <w:rPr>
                <w:color w:val="000000" w:themeColor="text1"/>
                <w:sz w:val="20"/>
                <w:szCs w:val="20"/>
              </w:rPr>
              <w:t xml:space="preserve">FKTK, VID, LB, IAUI, LZAP, LZNP, LZRA, </w:t>
            </w:r>
            <w:r w:rsidR="0090763B">
              <w:rPr>
                <w:color w:val="000000" w:themeColor="text1"/>
                <w:sz w:val="20"/>
                <w:szCs w:val="20"/>
              </w:rPr>
              <w:t>NKMP</w:t>
            </w:r>
            <w:r w:rsidRPr="0028738E">
              <w:rPr>
                <w:color w:val="000000" w:themeColor="text1"/>
                <w:sz w:val="20"/>
                <w:szCs w:val="20"/>
              </w:rPr>
              <w:t>, PTAC</w:t>
            </w:r>
          </w:p>
        </w:tc>
        <w:tc>
          <w:tcPr>
            <w:tcW w:w="1276" w:type="dxa"/>
            <w:shd w:val="clear" w:color="auto" w:fill="auto"/>
          </w:tcPr>
          <w:p w14:paraId="469BC732" w14:textId="77777777" w:rsidR="00887869" w:rsidRPr="0028738E" w:rsidRDefault="00887869" w:rsidP="003A6E7A">
            <w:pPr>
              <w:jc w:val="center"/>
              <w:rPr>
                <w:rFonts w:cs="Times New Roman"/>
                <w:b/>
                <w:bCs/>
                <w:color w:val="000000" w:themeColor="text1"/>
                <w:sz w:val="20"/>
                <w:szCs w:val="20"/>
              </w:rPr>
            </w:pPr>
          </w:p>
        </w:tc>
        <w:tc>
          <w:tcPr>
            <w:tcW w:w="1417" w:type="dxa"/>
            <w:shd w:val="clear" w:color="auto" w:fill="auto"/>
          </w:tcPr>
          <w:p w14:paraId="6135A014" w14:textId="77777777" w:rsidR="00887869" w:rsidRPr="0028738E" w:rsidRDefault="00016F1F" w:rsidP="00C97FF2">
            <w:pPr>
              <w:jc w:val="center"/>
              <w:rPr>
                <w:rFonts w:cs="Times New Roman"/>
                <w:bCs/>
                <w:color w:val="000000" w:themeColor="text1"/>
                <w:sz w:val="20"/>
                <w:szCs w:val="20"/>
              </w:rPr>
            </w:pPr>
            <w:r>
              <w:rPr>
                <w:rFonts w:cs="Times New Roman"/>
                <w:bCs/>
                <w:color w:val="000000" w:themeColor="text1"/>
                <w:sz w:val="20"/>
                <w:szCs w:val="20"/>
              </w:rPr>
              <w:t xml:space="preserve">1. </w:t>
            </w:r>
            <w:r w:rsidR="00C97FF2">
              <w:rPr>
                <w:rFonts w:cs="Times New Roman"/>
                <w:bCs/>
                <w:color w:val="000000" w:themeColor="text1"/>
                <w:sz w:val="20"/>
                <w:szCs w:val="20"/>
              </w:rPr>
              <w:t>2019.gada 31.janvāris</w:t>
            </w:r>
          </w:p>
        </w:tc>
      </w:tr>
      <w:tr w:rsidR="00887869" w:rsidRPr="0028738E" w14:paraId="3A7DBC54" w14:textId="77777777" w:rsidTr="00FE237C">
        <w:tc>
          <w:tcPr>
            <w:tcW w:w="709" w:type="dxa"/>
            <w:vMerge/>
          </w:tcPr>
          <w:p w14:paraId="184E23ED" w14:textId="77777777" w:rsidR="00887869" w:rsidRPr="0028738E" w:rsidRDefault="00887869" w:rsidP="003A6E7A">
            <w:pPr>
              <w:jc w:val="center"/>
              <w:rPr>
                <w:rFonts w:cs="Times New Roman"/>
                <w:bCs/>
                <w:color w:val="000000" w:themeColor="text1"/>
                <w:sz w:val="20"/>
                <w:szCs w:val="20"/>
              </w:rPr>
            </w:pPr>
          </w:p>
        </w:tc>
        <w:tc>
          <w:tcPr>
            <w:tcW w:w="3544" w:type="dxa"/>
            <w:vMerge/>
            <w:tcBorders>
              <w:bottom w:val="single" w:sz="4" w:space="0" w:color="auto"/>
            </w:tcBorders>
            <w:shd w:val="clear" w:color="auto" w:fill="auto"/>
          </w:tcPr>
          <w:p w14:paraId="08C4FAB7" w14:textId="77777777" w:rsidR="00887869" w:rsidRPr="0028738E" w:rsidRDefault="00887869" w:rsidP="003A6E7A">
            <w:pPr>
              <w:jc w:val="both"/>
              <w:rPr>
                <w:rFonts w:cs="Times New Roman"/>
                <w:bCs/>
                <w:color w:val="000000" w:themeColor="text1"/>
                <w:sz w:val="20"/>
                <w:szCs w:val="20"/>
              </w:rPr>
            </w:pPr>
          </w:p>
        </w:tc>
        <w:tc>
          <w:tcPr>
            <w:tcW w:w="1701" w:type="dxa"/>
            <w:vMerge/>
            <w:tcBorders>
              <w:bottom w:val="single" w:sz="4" w:space="0" w:color="auto"/>
            </w:tcBorders>
          </w:tcPr>
          <w:p w14:paraId="07D2FA21" w14:textId="77777777" w:rsidR="00887869" w:rsidRPr="0028738E" w:rsidRDefault="00887869" w:rsidP="003A6E7A">
            <w:pPr>
              <w:rPr>
                <w:rFonts w:cs="Times New Roman"/>
                <w:color w:val="000000" w:themeColor="text1"/>
                <w:sz w:val="20"/>
                <w:szCs w:val="20"/>
              </w:rPr>
            </w:pPr>
          </w:p>
        </w:tc>
        <w:tc>
          <w:tcPr>
            <w:tcW w:w="2410" w:type="dxa"/>
            <w:shd w:val="clear" w:color="auto" w:fill="auto"/>
          </w:tcPr>
          <w:p w14:paraId="43D26794" w14:textId="77777777" w:rsidR="00887869" w:rsidRPr="0028738E" w:rsidRDefault="00887869" w:rsidP="00122AD7">
            <w:pPr>
              <w:jc w:val="both"/>
              <w:rPr>
                <w:rFonts w:cs="Times New Roman"/>
                <w:color w:val="000000" w:themeColor="text1"/>
                <w:sz w:val="20"/>
                <w:szCs w:val="20"/>
              </w:rPr>
            </w:pPr>
            <w:r w:rsidRPr="0028738E">
              <w:rPr>
                <w:rFonts w:cs="Times New Roman"/>
                <w:color w:val="000000" w:themeColor="text1"/>
                <w:sz w:val="20"/>
                <w:szCs w:val="20"/>
              </w:rPr>
              <w:t xml:space="preserve">2. Uzraudzības un kontroles institūcijām </w:t>
            </w:r>
            <w:r>
              <w:rPr>
                <w:rFonts w:cs="Times New Roman"/>
                <w:color w:val="000000" w:themeColor="text1"/>
                <w:sz w:val="20"/>
                <w:szCs w:val="20"/>
              </w:rPr>
              <w:t>veikt regulāras apmācības un sniegt konsultācijas likuma subjektiem</w:t>
            </w:r>
          </w:p>
        </w:tc>
        <w:tc>
          <w:tcPr>
            <w:tcW w:w="2693" w:type="dxa"/>
          </w:tcPr>
          <w:p w14:paraId="79DC7D51" w14:textId="77777777" w:rsidR="0037175D" w:rsidRDefault="00016F1F" w:rsidP="0025344E">
            <w:pPr>
              <w:jc w:val="both"/>
              <w:rPr>
                <w:rFonts w:cs="Times New Roman"/>
                <w:color w:val="000000" w:themeColor="text1"/>
                <w:sz w:val="20"/>
                <w:szCs w:val="20"/>
              </w:rPr>
            </w:pPr>
            <w:r>
              <w:rPr>
                <w:rFonts w:cs="Times New Roman"/>
                <w:color w:val="000000" w:themeColor="text1"/>
                <w:sz w:val="20"/>
                <w:szCs w:val="20"/>
              </w:rPr>
              <w:t xml:space="preserve">2. </w:t>
            </w:r>
            <w:r w:rsidR="0037175D">
              <w:rPr>
                <w:rFonts w:cs="Times New Roman"/>
                <w:color w:val="000000" w:themeColor="text1"/>
                <w:sz w:val="20"/>
                <w:szCs w:val="20"/>
              </w:rPr>
              <w:t>2018.gadā organizētas 67 apmācības vai semināri, apmācītas 2 642 personas;</w:t>
            </w:r>
          </w:p>
          <w:p w14:paraId="1AC0837D" w14:textId="77777777" w:rsidR="00887869" w:rsidRPr="0028738E" w:rsidRDefault="0037175D" w:rsidP="0025344E">
            <w:pPr>
              <w:jc w:val="both"/>
              <w:rPr>
                <w:rFonts w:cs="Times New Roman"/>
                <w:color w:val="000000" w:themeColor="text1"/>
                <w:sz w:val="20"/>
                <w:szCs w:val="20"/>
              </w:rPr>
            </w:pPr>
            <w:r>
              <w:rPr>
                <w:rFonts w:cs="Times New Roman"/>
                <w:color w:val="000000" w:themeColor="text1"/>
                <w:sz w:val="20"/>
                <w:szCs w:val="20"/>
              </w:rPr>
              <w:t>2019.gadā organizētas 75 apmācības vai semināri, apmācītas 5 426 personas</w:t>
            </w:r>
            <w:r w:rsidR="00C8593B">
              <w:rPr>
                <w:rFonts w:cs="Times New Roman"/>
                <w:color w:val="000000" w:themeColor="text1"/>
                <w:sz w:val="20"/>
                <w:szCs w:val="20"/>
              </w:rPr>
              <w:t xml:space="preserve"> (3.pielikums)</w:t>
            </w:r>
          </w:p>
          <w:p w14:paraId="66811E03" w14:textId="77777777" w:rsidR="00887869" w:rsidRPr="0028738E" w:rsidRDefault="00887869" w:rsidP="0025344E">
            <w:pPr>
              <w:jc w:val="both"/>
              <w:rPr>
                <w:rFonts w:cs="Times New Roman"/>
                <w:color w:val="000000" w:themeColor="text1"/>
                <w:sz w:val="20"/>
                <w:szCs w:val="20"/>
              </w:rPr>
            </w:pPr>
          </w:p>
        </w:tc>
        <w:tc>
          <w:tcPr>
            <w:tcW w:w="1134" w:type="dxa"/>
            <w:shd w:val="clear" w:color="auto" w:fill="auto"/>
          </w:tcPr>
          <w:p w14:paraId="02693D7F" w14:textId="77777777" w:rsidR="00887869" w:rsidRPr="0028738E" w:rsidRDefault="00887869" w:rsidP="003A6E7A">
            <w:pPr>
              <w:jc w:val="center"/>
              <w:rPr>
                <w:color w:val="000000" w:themeColor="text1"/>
                <w:sz w:val="20"/>
                <w:szCs w:val="20"/>
              </w:rPr>
            </w:pPr>
            <w:r w:rsidRPr="0028738E">
              <w:rPr>
                <w:color w:val="000000" w:themeColor="text1"/>
                <w:sz w:val="20"/>
                <w:szCs w:val="20"/>
              </w:rPr>
              <w:lastRenderedPageBreak/>
              <w:t xml:space="preserve">FKTK, VID, LB, IAUI, LZAP, LZNP, LZRA, </w:t>
            </w:r>
            <w:r w:rsidR="0090763B">
              <w:rPr>
                <w:color w:val="000000" w:themeColor="text1"/>
                <w:sz w:val="20"/>
                <w:szCs w:val="20"/>
              </w:rPr>
              <w:lastRenderedPageBreak/>
              <w:t>NKMP</w:t>
            </w:r>
            <w:r w:rsidRPr="0028738E">
              <w:rPr>
                <w:color w:val="000000" w:themeColor="text1"/>
                <w:sz w:val="20"/>
                <w:szCs w:val="20"/>
              </w:rPr>
              <w:t>, PTAC</w:t>
            </w:r>
          </w:p>
        </w:tc>
        <w:tc>
          <w:tcPr>
            <w:tcW w:w="1276" w:type="dxa"/>
            <w:shd w:val="clear" w:color="auto" w:fill="auto"/>
          </w:tcPr>
          <w:p w14:paraId="1A68F3E7" w14:textId="77777777" w:rsidR="00887869" w:rsidRPr="00FC417E" w:rsidRDefault="00FC417E" w:rsidP="003A6E7A">
            <w:pPr>
              <w:jc w:val="center"/>
              <w:rPr>
                <w:rFonts w:cs="Times New Roman"/>
                <w:bCs/>
                <w:color w:val="000000" w:themeColor="text1"/>
                <w:sz w:val="20"/>
                <w:szCs w:val="20"/>
              </w:rPr>
            </w:pPr>
            <w:r w:rsidRPr="00FC417E">
              <w:rPr>
                <w:rFonts w:cs="Times New Roman"/>
                <w:bCs/>
                <w:color w:val="000000" w:themeColor="text1"/>
                <w:sz w:val="20"/>
                <w:szCs w:val="20"/>
              </w:rPr>
              <w:lastRenderedPageBreak/>
              <w:t>KD</w:t>
            </w:r>
          </w:p>
        </w:tc>
        <w:tc>
          <w:tcPr>
            <w:tcW w:w="1417" w:type="dxa"/>
            <w:shd w:val="clear" w:color="auto" w:fill="auto"/>
          </w:tcPr>
          <w:p w14:paraId="47619254" w14:textId="77777777" w:rsidR="00887869" w:rsidRPr="0028738E" w:rsidRDefault="00016F1F" w:rsidP="003A6E7A">
            <w:pPr>
              <w:jc w:val="center"/>
              <w:rPr>
                <w:rFonts w:cs="Times New Roman"/>
                <w:bCs/>
                <w:color w:val="000000" w:themeColor="text1"/>
                <w:sz w:val="20"/>
                <w:szCs w:val="20"/>
              </w:rPr>
            </w:pPr>
            <w:r>
              <w:rPr>
                <w:rFonts w:cs="Times New Roman"/>
                <w:bCs/>
                <w:color w:val="000000" w:themeColor="text1"/>
                <w:sz w:val="20"/>
                <w:szCs w:val="20"/>
              </w:rPr>
              <w:t xml:space="preserve">2. </w:t>
            </w:r>
            <w:r w:rsidR="00C97FF2">
              <w:rPr>
                <w:rFonts w:cs="Times New Roman"/>
                <w:bCs/>
                <w:color w:val="000000" w:themeColor="text1"/>
                <w:sz w:val="20"/>
                <w:szCs w:val="20"/>
              </w:rPr>
              <w:t>2019.gada 31.decembris</w:t>
            </w:r>
          </w:p>
          <w:p w14:paraId="05376DD8" w14:textId="77777777" w:rsidR="00887869" w:rsidRPr="0028738E" w:rsidRDefault="00887869" w:rsidP="003A6E7A">
            <w:pPr>
              <w:jc w:val="center"/>
              <w:rPr>
                <w:rFonts w:cs="Times New Roman"/>
                <w:bCs/>
                <w:color w:val="000000" w:themeColor="text1"/>
                <w:sz w:val="20"/>
                <w:szCs w:val="20"/>
              </w:rPr>
            </w:pPr>
          </w:p>
        </w:tc>
      </w:tr>
      <w:tr w:rsidR="00AB13F3" w:rsidRPr="0028738E" w14:paraId="3B48AFE7" w14:textId="77777777" w:rsidTr="00FE237C">
        <w:tc>
          <w:tcPr>
            <w:tcW w:w="709" w:type="dxa"/>
            <w:vMerge w:val="restart"/>
            <w:tcBorders>
              <w:right w:val="single" w:sz="4" w:space="0" w:color="auto"/>
            </w:tcBorders>
          </w:tcPr>
          <w:p w14:paraId="04AEB996" w14:textId="77777777" w:rsidR="00AB13F3" w:rsidRPr="0028738E" w:rsidRDefault="00AB13F3" w:rsidP="00914F28">
            <w:pPr>
              <w:jc w:val="center"/>
              <w:rPr>
                <w:rFonts w:cs="Times New Roman"/>
                <w:bCs/>
                <w:sz w:val="20"/>
                <w:szCs w:val="20"/>
              </w:rPr>
            </w:pPr>
            <w:r w:rsidRPr="0028738E">
              <w:rPr>
                <w:rFonts w:cs="Times New Roman"/>
                <w:bCs/>
                <w:sz w:val="20"/>
                <w:szCs w:val="20"/>
              </w:rPr>
              <w:t>4.</w:t>
            </w:r>
            <w:r w:rsidR="00914F28">
              <w:rPr>
                <w:rFonts w:cs="Times New Roman"/>
                <w:bCs/>
                <w:sz w:val="20"/>
                <w:szCs w:val="20"/>
              </w:rPr>
              <w:t>2</w:t>
            </w:r>
            <w:r w:rsidRPr="0028738E">
              <w:rPr>
                <w:rFonts w:cs="Times New Roman"/>
                <w:bCs/>
                <w:sz w:val="20"/>
                <w:szCs w:val="20"/>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14:paraId="3E126584" w14:textId="77777777" w:rsidR="00AB13F3" w:rsidRPr="0028738E" w:rsidRDefault="00AB13F3" w:rsidP="00B707AC">
            <w:pPr>
              <w:jc w:val="both"/>
              <w:rPr>
                <w:rFonts w:cs="Times New Roman"/>
                <w:bCs/>
                <w:sz w:val="20"/>
                <w:szCs w:val="20"/>
              </w:rPr>
            </w:pPr>
            <w:r w:rsidRPr="0028738E">
              <w:rPr>
                <w:rFonts w:cs="Times New Roman"/>
                <w:bCs/>
                <w:sz w:val="20"/>
                <w:szCs w:val="20"/>
              </w:rPr>
              <w:t>Jāpastiprina pasākumi, ar kuriem tiek piemērotas minimālās prasības:</w:t>
            </w:r>
          </w:p>
          <w:p w14:paraId="62CD515E" w14:textId="77777777" w:rsidR="00FC417E" w:rsidRPr="0028738E" w:rsidRDefault="00AB13F3" w:rsidP="00FC417E">
            <w:pPr>
              <w:jc w:val="both"/>
              <w:rPr>
                <w:rFonts w:cs="Times New Roman"/>
                <w:bCs/>
                <w:sz w:val="20"/>
                <w:szCs w:val="20"/>
              </w:rPr>
            </w:pPr>
            <w:r w:rsidRPr="0028738E">
              <w:rPr>
                <w:rFonts w:cs="Times New Roman"/>
                <w:bCs/>
                <w:sz w:val="20"/>
                <w:szCs w:val="20"/>
              </w:rPr>
              <w:t xml:space="preserve">- attiecībā uz papildus informācijas un dokumentācijas kvalitāti klientu izpētes </w:t>
            </w:r>
            <w:r w:rsidRPr="0028738E">
              <w:rPr>
                <w:rFonts w:cs="Times New Roman"/>
                <w:bCs/>
                <w:sz w:val="20"/>
                <w:szCs w:val="20"/>
              </w:rPr>
              <w:lastRenderedPageBreak/>
              <w:t>procesā, noskaidrojot patiesā labuma guvēju, politiski nozīmīgas personas noteikšanā, līdzekļu izcelsmes noteikšanā, kā arī darījumu uzraudzībā</w:t>
            </w:r>
          </w:p>
        </w:tc>
        <w:tc>
          <w:tcPr>
            <w:tcW w:w="1701" w:type="dxa"/>
            <w:vMerge w:val="restart"/>
            <w:tcBorders>
              <w:top w:val="single" w:sz="4" w:space="0" w:color="auto"/>
              <w:left w:val="single" w:sz="4" w:space="0" w:color="auto"/>
              <w:bottom w:val="single" w:sz="4" w:space="0" w:color="auto"/>
              <w:right w:val="single" w:sz="4" w:space="0" w:color="auto"/>
            </w:tcBorders>
          </w:tcPr>
          <w:p w14:paraId="79B769DF" w14:textId="77777777" w:rsidR="00AB13F3" w:rsidRPr="0028738E" w:rsidRDefault="00AB13F3" w:rsidP="0079021D">
            <w:pPr>
              <w:rPr>
                <w:rFonts w:cs="Times New Roman"/>
                <w:sz w:val="20"/>
                <w:szCs w:val="20"/>
              </w:rPr>
            </w:pPr>
            <w:r w:rsidRPr="0028738E">
              <w:rPr>
                <w:rFonts w:cs="Times New Roman"/>
                <w:sz w:val="20"/>
                <w:szCs w:val="20"/>
              </w:rPr>
              <w:lastRenderedPageBreak/>
              <w:t>Moneyval rekomendācija 4.6.</w:t>
            </w:r>
            <w:r w:rsidR="00D25478">
              <w:rPr>
                <w:rFonts w:cs="Times New Roman"/>
                <w:sz w:val="20"/>
                <w:szCs w:val="20"/>
              </w:rPr>
              <w:t xml:space="preserve">, FATF 10.rekomendācija </w:t>
            </w:r>
          </w:p>
        </w:tc>
        <w:tc>
          <w:tcPr>
            <w:tcW w:w="2410" w:type="dxa"/>
            <w:tcBorders>
              <w:left w:val="single" w:sz="4" w:space="0" w:color="auto"/>
            </w:tcBorders>
            <w:shd w:val="clear" w:color="auto" w:fill="auto"/>
          </w:tcPr>
          <w:p w14:paraId="0C659157" w14:textId="77777777" w:rsidR="00AB13F3" w:rsidRPr="0028738E" w:rsidRDefault="00AB13F3" w:rsidP="0066578E">
            <w:pPr>
              <w:jc w:val="both"/>
              <w:rPr>
                <w:rFonts w:cs="Times New Roman"/>
                <w:b/>
                <w:color w:val="000000" w:themeColor="text1"/>
                <w:sz w:val="20"/>
                <w:szCs w:val="20"/>
              </w:rPr>
            </w:pPr>
            <w:r w:rsidRPr="0028738E">
              <w:rPr>
                <w:rFonts w:cs="Times New Roman"/>
                <w:color w:val="000000" w:themeColor="text1"/>
                <w:sz w:val="20"/>
                <w:szCs w:val="20"/>
              </w:rPr>
              <w:t>1. Veikt</w:t>
            </w:r>
            <w:r w:rsidR="009B280C">
              <w:rPr>
                <w:rFonts w:cs="Times New Roman"/>
                <w:color w:val="000000" w:themeColor="text1"/>
                <w:sz w:val="20"/>
                <w:szCs w:val="20"/>
              </w:rPr>
              <w:t>i</w:t>
            </w:r>
            <w:r w:rsidRPr="0028738E">
              <w:rPr>
                <w:rFonts w:cs="Times New Roman"/>
                <w:color w:val="000000" w:themeColor="text1"/>
                <w:sz w:val="20"/>
                <w:szCs w:val="20"/>
              </w:rPr>
              <w:t xml:space="preserve"> grozījumus NILLTFNL, nodrošinot pilnīgu atbilstību FATF 10.rekomendācijai.</w:t>
            </w:r>
          </w:p>
        </w:tc>
        <w:tc>
          <w:tcPr>
            <w:tcW w:w="2693" w:type="dxa"/>
          </w:tcPr>
          <w:p w14:paraId="2F857DDD" w14:textId="77777777" w:rsidR="00AB13F3" w:rsidRPr="0028738E" w:rsidRDefault="00AB13F3" w:rsidP="0025344E">
            <w:pPr>
              <w:jc w:val="both"/>
              <w:rPr>
                <w:rFonts w:cs="Times New Roman"/>
                <w:sz w:val="20"/>
                <w:szCs w:val="20"/>
              </w:rPr>
            </w:pPr>
            <w:r w:rsidRPr="0028738E">
              <w:rPr>
                <w:rFonts w:cs="Times New Roman"/>
                <w:sz w:val="20"/>
                <w:szCs w:val="20"/>
              </w:rPr>
              <w:t xml:space="preserve">1. Izstrādāts </w:t>
            </w:r>
            <w:r w:rsidR="009B280C">
              <w:rPr>
                <w:rFonts w:cs="Times New Roman"/>
                <w:sz w:val="20"/>
                <w:szCs w:val="20"/>
              </w:rPr>
              <w:t xml:space="preserve">un iesniegts Ministru kabinetā </w:t>
            </w:r>
            <w:r w:rsidRPr="0028738E">
              <w:rPr>
                <w:rFonts w:cs="Times New Roman"/>
                <w:sz w:val="20"/>
                <w:szCs w:val="20"/>
              </w:rPr>
              <w:t>likumprojekts</w:t>
            </w:r>
          </w:p>
          <w:p w14:paraId="2F3A5729" w14:textId="77777777" w:rsidR="00AB13F3" w:rsidRPr="0028738E" w:rsidRDefault="00AB13F3" w:rsidP="0025344E">
            <w:pPr>
              <w:jc w:val="both"/>
              <w:rPr>
                <w:rFonts w:cs="Times New Roman"/>
                <w:sz w:val="20"/>
                <w:szCs w:val="20"/>
              </w:rPr>
            </w:pPr>
          </w:p>
          <w:p w14:paraId="6C2E8B7F" w14:textId="77777777" w:rsidR="00AB13F3" w:rsidRPr="0028738E" w:rsidRDefault="00AB13F3" w:rsidP="0025344E">
            <w:pPr>
              <w:jc w:val="both"/>
              <w:rPr>
                <w:rFonts w:cs="Times New Roman"/>
                <w:b/>
                <w:sz w:val="20"/>
                <w:szCs w:val="20"/>
              </w:rPr>
            </w:pPr>
          </w:p>
        </w:tc>
        <w:tc>
          <w:tcPr>
            <w:tcW w:w="1134" w:type="dxa"/>
            <w:shd w:val="clear" w:color="auto" w:fill="auto"/>
          </w:tcPr>
          <w:p w14:paraId="50AA6B8A" w14:textId="77777777" w:rsidR="00AB13F3" w:rsidRPr="0028738E" w:rsidRDefault="00AB13F3" w:rsidP="00C97FF2">
            <w:pPr>
              <w:pStyle w:val="ListParagraph"/>
              <w:ind w:left="0"/>
              <w:jc w:val="center"/>
              <w:rPr>
                <w:rFonts w:cs="Times New Roman"/>
                <w:bCs/>
                <w:sz w:val="20"/>
                <w:szCs w:val="20"/>
              </w:rPr>
            </w:pPr>
            <w:r w:rsidRPr="0028738E">
              <w:rPr>
                <w:rFonts w:cs="Times New Roman"/>
                <w:bCs/>
                <w:sz w:val="20"/>
                <w:szCs w:val="20"/>
              </w:rPr>
              <w:lastRenderedPageBreak/>
              <w:t>FM</w:t>
            </w:r>
          </w:p>
        </w:tc>
        <w:tc>
          <w:tcPr>
            <w:tcW w:w="1276" w:type="dxa"/>
            <w:shd w:val="clear" w:color="auto" w:fill="auto"/>
          </w:tcPr>
          <w:p w14:paraId="34EC7642" w14:textId="77777777" w:rsidR="00AB13F3" w:rsidRPr="0028738E" w:rsidRDefault="00AB13F3" w:rsidP="0079021D">
            <w:pPr>
              <w:jc w:val="center"/>
              <w:rPr>
                <w:rFonts w:cs="Times New Roman"/>
                <w:b/>
                <w:bCs/>
                <w:sz w:val="20"/>
                <w:szCs w:val="20"/>
              </w:rPr>
            </w:pPr>
          </w:p>
        </w:tc>
        <w:tc>
          <w:tcPr>
            <w:tcW w:w="1417" w:type="dxa"/>
            <w:shd w:val="clear" w:color="auto" w:fill="auto"/>
          </w:tcPr>
          <w:p w14:paraId="6E8195BE" w14:textId="77777777" w:rsidR="00AB13F3" w:rsidRPr="0028738E" w:rsidRDefault="00AB13F3" w:rsidP="0079021D">
            <w:pPr>
              <w:jc w:val="center"/>
              <w:rPr>
                <w:rFonts w:cs="Times New Roman"/>
                <w:bCs/>
                <w:sz w:val="20"/>
                <w:szCs w:val="20"/>
              </w:rPr>
            </w:pPr>
            <w:r w:rsidRPr="0028738E">
              <w:rPr>
                <w:sz w:val="20"/>
                <w:szCs w:val="20"/>
              </w:rPr>
              <w:t>2019.gada 1.marts</w:t>
            </w:r>
          </w:p>
          <w:p w14:paraId="7C5A9D12" w14:textId="77777777" w:rsidR="00AB13F3" w:rsidRPr="0028738E" w:rsidRDefault="00AB13F3" w:rsidP="006C08DD">
            <w:pPr>
              <w:jc w:val="center"/>
              <w:rPr>
                <w:rFonts w:cs="Times New Roman"/>
                <w:bCs/>
                <w:sz w:val="20"/>
                <w:szCs w:val="20"/>
              </w:rPr>
            </w:pPr>
          </w:p>
        </w:tc>
      </w:tr>
      <w:tr w:rsidR="00AB13F3" w:rsidRPr="0028738E" w14:paraId="74A88345" w14:textId="77777777" w:rsidTr="00FE237C">
        <w:tc>
          <w:tcPr>
            <w:tcW w:w="709" w:type="dxa"/>
            <w:vMerge/>
            <w:tcBorders>
              <w:right w:val="single" w:sz="4" w:space="0" w:color="auto"/>
            </w:tcBorders>
          </w:tcPr>
          <w:p w14:paraId="6E910E34" w14:textId="77777777" w:rsidR="00AB13F3" w:rsidRPr="0028738E" w:rsidRDefault="00AB13F3" w:rsidP="0079021D">
            <w:pPr>
              <w:jc w:val="center"/>
              <w:rPr>
                <w:rFonts w:cs="Times New Roman"/>
                <w:bCs/>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14:paraId="4DDAC033" w14:textId="77777777" w:rsidR="00AB13F3" w:rsidRPr="0028738E" w:rsidRDefault="00AB13F3" w:rsidP="00B707AC">
            <w:pPr>
              <w:jc w:val="both"/>
              <w:rPr>
                <w:rFonts w:cs="Times New Roman"/>
                <w:bCs/>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C0C402A" w14:textId="77777777" w:rsidR="00AB13F3" w:rsidRPr="0028738E" w:rsidRDefault="00AB13F3" w:rsidP="0079021D">
            <w:pPr>
              <w:rPr>
                <w:rFonts w:cs="Times New Roman"/>
                <w:sz w:val="20"/>
                <w:szCs w:val="20"/>
              </w:rPr>
            </w:pPr>
          </w:p>
        </w:tc>
        <w:tc>
          <w:tcPr>
            <w:tcW w:w="2410" w:type="dxa"/>
            <w:tcBorders>
              <w:left w:val="single" w:sz="4" w:space="0" w:color="auto"/>
            </w:tcBorders>
            <w:shd w:val="clear" w:color="auto" w:fill="auto"/>
          </w:tcPr>
          <w:p w14:paraId="5D066AB7" w14:textId="77777777" w:rsidR="00AB13F3" w:rsidRPr="0028738E" w:rsidRDefault="00AB13F3" w:rsidP="009B280C">
            <w:pPr>
              <w:jc w:val="both"/>
              <w:rPr>
                <w:rFonts w:cs="Times New Roman"/>
                <w:color w:val="000000" w:themeColor="text1"/>
                <w:sz w:val="20"/>
                <w:szCs w:val="20"/>
              </w:rPr>
            </w:pPr>
            <w:r w:rsidRPr="0028738E">
              <w:rPr>
                <w:rFonts w:cs="Times New Roman"/>
                <w:color w:val="000000" w:themeColor="text1"/>
                <w:sz w:val="20"/>
                <w:szCs w:val="20"/>
              </w:rPr>
              <w:t>2.</w:t>
            </w:r>
            <w:r w:rsidR="009B280C">
              <w:rPr>
                <w:rFonts w:cs="Times New Roman"/>
                <w:color w:val="000000" w:themeColor="text1"/>
                <w:sz w:val="20"/>
                <w:szCs w:val="20"/>
              </w:rPr>
              <w:t xml:space="preserve"> atbilstoši likuma grozījumiem p</w:t>
            </w:r>
            <w:r w:rsidRPr="0028738E">
              <w:rPr>
                <w:rFonts w:cs="Times New Roman"/>
                <w:color w:val="000000" w:themeColor="text1"/>
                <w:sz w:val="20"/>
                <w:szCs w:val="20"/>
              </w:rPr>
              <w:t xml:space="preserve">ilnveidot vadlīnijas likuma subjektiem </w:t>
            </w:r>
          </w:p>
        </w:tc>
        <w:tc>
          <w:tcPr>
            <w:tcW w:w="2693" w:type="dxa"/>
          </w:tcPr>
          <w:p w14:paraId="5A38D80E" w14:textId="77777777" w:rsidR="00AB13F3" w:rsidRPr="0028738E" w:rsidRDefault="00AB13F3" w:rsidP="0025344E">
            <w:pPr>
              <w:jc w:val="both"/>
              <w:rPr>
                <w:rFonts w:cs="Times New Roman"/>
                <w:sz w:val="20"/>
                <w:szCs w:val="20"/>
              </w:rPr>
            </w:pPr>
            <w:r w:rsidRPr="0028738E">
              <w:rPr>
                <w:rFonts w:cs="Times New Roman"/>
                <w:sz w:val="20"/>
                <w:szCs w:val="20"/>
              </w:rPr>
              <w:t>2. Pilnveidotas vadlīnijas</w:t>
            </w:r>
          </w:p>
          <w:p w14:paraId="51C5684D" w14:textId="77777777" w:rsidR="00AB13F3" w:rsidRPr="0028738E" w:rsidRDefault="00AB13F3" w:rsidP="0025344E">
            <w:pPr>
              <w:jc w:val="both"/>
              <w:rPr>
                <w:rFonts w:cs="Times New Roman"/>
                <w:sz w:val="20"/>
                <w:szCs w:val="20"/>
              </w:rPr>
            </w:pPr>
          </w:p>
        </w:tc>
        <w:tc>
          <w:tcPr>
            <w:tcW w:w="1134" w:type="dxa"/>
            <w:shd w:val="clear" w:color="auto" w:fill="auto"/>
          </w:tcPr>
          <w:p w14:paraId="1D3F3C4C" w14:textId="77777777" w:rsidR="00AB13F3" w:rsidRPr="0028738E" w:rsidRDefault="00AB13F3" w:rsidP="00C97FF2">
            <w:pPr>
              <w:pStyle w:val="ListParagraph"/>
              <w:ind w:left="0"/>
              <w:jc w:val="center"/>
              <w:rPr>
                <w:rFonts w:cs="Times New Roman"/>
                <w:bCs/>
                <w:sz w:val="20"/>
                <w:szCs w:val="20"/>
              </w:rPr>
            </w:pPr>
            <w:r w:rsidRPr="0028738E">
              <w:rPr>
                <w:color w:val="000000" w:themeColor="text1"/>
                <w:sz w:val="20"/>
                <w:szCs w:val="20"/>
              </w:rPr>
              <w:t xml:space="preserve">FKTK, VID, LB, IAUI, LZAP, LZNP, LZRA, </w:t>
            </w:r>
            <w:r w:rsidR="0090763B">
              <w:rPr>
                <w:color w:val="000000" w:themeColor="text1"/>
                <w:sz w:val="20"/>
                <w:szCs w:val="20"/>
              </w:rPr>
              <w:t>NKMP</w:t>
            </w:r>
            <w:r w:rsidRPr="0028738E">
              <w:rPr>
                <w:color w:val="000000" w:themeColor="text1"/>
                <w:sz w:val="20"/>
                <w:szCs w:val="20"/>
              </w:rPr>
              <w:t>, PTAC</w:t>
            </w:r>
          </w:p>
        </w:tc>
        <w:tc>
          <w:tcPr>
            <w:tcW w:w="1276" w:type="dxa"/>
            <w:shd w:val="clear" w:color="auto" w:fill="auto"/>
          </w:tcPr>
          <w:p w14:paraId="1DF8FFC9" w14:textId="77777777" w:rsidR="00AB13F3" w:rsidRPr="0028738E" w:rsidRDefault="00AB13F3" w:rsidP="0079021D">
            <w:pPr>
              <w:jc w:val="center"/>
              <w:rPr>
                <w:rFonts w:cs="Times New Roman"/>
                <w:b/>
                <w:bCs/>
                <w:sz w:val="20"/>
                <w:szCs w:val="20"/>
              </w:rPr>
            </w:pPr>
          </w:p>
        </w:tc>
        <w:tc>
          <w:tcPr>
            <w:tcW w:w="1417" w:type="dxa"/>
            <w:shd w:val="clear" w:color="auto" w:fill="auto"/>
          </w:tcPr>
          <w:p w14:paraId="74798321" w14:textId="77777777" w:rsidR="00AB13F3" w:rsidRPr="0028738E" w:rsidRDefault="00AB13F3" w:rsidP="00C97FF2">
            <w:pPr>
              <w:jc w:val="center"/>
              <w:rPr>
                <w:rFonts w:cs="Times New Roman"/>
                <w:bCs/>
                <w:sz w:val="20"/>
                <w:szCs w:val="20"/>
              </w:rPr>
            </w:pPr>
            <w:r w:rsidRPr="0028738E">
              <w:rPr>
                <w:sz w:val="20"/>
                <w:szCs w:val="20"/>
              </w:rPr>
              <w:t>2019.gada 1.aprīlis</w:t>
            </w:r>
          </w:p>
        </w:tc>
      </w:tr>
      <w:tr w:rsidR="000A5FBA" w:rsidRPr="0028738E" w14:paraId="1E09BD20" w14:textId="77777777" w:rsidTr="00FE237C">
        <w:trPr>
          <w:trHeight w:val="58"/>
        </w:trPr>
        <w:tc>
          <w:tcPr>
            <w:tcW w:w="709" w:type="dxa"/>
          </w:tcPr>
          <w:p w14:paraId="7FC0D8B0" w14:textId="77777777" w:rsidR="000A5FBA" w:rsidRPr="0028738E" w:rsidRDefault="00E14B35" w:rsidP="00914F28">
            <w:pPr>
              <w:jc w:val="center"/>
              <w:rPr>
                <w:sz w:val="20"/>
                <w:szCs w:val="20"/>
              </w:rPr>
            </w:pPr>
            <w:r w:rsidRPr="0028738E">
              <w:rPr>
                <w:sz w:val="20"/>
                <w:szCs w:val="20"/>
              </w:rPr>
              <w:t>4.</w:t>
            </w:r>
            <w:r w:rsidR="00914F28">
              <w:rPr>
                <w:sz w:val="20"/>
                <w:szCs w:val="20"/>
              </w:rPr>
              <w:t>3</w:t>
            </w:r>
            <w:r w:rsidRPr="0028738E">
              <w:rPr>
                <w:sz w:val="20"/>
                <w:szCs w:val="20"/>
              </w:rPr>
              <w:t>.</w:t>
            </w:r>
          </w:p>
        </w:tc>
        <w:tc>
          <w:tcPr>
            <w:tcW w:w="3544" w:type="dxa"/>
            <w:tcBorders>
              <w:top w:val="single" w:sz="4" w:space="0" w:color="auto"/>
            </w:tcBorders>
            <w:shd w:val="clear" w:color="auto" w:fill="auto"/>
          </w:tcPr>
          <w:p w14:paraId="2445C410" w14:textId="77777777" w:rsidR="000A5FBA" w:rsidRPr="0028738E" w:rsidRDefault="000A5FBA" w:rsidP="00F879B9">
            <w:pPr>
              <w:jc w:val="both"/>
              <w:rPr>
                <w:sz w:val="20"/>
                <w:szCs w:val="20"/>
              </w:rPr>
            </w:pPr>
            <w:r w:rsidRPr="0028738E">
              <w:rPr>
                <w:rFonts w:cs="Times New Roman"/>
                <w:sz w:val="20"/>
                <w:szCs w:val="20"/>
              </w:rPr>
              <w:t xml:space="preserve">Nodrošināt likuma subjektiem sistematizētu un specifisku komunikāciju attiecībā uz valstīm, kurām, balstoties uz FATF, jāpiemēro </w:t>
            </w:r>
            <w:r w:rsidR="009B280C">
              <w:rPr>
                <w:rFonts w:cs="Times New Roman"/>
                <w:sz w:val="20"/>
                <w:szCs w:val="20"/>
              </w:rPr>
              <w:t xml:space="preserve">klientu </w:t>
            </w:r>
            <w:r w:rsidRPr="0028738E">
              <w:rPr>
                <w:rFonts w:cs="Times New Roman"/>
                <w:sz w:val="20"/>
                <w:szCs w:val="20"/>
              </w:rPr>
              <w:t>padziļinātā izpēte</w:t>
            </w:r>
          </w:p>
        </w:tc>
        <w:tc>
          <w:tcPr>
            <w:tcW w:w="1701" w:type="dxa"/>
            <w:tcBorders>
              <w:top w:val="single" w:sz="4" w:space="0" w:color="auto"/>
            </w:tcBorders>
          </w:tcPr>
          <w:p w14:paraId="237F517C" w14:textId="77777777" w:rsidR="000A5FBA" w:rsidRPr="0028738E" w:rsidRDefault="000A5FBA" w:rsidP="006E6330">
            <w:pPr>
              <w:jc w:val="both"/>
              <w:rPr>
                <w:sz w:val="20"/>
                <w:szCs w:val="20"/>
              </w:rPr>
            </w:pPr>
            <w:r w:rsidRPr="0028738E">
              <w:rPr>
                <w:sz w:val="20"/>
                <w:szCs w:val="20"/>
              </w:rPr>
              <w:t>Moneyval rekomendācija 4</w:t>
            </w:r>
            <w:r w:rsidR="006E6330" w:rsidRPr="0028738E">
              <w:rPr>
                <w:sz w:val="20"/>
                <w:szCs w:val="20"/>
              </w:rPr>
              <w:t>.9.</w:t>
            </w:r>
          </w:p>
        </w:tc>
        <w:tc>
          <w:tcPr>
            <w:tcW w:w="2410" w:type="dxa"/>
            <w:shd w:val="clear" w:color="auto" w:fill="auto"/>
          </w:tcPr>
          <w:p w14:paraId="6665DA4F" w14:textId="77777777" w:rsidR="000A5FBA" w:rsidRPr="0028738E" w:rsidRDefault="000A5FBA" w:rsidP="009B280C">
            <w:pPr>
              <w:jc w:val="both"/>
              <w:rPr>
                <w:sz w:val="20"/>
                <w:szCs w:val="20"/>
              </w:rPr>
            </w:pPr>
            <w:r w:rsidRPr="0028738E">
              <w:rPr>
                <w:sz w:val="20"/>
                <w:szCs w:val="20"/>
              </w:rPr>
              <w:t>Saraksta aktualizēšana un subjektu informēšana par veiktajām izmaiņām</w:t>
            </w:r>
          </w:p>
        </w:tc>
        <w:tc>
          <w:tcPr>
            <w:tcW w:w="2693" w:type="dxa"/>
          </w:tcPr>
          <w:p w14:paraId="6C7507DA" w14:textId="77777777" w:rsidR="000A5FBA" w:rsidRPr="0028738E" w:rsidRDefault="000A5FBA" w:rsidP="00FC417E">
            <w:pPr>
              <w:jc w:val="both"/>
              <w:rPr>
                <w:sz w:val="20"/>
                <w:szCs w:val="20"/>
              </w:rPr>
            </w:pPr>
            <w:r w:rsidRPr="0028738E">
              <w:rPr>
                <w:sz w:val="20"/>
                <w:szCs w:val="20"/>
              </w:rPr>
              <w:t>Augsta riska valstu saraksts tiek</w:t>
            </w:r>
            <w:r w:rsidR="006E6330" w:rsidRPr="0028738E">
              <w:rPr>
                <w:sz w:val="20"/>
                <w:szCs w:val="20"/>
              </w:rPr>
              <w:t xml:space="preserve"> </w:t>
            </w:r>
            <w:r w:rsidR="009B280C">
              <w:rPr>
                <w:sz w:val="20"/>
                <w:szCs w:val="20"/>
              </w:rPr>
              <w:t xml:space="preserve">regulāri aktualizēts un </w:t>
            </w:r>
            <w:r w:rsidR="006E6330" w:rsidRPr="0028738E">
              <w:rPr>
                <w:sz w:val="20"/>
                <w:szCs w:val="20"/>
              </w:rPr>
              <w:t xml:space="preserve">publicēts KD un uzraudzības un kontroles institūciju mājas lapā </w:t>
            </w:r>
          </w:p>
        </w:tc>
        <w:tc>
          <w:tcPr>
            <w:tcW w:w="1134" w:type="dxa"/>
            <w:shd w:val="clear" w:color="auto" w:fill="auto"/>
          </w:tcPr>
          <w:p w14:paraId="60BB1966" w14:textId="77777777" w:rsidR="000A5FBA" w:rsidRPr="0028738E" w:rsidRDefault="0097619B" w:rsidP="00C97FF2">
            <w:pPr>
              <w:jc w:val="center"/>
              <w:rPr>
                <w:color w:val="000000" w:themeColor="text1"/>
                <w:sz w:val="20"/>
                <w:szCs w:val="20"/>
              </w:rPr>
            </w:pPr>
            <w:r>
              <w:rPr>
                <w:color w:val="000000" w:themeColor="text1"/>
                <w:sz w:val="20"/>
                <w:szCs w:val="20"/>
              </w:rPr>
              <w:t>KD</w:t>
            </w:r>
          </w:p>
        </w:tc>
        <w:tc>
          <w:tcPr>
            <w:tcW w:w="1276" w:type="dxa"/>
            <w:shd w:val="clear" w:color="auto" w:fill="auto"/>
          </w:tcPr>
          <w:p w14:paraId="04CA4AC8" w14:textId="77777777" w:rsidR="000A5FBA" w:rsidRPr="0028738E" w:rsidRDefault="0097619B" w:rsidP="00C97FF2">
            <w:pPr>
              <w:jc w:val="center"/>
              <w:rPr>
                <w:sz w:val="20"/>
                <w:szCs w:val="20"/>
              </w:rPr>
            </w:pPr>
            <w:r w:rsidRPr="0028738E">
              <w:rPr>
                <w:color w:val="000000" w:themeColor="text1"/>
                <w:sz w:val="20"/>
                <w:szCs w:val="20"/>
              </w:rPr>
              <w:t xml:space="preserve">FKTK, VID, LB, IAUI, LZAP, LZNP, LZRA, </w:t>
            </w:r>
            <w:r w:rsidR="0090763B">
              <w:rPr>
                <w:color w:val="000000" w:themeColor="text1"/>
                <w:sz w:val="20"/>
                <w:szCs w:val="20"/>
              </w:rPr>
              <w:t>NKMP</w:t>
            </w:r>
            <w:r w:rsidRPr="0028738E">
              <w:rPr>
                <w:color w:val="000000" w:themeColor="text1"/>
                <w:sz w:val="20"/>
                <w:szCs w:val="20"/>
              </w:rPr>
              <w:t>, PTAC</w:t>
            </w:r>
          </w:p>
        </w:tc>
        <w:tc>
          <w:tcPr>
            <w:tcW w:w="1417" w:type="dxa"/>
            <w:shd w:val="clear" w:color="auto" w:fill="auto"/>
          </w:tcPr>
          <w:p w14:paraId="5FA37D46" w14:textId="77777777" w:rsidR="000A5FBA" w:rsidRPr="0028738E" w:rsidRDefault="006C08DD" w:rsidP="00C97FF2">
            <w:pPr>
              <w:jc w:val="center"/>
              <w:rPr>
                <w:sz w:val="20"/>
                <w:szCs w:val="20"/>
              </w:rPr>
            </w:pPr>
            <w:r w:rsidRPr="0028738E">
              <w:rPr>
                <w:sz w:val="20"/>
                <w:szCs w:val="20"/>
              </w:rPr>
              <w:t>2018.gada 31.decembris</w:t>
            </w:r>
          </w:p>
        </w:tc>
      </w:tr>
      <w:tr w:rsidR="0074652C" w:rsidRPr="0028738E" w14:paraId="2FC115C9" w14:textId="77777777" w:rsidTr="00FE237C">
        <w:tc>
          <w:tcPr>
            <w:tcW w:w="709" w:type="dxa"/>
            <w:vMerge w:val="restart"/>
          </w:tcPr>
          <w:p w14:paraId="76A92E2B" w14:textId="77777777" w:rsidR="0074652C" w:rsidRPr="0028738E" w:rsidRDefault="0074652C" w:rsidP="00914F28">
            <w:pPr>
              <w:jc w:val="center"/>
              <w:rPr>
                <w:rFonts w:cs="Times New Roman"/>
                <w:bCs/>
                <w:sz w:val="20"/>
                <w:szCs w:val="20"/>
              </w:rPr>
            </w:pPr>
            <w:r w:rsidRPr="0028738E">
              <w:rPr>
                <w:rFonts w:cs="Times New Roman"/>
                <w:bCs/>
                <w:sz w:val="20"/>
                <w:szCs w:val="20"/>
              </w:rPr>
              <w:t>4.</w:t>
            </w:r>
            <w:r w:rsidR="00914F28">
              <w:rPr>
                <w:rFonts w:cs="Times New Roman"/>
                <w:bCs/>
                <w:sz w:val="20"/>
                <w:szCs w:val="20"/>
              </w:rPr>
              <w:t>4.</w:t>
            </w:r>
          </w:p>
        </w:tc>
        <w:tc>
          <w:tcPr>
            <w:tcW w:w="3544" w:type="dxa"/>
            <w:vMerge w:val="restart"/>
            <w:shd w:val="clear" w:color="auto" w:fill="auto"/>
          </w:tcPr>
          <w:p w14:paraId="535D14A4" w14:textId="77777777" w:rsidR="0074652C" w:rsidRPr="0028738E" w:rsidRDefault="0074652C" w:rsidP="0063076B">
            <w:pPr>
              <w:jc w:val="both"/>
              <w:rPr>
                <w:rFonts w:cs="Times New Roman"/>
                <w:bCs/>
                <w:sz w:val="20"/>
                <w:szCs w:val="20"/>
              </w:rPr>
            </w:pPr>
            <w:r w:rsidRPr="0028738E">
              <w:rPr>
                <w:rFonts w:cs="Times New Roman"/>
                <w:bCs/>
                <w:sz w:val="20"/>
                <w:szCs w:val="20"/>
              </w:rPr>
              <w:t>Izvērtēt iespējas izveidot centrālu reģistru vai avotu, kuru var izmantot pārbaudot Latvijas rezidentu politiski nozīmīgas personas statusu</w:t>
            </w:r>
          </w:p>
        </w:tc>
        <w:tc>
          <w:tcPr>
            <w:tcW w:w="1701" w:type="dxa"/>
            <w:vMerge w:val="restart"/>
          </w:tcPr>
          <w:p w14:paraId="34EDBC82" w14:textId="77777777" w:rsidR="0074652C" w:rsidRPr="0028738E" w:rsidRDefault="0074652C" w:rsidP="0074652C">
            <w:pPr>
              <w:jc w:val="both"/>
              <w:rPr>
                <w:sz w:val="20"/>
                <w:szCs w:val="20"/>
              </w:rPr>
            </w:pPr>
            <w:r w:rsidRPr="0028738E">
              <w:rPr>
                <w:sz w:val="20"/>
                <w:szCs w:val="20"/>
              </w:rPr>
              <w:t>Pasākumu plāns 2017.-2019.g. 5.2.pasākums</w:t>
            </w:r>
          </w:p>
          <w:p w14:paraId="1F659468" w14:textId="77777777" w:rsidR="0074652C" w:rsidRPr="0028738E" w:rsidRDefault="0074652C" w:rsidP="0079021D">
            <w:pPr>
              <w:rPr>
                <w:rFonts w:cs="Times New Roman"/>
                <w:sz w:val="20"/>
                <w:szCs w:val="20"/>
              </w:rPr>
            </w:pPr>
          </w:p>
          <w:p w14:paraId="16FB10B5" w14:textId="77777777" w:rsidR="0074652C" w:rsidRPr="0028738E" w:rsidRDefault="0074652C" w:rsidP="0079021D">
            <w:pPr>
              <w:rPr>
                <w:rFonts w:cs="Times New Roman"/>
                <w:sz w:val="20"/>
                <w:szCs w:val="20"/>
              </w:rPr>
            </w:pPr>
            <w:r w:rsidRPr="0028738E">
              <w:rPr>
                <w:rFonts w:cs="Times New Roman"/>
                <w:sz w:val="20"/>
                <w:szCs w:val="20"/>
              </w:rPr>
              <w:t>Moneyval rekomendācija 4.9., 4.10.</w:t>
            </w:r>
          </w:p>
        </w:tc>
        <w:tc>
          <w:tcPr>
            <w:tcW w:w="2410" w:type="dxa"/>
            <w:vMerge w:val="restart"/>
            <w:shd w:val="clear" w:color="auto" w:fill="auto"/>
          </w:tcPr>
          <w:p w14:paraId="38BCA8B3" w14:textId="77777777" w:rsidR="0074652C" w:rsidRPr="0028738E" w:rsidRDefault="0074652C" w:rsidP="00FC417E">
            <w:pPr>
              <w:jc w:val="both"/>
              <w:rPr>
                <w:rFonts w:cs="Times New Roman"/>
                <w:b/>
                <w:sz w:val="20"/>
                <w:szCs w:val="20"/>
              </w:rPr>
            </w:pPr>
            <w:r w:rsidRPr="0028738E">
              <w:rPr>
                <w:sz w:val="20"/>
                <w:szCs w:val="20"/>
              </w:rPr>
              <w:t>Sagatavots novērtējums par iespēju nodrošināt pieeju informācijai par politiski nozīmīgu personu un valsts amatpersonu ģimenes locekļiem, izmantojot esošās datu bāzes</w:t>
            </w:r>
          </w:p>
        </w:tc>
        <w:tc>
          <w:tcPr>
            <w:tcW w:w="2693" w:type="dxa"/>
          </w:tcPr>
          <w:p w14:paraId="38A0B6AA" w14:textId="77777777" w:rsidR="0074652C" w:rsidRPr="0028738E" w:rsidRDefault="0074652C" w:rsidP="00FC417E">
            <w:pPr>
              <w:jc w:val="both"/>
              <w:rPr>
                <w:rFonts w:cs="Times New Roman"/>
                <w:b/>
                <w:sz w:val="20"/>
                <w:szCs w:val="20"/>
              </w:rPr>
            </w:pPr>
            <w:r w:rsidRPr="0028738E">
              <w:rPr>
                <w:sz w:val="20"/>
                <w:szCs w:val="20"/>
              </w:rPr>
              <w:t>1. VID izvērtēs iespēju sniegt informāciju par PNP un/vai uzturēt PNP reģistru.</w:t>
            </w:r>
          </w:p>
        </w:tc>
        <w:tc>
          <w:tcPr>
            <w:tcW w:w="1134" w:type="dxa"/>
            <w:shd w:val="clear" w:color="auto" w:fill="auto"/>
          </w:tcPr>
          <w:p w14:paraId="088C7738" w14:textId="77777777" w:rsidR="0074652C" w:rsidRPr="0028738E" w:rsidRDefault="00FE237C" w:rsidP="00FE237C">
            <w:pPr>
              <w:jc w:val="center"/>
              <w:rPr>
                <w:rFonts w:cs="Times New Roman"/>
                <w:bCs/>
                <w:sz w:val="20"/>
                <w:szCs w:val="20"/>
              </w:rPr>
            </w:pPr>
            <w:r>
              <w:rPr>
                <w:rFonts w:cs="Times New Roman"/>
                <w:bCs/>
                <w:sz w:val="20"/>
                <w:szCs w:val="20"/>
              </w:rPr>
              <w:t>VID</w:t>
            </w:r>
          </w:p>
          <w:p w14:paraId="0FC6628F" w14:textId="77777777" w:rsidR="0074652C" w:rsidRPr="0028738E" w:rsidRDefault="0074652C" w:rsidP="00FE237C">
            <w:pPr>
              <w:jc w:val="center"/>
              <w:rPr>
                <w:rFonts w:cs="Times New Roman"/>
                <w:bCs/>
                <w:sz w:val="20"/>
                <w:szCs w:val="20"/>
              </w:rPr>
            </w:pPr>
          </w:p>
          <w:p w14:paraId="48BFB8CD" w14:textId="77777777" w:rsidR="0074652C" w:rsidRPr="0028738E" w:rsidRDefault="0074652C" w:rsidP="00FE237C">
            <w:pPr>
              <w:jc w:val="center"/>
              <w:rPr>
                <w:rFonts w:cs="Times New Roman"/>
                <w:bCs/>
                <w:sz w:val="20"/>
                <w:szCs w:val="20"/>
              </w:rPr>
            </w:pPr>
          </w:p>
        </w:tc>
        <w:tc>
          <w:tcPr>
            <w:tcW w:w="1276" w:type="dxa"/>
            <w:shd w:val="clear" w:color="auto" w:fill="auto"/>
          </w:tcPr>
          <w:p w14:paraId="7E217ACB" w14:textId="77777777" w:rsidR="0074652C" w:rsidRPr="0028738E" w:rsidRDefault="0074652C" w:rsidP="0079021D">
            <w:pPr>
              <w:jc w:val="center"/>
              <w:rPr>
                <w:rFonts w:cs="Times New Roman"/>
                <w:b/>
                <w:bCs/>
                <w:sz w:val="20"/>
                <w:szCs w:val="20"/>
              </w:rPr>
            </w:pPr>
          </w:p>
        </w:tc>
        <w:tc>
          <w:tcPr>
            <w:tcW w:w="1417" w:type="dxa"/>
            <w:shd w:val="clear" w:color="auto" w:fill="auto"/>
          </w:tcPr>
          <w:p w14:paraId="6570B448" w14:textId="77777777" w:rsidR="0074652C" w:rsidRPr="0028738E" w:rsidRDefault="0074652C" w:rsidP="0066578E">
            <w:pPr>
              <w:jc w:val="center"/>
              <w:rPr>
                <w:rFonts w:cs="Times New Roman"/>
                <w:bCs/>
                <w:sz w:val="20"/>
                <w:szCs w:val="20"/>
              </w:rPr>
            </w:pPr>
            <w:r w:rsidRPr="0028738E">
              <w:rPr>
                <w:sz w:val="20"/>
                <w:szCs w:val="20"/>
              </w:rPr>
              <w:t>2018.gada 30.novembris</w:t>
            </w:r>
          </w:p>
        </w:tc>
      </w:tr>
      <w:tr w:rsidR="0074652C" w:rsidRPr="0028738E" w14:paraId="0A4182FB" w14:textId="77777777" w:rsidTr="00FE237C">
        <w:tc>
          <w:tcPr>
            <w:tcW w:w="709" w:type="dxa"/>
            <w:vMerge/>
          </w:tcPr>
          <w:p w14:paraId="1D6D7B84" w14:textId="77777777" w:rsidR="0074652C" w:rsidRPr="0028738E" w:rsidRDefault="0074652C" w:rsidP="0066578E">
            <w:pPr>
              <w:jc w:val="center"/>
              <w:rPr>
                <w:rFonts w:cs="Times New Roman"/>
                <w:bCs/>
                <w:sz w:val="20"/>
                <w:szCs w:val="20"/>
              </w:rPr>
            </w:pPr>
          </w:p>
        </w:tc>
        <w:tc>
          <w:tcPr>
            <w:tcW w:w="3544" w:type="dxa"/>
            <w:vMerge/>
            <w:shd w:val="clear" w:color="auto" w:fill="auto"/>
          </w:tcPr>
          <w:p w14:paraId="0C2832F9" w14:textId="77777777" w:rsidR="0074652C" w:rsidRPr="0028738E" w:rsidRDefault="0074652C" w:rsidP="0066578E">
            <w:pPr>
              <w:jc w:val="center"/>
              <w:rPr>
                <w:rFonts w:cs="Times New Roman"/>
                <w:bCs/>
                <w:sz w:val="20"/>
                <w:szCs w:val="20"/>
              </w:rPr>
            </w:pPr>
          </w:p>
        </w:tc>
        <w:tc>
          <w:tcPr>
            <w:tcW w:w="1701" w:type="dxa"/>
            <w:vMerge/>
          </w:tcPr>
          <w:p w14:paraId="7D3840E3" w14:textId="77777777" w:rsidR="0074652C" w:rsidRPr="0028738E" w:rsidRDefault="0074652C" w:rsidP="0066578E">
            <w:pPr>
              <w:rPr>
                <w:rFonts w:cs="Times New Roman"/>
                <w:sz w:val="20"/>
                <w:szCs w:val="20"/>
              </w:rPr>
            </w:pPr>
          </w:p>
        </w:tc>
        <w:tc>
          <w:tcPr>
            <w:tcW w:w="2410" w:type="dxa"/>
            <w:vMerge/>
            <w:shd w:val="clear" w:color="auto" w:fill="auto"/>
          </w:tcPr>
          <w:p w14:paraId="721E3AC6" w14:textId="77777777" w:rsidR="0074652C" w:rsidRPr="0028738E" w:rsidRDefault="0074652C" w:rsidP="00FC417E">
            <w:pPr>
              <w:jc w:val="both"/>
              <w:rPr>
                <w:rFonts w:cs="Times New Roman"/>
                <w:sz w:val="20"/>
                <w:szCs w:val="20"/>
              </w:rPr>
            </w:pPr>
          </w:p>
        </w:tc>
        <w:tc>
          <w:tcPr>
            <w:tcW w:w="2693" w:type="dxa"/>
          </w:tcPr>
          <w:p w14:paraId="0CC1B6F1" w14:textId="77777777" w:rsidR="0074652C" w:rsidRPr="0028738E" w:rsidRDefault="0074652C" w:rsidP="00FC417E">
            <w:pPr>
              <w:jc w:val="both"/>
              <w:rPr>
                <w:sz w:val="20"/>
                <w:szCs w:val="20"/>
              </w:rPr>
            </w:pPr>
            <w:r w:rsidRPr="0028738E">
              <w:rPr>
                <w:sz w:val="20"/>
                <w:szCs w:val="20"/>
              </w:rPr>
              <w:t xml:space="preserve">2. </w:t>
            </w:r>
            <w:r w:rsidR="009B280C">
              <w:rPr>
                <w:sz w:val="20"/>
                <w:szCs w:val="20"/>
              </w:rPr>
              <w:t>Balstoties uz izvērtējuma rezultātiem i</w:t>
            </w:r>
            <w:r w:rsidRPr="0028738E">
              <w:rPr>
                <w:sz w:val="20"/>
                <w:szCs w:val="20"/>
              </w:rPr>
              <w:t>zstrādāti priekšlikumi grozījumiem normatīvajos aktos</w:t>
            </w:r>
          </w:p>
        </w:tc>
        <w:tc>
          <w:tcPr>
            <w:tcW w:w="1134" w:type="dxa"/>
            <w:shd w:val="clear" w:color="auto" w:fill="auto"/>
          </w:tcPr>
          <w:p w14:paraId="7E93FC83" w14:textId="77777777" w:rsidR="0074652C" w:rsidRPr="0028738E" w:rsidRDefault="0074652C" w:rsidP="0066578E">
            <w:pPr>
              <w:jc w:val="center"/>
              <w:rPr>
                <w:rFonts w:cs="Times New Roman"/>
                <w:bCs/>
                <w:sz w:val="20"/>
                <w:szCs w:val="20"/>
              </w:rPr>
            </w:pPr>
            <w:r w:rsidRPr="0028738E">
              <w:rPr>
                <w:rFonts w:cs="Times New Roman"/>
                <w:bCs/>
                <w:sz w:val="20"/>
                <w:szCs w:val="20"/>
              </w:rPr>
              <w:t>FM</w:t>
            </w:r>
          </w:p>
        </w:tc>
        <w:tc>
          <w:tcPr>
            <w:tcW w:w="1276" w:type="dxa"/>
            <w:shd w:val="clear" w:color="auto" w:fill="auto"/>
          </w:tcPr>
          <w:p w14:paraId="0E4B19F1" w14:textId="77777777" w:rsidR="0074652C" w:rsidRPr="0028738E" w:rsidRDefault="0074652C" w:rsidP="0066578E">
            <w:pPr>
              <w:jc w:val="center"/>
              <w:rPr>
                <w:rFonts w:cs="Times New Roman"/>
                <w:b/>
                <w:bCs/>
                <w:sz w:val="20"/>
                <w:szCs w:val="20"/>
              </w:rPr>
            </w:pPr>
          </w:p>
        </w:tc>
        <w:tc>
          <w:tcPr>
            <w:tcW w:w="1417" w:type="dxa"/>
            <w:shd w:val="clear" w:color="auto" w:fill="auto"/>
          </w:tcPr>
          <w:p w14:paraId="722ED8D6" w14:textId="77777777" w:rsidR="0074652C" w:rsidRPr="0028738E" w:rsidRDefault="0074652C" w:rsidP="0066578E">
            <w:pPr>
              <w:jc w:val="center"/>
              <w:rPr>
                <w:rFonts w:cs="Times New Roman"/>
                <w:bCs/>
                <w:sz w:val="20"/>
                <w:szCs w:val="20"/>
              </w:rPr>
            </w:pPr>
            <w:r w:rsidRPr="0028738E">
              <w:rPr>
                <w:sz w:val="20"/>
                <w:szCs w:val="20"/>
              </w:rPr>
              <w:t>2019.gada 31.janvāris</w:t>
            </w:r>
          </w:p>
        </w:tc>
      </w:tr>
      <w:tr w:rsidR="006D009B" w:rsidRPr="0028738E" w14:paraId="632DDA17" w14:textId="77777777" w:rsidTr="00FE237C">
        <w:tc>
          <w:tcPr>
            <w:tcW w:w="709" w:type="dxa"/>
            <w:vMerge w:val="restart"/>
          </w:tcPr>
          <w:p w14:paraId="0E4A86C4" w14:textId="77777777" w:rsidR="006D009B" w:rsidRPr="0028738E" w:rsidRDefault="006D009B" w:rsidP="00914F28">
            <w:pPr>
              <w:jc w:val="center"/>
              <w:rPr>
                <w:rFonts w:cs="Times New Roman"/>
                <w:bCs/>
                <w:sz w:val="20"/>
                <w:szCs w:val="20"/>
              </w:rPr>
            </w:pPr>
            <w:r w:rsidRPr="0028738E">
              <w:rPr>
                <w:rFonts w:cs="Times New Roman"/>
                <w:bCs/>
                <w:sz w:val="20"/>
                <w:szCs w:val="20"/>
              </w:rPr>
              <w:t>4.</w:t>
            </w:r>
            <w:r w:rsidR="00914F28">
              <w:rPr>
                <w:rFonts w:cs="Times New Roman"/>
                <w:bCs/>
                <w:sz w:val="20"/>
                <w:szCs w:val="20"/>
              </w:rPr>
              <w:t>5</w:t>
            </w:r>
            <w:r w:rsidRPr="0028738E">
              <w:rPr>
                <w:rFonts w:cs="Times New Roman"/>
                <w:bCs/>
                <w:sz w:val="20"/>
                <w:szCs w:val="20"/>
              </w:rPr>
              <w:t>.</w:t>
            </w:r>
          </w:p>
        </w:tc>
        <w:tc>
          <w:tcPr>
            <w:tcW w:w="3544" w:type="dxa"/>
            <w:vMerge w:val="restart"/>
            <w:shd w:val="clear" w:color="auto" w:fill="auto"/>
          </w:tcPr>
          <w:p w14:paraId="5C20CDCA" w14:textId="77777777" w:rsidR="006D009B" w:rsidRPr="0028738E" w:rsidRDefault="006D009B" w:rsidP="00FC417E">
            <w:pPr>
              <w:jc w:val="both"/>
              <w:rPr>
                <w:rFonts w:cs="Times New Roman"/>
                <w:bCs/>
                <w:sz w:val="20"/>
                <w:szCs w:val="20"/>
              </w:rPr>
            </w:pPr>
            <w:r w:rsidRPr="0028738E">
              <w:rPr>
                <w:rFonts w:cs="Times New Roman"/>
                <w:bCs/>
                <w:sz w:val="20"/>
                <w:szCs w:val="20"/>
              </w:rPr>
              <w:t>Pārskatīt aizdomīgu un neparastu darījumu ziņošanas sistēmu:</w:t>
            </w:r>
          </w:p>
          <w:p w14:paraId="7183AE40" w14:textId="77777777" w:rsidR="006D009B" w:rsidRPr="0028738E" w:rsidRDefault="006D009B" w:rsidP="00FC417E">
            <w:pPr>
              <w:jc w:val="both"/>
              <w:rPr>
                <w:rFonts w:cs="Times New Roman"/>
                <w:bCs/>
                <w:sz w:val="20"/>
                <w:szCs w:val="20"/>
              </w:rPr>
            </w:pPr>
            <w:r w:rsidRPr="0028738E">
              <w:rPr>
                <w:rFonts w:cs="Times New Roman"/>
                <w:bCs/>
                <w:sz w:val="20"/>
                <w:szCs w:val="20"/>
              </w:rPr>
              <w:t xml:space="preserve">- </w:t>
            </w:r>
            <w:r w:rsidR="008E5489">
              <w:rPr>
                <w:rFonts w:cs="Times New Roman"/>
                <w:bCs/>
                <w:sz w:val="20"/>
                <w:szCs w:val="20"/>
              </w:rPr>
              <w:t>n</w:t>
            </w:r>
            <w:r w:rsidRPr="0028738E">
              <w:rPr>
                <w:rFonts w:cs="Times New Roman"/>
                <w:bCs/>
                <w:sz w:val="20"/>
                <w:szCs w:val="20"/>
              </w:rPr>
              <w:t>odrošināt, ka neparastu un aizdomīgu darījumu koncepti nepārklājas;</w:t>
            </w:r>
          </w:p>
          <w:p w14:paraId="63C0AE5B" w14:textId="77777777" w:rsidR="006D009B" w:rsidRPr="0028738E" w:rsidRDefault="006D009B" w:rsidP="00FC417E">
            <w:pPr>
              <w:jc w:val="both"/>
              <w:rPr>
                <w:rFonts w:cs="Times New Roman"/>
                <w:bCs/>
                <w:sz w:val="20"/>
                <w:szCs w:val="20"/>
              </w:rPr>
            </w:pPr>
            <w:r w:rsidRPr="0028738E">
              <w:rPr>
                <w:rFonts w:cs="Times New Roman"/>
                <w:bCs/>
                <w:sz w:val="20"/>
                <w:szCs w:val="20"/>
              </w:rPr>
              <w:t>- izveidot sistēmu, kas skaidri nodala aizdomīgu darījumu ziņojumus, ja likuma subjektam ir aizdomas, no ziņojumiem par darījumiem, kas atbilst noteiktiem kritērijiem;</w:t>
            </w:r>
          </w:p>
          <w:p w14:paraId="71EDC27B" w14:textId="77777777" w:rsidR="006D009B" w:rsidRPr="0028738E" w:rsidRDefault="006D009B" w:rsidP="00FC417E">
            <w:pPr>
              <w:jc w:val="both"/>
              <w:rPr>
                <w:rFonts w:cs="Times New Roman"/>
                <w:bCs/>
                <w:sz w:val="20"/>
                <w:szCs w:val="20"/>
              </w:rPr>
            </w:pPr>
            <w:r w:rsidRPr="0028738E">
              <w:rPr>
                <w:rFonts w:cs="Times New Roman"/>
                <w:bCs/>
                <w:sz w:val="20"/>
                <w:szCs w:val="20"/>
              </w:rPr>
              <w:t>- apsvērt iespējas pārskatīt paralēlās aizdomīgu darījumu ziņošanas VID sistēmu (aizdomīgu un neparastu darījumu sistēmas pārskatīšanas ietvaros)</w:t>
            </w:r>
          </w:p>
        </w:tc>
        <w:tc>
          <w:tcPr>
            <w:tcW w:w="1701" w:type="dxa"/>
            <w:vMerge w:val="restart"/>
          </w:tcPr>
          <w:p w14:paraId="494AD854" w14:textId="77777777" w:rsidR="006D009B" w:rsidRPr="0028738E" w:rsidRDefault="006D009B" w:rsidP="0066578E">
            <w:pPr>
              <w:rPr>
                <w:rFonts w:cs="Times New Roman"/>
                <w:sz w:val="20"/>
                <w:szCs w:val="20"/>
              </w:rPr>
            </w:pPr>
            <w:r w:rsidRPr="0028738E">
              <w:rPr>
                <w:rFonts w:cs="Times New Roman"/>
                <w:sz w:val="20"/>
                <w:szCs w:val="20"/>
              </w:rPr>
              <w:t>Moneyval rekomendācija 4.11., 4.12., 4.14., 6.1.</w:t>
            </w:r>
          </w:p>
        </w:tc>
        <w:tc>
          <w:tcPr>
            <w:tcW w:w="2410" w:type="dxa"/>
            <w:shd w:val="clear" w:color="auto" w:fill="auto"/>
          </w:tcPr>
          <w:p w14:paraId="5759DADE" w14:textId="77777777" w:rsidR="006D009B" w:rsidRPr="0028738E" w:rsidRDefault="00C22658" w:rsidP="00FC417E">
            <w:pPr>
              <w:jc w:val="both"/>
              <w:rPr>
                <w:rFonts w:cs="Times New Roman"/>
                <w:b/>
                <w:sz w:val="20"/>
                <w:szCs w:val="20"/>
              </w:rPr>
            </w:pPr>
            <w:r>
              <w:rPr>
                <w:rFonts w:cs="Times New Roman"/>
                <w:sz w:val="20"/>
                <w:szCs w:val="20"/>
              </w:rPr>
              <w:t>1.</w:t>
            </w:r>
            <w:r w:rsidR="006D009B" w:rsidRPr="0028738E">
              <w:rPr>
                <w:rFonts w:cs="Times New Roman"/>
                <w:sz w:val="20"/>
                <w:szCs w:val="20"/>
              </w:rPr>
              <w:t>Sagatavot novērtējumu par VID paralēlās ziņošanas sistēmas efektivitāti un lietderību</w:t>
            </w:r>
          </w:p>
        </w:tc>
        <w:tc>
          <w:tcPr>
            <w:tcW w:w="2693" w:type="dxa"/>
          </w:tcPr>
          <w:p w14:paraId="2D2E5403" w14:textId="77777777" w:rsidR="006D009B" w:rsidRPr="0028738E" w:rsidRDefault="00C22658" w:rsidP="00FC417E">
            <w:pPr>
              <w:jc w:val="both"/>
              <w:rPr>
                <w:rFonts w:cs="Times New Roman"/>
                <w:sz w:val="20"/>
                <w:szCs w:val="20"/>
              </w:rPr>
            </w:pPr>
            <w:r>
              <w:rPr>
                <w:rFonts w:cs="Times New Roman"/>
                <w:sz w:val="20"/>
                <w:szCs w:val="20"/>
              </w:rPr>
              <w:t>1.</w:t>
            </w:r>
            <w:r w:rsidR="006D009B" w:rsidRPr="0028738E">
              <w:rPr>
                <w:rFonts w:cs="Times New Roman"/>
                <w:sz w:val="20"/>
                <w:szCs w:val="20"/>
              </w:rPr>
              <w:t>Novērtējums iesniegts FM</w:t>
            </w:r>
          </w:p>
        </w:tc>
        <w:tc>
          <w:tcPr>
            <w:tcW w:w="1134" w:type="dxa"/>
            <w:shd w:val="clear" w:color="auto" w:fill="auto"/>
          </w:tcPr>
          <w:p w14:paraId="6559B700" w14:textId="77777777" w:rsidR="006D009B" w:rsidRPr="0028738E" w:rsidRDefault="006D009B" w:rsidP="0066578E">
            <w:pPr>
              <w:jc w:val="center"/>
              <w:rPr>
                <w:rFonts w:cs="Times New Roman"/>
                <w:bCs/>
                <w:sz w:val="20"/>
                <w:szCs w:val="20"/>
              </w:rPr>
            </w:pPr>
            <w:r w:rsidRPr="0028738E">
              <w:rPr>
                <w:rFonts w:cs="Times New Roman"/>
                <w:bCs/>
                <w:sz w:val="20"/>
                <w:szCs w:val="20"/>
              </w:rPr>
              <w:t xml:space="preserve">VID </w:t>
            </w:r>
          </w:p>
        </w:tc>
        <w:tc>
          <w:tcPr>
            <w:tcW w:w="1276" w:type="dxa"/>
            <w:shd w:val="clear" w:color="auto" w:fill="auto"/>
          </w:tcPr>
          <w:p w14:paraId="3DCE78E1" w14:textId="77777777" w:rsidR="006D009B" w:rsidRPr="0028738E" w:rsidRDefault="006D009B" w:rsidP="0066578E">
            <w:pPr>
              <w:jc w:val="center"/>
              <w:rPr>
                <w:rFonts w:cs="Times New Roman"/>
                <w:b/>
                <w:bCs/>
                <w:sz w:val="20"/>
                <w:szCs w:val="20"/>
              </w:rPr>
            </w:pPr>
          </w:p>
        </w:tc>
        <w:tc>
          <w:tcPr>
            <w:tcW w:w="1417" w:type="dxa"/>
            <w:shd w:val="clear" w:color="auto" w:fill="auto"/>
          </w:tcPr>
          <w:p w14:paraId="35002F93" w14:textId="77777777" w:rsidR="006D009B" w:rsidRPr="0028738E" w:rsidRDefault="006D009B" w:rsidP="0066578E">
            <w:pPr>
              <w:jc w:val="center"/>
              <w:rPr>
                <w:rFonts w:cs="Times New Roman"/>
                <w:bCs/>
                <w:sz w:val="20"/>
                <w:szCs w:val="20"/>
              </w:rPr>
            </w:pPr>
            <w:r w:rsidRPr="0028738E">
              <w:rPr>
                <w:rFonts w:cs="Times New Roman"/>
                <w:bCs/>
                <w:sz w:val="20"/>
                <w:szCs w:val="20"/>
              </w:rPr>
              <w:t>2019.gada 31.janvāris</w:t>
            </w:r>
          </w:p>
        </w:tc>
      </w:tr>
      <w:tr w:rsidR="006D009B" w:rsidRPr="0028738E" w14:paraId="1D17713C" w14:textId="77777777" w:rsidTr="00FE237C">
        <w:tc>
          <w:tcPr>
            <w:tcW w:w="709" w:type="dxa"/>
            <w:vMerge/>
            <w:tcBorders>
              <w:bottom w:val="single" w:sz="4" w:space="0" w:color="auto"/>
            </w:tcBorders>
          </w:tcPr>
          <w:p w14:paraId="71148D54" w14:textId="77777777" w:rsidR="006D009B" w:rsidRPr="0028738E" w:rsidRDefault="006D009B" w:rsidP="0066578E">
            <w:pPr>
              <w:jc w:val="center"/>
              <w:rPr>
                <w:rFonts w:cs="Times New Roman"/>
                <w:bCs/>
                <w:sz w:val="20"/>
                <w:szCs w:val="20"/>
              </w:rPr>
            </w:pPr>
          </w:p>
        </w:tc>
        <w:tc>
          <w:tcPr>
            <w:tcW w:w="3544" w:type="dxa"/>
            <w:vMerge/>
            <w:tcBorders>
              <w:bottom w:val="single" w:sz="4" w:space="0" w:color="auto"/>
            </w:tcBorders>
            <w:shd w:val="clear" w:color="auto" w:fill="auto"/>
          </w:tcPr>
          <w:p w14:paraId="3C7EBBB6" w14:textId="77777777" w:rsidR="006D009B" w:rsidRPr="0028738E" w:rsidRDefault="006D009B" w:rsidP="0066578E">
            <w:pPr>
              <w:jc w:val="center"/>
              <w:rPr>
                <w:rFonts w:cs="Times New Roman"/>
                <w:bCs/>
                <w:sz w:val="20"/>
                <w:szCs w:val="20"/>
              </w:rPr>
            </w:pPr>
          </w:p>
        </w:tc>
        <w:tc>
          <w:tcPr>
            <w:tcW w:w="1701" w:type="dxa"/>
            <w:vMerge/>
            <w:tcBorders>
              <w:bottom w:val="single" w:sz="4" w:space="0" w:color="auto"/>
            </w:tcBorders>
          </w:tcPr>
          <w:p w14:paraId="64F41A0B" w14:textId="77777777" w:rsidR="006D009B" w:rsidRPr="0028738E" w:rsidRDefault="006D009B" w:rsidP="0066578E">
            <w:pPr>
              <w:rPr>
                <w:rFonts w:cs="Times New Roman"/>
                <w:sz w:val="20"/>
                <w:szCs w:val="20"/>
              </w:rPr>
            </w:pPr>
          </w:p>
        </w:tc>
        <w:tc>
          <w:tcPr>
            <w:tcW w:w="2410" w:type="dxa"/>
            <w:tcBorders>
              <w:bottom w:val="single" w:sz="4" w:space="0" w:color="auto"/>
            </w:tcBorders>
            <w:shd w:val="clear" w:color="auto" w:fill="auto"/>
          </w:tcPr>
          <w:p w14:paraId="03980B8A" w14:textId="77777777" w:rsidR="006D009B" w:rsidRPr="0028738E" w:rsidRDefault="008E5489" w:rsidP="00FC417E">
            <w:pPr>
              <w:jc w:val="both"/>
              <w:rPr>
                <w:rFonts w:cs="Times New Roman"/>
                <w:sz w:val="20"/>
                <w:szCs w:val="20"/>
              </w:rPr>
            </w:pPr>
            <w:r>
              <w:rPr>
                <w:rFonts w:cs="Times New Roman"/>
                <w:sz w:val="20"/>
                <w:szCs w:val="20"/>
              </w:rPr>
              <w:t>2.</w:t>
            </w:r>
            <w:r w:rsidR="006D009B" w:rsidRPr="0028738E">
              <w:rPr>
                <w:rFonts w:cs="Times New Roman"/>
                <w:sz w:val="20"/>
                <w:szCs w:val="20"/>
              </w:rPr>
              <w:t>Izvērtēt (un nepieciešamības gadījumā) izmainīta aizdomīgu un neparastu darījumu ziņošanas kārtība, paredzot:</w:t>
            </w:r>
          </w:p>
          <w:p w14:paraId="7AFF640D" w14:textId="77777777" w:rsidR="006D009B" w:rsidRPr="0028738E" w:rsidRDefault="006D009B" w:rsidP="00FC417E">
            <w:pPr>
              <w:jc w:val="both"/>
              <w:rPr>
                <w:rFonts w:cs="Times New Roman"/>
                <w:sz w:val="20"/>
                <w:szCs w:val="20"/>
              </w:rPr>
            </w:pPr>
            <w:r w:rsidRPr="0028738E">
              <w:rPr>
                <w:rFonts w:cs="Times New Roman"/>
                <w:sz w:val="20"/>
                <w:szCs w:val="20"/>
              </w:rPr>
              <w:t>a) pāreju uz ierobežotu ziņošanu par neparastiem darījumiem.</w:t>
            </w:r>
          </w:p>
          <w:p w14:paraId="32AE4C65" w14:textId="77777777" w:rsidR="006D009B" w:rsidRPr="0028738E" w:rsidRDefault="006D009B" w:rsidP="00FC417E">
            <w:pPr>
              <w:jc w:val="both"/>
              <w:rPr>
                <w:rFonts w:cs="Times New Roman"/>
                <w:sz w:val="20"/>
                <w:szCs w:val="20"/>
              </w:rPr>
            </w:pPr>
            <w:r w:rsidRPr="0028738E">
              <w:rPr>
                <w:rFonts w:cs="Times New Roman"/>
                <w:sz w:val="20"/>
                <w:szCs w:val="20"/>
              </w:rPr>
              <w:t xml:space="preserve">b) iestrādāt papildus ziņojumu automatizētus </w:t>
            </w:r>
            <w:r w:rsidRPr="0028738E">
              <w:rPr>
                <w:rFonts w:cs="Times New Roman"/>
                <w:sz w:val="20"/>
                <w:szCs w:val="20"/>
              </w:rPr>
              <w:lastRenderedPageBreak/>
              <w:t>kvalitātes kontroles elementus e-ziņošanas sistēmā (piem., loģiskās kontroles)</w:t>
            </w:r>
          </w:p>
        </w:tc>
        <w:tc>
          <w:tcPr>
            <w:tcW w:w="2693" w:type="dxa"/>
          </w:tcPr>
          <w:p w14:paraId="63B59A54" w14:textId="77777777" w:rsidR="006D009B" w:rsidRPr="0028738E" w:rsidRDefault="00C22658" w:rsidP="00FC417E">
            <w:pPr>
              <w:jc w:val="both"/>
              <w:rPr>
                <w:rFonts w:cs="Times New Roman"/>
                <w:sz w:val="20"/>
                <w:szCs w:val="20"/>
              </w:rPr>
            </w:pPr>
            <w:r>
              <w:rPr>
                <w:rFonts w:cs="Times New Roman"/>
                <w:sz w:val="20"/>
                <w:szCs w:val="20"/>
              </w:rPr>
              <w:lastRenderedPageBreak/>
              <w:t>2.</w:t>
            </w:r>
            <w:r w:rsidR="006D009B" w:rsidRPr="0028738E">
              <w:rPr>
                <w:rFonts w:cs="Times New Roman"/>
                <w:sz w:val="20"/>
                <w:szCs w:val="20"/>
              </w:rPr>
              <w:t>Novērtēt, vai jaunā (kopš 2018.gada 1.maija) ziņošanas sistēma strādā/ir lietderīga operacionālās un stratēģiskās analīzes mērķiem.</w:t>
            </w:r>
          </w:p>
          <w:p w14:paraId="48EE67F9" w14:textId="77777777" w:rsidR="006D009B" w:rsidRPr="0028738E" w:rsidRDefault="006D009B" w:rsidP="00FC417E">
            <w:pPr>
              <w:jc w:val="both"/>
              <w:rPr>
                <w:rFonts w:cs="Times New Roman"/>
                <w:sz w:val="20"/>
                <w:szCs w:val="20"/>
              </w:rPr>
            </w:pPr>
            <w:r w:rsidRPr="0028738E">
              <w:rPr>
                <w:rFonts w:cs="Times New Roman"/>
                <w:sz w:val="20"/>
                <w:szCs w:val="20"/>
              </w:rPr>
              <w:t xml:space="preserve">Izmaiņu rezultātā vismaz par 20% samazinājies nekvalitatīvo/neizmantojamo ziņojumu skaits. </w:t>
            </w:r>
          </w:p>
          <w:p w14:paraId="7D17A507" w14:textId="77777777" w:rsidR="006D009B" w:rsidRPr="0028738E" w:rsidRDefault="006D009B" w:rsidP="00FC417E">
            <w:pPr>
              <w:jc w:val="both"/>
              <w:rPr>
                <w:rFonts w:cs="Times New Roman"/>
                <w:sz w:val="20"/>
                <w:szCs w:val="20"/>
              </w:rPr>
            </w:pPr>
            <w:r w:rsidRPr="0028738E">
              <w:rPr>
                <w:rFonts w:cs="Times New Roman"/>
                <w:sz w:val="20"/>
                <w:szCs w:val="20"/>
              </w:rPr>
              <w:t>Palielināts ziņojumu apstrādes ātrums</w:t>
            </w:r>
          </w:p>
        </w:tc>
        <w:tc>
          <w:tcPr>
            <w:tcW w:w="1134" w:type="dxa"/>
            <w:shd w:val="clear" w:color="auto" w:fill="auto"/>
          </w:tcPr>
          <w:p w14:paraId="0F22FB20" w14:textId="77777777" w:rsidR="006D009B" w:rsidRPr="0028738E" w:rsidRDefault="006D009B" w:rsidP="0066578E">
            <w:pPr>
              <w:jc w:val="center"/>
              <w:rPr>
                <w:rFonts w:cs="Times New Roman"/>
                <w:bCs/>
                <w:sz w:val="20"/>
                <w:szCs w:val="20"/>
              </w:rPr>
            </w:pPr>
            <w:r w:rsidRPr="0028738E">
              <w:rPr>
                <w:rFonts w:cs="Times New Roman"/>
                <w:bCs/>
                <w:sz w:val="20"/>
                <w:szCs w:val="20"/>
              </w:rPr>
              <w:t>KD</w:t>
            </w:r>
          </w:p>
        </w:tc>
        <w:tc>
          <w:tcPr>
            <w:tcW w:w="1276" w:type="dxa"/>
            <w:shd w:val="clear" w:color="auto" w:fill="auto"/>
          </w:tcPr>
          <w:p w14:paraId="4C08BE96" w14:textId="77777777" w:rsidR="006D009B" w:rsidRPr="0028738E" w:rsidRDefault="006D009B" w:rsidP="0066578E">
            <w:pPr>
              <w:jc w:val="center"/>
              <w:rPr>
                <w:rFonts w:cs="Times New Roman"/>
                <w:b/>
                <w:bCs/>
                <w:sz w:val="20"/>
                <w:szCs w:val="20"/>
              </w:rPr>
            </w:pPr>
          </w:p>
        </w:tc>
        <w:tc>
          <w:tcPr>
            <w:tcW w:w="1417" w:type="dxa"/>
            <w:shd w:val="clear" w:color="auto" w:fill="auto"/>
          </w:tcPr>
          <w:p w14:paraId="068450AB" w14:textId="77777777" w:rsidR="006D009B" w:rsidRPr="0028738E" w:rsidRDefault="006D009B" w:rsidP="00FC417E">
            <w:pPr>
              <w:jc w:val="center"/>
              <w:rPr>
                <w:rFonts w:cs="Times New Roman"/>
                <w:bCs/>
                <w:sz w:val="20"/>
                <w:szCs w:val="20"/>
              </w:rPr>
            </w:pPr>
            <w:r w:rsidRPr="0028738E">
              <w:rPr>
                <w:rFonts w:cs="Times New Roman"/>
                <w:bCs/>
                <w:sz w:val="20"/>
                <w:szCs w:val="20"/>
              </w:rPr>
              <w:t xml:space="preserve">2019.gada </w:t>
            </w:r>
            <w:r w:rsidR="00FC417E">
              <w:rPr>
                <w:rFonts w:cs="Times New Roman"/>
                <w:bCs/>
                <w:sz w:val="20"/>
                <w:szCs w:val="20"/>
              </w:rPr>
              <w:t>1.marts</w:t>
            </w:r>
          </w:p>
        </w:tc>
      </w:tr>
      <w:tr w:rsidR="0066578E" w:rsidRPr="0028738E" w14:paraId="49A79CA4" w14:textId="77777777" w:rsidTr="00FE237C">
        <w:tc>
          <w:tcPr>
            <w:tcW w:w="709" w:type="dxa"/>
            <w:vMerge w:val="restart"/>
            <w:tcBorders>
              <w:top w:val="single" w:sz="4" w:space="0" w:color="auto"/>
              <w:left w:val="single" w:sz="4" w:space="0" w:color="auto"/>
              <w:bottom w:val="single" w:sz="4" w:space="0" w:color="auto"/>
              <w:right w:val="single" w:sz="4" w:space="0" w:color="auto"/>
            </w:tcBorders>
          </w:tcPr>
          <w:p w14:paraId="275FDEB8" w14:textId="77777777" w:rsidR="0066578E" w:rsidRPr="0028738E" w:rsidRDefault="0066578E" w:rsidP="00914F28">
            <w:pPr>
              <w:jc w:val="center"/>
              <w:rPr>
                <w:sz w:val="20"/>
                <w:szCs w:val="20"/>
              </w:rPr>
            </w:pPr>
            <w:r w:rsidRPr="0028738E">
              <w:rPr>
                <w:sz w:val="20"/>
                <w:szCs w:val="20"/>
              </w:rPr>
              <w:t>4.</w:t>
            </w:r>
            <w:r w:rsidR="00914F28">
              <w:rPr>
                <w:sz w:val="20"/>
                <w:szCs w:val="20"/>
              </w:rPr>
              <w:t>6</w:t>
            </w:r>
            <w:r w:rsidRPr="0028738E">
              <w:rPr>
                <w:sz w:val="20"/>
                <w:szCs w:val="20"/>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14:paraId="23EFFD1B" w14:textId="77777777" w:rsidR="0066578E" w:rsidRPr="0028738E" w:rsidRDefault="0066578E" w:rsidP="0066578E">
            <w:pPr>
              <w:jc w:val="both"/>
              <w:rPr>
                <w:sz w:val="20"/>
                <w:szCs w:val="20"/>
              </w:rPr>
            </w:pPr>
            <w:r w:rsidRPr="0028738E">
              <w:rPr>
                <w:sz w:val="20"/>
                <w:szCs w:val="20"/>
              </w:rPr>
              <w:t>Definēt indikatorus un “sarkanos karogus” aizdomīgiem darījumiem, gan vispārīgus, kas piemērojami visiem subjektiem, gan nozarēm specifiskus</w:t>
            </w:r>
          </w:p>
        </w:tc>
        <w:tc>
          <w:tcPr>
            <w:tcW w:w="1701" w:type="dxa"/>
            <w:vMerge w:val="restart"/>
            <w:tcBorders>
              <w:top w:val="single" w:sz="4" w:space="0" w:color="auto"/>
              <w:left w:val="single" w:sz="4" w:space="0" w:color="auto"/>
              <w:bottom w:val="single" w:sz="4" w:space="0" w:color="auto"/>
              <w:right w:val="single" w:sz="4" w:space="0" w:color="auto"/>
            </w:tcBorders>
          </w:tcPr>
          <w:p w14:paraId="48CDBA7E" w14:textId="77777777" w:rsidR="0066578E" w:rsidRPr="0028738E" w:rsidRDefault="0066578E" w:rsidP="0066578E">
            <w:pPr>
              <w:jc w:val="both"/>
              <w:rPr>
                <w:sz w:val="20"/>
                <w:szCs w:val="20"/>
              </w:rPr>
            </w:pPr>
            <w:r w:rsidRPr="0028738E">
              <w:rPr>
                <w:sz w:val="20"/>
                <w:szCs w:val="20"/>
              </w:rPr>
              <w:t>Moneyval rekomendācija 4.13.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17784AC5" w14:textId="77777777" w:rsidR="0066578E" w:rsidRPr="0028738E" w:rsidRDefault="0066578E" w:rsidP="0066578E">
            <w:pPr>
              <w:jc w:val="both"/>
              <w:rPr>
                <w:sz w:val="20"/>
                <w:szCs w:val="20"/>
              </w:rPr>
            </w:pPr>
            <w:r w:rsidRPr="0028738E">
              <w:rPr>
                <w:sz w:val="20"/>
                <w:szCs w:val="20"/>
              </w:rPr>
              <w:t>Balstoties uz KD sniegto informāciju par tipoloģijām, gan ņemot vērā nozares specifiskos riskus, uzraudzības un kontroles institūcijas definē indikatorus un “sarkanos karogus” aizdomīgiem darījumiem</w:t>
            </w:r>
            <w:r w:rsidR="00EC3765" w:rsidRPr="0028738E">
              <w:rPr>
                <w:sz w:val="20"/>
                <w:szCs w:val="20"/>
              </w:rPr>
              <w:t>.</w:t>
            </w:r>
          </w:p>
          <w:p w14:paraId="7CD9169E" w14:textId="77777777" w:rsidR="00EC3765" w:rsidRPr="0028738E" w:rsidRDefault="00EC3765" w:rsidP="0066578E">
            <w:pPr>
              <w:jc w:val="both"/>
              <w:rPr>
                <w:sz w:val="20"/>
                <w:szCs w:val="20"/>
              </w:rPr>
            </w:pPr>
            <w:r w:rsidRPr="0028738E">
              <w:rPr>
                <w:rFonts w:cs="Times New Roman"/>
                <w:sz w:val="20"/>
                <w:szCs w:val="20"/>
              </w:rPr>
              <w:t>KD apkopojis stratēģiskās analīzes rezultātus, t.sk. no AB</w:t>
            </w:r>
            <w:r w:rsidR="00FE237C">
              <w:rPr>
                <w:rFonts w:cs="Times New Roman"/>
                <w:sz w:val="20"/>
                <w:szCs w:val="20"/>
              </w:rPr>
              <w:t>.</w:t>
            </w:r>
            <w:r w:rsidRPr="0028738E">
              <w:rPr>
                <w:rFonts w:cs="Times New Roman"/>
                <w:sz w:val="20"/>
                <w:szCs w:val="20"/>
              </w:rPr>
              <w:t>LV procesa, un informējis likuma subjektus un UKI, palielinot to informētību.</w:t>
            </w:r>
          </w:p>
        </w:tc>
        <w:tc>
          <w:tcPr>
            <w:tcW w:w="2693" w:type="dxa"/>
            <w:tcBorders>
              <w:left w:val="single" w:sz="4" w:space="0" w:color="auto"/>
            </w:tcBorders>
          </w:tcPr>
          <w:p w14:paraId="2F45AE4D" w14:textId="77777777" w:rsidR="00EC3765" w:rsidRPr="0028738E" w:rsidRDefault="00C97FF2" w:rsidP="00FC417E">
            <w:pPr>
              <w:jc w:val="both"/>
              <w:rPr>
                <w:color w:val="000000" w:themeColor="text1"/>
                <w:sz w:val="20"/>
                <w:szCs w:val="20"/>
              </w:rPr>
            </w:pPr>
            <w:r>
              <w:rPr>
                <w:color w:val="000000" w:themeColor="text1"/>
                <w:sz w:val="20"/>
                <w:szCs w:val="20"/>
              </w:rPr>
              <w:t xml:space="preserve">1. Aktualizētas tipoloģijas. </w:t>
            </w:r>
            <w:r w:rsidR="00EC3765" w:rsidRPr="0028738E">
              <w:rPr>
                <w:rFonts w:cs="Times New Roman"/>
                <w:sz w:val="20"/>
                <w:szCs w:val="20"/>
              </w:rPr>
              <w:t>Papildināta un regulāri aktualizēta KD mājas lap</w:t>
            </w:r>
            <w:r w:rsidR="008E5489">
              <w:rPr>
                <w:rFonts w:cs="Times New Roman"/>
                <w:sz w:val="20"/>
                <w:szCs w:val="20"/>
              </w:rPr>
              <w:t>a</w:t>
            </w:r>
            <w:r w:rsidR="00EC3765" w:rsidRPr="0028738E">
              <w:rPr>
                <w:rFonts w:cs="Times New Roman"/>
                <w:sz w:val="20"/>
                <w:szCs w:val="20"/>
              </w:rPr>
              <w:t xml:space="preserve"> ar informāciju par aizdomīgiem un neparastiem darījumiem, ievērojot katra sektora specifiku</w:t>
            </w:r>
          </w:p>
        </w:tc>
        <w:tc>
          <w:tcPr>
            <w:tcW w:w="1134" w:type="dxa"/>
            <w:shd w:val="clear" w:color="auto" w:fill="auto"/>
          </w:tcPr>
          <w:p w14:paraId="1F3C800A" w14:textId="77777777" w:rsidR="0066578E" w:rsidRPr="0028738E" w:rsidRDefault="0066578E" w:rsidP="0066578E">
            <w:pPr>
              <w:jc w:val="center"/>
              <w:rPr>
                <w:color w:val="000000" w:themeColor="text1"/>
                <w:sz w:val="20"/>
                <w:szCs w:val="20"/>
              </w:rPr>
            </w:pPr>
            <w:r w:rsidRPr="0028738E">
              <w:rPr>
                <w:color w:val="000000" w:themeColor="text1"/>
                <w:sz w:val="20"/>
                <w:szCs w:val="20"/>
              </w:rPr>
              <w:t>KD</w:t>
            </w:r>
          </w:p>
        </w:tc>
        <w:tc>
          <w:tcPr>
            <w:tcW w:w="1276" w:type="dxa"/>
            <w:shd w:val="clear" w:color="auto" w:fill="auto"/>
          </w:tcPr>
          <w:p w14:paraId="6F08BEB8" w14:textId="77777777" w:rsidR="0066578E" w:rsidRPr="0028738E" w:rsidRDefault="0066578E" w:rsidP="0066578E">
            <w:pPr>
              <w:rPr>
                <w:sz w:val="20"/>
                <w:szCs w:val="20"/>
              </w:rPr>
            </w:pPr>
          </w:p>
        </w:tc>
        <w:tc>
          <w:tcPr>
            <w:tcW w:w="1417" w:type="dxa"/>
            <w:shd w:val="clear" w:color="auto" w:fill="auto"/>
          </w:tcPr>
          <w:p w14:paraId="3D8996CC" w14:textId="77777777" w:rsidR="0066578E" w:rsidRPr="0028738E" w:rsidRDefault="0066578E" w:rsidP="00C97FF2">
            <w:pPr>
              <w:jc w:val="center"/>
              <w:rPr>
                <w:sz w:val="20"/>
                <w:szCs w:val="20"/>
              </w:rPr>
            </w:pPr>
            <w:r w:rsidRPr="0028738E">
              <w:rPr>
                <w:sz w:val="20"/>
                <w:szCs w:val="20"/>
              </w:rPr>
              <w:t>2018.gada 31.oktobris</w:t>
            </w:r>
            <w:r w:rsidR="00EC3765" w:rsidRPr="0028738E">
              <w:rPr>
                <w:sz w:val="20"/>
                <w:szCs w:val="20"/>
              </w:rPr>
              <w:t>,</w:t>
            </w:r>
          </w:p>
          <w:p w14:paraId="626AF6FC" w14:textId="77777777" w:rsidR="00EC3765" w:rsidRPr="0028738E" w:rsidRDefault="00EC3765" w:rsidP="00C97FF2">
            <w:pPr>
              <w:jc w:val="center"/>
              <w:rPr>
                <w:rFonts w:cs="Times New Roman"/>
                <w:sz w:val="20"/>
                <w:szCs w:val="20"/>
              </w:rPr>
            </w:pPr>
            <w:r w:rsidRPr="0028738E">
              <w:rPr>
                <w:rFonts w:cs="Times New Roman"/>
                <w:sz w:val="20"/>
                <w:szCs w:val="20"/>
              </w:rPr>
              <w:t>(Atkārtoti - 2019.gada 30.jūnijs)</w:t>
            </w:r>
          </w:p>
          <w:p w14:paraId="3C920A72" w14:textId="77777777" w:rsidR="00EC3765" w:rsidRPr="0028738E" w:rsidRDefault="00EC3765" w:rsidP="0066578E">
            <w:pPr>
              <w:jc w:val="both"/>
              <w:rPr>
                <w:sz w:val="20"/>
                <w:szCs w:val="20"/>
              </w:rPr>
            </w:pPr>
          </w:p>
        </w:tc>
      </w:tr>
      <w:tr w:rsidR="0066578E" w:rsidRPr="0028738E" w14:paraId="2A95192B" w14:textId="77777777" w:rsidTr="00FE237C">
        <w:trPr>
          <w:trHeight w:val="1872"/>
        </w:trPr>
        <w:tc>
          <w:tcPr>
            <w:tcW w:w="709" w:type="dxa"/>
            <w:vMerge/>
            <w:tcBorders>
              <w:top w:val="single" w:sz="4" w:space="0" w:color="auto"/>
              <w:left w:val="single" w:sz="4" w:space="0" w:color="auto"/>
              <w:bottom w:val="single" w:sz="4" w:space="0" w:color="auto"/>
              <w:right w:val="single" w:sz="4" w:space="0" w:color="auto"/>
            </w:tcBorders>
          </w:tcPr>
          <w:p w14:paraId="3E3128A1" w14:textId="77777777" w:rsidR="0066578E" w:rsidRPr="0028738E" w:rsidRDefault="0066578E" w:rsidP="0066578E">
            <w:pPr>
              <w:jc w:val="center"/>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14:paraId="7EF07549" w14:textId="77777777" w:rsidR="0066578E" w:rsidRPr="0028738E" w:rsidRDefault="0066578E" w:rsidP="0066578E">
            <w:pPr>
              <w:jc w:val="both"/>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9D078B0" w14:textId="77777777" w:rsidR="0066578E" w:rsidRPr="0028738E" w:rsidRDefault="0066578E" w:rsidP="0066578E">
            <w:pPr>
              <w:jc w:val="both"/>
              <w:rPr>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DB2EBD9" w14:textId="77777777" w:rsidR="0066578E" w:rsidRPr="0028738E" w:rsidRDefault="0066578E" w:rsidP="0066578E">
            <w:pPr>
              <w:jc w:val="both"/>
              <w:rPr>
                <w:sz w:val="20"/>
                <w:szCs w:val="20"/>
              </w:rPr>
            </w:pPr>
          </w:p>
        </w:tc>
        <w:tc>
          <w:tcPr>
            <w:tcW w:w="2693" w:type="dxa"/>
            <w:tcBorders>
              <w:left w:val="single" w:sz="4" w:space="0" w:color="auto"/>
            </w:tcBorders>
          </w:tcPr>
          <w:p w14:paraId="540EE3F5" w14:textId="77777777" w:rsidR="0066578E" w:rsidRPr="0028738E" w:rsidRDefault="0066578E" w:rsidP="00FC417E">
            <w:pPr>
              <w:jc w:val="both"/>
              <w:rPr>
                <w:color w:val="000000" w:themeColor="text1"/>
                <w:sz w:val="20"/>
                <w:szCs w:val="20"/>
              </w:rPr>
            </w:pPr>
            <w:r w:rsidRPr="0028738E">
              <w:rPr>
                <w:color w:val="000000" w:themeColor="text1"/>
                <w:sz w:val="20"/>
                <w:szCs w:val="20"/>
              </w:rPr>
              <w:t>2. Pilnveidotas vadlīnijas ar definētiem indikatoriem un “sarkaniem karogiem”</w:t>
            </w:r>
          </w:p>
        </w:tc>
        <w:tc>
          <w:tcPr>
            <w:tcW w:w="1134" w:type="dxa"/>
            <w:shd w:val="clear" w:color="auto" w:fill="auto"/>
          </w:tcPr>
          <w:p w14:paraId="5A4C1F38" w14:textId="77777777" w:rsidR="0066578E" w:rsidRPr="0028738E" w:rsidRDefault="0066578E" w:rsidP="0066578E">
            <w:pPr>
              <w:jc w:val="center"/>
              <w:rPr>
                <w:color w:val="000000" w:themeColor="text1"/>
                <w:sz w:val="20"/>
                <w:szCs w:val="20"/>
              </w:rPr>
            </w:pPr>
            <w:r w:rsidRPr="0028738E">
              <w:rPr>
                <w:color w:val="000000" w:themeColor="text1"/>
                <w:sz w:val="20"/>
                <w:szCs w:val="20"/>
              </w:rPr>
              <w:t xml:space="preserve"> FKTK, VID, LB, IAUI, LZAP, LZNP, LZRA, </w:t>
            </w:r>
            <w:r w:rsidR="0090763B">
              <w:rPr>
                <w:color w:val="000000" w:themeColor="text1"/>
                <w:sz w:val="20"/>
                <w:szCs w:val="20"/>
              </w:rPr>
              <w:t>NKMP</w:t>
            </w:r>
            <w:r w:rsidRPr="0028738E">
              <w:rPr>
                <w:color w:val="000000" w:themeColor="text1"/>
                <w:sz w:val="20"/>
                <w:szCs w:val="20"/>
              </w:rPr>
              <w:t>, PTAC</w:t>
            </w:r>
          </w:p>
          <w:p w14:paraId="355692CB" w14:textId="77777777" w:rsidR="0066578E" w:rsidRPr="0028738E" w:rsidRDefault="0066578E" w:rsidP="0066578E">
            <w:pPr>
              <w:jc w:val="center"/>
              <w:rPr>
                <w:color w:val="000000" w:themeColor="text1"/>
                <w:sz w:val="20"/>
                <w:szCs w:val="20"/>
              </w:rPr>
            </w:pPr>
          </w:p>
        </w:tc>
        <w:tc>
          <w:tcPr>
            <w:tcW w:w="1276" w:type="dxa"/>
            <w:shd w:val="clear" w:color="auto" w:fill="auto"/>
          </w:tcPr>
          <w:p w14:paraId="554A3B5A" w14:textId="77777777" w:rsidR="0066578E" w:rsidRPr="0028738E" w:rsidRDefault="0066578E" w:rsidP="0066578E">
            <w:pPr>
              <w:rPr>
                <w:sz w:val="20"/>
                <w:szCs w:val="20"/>
              </w:rPr>
            </w:pPr>
          </w:p>
        </w:tc>
        <w:tc>
          <w:tcPr>
            <w:tcW w:w="1417" w:type="dxa"/>
            <w:shd w:val="clear" w:color="auto" w:fill="auto"/>
          </w:tcPr>
          <w:p w14:paraId="1BD3E216" w14:textId="77777777" w:rsidR="0066578E" w:rsidRPr="0028738E" w:rsidRDefault="0066578E" w:rsidP="00C97FF2">
            <w:pPr>
              <w:jc w:val="center"/>
              <w:rPr>
                <w:sz w:val="20"/>
                <w:szCs w:val="20"/>
              </w:rPr>
            </w:pPr>
            <w:r w:rsidRPr="0028738E">
              <w:rPr>
                <w:sz w:val="20"/>
                <w:szCs w:val="20"/>
              </w:rPr>
              <w:t>2018.gada 31.decembris</w:t>
            </w:r>
          </w:p>
        </w:tc>
      </w:tr>
      <w:tr w:rsidR="0066578E" w:rsidRPr="0028738E" w14:paraId="4FA2DCAA" w14:textId="77777777" w:rsidTr="00FE237C">
        <w:tc>
          <w:tcPr>
            <w:tcW w:w="709" w:type="dxa"/>
            <w:tcBorders>
              <w:top w:val="single" w:sz="4" w:space="0" w:color="auto"/>
            </w:tcBorders>
          </w:tcPr>
          <w:p w14:paraId="34F362C9" w14:textId="77777777" w:rsidR="0066578E" w:rsidRPr="0028738E" w:rsidRDefault="0066578E" w:rsidP="00914F28">
            <w:pPr>
              <w:jc w:val="center"/>
              <w:rPr>
                <w:sz w:val="20"/>
                <w:szCs w:val="20"/>
              </w:rPr>
            </w:pPr>
            <w:r w:rsidRPr="0028738E">
              <w:rPr>
                <w:sz w:val="20"/>
                <w:szCs w:val="20"/>
              </w:rPr>
              <w:t>4.</w:t>
            </w:r>
            <w:r w:rsidR="00914F28">
              <w:rPr>
                <w:sz w:val="20"/>
                <w:szCs w:val="20"/>
              </w:rPr>
              <w:t>7</w:t>
            </w:r>
            <w:r w:rsidRPr="0028738E">
              <w:rPr>
                <w:sz w:val="20"/>
                <w:szCs w:val="20"/>
              </w:rPr>
              <w:t>.</w:t>
            </w:r>
          </w:p>
        </w:tc>
        <w:tc>
          <w:tcPr>
            <w:tcW w:w="3544" w:type="dxa"/>
            <w:tcBorders>
              <w:top w:val="single" w:sz="4" w:space="0" w:color="auto"/>
            </w:tcBorders>
            <w:shd w:val="clear" w:color="auto" w:fill="auto"/>
          </w:tcPr>
          <w:p w14:paraId="78217C87" w14:textId="77777777" w:rsidR="0066578E" w:rsidRPr="0028738E" w:rsidRDefault="0066578E" w:rsidP="0066578E">
            <w:pPr>
              <w:jc w:val="both"/>
              <w:rPr>
                <w:sz w:val="20"/>
                <w:szCs w:val="20"/>
              </w:rPr>
            </w:pPr>
            <w:r w:rsidRPr="0028738E">
              <w:rPr>
                <w:sz w:val="20"/>
                <w:szCs w:val="20"/>
              </w:rPr>
              <w:t>Pilnveidot regulējumu attiecībā par neatkarīgā audita veikšanu un tā veiktā pārbaužu tvērumu</w:t>
            </w:r>
          </w:p>
        </w:tc>
        <w:tc>
          <w:tcPr>
            <w:tcW w:w="1701" w:type="dxa"/>
            <w:tcBorders>
              <w:top w:val="single" w:sz="4" w:space="0" w:color="auto"/>
            </w:tcBorders>
          </w:tcPr>
          <w:p w14:paraId="37B33A22" w14:textId="77777777" w:rsidR="0066578E" w:rsidRPr="0028738E" w:rsidRDefault="0066578E" w:rsidP="0066578E">
            <w:pPr>
              <w:jc w:val="both"/>
              <w:rPr>
                <w:sz w:val="20"/>
                <w:szCs w:val="20"/>
              </w:rPr>
            </w:pPr>
            <w:r w:rsidRPr="0028738E">
              <w:rPr>
                <w:sz w:val="20"/>
                <w:szCs w:val="20"/>
              </w:rPr>
              <w:t>Moneyval rekomendācija 4.15.</w:t>
            </w:r>
          </w:p>
        </w:tc>
        <w:tc>
          <w:tcPr>
            <w:tcW w:w="2410" w:type="dxa"/>
            <w:tcBorders>
              <w:top w:val="single" w:sz="4" w:space="0" w:color="auto"/>
            </w:tcBorders>
            <w:shd w:val="clear" w:color="auto" w:fill="auto"/>
          </w:tcPr>
          <w:p w14:paraId="71CA0430" w14:textId="77777777" w:rsidR="0066578E" w:rsidRPr="0028738E" w:rsidRDefault="0066578E" w:rsidP="0066578E">
            <w:pPr>
              <w:jc w:val="both"/>
              <w:rPr>
                <w:sz w:val="20"/>
                <w:szCs w:val="20"/>
              </w:rPr>
            </w:pPr>
            <w:r w:rsidRPr="0028738E">
              <w:rPr>
                <w:sz w:val="20"/>
                <w:szCs w:val="20"/>
              </w:rPr>
              <w:t xml:space="preserve">Pilnveidots neatkarīgā audita veikšanas process </w:t>
            </w:r>
          </w:p>
        </w:tc>
        <w:tc>
          <w:tcPr>
            <w:tcW w:w="2693" w:type="dxa"/>
          </w:tcPr>
          <w:p w14:paraId="6E0F9D78" w14:textId="77777777" w:rsidR="0066578E" w:rsidRPr="0028738E" w:rsidRDefault="0066578E" w:rsidP="00505985">
            <w:pPr>
              <w:jc w:val="both"/>
              <w:rPr>
                <w:sz w:val="20"/>
                <w:szCs w:val="20"/>
              </w:rPr>
            </w:pPr>
            <w:r w:rsidRPr="0028738E">
              <w:rPr>
                <w:sz w:val="20"/>
                <w:szCs w:val="20"/>
              </w:rPr>
              <w:t>Izstrādāts regulējums par neatkarīgā audita veikšanas prasībām un pārbaužu tvērumu</w:t>
            </w:r>
          </w:p>
        </w:tc>
        <w:tc>
          <w:tcPr>
            <w:tcW w:w="1134" w:type="dxa"/>
            <w:shd w:val="clear" w:color="auto" w:fill="auto"/>
          </w:tcPr>
          <w:p w14:paraId="6819047F" w14:textId="77777777" w:rsidR="0066578E" w:rsidRPr="0028738E" w:rsidRDefault="0066578E" w:rsidP="0066578E">
            <w:pPr>
              <w:jc w:val="center"/>
              <w:rPr>
                <w:sz w:val="20"/>
                <w:szCs w:val="20"/>
              </w:rPr>
            </w:pPr>
            <w:r w:rsidRPr="0028738E">
              <w:rPr>
                <w:sz w:val="20"/>
                <w:szCs w:val="20"/>
              </w:rPr>
              <w:t>FKTK</w:t>
            </w:r>
          </w:p>
        </w:tc>
        <w:tc>
          <w:tcPr>
            <w:tcW w:w="1276" w:type="dxa"/>
            <w:shd w:val="clear" w:color="auto" w:fill="auto"/>
          </w:tcPr>
          <w:p w14:paraId="22CE5860" w14:textId="77777777" w:rsidR="0066578E" w:rsidRPr="0028738E" w:rsidRDefault="0066578E" w:rsidP="0066578E">
            <w:pPr>
              <w:jc w:val="both"/>
              <w:rPr>
                <w:sz w:val="20"/>
                <w:szCs w:val="20"/>
              </w:rPr>
            </w:pPr>
          </w:p>
        </w:tc>
        <w:tc>
          <w:tcPr>
            <w:tcW w:w="1417" w:type="dxa"/>
            <w:shd w:val="clear" w:color="auto" w:fill="auto"/>
          </w:tcPr>
          <w:p w14:paraId="6121255A" w14:textId="77777777" w:rsidR="0066578E" w:rsidRPr="0028738E" w:rsidRDefault="00092B1A" w:rsidP="00C97FF2">
            <w:pPr>
              <w:jc w:val="center"/>
              <w:rPr>
                <w:sz w:val="20"/>
                <w:szCs w:val="20"/>
              </w:rPr>
            </w:pPr>
            <w:r>
              <w:rPr>
                <w:sz w:val="20"/>
                <w:szCs w:val="20"/>
              </w:rPr>
              <w:t>2019.gada 31.janvāris</w:t>
            </w:r>
          </w:p>
        </w:tc>
      </w:tr>
      <w:tr w:rsidR="0066578E" w:rsidRPr="0028738E" w14:paraId="72476239" w14:textId="77777777" w:rsidTr="00FE237C">
        <w:trPr>
          <w:trHeight w:val="58"/>
        </w:trPr>
        <w:tc>
          <w:tcPr>
            <w:tcW w:w="709" w:type="dxa"/>
          </w:tcPr>
          <w:p w14:paraId="35F83FF9" w14:textId="77777777" w:rsidR="0066578E" w:rsidRPr="0028738E" w:rsidRDefault="0066578E" w:rsidP="00914F28">
            <w:pPr>
              <w:jc w:val="center"/>
              <w:rPr>
                <w:sz w:val="20"/>
                <w:szCs w:val="20"/>
              </w:rPr>
            </w:pPr>
            <w:r w:rsidRPr="0028738E">
              <w:rPr>
                <w:sz w:val="20"/>
                <w:szCs w:val="20"/>
              </w:rPr>
              <w:t>4.</w:t>
            </w:r>
            <w:r w:rsidR="00914F28">
              <w:rPr>
                <w:sz w:val="20"/>
                <w:szCs w:val="20"/>
              </w:rPr>
              <w:t>8</w:t>
            </w:r>
            <w:r w:rsidRPr="0028738E">
              <w:rPr>
                <w:sz w:val="20"/>
                <w:szCs w:val="20"/>
              </w:rPr>
              <w:t>.</w:t>
            </w:r>
          </w:p>
        </w:tc>
        <w:tc>
          <w:tcPr>
            <w:tcW w:w="3544" w:type="dxa"/>
            <w:shd w:val="clear" w:color="auto" w:fill="auto"/>
          </w:tcPr>
          <w:p w14:paraId="0FBB019C" w14:textId="77777777" w:rsidR="0066578E" w:rsidRPr="0028738E" w:rsidRDefault="0066578E" w:rsidP="00FC417E">
            <w:pPr>
              <w:jc w:val="both"/>
              <w:rPr>
                <w:rFonts w:cs="Times New Roman"/>
                <w:sz w:val="20"/>
                <w:szCs w:val="20"/>
              </w:rPr>
            </w:pPr>
            <w:r w:rsidRPr="0028738E">
              <w:rPr>
                <w:rFonts w:cs="Times New Roman"/>
                <w:sz w:val="20"/>
                <w:szCs w:val="20"/>
              </w:rPr>
              <w:t>Apsvērt iespējas ieviest</w:t>
            </w:r>
            <w:r w:rsidR="00FC417E">
              <w:rPr>
                <w:rFonts w:cs="Times New Roman"/>
                <w:sz w:val="20"/>
                <w:szCs w:val="20"/>
              </w:rPr>
              <w:t xml:space="preserve"> licencēšanas sistēmu</w:t>
            </w:r>
            <w:r w:rsidRPr="0028738E">
              <w:rPr>
                <w:rFonts w:cs="Times New Roman"/>
                <w:sz w:val="20"/>
                <w:szCs w:val="20"/>
              </w:rPr>
              <w:t xml:space="preserve"> tādās nozarēs, kā nekustamo īpašumu starpniecība; nodokļu konsultācijas, grāmatvedības un uzņēmumu veidošanas pakalpojumi</w:t>
            </w:r>
          </w:p>
        </w:tc>
        <w:tc>
          <w:tcPr>
            <w:tcW w:w="1701" w:type="dxa"/>
          </w:tcPr>
          <w:p w14:paraId="14398276" w14:textId="77777777" w:rsidR="0066578E" w:rsidRPr="0028738E" w:rsidRDefault="0066578E" w:rsidP="0066578E">
            <w:pPr>
              <w:jc w:val="both"/>
              <w:rPr>
                <w:sz w:val="20"/>
                <w:szCs w:val="20"/>
              </w:rPr>
            </w:pPr>
            <w:r w:rsidRPr="0028738E">
              <w:rPr>
                <w:sz w:val="20"/>
                <w:szCs w:val="20"/>
              </w:rPr>
              <w:t>Moneyval rekomendācija 4.17</w:t>
            </w:r>
            <w:r w:rsidR="0074652C" w:rsidRPr="0028738E">
              <w:rPr>
                <w:sz w:val="20"/>
                <w:szCs w:val="20"/>
              </w:rPr>
              <w:t>.</w:t>
            </w:r>
          </w:p>
          <w:p w14:paraId="7D4E9299" w14:textId="77777777" w:rsidR="0074652C" w:rsidRPr="0028738E" w:rsidRDefault="0074652C" w:rsidP="0074652C">
            <w:pPr>
              <w:jc w:val="both"/>
              <w:rPr>
                <w:sz w:val="20"/>
                <w:szCs w:val="20"/>
              </w:rPr>
            </w:pPr>
            <w:r w:rsidRPr="0028738E">
              <w:rPr>
                <w:sz w:val="20"/>
                <w:szCs w:val="20"/>
              </w:rPr>
              <w:t>Pasākumu plāns 2017.-2019.g. 5.4.pasākums</w:t>
            </w:r>
          </w:p>
          <w:p w14:paraId="4A5AFE74" w14:textId="77777777" w:rsidR="0074652C" w:rsidRPr="0028738E" w:rsidRDefault="0074652C" w:rsidP="0066578E">
            <w:pPr>
              <w:jc w:val="both"/>
              <w:rPr>
                <w:sz w:val="20"/>
                <w:szCs w:val="20"/>
              </w:rPr>
            </w:pPr>
          </w:p>
        </w:tc>
        <w:tc>
          <w:tcPr>
            <w:tcW w:w="2410" w:type="dxa"/>
            <w:shd w:val="clear" w:color="auto" w:fill="auto"/>
          </w:tcPr>
          <w:p w14:paraId="1FE0802F" w14:textId="77777777" w:rsidR="0066578E" w:rsidRPr="0028738E" w:rsidRDefault="0066578E" w:rsidP="0066578E">
            <w:pPr>
              <w:jc w:val="both"/>
              <w:rPr>
                <w:sz w:val="20"/>
                <w:szCs w:val="20"/>
              </w:rPr>
            </w:pPr>
            <w:r w:rsidRPr="0028738E">
              <w:rPr>
                <w:sz w:val="20"/>
                <w:szCs w:val="20"/>
              </w:rPr>
              <w:t>Sagatavot priekšlikumus, likumprojektus nekustamā īpašuma aģentu, nodokļu konsultantu un grāmatvežu licencēšanai. Izvērtēt uzņēmumu veidošanas pakalpojumu sniedzēju licencēšanas iespējamību</w:t>
            </w:r>
          </w:p>
          <w:p w14:paraId="02A24EF7" w14:textId="77777777" w:rsidR="0066578E" w:rsidRPr="0028738E" w:rsidRDefault="0066578E" w:rsidP="0066578E">
            <w:pPr>
              <w:jc w:val="both"/>
              <w:rPr>
                <w:sz w:val="20"/>
                <w:szCs w:val="20"/>
              </w:rPr>
            </w:pPr>
          </w:p>
        </w:tc>
        <w:tc>
          <w:tcPr>
            <w:tcW w:w="2693" w:type="dxa"/>
          </w:tcPr>
          <w:p w14:paraId="27BBFC93" w14:textId="77777777" w:rsidR="0066578E" w:rsidRPr="0028738E" w:rsidRDefault="0066578E" w:rsidP="00505985">
            <w:pPr>
              <w:jc w:val="both"/>
              <w:rPr>
                <w:sz w:val="20"/>
                <w:szCs w:val="20"/>
              </w:rPr>
            </w:pPr>
            <w:r w:rsidRPr="0028738E">
              <w:rPr>
                <w:sz w:val="20"/>
                <w:szCs w:val="20"/>
              </w:rPr>
              <w:t>Priekšlikumi, likumprojekti, ziņojumi iesniegti FM</w:t>
            </w:r>
          </w:p>
        </w:tc>
        <w:tc>
          <w:tcPr>
            <w:tcW w:w="1134" w:type="dxa"/>
            <w:shd w:val="clear" w:color="auto" w:fill="auto"/>
          </w:tcPr>
          <w:p w14:paraId="71D558A3" w14:textId="77777777" w:rsidR="0066578E" w:rsidRPr="0028738E" w:rsidRDefault="0066578E" w:rsidP="0066578E">
            <w:pPr>
              <w:jc w:val="center"/>
              <w:rPr>
                <w:sz w:val="20"/>
                <w:szCs w:val="20"/>
              </w:rPr>
            </w:pPr>
            <w:r w:rsidRPr="0028738E">
              <w:rPr>
                <w:sz w:val="20"/>
                <w:szCs w:val="20"/>
              </w:rPr>
              <w:t>VID</w:t>
            </w:r>
          </w:p>
        </w:tc>
        <w:tc>
          <w:tcPr>
            <w:tcW w:w="1276" w:type="dxa"/>
            <w:shd w:val="clear" w:color="auto" w:fill="auto"/>
          </w:tcPr>
          <w:p w14:paraId="20B64FC4" w14:textId="77777777" w:rsidR="0066578E" w:rsidRPr="0028738E" w:rsidRDefault="0066578E" w:rsidP="0066578E">
            <w:pPr>
              <w:rPr>
                <w:sz w:val="20"/>
                <w:szCs w:val="20"/>
              </w:rPr>
            </w:pPr>
          </w:p>
        </w:tc>
        <w:tc>
          <w:tcPr>
            <w:tcW w:w="1417" w:type="dxa"/>
            <w:shd w:val="clear" w:color="auto" w:fill="auto"/>
          </w:tcPr>
          <w:p w14:paraId="0D1ED112" w14:textId="77777777" w:rsidR="0066578E" w:rsidRPr="0028738E" w:rsidRDefault="0066578E" w:rsidP="00C97FF2">
            <w:pPr>
              <w:jc w:val="center"/>
              <w:rPr>
                <w:sz w:val="20"/>
                <w:szCs w:val="20"/>
              </w:rPr>
            </w:pPr>
            <w:r w:rsidRPr="0028738E">
              <w:rPr>
                <w:sz w:val="20"/>
                <w:szCs w:val="20"/>
              </w:rPr>
              <w:t>2018.gada 31.decembris</w:t>
            </w:r>
          </w:p>
        </w:tc>
      </w:tr>
      <w:tr w:rsidR="00350DB9" w:rsidRPr="00FC0326" w14:paraId="44259D86" w14:textId="77777777" w:rsidTr="00FE237C">
        <w:trPr>
          <w:trHeight w:val="58"/>
        </w:trPr>
        <w:tc>
          <w:tcPr>
            <w:tcW w:w="709" w:type="dxa"/>
            <w:tcBorders>
              <w:top w:val="single" w:sz="4" w:space="0" w:color="auto"/>
              <w:left w:val="single" w:sz="4" w:space="0" w:color="auto"/>
              <w:bottom w:val="single" w:sz="4" w:space="0" w:color="auto"/>
              <w:right w:val="single" w:sz="4" w:space="0" w:color="auto"/>
            </w:tcBorders>
          </w:tcPr>
          <w:p w14:paraId="379017DF" w14:textId="77777777" w:rsidR="00350DB9" w:rsidRPr="00FC0326" w:rsidRDefault="00914F28" w:rsidP="003A6E7A">
            <w:pPr>
              <w:jc w:val="center"/>
              <w:rPr>
                <w:sz w:val="20"/>
                <w:szCs w:val="20"/>
              </w:rPr>
            </w:pPr>
            <w:r>
              <w:rPr>
                <w:sz w:val="20"/>
                <w:szCs w:val="20"/>
              </w:rPr>
              <w:t>4.9</w:t>
            </w:r>
            <w:r w:rsidR="00350DB9">
              <w:rPr>
                <w:sz w:val="20"/>
                <w:szCs w:val="20"/>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F0A6E5" w14:textId="77777777" w:rsidR="00350DB9" w:rsidRPr="00350DB9" w:rsidRDefault="00350DB9" w:rsidP="003A6E7A">
            <w:pPr>
              <w:jc w:val="both"/>
              <w:rPr>
                <w:rFonts w:cs="Times New Roman"/>
                <w:sz w:val="20"/>
                <w:szCs w:val="20"/>
              </w:rPr>
            </w:pPr>
            <w:r w:rsidRPr="00350DB9">
              <w:rPr>
                <w:rFonts w:cs="Times New Roman"/>
                <w:sz w:val="20"/>
                <w:szCs w:val="20"/>
              </w:rPr>
              <w:t xml:space="preserve">Pilnveidot </w:t>
            </w:r>
            <w:r w:rsidR="00926CD8">
              <w:rPr>
                <w:rFonts w:cs="Times New Roman"/>
                <w:sz w:val="20"/>
                <w:szCs w:val="20"/>
              </w:rPr>
              <w:t xml:space="preserve">normatīvo </w:t>
            </w:r>
            <w:r w:rsidRPr="00350DB9">
              <w:rPr>
                <w:rFonts w:cs="Times New Roman"/>
                <w:sz w:val="20"/>
                <w:szCs w:val="20"/>
              </w:rPr>
              <w:t xml:space="preserve">regulējumu darījumu ar kultūras pieminekļiem </w:t>
            </w:r>
            <w:r w:rsidR="00926CD8">
              <w:rPr>
                <w:rFonts w:cs="Times New Roman"/>
                <w:sz w:val="20"/>
                <w:szCs w:val="20"/>
              </w:rPr>
              <w:t xml:space="preserve">uzraudzības </w:t>
            </w:r>
            <w:r w:rsidRPr="00350DB9">
              <w:rPr>
                <w:rFonts w:cs="Times New Roman"/>
                <w:sz w:val="20"/>
                <w:szCs w:val="20"/>
              </w:rPr>
              <w:t>jomā</w:t>
            </w:r>
          </w:p>
        </w:tc>
        <w:tc>
          <w:tcPr>
            <w:tcW w:w="1701" w:type="dxa"/>
            <w:tcBorders>
              <w:top w:val="single" w:sz="4" w:space="0" w:color="auto"/>
              <w:left w:val="single" w:sz="4" w:space="0" w:color="auto"/>
              <w:bottom w:val="single" w:sz="4" w:space="0" w:color="auto"/>
              <w:right w:val="single" w:sz="4" w:space="0" w:color="auto"/>
            </w:tcBorders>
          </w:tcPr>
          <w:p w14:paraId="043F73B7" w14:textId="77777777" w:rsidR="00350DB9" w:rsidRPr="00BD2BE0" w:rsidRDefault="00350DB9" w:rsidP="003A6E7A">
            <w:pPr>
              <w:jc w:val="both"/>
              <w:rPr>
                <w:sz w:val="20"/>
                <w:szCs w:val="20"/>
              </w:rPr>
            </w:pPr>
            <w:r>
              <w:rPr>
                <w:sz w:val="20"/>
                <w:szCs w:val="20"/>
              </w:rPr>
              <w:t>Pasākumu plāns 2017.-2019.g. 2.8.pasākums</w:t>
            </w:r>
          </w:p>
          <w:p w14:paraId="1146E2C3" w14:textId="77777777" w:rsidR="00350DB9" w:rsidRPr="00FC0326" w:rsidRDefault="00350DB9" w:rsidP="003A6E7A">
            <w:pPr>
              <w:jc w:val="both"/>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761DEA" w14:textId="77777777" w:rsidR="00350DB9" w:rsidRPr="00FC0326" w:rsidRDefault="00350DB9" w:rsidP="003A6E7A">
            <w:pPr>
              <w:jc w:val="both"/>
              <w:rPr>
                <w:sz w:val="20"/>
                <w:szCs w:val="20"/>
              </w:rPr>
            </w:pPr>
            <w:r>
              <w:rPr>
                <w:sz w:val="20"/>
                <w:szCs w:val="20"/>
              </w:rPr>
              <w:t xml:space="preserve">Stiprināts uzraudzības mehānisms </w:t>
            </w:r>
          </w:p>
        </w:tc>
        <w:tc>
          <w:tcPr>
            <w:tcW w:w="2693" w:type="dxa"/>
            <w:tcBorders>
              <w:top w:val="single" w:sz="4" w:space="0" w:color="auto"/>
              <w:left w:val="single" w:sz="4" w:space="0" w:color="auto"/>
              <w:bottom w:val="single" w:sz="4" w:space="0" w:color="auto"/>
              <w:right w:val="single" w:sz="4" w:space="0" w:color="auto"/>
            </w:tcBorders>
          </w:tcPr>
          <w:p w14:paraId="39669A5C" w14:textId="77777777" w:rsidR="00350DB9" w:rsidRPr="00FC0326" w:rsidRDefault="00350DB9" w:rsidP="00505985">
            <w:pPr>
              <w:jc w:val="both"/>
              <w:rPr>
                <w:sz w:val="20"/>
                <w:szCs w:val="20"/>
              </w:rPr>
            </w:pPr>
            <w:r>
              <w:rPr>
                <w:sz w:val="20"/>
                <w:szCs w:val="20"/>
              </w:rPr>
              <w:t>Sagatavoti priekšlikumi grozījumiem NILLTFN likumā</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3C9B08" w14:textId="77777777" w:rsidR="00350DB9" w:rsidRPr="00FC0326" w:rsidRDefault="00350DB9" w:rsidP="003A6E7A">
            <w:pPr>
              <w:jc w:val="center"/>
              <w:rPr>
                <w:sz w:val="20"/>
                <w:szCs w:val="20"/>
              </w:rPr>
            </w:pPr>
            <w:r>
              <w:rPr>
                <w:sz w:val="20"/>
                <w:szCs w:val="20"/>
              </w:rPr>
              <w:t>FM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14530E" w14:textId="77777777" w:rsidR="00350DB9" w:rsidRPr="00FC0326" w:rsidRDefault="00350DB9" w:rsidP="00C97FF2">
            <w:pPr>
              <w:jc w:val="center"/>
              <w:rPr>
                <w:sz w:val="20"/>
                <w:szCs w:val="20"/>
              </w:rPr>
            </w:pPr>
            <w:r>
              <w:rPr>
                <w:sz w:val="20"/>
                <w:szCs w:val="20"/>
              </w:rPr>
              <w:t xml:space="preserve">KM, </w:t>
            </w:r>
            <w:r w:rsidR="0090763B">
              <w:rPr>
                <w:sz w:val="20"/>
                <w:szCs w:val="20"/>
              </w:rPr>
              <w:t>NKMP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C30F0F" w14:textId="77777777" w:rsidR="00350DB9" w:rsidRPr="00FC0326" w:rsidRDefault="00350DB9" w:rsidP="00AF7507">
            <w:pPr>
              <w:jc w:val="center"/>
              <w:rPr>
                <w:sz w:val="20"/>
                <w:szCs w:val="20"/>
              </w:rPr>
            </w:pPr>
            <w:r>
              <w:rPr>
                <w:sz w:val="20"/>
                <w:szCs w:val="20"/>
              </w:rPr>
              <w:t>2019.gada 1.</w:t>
            </w:r>
            <w:r w:rsidR="00AF7507">
              <w:rPr>
                <w:sz w:val="20"/>
                <w:szCs w:val="20"/>
              </w:rPr>
              <w:t>jūnijs</w:t>
            </w:r>
          </w:p>
        </w:tc>
      </w:tr>
      <w:tr w:rsidR="00602089" w:rsidRPr="00FC0326" w14:paraId="0F1B199E" w14:textId="77777777" w:rsidTr="00FE237C">
        <w:trPr>
          <w:trHeight w:val="58"/>
        </w:trPr>
        <w:tc>
          <w:tcPr>
            <w:tcW w:w="709" w:type="dxa"/>
            <w:vMerge w:val="restart"/>
            <w:tcBorders>
              <w:top w:val="single" w:sz="4" w:space="0" w:color="auto"/>
              <w:left w:val="single" w:sz="4" w:space="0" w:color="auto"/>
              <w:right w:val="single" w:sz="4" w:space="0" w:color="auto"/>
            </w:tcBorders>
          </w:tcPr>
          <w:p w14:paraId="7218E6CF" w14:textId="77777777" w:rsidR="00602089" w:rsidRDefault="00914F28" w:rsidP="003A6E7A">
            <w:pPr>
              <w:jc w:val="center"/>
              <w:rPr>
                <w:sz w:val="20"/>
                <w:szCs w:val="20"/>
              </w:rPr>
            </w:pPr>
            <w:r>
              <w:rPr>
                <w:sz w:val="20"/>
                <w:szCs w:val="20"/>
              </w:rPr>
              <w:t>4.10</w:t>
            </w:r>
            <w:r w:rsidR="00602089">
              <w:rPr>
                <w:sz w:val="20"/>
                <w:szCs w:val="20"/>
              </w:rPr>
              <w:t>.</w:t>
            </w:r>
          </w:p>
        </w:tc>
        <w:tc>
          <w:tcPr>
            <w:tcW w:w="3544" w:type="dxa"/>
            <w:vMerge w:val="restart"/>
            <w:tcBorders>
              <w:top w:val="single" w:sz="4" w:space="0" w:color="auto"/>
              <w:left w:val="single" w:sz="4" w:space="0" w:color="auto"/>
              <w:right w:val="single" w:sz="4" w:space="0" w:color="auto"/>
            </w:tcBorders>
            <w:shd w:val="clear" w:color="auto" w:fill="auto"/>
          </w:tcPr>
          <w:p w14:paraId="405B77D4" w14:textId="77777777" w:rsidR="00602089" w:rsidRPr="00350DB9" w:rsidRDefault="00602089" w:rsidP="003A6E7A">
            <w:pPr>
              <w:jc w:val="both"/>
              <w:rPr>
                <w:rFonts w:cs="Times New Roman"/>
                <w:sz w:val="20"/>
                <w:szCs w:val="20"/>
              </w:rPr>
            </w:pPr>
            <w:r>
              <w:rPr>
                <w:rFonts w:cs="Times New Roman"/>
                <w:sz w:val="20"/>
                <w:szCs w:val="20"/>
              </w:rPr>
              <w:t>Uzlabot informācijas pieejamību klienta izpētes veikšanai</w:t>
            </w:r>
          </w:p>
        </w:tc>
        <w:tc>
          <w:tcPr>
            <w:tcW w:w="1701" w:type="dxa"/>
            <w:vMerge w:val="restart"/>
            <w:tcBorders>
              <w:top w:val="single" w:sz="4" w:space="0" w:color="auto"/>
              <w:left w:val="single" w:sz="4" w:space="0" w:color="auto"/>
              <w:right w:val="single" w:sz="4" w:space="0" w:color="auto"/>
            </w:tcBorders>
          </w:tcPr>
          <w:p w14:paraId="1010D7C3" w14:textId="77777777" w:rsidR="00602089" w:rsidRDefault="00602089" w:rsidP="003A6E7A">
            <w:pPr>
              <w:jc w:val="both"/>
              <w:rPr>
                <w:sz w:val="20"/>
                <w:szCs w:val="20"/>
              </w:rPr>
            </w:pPr>
            <w:r>
              <w:rPr>
                <w:sz w:val="20"/>
                <w:szCs w:val="20"/>
              </w:rPr>
              <w:t>Moneyval rekomendācija 4.6.</w:t>
            </w:r>
          </w:p>
          <w:p w14:paraId="7131FBD9" w14:textId="77777777" w:rsidR="00602089" w:rsidRDefault="00602089" w:rsidP="003A6E7A">
            <w:pPr>
              <w:jc w:val="both"/>
              <w:rPr>
                <w:sz w:val="20"/>
                <w:szCs w:val="20"/>
              </w:rPr>
            </w:pPr>
          </w:p>
          <w:p w14:paraId="2597B3E3" w14:textId="77777777" w:rsidR="00602089" w:rsidRDefault="00602089" w:rsidP="003A6E7A">
            <w:pPr>
              <w:jc w:val="both"/>
              <w:rPr>
                <w:sz w:val="20"/>
                <w:szCs w:val="20"/>
              </w:rPr>
            </w:pPr>
            <w:r>
              <w:rPr>
                <w:sz w:val="20"/>
                <w:szCs w:val="20"/>
              </w:rPr>
              <w:t>FSAP papildus pasākumi</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DCCF46" w14:textId="77777777" w:rsidR="00602089" w:rsidRDefault="00C22658" w:rsidP="003A6E7A">
            <w:pPr>
              <w:jc w:val="both"/>
              <w:rPr>
                <w:sz w:val="20"/>
                <w:szCs w:val="20"/>
              </w:rPr>
            </w:pPr>
            <w:r>
              <w:rPr>
                <w:sz w:val="20"/>
                <w:szCs w:val="20"/>
              </w:rPr>
              <w:t>1.</w:t>
            </w:r>
            <w:r w:rsidR="00602089">
              <w:rPr>
                <w:sz w:val="20"/>
                <w:szCs w:val="20"/>
              </w:rPr>
              <w:t xml:space="preserve">Sagatavots izvērtējums par iespēju nodrošināt </w:t>
            </w:r>
            <w:r w:rsidR="00602089">
              <w:rPr>
                <w:sz w:val="20"/>
                <w:szCs w:val="20"/>
              </w:rPr>
              <w:lastRenderedPageBreak/>
              <w:t>likuma subjektiem bezmaksas piekļuvi Uzņēmumu reģistra patiesā labuma guvēju reģistram</w:t>
            </w:r>
          </w:p>
        </w:tc>
        <w:tc>
          <w:tcPr>
            <w:tcW w:w="2693" w:type="dxa"/>
            <w:tcBorders>
              <w:top w:val="single" w:sz="4" w:space="0" w:color="auto"/>
              <w:left w:val="single" w:sz="4" w:space="0" w:color="auto"/>
              <w:bottom w:val="single" w:sz="4" w:space="0" w:color="auto"/>
              <w:right w:val="single" w:sz="4" w:space="0" w:color="auto"/>
            </w:tcBorders>
          </w:tcPr>
          <w:p w14:paraId="7D089907" w14:textId="77777777" w:rsidR="00602089" w:rsidRDefault="00C22658" w:rsidP="00505985">
            <w:pPr>
              <w:jc w:val="both"/>
              <w:rPr>
                <w:sz w:val="20"/>
                <w:szCs w:val="20"/>
              </w:rPr>
            </w:pPr>
            <w:r>
              <w:rPr>
                <w:sz w:val="20"/>
                <w:szCs w:val="20"/>
              </w:rPr>
              <w:lastRenderedPageBreak/>
              <w:t>1.</w:t>
            </w:r>
            <w:r w:rsidR="00602089">
              <w:rPr>
                <w:sz w:val="20"/>
                <w:szCs w:val="20"/>
              </w:rPr>
              <w:t>Izvērtējums iesniegts izskatīšanai FSAP sēdē</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E39143" w14:textId="77777777" w:rsidR="00602089" w:rsidRDefault="00602089" w:rsidP="00602089">
            <w:pPr>
              <w:jc w:val="center"/>
              <w:rPr>
                <w:sz w:val="20"/>
                <w:szCs w:val="20"/>
              </w:rPr>
            </w:pPr>
            <w:r>
              <w:rPr>
                <w:sz w:val="20"/>
                <w:szCs w:val="20"/>
              </w:rPr>
              <w:t>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488A96" w14:textId="77777777" w:rsidR="00602089" w:rsidRDefault="00602089" w:rsidP="00C97FF2">
            <w:pPr>
              <w:jc w:val="center"/>
              <w:rPr>
                <w:sz w:val="20"/>
                <w:szCs w:val="20"/>
              </w:rPr>
            </w:pPr>
            <w:r>
              <w:rPr>
                <w:sz w:val="20"/>
                <w:szCs w:val="20"/>
              </w:rPr>
              <w:t>FM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F96EC4" w14:textId="77777777" w:rsidR="00602089" w:rsidRDefault="00602089" w:rsidP="00C97FF2">
            <w:pPr>
              <w:jc w:val="center"/>
              <w:rPr>
                <w:sz w:val="20"/>
                <w:szCs w:val="20"/>
              </w:rPr>
            </w:pPr>
            <w:r>
              <w:rPr>
                <w:sz w:val="20"/>
                <w:szCs w:val="20"/>
              </w:rPr>
              <w:t>2018.gada 31.decembris</w:t>
            </w:r>
          </w:p>
        </w:tc>
      </w:tr>
      <w:tr w:rsidR="009D23CC" w:rsidRPr="00FC0326" w14:paraId="6D6A8CA6" w14:textId="77777777" w:rsidTr="00FE237C">
        <w:trPr>
          <w:trHeight w:val="58"/>
        </w:trPr>
        <w:tc>
          <w:tcPr>
            <w:tcW w:w="709" w:type="dxa"/>
            <w:vMerge/>
            <w:tcBorders>
              <w:left w:val="single" w:sz="4" w:space="0" w:color="auto"/>
              <w:bottom w:val="single" w:sz="4" w:space="0" w:color="auto"/>
              <w:right w:val="single" w:sz="4" w:space="0" w:color="auto"/>
            </w:tcBorders>
          </w:tcPr>
          <w:p w14:paraId="1DB26FA8" w14:textId="77777777" w:rsidR="009D23CC" w:rsidRDefault="009D23CC" w:rsidP="009D23CC">
            <w:pPr>
              <w:jc w:val="center"/>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14:paraId="61724EC7" w14:textId="77777777" w:rsidR="009D23CC" w:rsidRDefault="009D23CC" w:rsidP="009D23CC">
            <w:pPr>
              <w:jc w:val="both"/>
              <w:rPr>
                <w:rFonts w:cs="Times New Roman"/>
                <w:sz w:val="20"/>
                <w:szCs w:val="20"/>
              </w:rPr>
            </w:pPr>
          </w:p>
        </w:tc>
        <w:tc>
          <w:tcPr>
            <w:tcW w:w="1701" w:type="dxa"/>
            <w:vMerge/>
            <w:tcBorders>
              <w:left w:val="single" w:sz="4" w:space="0" w:color="auto"/>
              <w:bottom w:val="single" w:sz="4" w:space="0" w:color="auto"/>
              <w:right w:val="single" w:sz="4" w:space="0" w:color="auto"/>
            </w:tcBorders>
          </w:tcPr>
          <w:p w14:paraId="794524D2" w14:textId="77777777" w:rsidR="009D23CC" w:rsidRDefault="009D23CC" w:rsidP="009D23CC">
            <w:pPr>
              <w:jc w:val="both"/>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A28825" w14:textId="77777777" w:rsidR="009D23CC" w:rsidRDefault="009D23CC" w:rsidP="009D23CC">
            <w:pPr>
              <w:jc w:val="both"/>
              <w:rPr>
                <w:sz w:val="20"/>
                <w:szCs w:val="20"/>
              </w:rPr>
            </w:pPr>
            <w:r>
              <w:rPr>
                <w:sz w:val="20"/>
                <w:szCs w:val="20"/>
              </w:rPr>
              <w:t>2.</w:t>
            </w:r>
            <w:r w:rsidRPr="00DE112B">
              <w:rPr>
                <w:sz w:val="20"/>
                <w:szCs w:val="20"/>
              </w:rPr>
              <w:t>Sagatavot izvērtējumu par informācijas apmaiņas uzlabošanu starp valsts iestādēm un likuma subjektiem efektīvai NILLTF risku pārvaldīšanai</w:t>
            </w:r>
            <w:r>
              <w:rPr>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324DD706" w14:textId="77777777" w:rsidR="009D23CC" w:rsidRDefault="009D23CC" w:rsidP="009D23CC">
            <w:pPr>
              <w:jc w:val="both"/>
              <w:rPr>
                <w:sz w:val="20"/>
                <w:szCs w:val="20"/>
              </w:rPr>
            </w:pPr>
            <w:r>
              <w:rPr>
                <w:sz w:val="20"/>
                <w:szCs w:val="20"/>
              </w:rPr>
              <w:t>2.Sagatavots izvērtējums un iesniegts izskatīšanai FSAP sēdē</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3EC417" w14:textId="77777777" w:rsidR="009D23CC" w:rsidRDefault="009D23CC" w:rsidP="009D23CC">
            <w:pPr>
              <w:jc w:val="center"/>
              <w:rPr>
                <w:sz w:val="20"/>
                <w:szCs w:val="20"/>
              </w:rPr>
            </w:pPr>
            <w:r>
              <w:rPr>
                <w:sz w:val="20"/>
                <w:szCs w:val="20"/>
              </w:rPr>
              <w:t>FM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F58810" w14:textId="77777777" w:rsidR="009D23CC" w:rsidRDefault="009D23CC" w:rsidP="009D23CC">
            <w:pPr>
              <w:jc w:val="center"/>
              <w:rPr>
                <w:sz w:val="20"/>
                <w:szCs w:val="20"/>
              </w:rPr>
            </w:pPr>
            <w:r>
              <w:rPr>
                <w:sz w:val="20"/>
                <w:szCs w:val="20"/>
              </w:rPr>
              <w:t>VARAM, LDDK, LFNA, KIB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71A242" w14:textId="77777777" w:rsidR="009D23CC" w:rsidRDefault="009D23CC" w:rsidP="009D23CC">
            <w:pPr>
              <w:jc w:val="center"/>
              <w:rPr>
                <w:sz w:val="20"/>
                <w:szCs w:val="20"/>
              </w:rPr>
            </w:pPr>
            <w:r>
              <w:rPr>
                <w:sz w:val="20"/>
                <w:szCs w:val="20"/>
              </w:rPr>
              <w:t>2019.gada 1.jūlijs</w:t>
            </w:r>
          </w:p>
        </w:tc>
      </w:tr>
      <w:tr w:rsidR="009D23CC" w:rsidRPr="00FC0326" w14:paraId="3D2B37D0" w14:textId="77777777" w:rsidTr="00FE237C">
        <w:trPr>
          <w:trHeight w:val="58"/>
        </w:trPr>
        <w:tc>
          <w:tcPr>
            <w:tcW w:w="709" w:type="dxa"/>
            <w:vMerge/>
            <w:tcBorders>
              <w:left w:val="single" w:sz="4" w:space="0" w:color="auto"/>
              <w:bottom w:val="single" w:sz="4" w:space="0" w:color="auto"/>
              <w:right w:val="single" w:sz="4" w:space="0" w:color="auto"/>
            </w:tcBorders>
          </w:tcPr>
          <w:p w14:paraId="2BA2B1DE" w14:textId="77777777" w:rsidR="009D23CC" w:rsidRDefault="009D23CC" w:rsidP="009D23CC">
            <w:pPr>
              <w:jc w:val="center"/>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14:paraId="1B8E6B57" w14:textId="77777777" w:rsidR="009D23CC" w:rsidRDefault="009D23CC" w:rsidP="009D23CC">
            <w:pPr>
              <w:jc w:val="both"/>
              <w:rPr>
                <w:rFonts w:cs="Times New Roman"/>
                <w:sz w:val="20"/>
                <w:szCs w:val="20"/>
              </w:rPr>
            </w:pPr>
          </w:p>
        </w:tc>
        <w:tc>
          <w:tcPr>
            <w:tcW w:w="1701" w:type="dxa"/>
            <w:vMerge/>
            <w:tcBorders>
              <w:left w:val="single" w:sz="4" w:space="0" w:color="auto"/>
              <w:bottom w:val="single" w:sz="4" w:space="0" w:color="auto"/>
              <w:right w:val="single" w:sz="4" w:space="0" w:color="auto"/>
            </w:tcBorders>
          </w:tcPr>
          <w:p w14:paraId="41B8AC57" w14:textId="77777777" w:rsidR="009D23CC" w:rsidRDefault="009D23CC" w:rsidP="009D23CC">
            <w:pPr>
              <w:jc w:val="both"/>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4B8673C" w14:textId="77777777" w:rsidR="009D23CC" w:rsidRDefault="009D23CC" w:rsidP="009D23CC">
            <w:pPr>
              <w:jc w:val="both"/>
              <w:rPr>
                <w:sz w:val="20"/>
                <w:szCs w:val="20"/>
              </w:rPr>
            </w:pPr>
            <w:r>
              <w:rPr>
                <w:sz w:val="20"/>
                <w:szCs w:val="20"/>
              </w:rPr>
              <w:t>3.Sagatavot izvērtējumu par nepieciešamo normatīvo aktu grozījumiem klienta izpētes rīka (</w:t>
            </w:r>
            <w:r w:rsidRPr="00EE1B29">
              <w:rPr>
                <w:i/>
                <w:sz w:val="20"/>
                <w:szCs w:val="20"/>
              </w:rPr>
              <w:t>KYC utility</w:t>
            </w:r>
            <w:r>
              <w:rPr>
                <w:sz w:val="20"/>
                <w:szCs w:val="20"/>
              </w:rPr>
              <w:t>) izveidei, kas ļautu likuma subjektiem izmantot klientu izpētes informāciju, ko ieguvuši citi likuma subjekti</w:t>
            </w:r>
          </w:p>
        </w:tc>
        <w:tc>
          <w:tcPr>
            <w:tcW w:w="2693" w:type="dxa"/>
            <w:tcBorders>
              <w:top w:val="single" w:sz="4" w:space="0" w:color="auto"/>
              <w:left w:val="single" w:sz="4" w:space="0" w:color="auto"/>
              <w:bottom w:val="single" w:sz="4" w:space="0" w:color="auto"/>
              <w:right w:val="single" w:sz="4" w:space="0" w:color="auto"/>
            </w:tcBorders>
          </w:tcPr>
          <w:p w14:paraId="115D5CA4" w14:textId="77777777" w:rsidR="009D23CC" w:rsidRDefault="009D23CC" w:rsidP="009D23CC">
            <w:pPr>
              <w:jc w:val="both"/>
              <w:rPr>
                <w:sz w:val="20"/>
                <w:szCs w:val="20"/>
              </w:rPr>
            </w:pPr>
            <w:r>
              <w:rPr>
                <w:sz w:val="20"/>
                <w:szCs w:val="20"/>
              </w:rPr>
              <w:t>3.Sagatavots izvērtējums par nepieciešamo normatīvo aktu grozījumiem klienta izpētes rīka (</w:t>
            </w:r>
            <w:r w:rsidRPr="00FC417E">
              <w:rPr>
                <w:i/>
                <w:sz w:val="20"/>
                <w:szCs w:val="20"/>
              </w:rPr>
              <w:t xml:space="preserve">KYC </w:t>
            </w:r>
            <w:r>
              <w:rPr>
                <w:i/>
                <w:sz w:val="20"/>
                <w:szCs w:val="20"/>
              </w:rPr>
              <w:t>utility</w:t>
            </w:r>
            <w:r>
              <w:rPr>
                <w:sz w:val="20"/>
                <w:szCs w:val="20"/>
              </w:rPr>
              <w:t>) izveidei iesniegts izskatīšanai FSAP sēdei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B7AC03" w14:textId="77777777" w:rsidR="009D23CC" w:rsidRDefault="009D23CC" w:rsidP="009D23CC">
            <w:pPr>
              <w:jc w:val="center"/>
              <w:rPr>
                <w:sz w:val="20"/>
                <w:szCs w:val="20"/>
              </w:rPr>
            </w:pPr>
            <w:r>
              <w:rPr>
                <w:sz w:val="20"/>
                <w:szCs w:val="20"/>
              </w:rPr>
              <w:t>FM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4EBDEA" w14:textId="77777777" w:rsidR="009D23CC" w:rsidRDefault="009D23CC" w:rsidP="009D23CC">
            <w:pPr>
              <w:jc w:val="center"/>
              <w:rPr>
                <w:sz w:val="20"/>
                <w:szCs w:val="20"/>
              </w:rPr>
            </w:pPr>
            <w:r>
              <w:rPr>
                <w:sz w:val="20"/>
                <w:szCs w:val="20"/>
              </w:rPr>
              <w:t>ĀM, VARAM, LDDK, LFNA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D89726" w14:textId="77777777" w:rsidR="009D23CC" w:rsidRDefault="009D23CC" w:rsidP="009D23CC">
            <w:pPr>
              <w:jc w:val="center"/>
              <w:rPr>
                <w:sz w:val="20"/>
                <w:szCs w:val="20"/>
              </w:rPr>
            </w:pPr>
            <w:r>
              <w:rPr>
                <w:sz w:val="20"/>
                <w:szCs w:val="20"/>
              </w:rPr>
              <w:t>2019.gada 1.marts</w:t>
            </w:r>
          </w:p>
        </w:tc>
      </w:tr>
    </w:tbl>
    <w:p w14:paraId="3E090A71" w14:textId="77777777" w:rsidR="004F21C5" w:rsidRPr="0028738E" w:rsidRDefault="004F21C5" w:rsidP="00FF0BBA">
      <w:pPr>
        <w:jc w:val="both"/>
        <w:rPr>
          <w:sz w:val="20"/>
          <w:szCs w:val="20"/>
        </w:rPr>
      </w:pPr>
    </w:p>
    <w:p w14:paraId="7BE26FC2" w14:textId="77777777" w:rsidR="00EC3765" w:rsidRPr="00FC0326" w:rsidRDefault="00EC3765" w:rsidP="00FF0BBA">
      <w:pPr>
        <w:jc w:val="both"/>
        <w:rPr>
          <w:sz w:val="28"/>
          <w:szCs w:val="28"/>
        </w:rPr>
      </w:pPr>
    </w:p>
    <w:p w14:paraId="38E65618" w14:textId="77777777" w:rsidR="00FF0BBA" w:rsidRPr="00E24F37" w:rsidRDefault="00E50F53" w:rsidP="00E24F37">
      <w:pPr>
        <w:pStyle w:val="Heading2"/>
        <w:rPr>
          <w:rFonts w:ascii="Times New Roman" w:hAnsi="Times New Roman" w:cs="Times New Roman"/>
          <w:b/>
          <w:color w:val="auto"/>
          <w:sz w:val="28"/>
          <w:szCs w:val="28"/>
        </w:rPr>
      </w:pPr>
      <w:bookmarkStart w:id="11" w:name="_Toc524977653"/>
      <w:r w:rsidRPr="00E24F37">
        <w:rPr>
          <w:rFonts w:ascii="Times New Roman" w:hAnsi="Times New Roman" w:cs="Times New Roman"/>
          <w:b/>
          <w:color w:val="auto"/>
          <w:sz w:val="28"/>
          <w:szCs w:val="28"/>
        </w:rPr>
        <w:t>5</w:t>
      </w:r>
      <w:r w:rsidR="00FF0BBA" w:rsidRPr="00E24F37">
        <w:rPr>
          <w:rFonts w:ascii="Times New Roman" w:hAnsi="Times New Roman" w:cs="Times New Roman"/>
          <w:b/>
          <w:color w:val="auto"/>
          <w:sz w:val="28"/>
          <w:szCs w:val="28"/>
        </w:rPr>
        <w:t xml:space="preserve">.rīcības virziens – </w:t>
      </w:r>
      <w:r w:rsidR="00FE237C">
        <w:rPr>
          <w:rFonts w:ascii="Times New Roman" w:hAnsi="Times New Roman" w:cs="Times New Roman"/>
          <w:b/>
          <w:color w:val="auto"/>
          <w:sz w:val="28"/>
          <w:szCs w:val="28"/>
        </w:rPr>
        <w:t>J</w:t>
      </w:r>
      <w:r w:rsidRPr="00E24F37">
        <w:rPr>
          <w:rFonts w:ascii="Times New Roman" w:hAnsi="Times New Roman" w:cs="Times New Roman"/>
          <w:b/>
          <w:color w:val="auto"/>
          <w:sz w:val="28"/>
          <w:szCs w:val="28"/>
        </w:rPr>
        <w:t>uridiskās personas un veidojumi</w:t>
      </w:r>
      <w:bookmarkEnd w:id="11"/>
    </w:p>
    <w:p w14:paraId="7781B0DB" w14:textId="77777777" w:rsidR="00E50F53" w:rsidRPr="00FC0326" w:rsidRDefault="00E50F53" w:rsidP="00FF0BBA">
      <w:pPr>
        <w:jc w:val="both"/>
        <w:rPr>
          <w:sz w:val="28"/>
          <w:szCs w:val="28"/>
        </w:rPr>
      </w:pPr>
    </w:p>
    <w:p w14:paraId="456AAF1B" w14:textId="77777777" w:rsidR="00FF0BBA" w:rsidRPr="00FC0326" w:rsidRDefault="00FF0BBA" w:rsidP="00FF0BBA">
      <w:pPr>
        <w:jc w:val="both"/>
        <w:rPr>
          <w:szCs w:val="24"/>
        </w:rPr>
      </w:pPr>
      <w:r w:rsidRPr="00FC0326">
        <w:rPr>
          <w:szCs w:val="24"/>
        </w:rPr>
        <w:t xml:space="preserve">Par rīcības virzienu atbildīgā iestāde: </w:t>
      </w:r>
      <w:r w:rsidR="00E50F53" w:rsidRPr="00FC0326">
        <w:rPr>
          <w:szCs w:val="24"/>
        </w:rPr>
        <w:t>TM</w:t>
      </w:r>
    </w:p>
    <w:p w14:paraId="28CC67DE" w14:textId="77777777" w:rsidR="002F5F09" w:rsidRPr="002F6E12" w:rsidRDefault="002F5F09" w:rsidP="002F5F09">
      <w:pPr>
        <w:jc w:val="both"/>
        <w:rPr>
          <w:rFonts w:cs="Times New Roman"/>
          <w:szCs w:val="24"/>
        </w:rPr>
      </w:pPr>
      <w:r w:rsidRPr="002F6E12">
        <w:rPr>
          <w:rFonts w:cs="Times New Roman"/>
          <w:szCs w:val="24"/>
        </w:rPr>
        <w:t xml:space="preserve">Līdzatbildīgās iestādes: UR, FM, FKTK, VID, KD, LZNP, LZAP, LB, LZRA un </w:t>
      </w:r>
      <w:r>
        <w:rPr>
          <w:rFonts w:cs="Times New Roman"/>
          <w:szCs w:val="24"/>
        </w:rPr>
        <w:t>NKMP</w:t>
      </w:r>
    </w:p>
    <w:p w14:paraId="44B966F2" w14:textId="77777777" w:rsidR="00DF745E" w:rsidRPr="00FC0326" w:rsidRDefault="00DF745E" w:rsidP="00FF0BBA">
      <w:pPr>
        <w:jc w:val="both"/>
        <w:rPr>
          <w:sz w:val="28"/>
          <w:szCs w:val="28"/>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75"/>
        <w:gridCol w:w="8"/>
        <w:gridCol w:w="1704"/>
        <w:gridCol w:w="1984"/>
        <w:gridCol w:w="2835"/>
        <w:gridCol w:w="1134"/>
        <w:gridCol w:w="1276"/>
        <w:gridCol w:w="1701"/>
      </w:tblGrid>
      <w:tr w:rsidR="00DF745E" w:rsidRPr="00FC0326" w14:paraId="5ED12591" w14:textId="77777777" w:rsidTr="00FE237C">
        <w:tc>
          <w:tcPr>
            <w:tcW w:w="4250" w:type="dxa"/>
            <w:gridSpan w:val="3"/>
          </w:tcPr>
          <w:p w14:paraId="17AF2DB4" w14:textId="77777777" w:rsidR="00DF745E" w:rsidRPr="00FC0326" w:rsidRDefault="00DF745E" w:rsidP="00DF745E">
            <w:pPr>
              <w:rPr>
                <w:rFonts w:cs="Times New Roman"/>
                <w:b/>
                <w:bCs/>
                <w:sz w:val="20"/>
                <w:szCs w:val="20"/>
              </w:rPr>
            </w:pPr>
            <w:r w:rsidRPr="00FC0326">
              <w:rPr>
                <w:rFonts w:cs="Times New Roman"/>
                <w:b/>
                <w:bCs/>
                <w:sz w:val="20"/>
                <w:szCs w:val="20"/>
              </w:rPr>
              <w:t>1.Rīcības virziens</w:t>
            </w:r>
          </w:p>
        </w:tc>
        <w:tc>
          <w:tcPr>
            <w:tcW w:w="10634" w:type="dxa"/>
            <w:gridSpan w:val="6"/>
          </w:tcPr>
          <w:p w14:paraId="3679196C" w14:textId="77777777" w:rsidR="00DF745E" w:rsidRPr="00FC0326" w:rsidRDefault="00DF745E" w:rsidP="00DF745E">
            <w:pPr>
              <w:jc w:val="both"/>
              <w:rPr>
                <w:rFonts w:cs="Times New Roman"/>
                <w:b/>
                <w:bCs/>
                <w:sz w:val="20"/>
                <w:szCs w:val="20"/>
              </w:rPr>
            </w:pPr>
            <w:r w:rsidRPr="00FC0326">
              <w:rPr>
                <w:rFonts w:cs="Times New Roman"/>
                <w:b/>
                <w:sz w:val="20"/>
                <w:szCs w:val="20"/>
              </w:rPr>
              <w:t>JURIDISKĀS PERSONAS UN VEIDOJUMI</w:t>
            </w:r>
          </w:p>
        </w:tc>
      </w:tr>
      <w:tr w:rsidR="00DF745E" w:rsidRPr="00FC0326" w14:paraId="0739FE40" w14:textId="77777777" w:rsidTr="00FE237C">
        <w:tc>
          <w:tcPr>
            <w:tcW w:w="4250" w:type="dxa"/>
            <w:gridSpan w:val="3"/>
          </w:tcPr>
          <w:p w14:paraId="189B03A5" w14:textId="77777777" w:rsidR="00DF745E" w:rsidRPr="00FC0326" w:rsidRDefault="00DF745E" w:rsidP="00DF745E">
            <w:pPr>
              <w:rPr>
                <w:rFonts w:cs="Times New Roman"/>
                <w:b/>
                <w:bCs/>
                <w:sz w:val="20"/>
                <w:szCs w:val="20"/>
              </w:rPr>
            </w:pPr>
            <w:r w:rsidRPr="00FC0326">
              <w:rPr>
                <w:rFonts w:cs="Times New Roman"/>
                <w:b/>
                <w:bCs/>
                <w:sz w:val="20"/>
                <w:szCs w:val="20"/>
              </w:rPr>
              <w:t>Sasniedzamie apakšmērķi:</w:t>
            </w:r>
          </w:p>
        </w:tc>
        <w:tc>
          <w:tcPr>
            <w:tcW w:w="10634" w:type="dxa"/>
            <w:gridSpan w:val="6"/>
          </w:tcPr>
          <w:p w14:paraId="0DE78DDD" w14:textId="77777777" w:rsidR="00DF745E" w:rsidRPr="00FC0326" w:rsidRDefault="00DF745E" w:rsidP="00DF745E">
            <w:pPr>
              <w:jc w:val="both"/>
              <w:rPr>
                <w:rFonts w:cs="Times New Roman"/>
                <w:b/>
                <w:bCs/>
                <w:sz w:val="20"/>
                <w:szCs w:val="20"/>
              </w:rPr>
            </w:pPr>
            <w:r w:rsidRPr="00FC0326">
              <w:rPr>
                <w:rFonts w:cs="Times New Roman"/>
                <w:b/>
                <w:bCs/>
                <w:sz w:val="20"/>
                <w:szCs w:val="20"/>
              </w:rPr>
              <w:t>1. Nodrošināta NILLTFNL prasībām atbilstoša juridisko personu patieso labuma guvēju informācijas reģistrācija un pieejamība</w:t>
            </w:r>
          </w:p>
        </w:tc>
      </w:tr>
      <w:tr w:rsidR="00DF745E" w:rsidRPr="00FC0326" w14:paraId="2EA8778C" w14:textId="77777777" w:rsidTr="00FE237C">
        <w:tc>
          <w:tcPr>
            <w:tcW w:w="4250" w:type="dxa"/>
            <w:gridSpan w:val="3"/>
          </w:tcPr>
          <w:p w14:paraId="56DBA21C" w14:textId="77777777" w:rsidR="00DF745E" w:rsidRPr="00FC0326" w:rsidRDefault="00DF745E" w:rsidP="00DF745E">
            <w:pPr>
              <w:rPr>
                <w:rFonts w:cs="Times New Roman"/>
                <w:b/>
                <w:bCs/>
                <w:sz w:val="20"/>
                <w:szCs w:val="20"/>
              </w:rPr>
            </w:pPr>
          </w:p>
        </w:tc>
        <w:tc>
          <w:tcPr>
            <w:tcW w:w="10634" w:type="dxa"/>
            <w:gridSpan w:val="6"/>
          </w:tcPr>
          <w:p w14:paraId="42E6E33D" w14:textId="77777777" w:rsidR="00DF745E" w:rsidRPr="00FC0326" w:rsidRDefault="00DF745E" w:rsidP="00DF745E">
            <w:pPr>
              <w:jc w:val="both"/>
              <w:rPr>
                <w:rFonts w:cs="Times New Roman"/>
                <w:b/>
                <w:bCs/>
                <w:sz w:val="20"/>
                <w:szCs w:val="20"/>
              </w:rPr>
            </w:pPr>
            <w:r w:rsidRPr="00FC0326">
              <w:rPr>
                <w:rFonts w:cs="Times New Roman"/>
                <w:b/>
                <w:bCs/>
                <w:sz w:val="20"/>
                <w:szCs w:val="20"/>
              </w:rPr>
              <w:t>2. Novērsta juridisko personu ar augstāko riska pakāpi izmantošana noziedzīgiem mērķiem</w:t>
            </w:r>
          </w:p>
        </w:tc>
      </w:tr>
      <w:tr w:rsidR="00DF745E" w:rsidRPr="00FC0326" w14:paraId="3A022B7F" w14:textId="77777777" w:rsidTr="00FE237C">
        <w:tc>
          <w:tcPr>
            <w:tcW w:w="4250" w:type="dxa"/>
            <w:gridSpan w:val="3"/>
          </w:tcPr>
          <w:p w14:paraId="0FFF0E47" w14:textId="77777777" w:rsidR="00DF745E" w:rsidRPr="00FC0326" w:rsidRDefault="00DF745E" w:rsidP="00DF745E">
            <w:pPr>
              <w:rPr>
                <w:rFonts w:cs="Times New Roman"/>
                <w:b/>
                <w:bCs/>
                <w:sz w:val="20"/>
                <w:szCs w:val="20"/>
              </w:rPr>
            </w:pPr>
          </w:p>
        </w:tc>
        <w:tc>
          <w:tcPr>
            <w:tcW w:w="10634" w:type="dxa"/>
            <w:gridSpan w:val="6"/>
          </w:tcPr>
          <w:p w14:paraId="46D37A28" w14:textId="77777777" w:rsidR="00DF745E" w:rsidRPr="00FC0326" w:rsidRDefault="00DF745E" w:rsidP="00DF745E">
            <w:pPr>
              <w:jc w:val="both"/>
              <w:rPr>
                <w:rFonts w:cs="Times New Roman"/>
                <w:b/>
                <w:bCs/>
                <w:sz w:val="20"/>
                <w:szCs w:val="20"/>
              </w:rPr>
            </w:pPr>
            <w:r w:rsidRPr="00FC0326">
              <w:rPr>
                <w:rFonts w:cs="Times New Roman"/>
                <w:b/>
                <w:bCs/>
                <w:sz w:val="20"/>
                <w:szCs w:val="20"/>
              </w:rPr>
              <w:t>3. Apzināti uzņēmumu pakalpojumu sniedzēji un to NILLTF riski</w:t>
            </w:r>
          </w:p>
        </w:tc>
      </w:tr>
      <w:tr w:rsidR="00DF745E" w:rsidRPr="00FC0326" w14:paraId="3B17FA80" w14:textId="77777777" w:rsidTr="00FE237C">
        <w:tc>
          <w:tcPr>
            <w:tcW w:w="4250" w:type="dxa"/>
            <w:gridSpan w:val="3"/>
          </w:tcPr>
          <w:p w14:paraId="004B6E3F" w14:textId="77777777" w:rsidR="00DF745E" w:rsidRPr="00FC0326" w:rsidRDefault="00DF745E" w:rsidP="00DF745E">
            <w:pPr>
              <w:rPr>
                <w:rFonts w:cs="Times New Roman"/>
                <w:b/>
                <w:bCs/>
                <w:sz w:val="20"/>
                <w:szCs w:val="20"/>
              </w:rPr>
            </w:pPr>
          </w:p>
        </w:tc>
        <w:tc>
          <w:tcPr>
            <w:tcW w:w="10634" w:type="dxa"/>
            <w:gridSpan w:val="6"/>
          </w:tcPr>
          <w:p w14:paraId="68D128D2" w14:textId="77777777" w:rsidR="00DF745E" w:rsidRPr="00FC0326" w:rsidRDefault="00DF745E" w:rsidP="00DF745E">
            <w:pPr>
              <w:jc w:val="both"/>
              <w:rPr>
                <w:rFonts w:cs="Times New Roman"/>
                <w:b/>
                <w:bCs/>
                <w:sz w:val="20"/>
                <w:szCs w:val="20"/>
              </w:rPr>
            </w:pPr>
            <w:r w:rsidRPr="00FC0326">
              <w:rPr>
                <w:rFonts w:cs="Times New Roman"/>
                <w:b/>
                <w:bCs/>
                <w:sz w:val="20"/>
                <w:szCs w:val="20"/>
              </w:rPr>
              <w:t>4. Uzlaboti NILLTFNL likuma subjektu veiktie pasākumi juridisko personu un juridisko veidojumu patieso labuma guvēju noskaidrošanai un pārbaudei</w:t>
            </w:r>
          </w:p>
        </w:tc>
      </w:tr>
      <w:tr w:rsidR="00DF745E" w:rsidRPr="00FC0326" w14:paraId="4C07D559" w14:textId="77777777" w:rsidTr="00FE237C">
        <w:tc>
          <w:tcPr>
            <w:tcW w:w="567" w:type="dxa"/>
          </w:tcPr>
          <w:p w14:paraId="21F1CC2E" w14:textId="77777777" w:rsidR="00DF745E" w:rsidRPr="00FC0326" w:rsidRDefault="00DF745E" w:rsidP="00DF745E">
            <w:pPr>
              <w:jc w:val="center"/>
              <w:rPr>
                <w:rFonts w:cs="Times New Roman"/>
                <w:bCs/>
                <w:sz w:val="20"/>
                <w:szCs w:val="20"/>
              </w:rPr>
            </w:pPr>
            <w:r w:rsidRPr="00FC0326">
              <w:rPr>
                <w:rFonts w:cs="Times New Roman"/>
                <w:bCs/>
                <w:sz w:val="20"/>
                <w:szCs w:val="20"/>
              </w:rPr>
              <w:lastRenderedPageBreak/>
              <w:t>Nr. P.k.</w:t>
            </w:r>
          </w:p>
        </w:tc>
        <w:tc>
          <w:tcPr>
            <w:tcW w:w="3683" w:type="dxa"/>
            <w:gridSpan w:val="2"/>
            <w:shd w:val="clear" w:color="auto" w:fill="auto"/>
          </w:tcPr>
          <w:p w14:paraId="5432C5B8" w14:textId="77777777" w:rsidR="00DF745E" w:rsidRPr="00FC0326" w:rsidRDefault="00DF745E" w:rsidP="00DF745E">
            <w:pPr>
              <w:jc w:val="center"/>
              <w:rPr>
                <w:rFonts w:cs="Times New Roman"/>
                <w:bCs/>
                <w:i/>
                <w:sz w:val="20"/>
                <w:szCs w:val="20"/>
              </w:rPr>
            </w:pPr>
            <w:r w:rsidRPr="00FC0326">
              <w:rPr>
                <w:rFonts w:cs="Times New Roman"/>
                <w:b/>
                <w:bCs/>
                <w:sz w:val="20"/>
                <w:szCs w:val="20"/>
              </w:rPr>
              <w:t>Pasākums</w:t>
            </w:r>
          </w:p>
        </w:tc>
        <w:tc>
          <w:tcPr>
            <w:tcW w:w="1704" w:type="dxa"/>
          </w:tcPr>
          <w:p w14:paraId="3AD808D9" w14:textId="77777777" w:rsidR="00DF745E" w:rsidRPr="00FC0326" w:rsidRDefault="00DF745E" w:rsidP="00DF745E">
            <w:pPr>
              <w:ind w:right="-108"/>
              <w:rPr>
                <w:rFonts w:cs="Times New Roman"/>
                <w:b/>
                <w:sz w:val="20"/>
                <w:szCs w:val="20"/>
              </w:rPr>
            </w:pPr>
            <w:r w:rsidRPr="00FC0326">
              <w:rPr>
                <w:rFonts w:cs="Times New Roman"/>
                <w:b/>
                <w:sz w:val="20"/>
                <w:szCs w:val="20"/>
              </w:rPr>
              <w:t xml:space="preserve">Avots </w:t>
            </w:r>
          </w:p>
        </w:tc>
        <w:tc>
          <w:tcPr>
            <w:tcW w:w="1984" w:type="dxa"/>
            <w:shd w:val="clear" w:color="auto" w:fill="auto"/>
          </w:tcPr>
          <w:p w14:paraId="0CD840FB" w14:textId="77777777" w:rsidR="00DF745E" w:rsidRPr="00FC0326" w:rsidRDefault="00DF745E" w:rsidP="00DF745E">
            <w:pPr>
              <w:rPr>
                <w:rFonts w:cs="Times New Roman"/>
                <w:b/>
                <w:bCs/>
                <w:i/>
                <w:sz w:val="20"/>
                <w:szCs w:val="20"/>
              </w:rPr>
            </w:pPr>
            <w:r w:rsidRPr="00FC0326">
              <w:rPr>
                <w:rFonts w:cs="Times New Roman"/>
                <w:b/>
                <w:sz w:val="20"/>
                <w:szCs w:val="20"/>
              </w:rPr>
              <w:t>Darbības rezultāts</w:t>
            </w:r>
          </w:p>
        </w:tc>
        <w:tc>
          <w:tcPr>
            <w:tcW w:w="2835" w:type="dxa"/>
          </w:tcPr>
          <w:p w14:paraId="5F418FFC" w14:textId="77777777" w:rsidR="00DF745E" w:rsidRPr="00FC0326" w:rsidRDefault="00DF745E" w:rsidP="00DF745E">
            <w:pPr>
              <w:jc w:val="center"/>
              <w:rPr>
                <w:rFonts w:cs="Times New Roman"/>
                <w:bCs/>
                <w:i/>
                <w:sz w:val="20"/>
                <w:szCs w:val="20"/>
              </w:rPr>
            </w:pPr>
            <w:r w:rsidRPr="00FC0326">
              <w:rPr>
                <w:rFonts w:cs="Times New Roman"/>
                <w:b/>
                <w:sz w:val="20"/>
                <w:szCs w:val="20"/>
              </w:rPr>
              <w:t>Rezultatīvais rādītājs</w:t>
            </w:r>
          </w:p>
        </w:tc>
        <w:tc>
          <w:tcPr>
            <w:tcW w:w="1134" w:type="dxa"/>
            <w:shd w:val="clear" w:color="auto" w:fill="auto"/>
          </w:tcPr>
          <w:p w14:paraId="713D963A" w14:textId="77777777" w:rsidR="00DF745E" w:rsidRPr="00FC0326" w:rsidRDefault="00DF745E" w:rsidP="00DF745E">
            <w:pPr>
              <w:jc w:val="center"/>
              <w:rPr>
                <w:rFonts w:cs="Times New Roman"/>
                <w:bCs/>
                <w:i/>
                <w:sz w:val="20"/>
                <w:szCs w:val="20"/>
              </w:rPr>
            </w:pPr>
            <w:r w:rsidRPr="00FC0326">
              <w:rPr>
                <w:rFonts w:cs="Times New Roman"/>
                <w:b/>
                <w:bCs/>
                <w:sz w:val="20"/>
                <w:szCs w:val="20"/>
              </w:rPr>
              <w:t>Atbildīgā institūcija</w:t>
            </w:r>
          </w:p>
        </w:tc>
        <w:tc>
          <w:tcPr>
            <w:tcW w:w="1276" w:type="dxa"/>
            <w:shd w:val="clear" w:color="auto" w:fill="auto"/>
          </w:tcPr>
          <w:p w14:paraId="62B92D8C" w14:textId="77777777" w:rsidR="00DF745E" w:rsidRPr="00FC0326" w:rsidRDefault="00DF745E" w:rsidP="00DF745E">
            <w:pPr>
              <w:jc w:val="center"/>
              <w:rPr>
                <w:rFonts w:cs="Times New Roman"/>
                <w:bCs/>
                <w:i/>
                <w:sz w:val="20"/>
                <w:szCs w:val="20"/>
              </w:rPr>
            </w:pPr>
            <w:r w:rsidRPr="00FC0326">
              <w:rPr>
                <w:rFonts w:cs="Times New Roman"/>
                <w:b/>
                <w:bCs/>
                <w:sz w:val="20"/>
                <w:szCs w:val="20"/>
              </w:rPr>
              <w:t>Līdz</w:t>
            </w:r>
            <w:r w:rsidR="00F63277" w:rsidRPr="00FC0326">
              <w:rPr>
                <w:rFonts w:cs="Times New Roman"/>
                <w:b/>
                <w:bCs/>
                <w:sz w:val="20"/>
                <w:szCs w:val="20"/>
              </w:rPr>
              <w:t>-</w:t>
            </w:r>
            <w:r w:rsidRPr="00FC0326">
              <w:rPr>
                <w:rFonts w:cs="Times New Roman"/>
                <w:b/>
                <w:bCs/>
                <w:sz w:val="20"/>
                <w:szCs w:val="20"/>
              </w:rPr>
              <w:t>atbildīgās institūcijas</w:t>
            </w:r>
          </w:p>
        </w:tc>
        <w:tc>
          <w:tcPr>
            <w:tcW w:w="1701" w:type="dxa"/>
            <w:shd w:val="clear" w:color="auto" w:fill="auto"/>
          </w:tcPr>
          <w:p w14:paraId="75154513" w14:textId="77777777" w:rsidR="00DF745E" w:rsidRPr="00FC0326" w:rsidRDefault="00DF745E" w:rsidP="00DF745E">
            <w:pPr>
              <w:jc w:val="center"/>
              <w:rPr>
                <w:rFonts w:cs="Times New Roman"/>
                <w:bCs/>
                <w:i/>
                <w:sz w:val="20"/>
                <w:szCs w:val="20"/>
              </w:rPr>
            </w:pPr>
            <w:r w:rsidRPr="00FC0326">
              <w:rPr>
                <w:rFonts w:cs="Times New Roman"/>
                <w:b/>
                <w:bCs/>
                <w:sz w:val="20"/>
                <w:szCs w:val="20"/>
              </w:rPr>
              <w:t>Izpildes termiņš</w:t>
            </w:r>
          </w:p>
        </w:tc>
      </w:tr>
      <w:tr w:rsidR="00942E92" w:rsidRPr="00FC0326" w14:paraId="6FCC6F61" w14:textId="77777777" w:rsidTr="00FE237C">
        <w:trPr>
          <w:trHeight w:val="1952"/>
        </w:trPr>
        <w:tc>
          <w:tcPr>
            <w:tcW w:w="567" w:type="dxa"/>
            <w:vMerge w:val="restart"/>
            <w:shd w:val="clear" w:color="auto" w:fill="FFFFFF" w:themeFill="background1"/>
          </w:tcPr>
          <w:p w14:paraId="6390A374" w14:textId="77777777" w:rsidR="00942E92" w:rsidRPr="00FC0326" w:rsidRDefault="00942E92" w:rsidP="00DF745E">
            <w:pPr>
              <w:rPr>
                <w:rFonts w:cs="Times New Roman"/>
                <w:sz w:val="20"/>
                <w:szCs w:val="20"/>
              </w:rPr>
            </w:pPr>
            <w:r w:rsidRPr="00FC0326">
              <w:rPr>
                <w:rFonts w:cs="Times New Roman"/>
                <w:sz w:val="20"/>
                <w:szCs w:val="20"/>
              </w:rPr>
              <w:t>5.1.</w:t>
            </w:r>
          </w:p>
        </w:tc>
        <w:tc>
          <w:tcPr>
            <w:tcW w:w="3683" w:type="dxa"/>
            <w:gridSpan w:val="2"/>
            <w:vMerge w:val="restart"/>
            <w:shd w:val="clear" w:color="auto" w:fill="FFFFFF" w:themeFill="background1"/>
          </w:tcPr>
          <w:p w14:paraId="3EDB771A" w14:textId="77777777" w:rsidR="00942E92" w:rsidRPr="00FC0326" w:rsidRDefault="00942E92" w:rsidP="00DF745E">
            <w:pPr>
              <w:jc w:val="both"/>
              <w:rPr>
                <w:rFonts w:cs="Times New Roman"/>
                <w:sz w:val="20"/>
                <w:szCs w:val="20"/>
              </w:rPr>
            </w:pPr>
            <w:r w:rsidRPr="00FC0326">
              <w:rPr>
                <w:rFonts w:cs="Times New Roman"/>
                <w:sz w:val="20"/>
                <w:szCs w:val="20"/>
              </w:rPr>
              <w:t>Izvērtēt nepieciešamību veikt normatīvo aktu grozījumus, nosakot sodus par informācijas nesniegšanu vai nepatiesas informācijas sniegšanu Uzņēmumu reģistram par patiesā labuma guvēju vai citus pienākumus un preventīvus pasākumus. Paaugstinot sankcijas, veicināta pieejamība un informācijas precizitāte (atbilstība) par patiesā labuma guvēju.</w:t>
            </w:r>
          </w:p>
        </w:tc>
        <w:tc>
          <w:tcPr>
            <w:tcW w:w="1704" w:type="dxa"/>
            <w:vMerge w:val="restart"/>
            <w:shd w:val="clear" w:color="auto" w:fill="FFFFFF" w:themeFill="background1"/>
          </w:tcPr>
          <w:p w14:paraId="0474F1BF" w14:textId="77777777" w:rsidR="00942E92" w:rsidRDefault="00942E92" w:rsidP="00EE1B29">
            <w:pPr>
              <w:ind w:left="-108" w:right="-108"/>
              <w:rPr>
                <w:rFonts w:cs="Times New Roman"/>
                <w:sz w:val="20"/>
                <w:szCs w:val="20"/>
              </w:rPr>
            </w:pPr>
            <w:r w:rsidRPr="00FC0326">
              <w:rPr>
                <w:rFonts w:cs="Times New Roman"/>
                <w:sz w:val="20"/>
                <w:szCs w:val="20"/>
              </w:rPr>
              <w:t>Moneyval rekomendācija 5.1.</w:t>
            </w:r>
          </w:p>
          <w:p w14:paraId="156AE2F0" w14:textId="77777777" w:rsidR="00942E92" w:rsidRDefault="00942E92" w:rsidP="00DF745E">
            <w:pPr>
              <w:ind w:left="-108" w:right="-108"/>
              <w:jc w:val="center"/>
              <w:rPr>
                <w:rFonts w:cs="Times New Roman"/>
                <w:sz w:val="20"/>
                <w:szCs w:val="20"/>
              </w:rPr>
            </w:pPr>
          </w:p>
          <w:p w14:paraId="4090CDA8" w14:textId="77777777" w:rsidR="00942E92" w:rsidRPr="00FC0326" w:rsidRDefault="00942E92" w:rsidP="001932D5">
            <w:pPr>
              <w:jc w:val="both"/>
              <w:rPr>
                <w:rFonts w:cs="Times New Roman"/>
                <w:sz w:val="20"/>
                <w:szCs w:val="20"/>
              </w:rPr>
            </w:pPr>
            <w:r w:rsidRPr="00FC0326">
              <w:rPr>
                <w:sz w:val="20"/>
                <w:szCs w:val="20"/>
              </w:rPr>
              <w:t>Pasākumu plāns 2017.-201</w:t>
            </w:r>
            <w:r>
              <w:rPr>
                <w:sz w:val="20"/>
                <w:szCs w:val="20"/>
              </w:rPr>
              <w:t>9.g.</w:t>
            </w:r>
            <w:r w:rsidRPr="00FC0326">
              <w:rPr>
                <w:sz w:val="20"/>
                <w:szCs w:val="20"/>
              </w:rPr>
              <w:t xml:space="preserve"> </w:t>
            </w:r>
            <w:r>
              <w:rPr>
                <w:sz w:val="20"/>
                <w:szCs w:val="20"/>
              </w:rPr>
              <w:t>3.1.pasākums</w:t>
            </w:r>
          </w:p>
        </w:tc>
        <w:tc>
          <w:tcPr>
            <w:tcW w:w="1984" w:type="dxa"/>
            <w:shd w:val="clear" w:color="auto" w:fill="FFFFFF" w:themeFill="background1"/>
          </w:tcPr>
          <w:p w14:paraId="0E2E6FEA" w14:textId="77777777" w:rsidR="00942E92" w:rsidRPr="00FC0326" w:rsidRDefault="00405F7F" w:rsidP="00942E92">
            <w:pPr>
              <w:jc w:val="both"/>
              <w:rPr>
                <w:rFonts w:cs="Times New Roman"/>
                <w:sz w:val="20"/>
                <w:szCs w:val="20"/>
              </w:rPr>
            </w:pPr>
            <w:r>
              <w:rPr>
                <w:rFonts w:cs="Times New Roman"/>
                <w:sz w:val="20"/>
                <w:szCs w:val="20"/>
              </w:rPr>
              <w:t xml:space="preserve">1. </w:t>
            </w:r>
            <w:r w:rsidR="00942E92">
              <w:rPr>
                <w:rFonts w:cs="Times New Roman"/>
                <w:sz w:val="20"/>
                <w:szCs w:val="20"/>
              </w:rPr>
              <w:t>Sagatavots izvērtējums par nepieciešamajiem preventīvajiem pasākumiem un normatīvo aktu grozījumiem</w:t>
            </w:r>
          </w:p>
        </w:tc>
        <w:tc>
          <w:tcPr>
            <w:tcW w:w="2835" w:type="dxa"/>
            <w:shd w:val="clear" w:color="auto" w:fill="FFFFFF" w:themeFill="background1"/>
          </w:tcPr>
          <w:p w14:paraId="26881B3B" w14:textId="77777777" w:rsidR="00942E92" w:rsidRPr="00FC0326" w:rsidRDefault="00405F7F" w:rsidP="00016F1F">
            <w:pPr>
              <w:jc w:val="both"/>
              <w:rPr>
                <w:rFonts w:cs="Times New Roman"/>
                <w:sz w:val="20"/>
                <w:szCs w:val="20"/>
              </w:rPr>
            </w:pPr>
            <w:r>
              <w:rPr>
                <w:rFonts w:cs="Times New Roman"/>
                <w:sz w:val="20"/>
                <w:szCs w:val="20"/>
              </w:rPr>
              <w:t>1.</w:t>
            </w:r>
            <w:r w:rsidR="00942E92">
              <w:rPr>
                <w:rFonts w:cs="Times New Roman"/>
                <w:sz w:val="20"/>
                <w:szCs w:val="20"/>
              </w:rPr>
              <w:t>Sagatavots informatīvais ziņojums un iesniegts izskatīšanai MK sēdē</w:t>
            </w:r>
          </w:p>
        </w:tc>
        <w:tc>
          <w:tcPr>
            <w:tcW w:w="1134" w:type="dxa"/>
            <w:shd w:val="clear" w:color="auto" w:fill="FFFFFF" w:themeFill="background1"/>
          </w:tcPr>
          <w:p w14:paraId="4E897B40" w14:textId="77777777" w:rsidR="00942E92" w:rsidRPr="00FC0326" w:rsidRDefault="00942E92" w:rsidP="002D63BE">
            <w:pPr>
              <w:jc w:val="center"/>
              <w:rPr>
                <w:rFonts w:cs="Times New Roman"/>
                <w:sz w:val="20"/>
                <w:szCs w:val="20"/>
              </w:rPr>
            </w:pPr>
            <w:r>
              <w:rPr>
                <w:rFonts w:cs="Times New Roman"/>
                <w:sz w:val="20"/>
                <w:szCs w:val="20"/>
              </w:rPr>
              <w:t>TM</w:t>
            </w:r>
          </w:p>
        </w:tc>
        <w:tc>
          <w:tcPr>
            <w:tcW w:w="1276" w:type="dxa"/>
            <w:shd w:val="clear" w:color="auto" w:fill="FFFFFF" w:themeFill="background1"/>
          </w:tcPr>
          <w:p w14:paraId="0B4A37C5" w14:textId="77777777" w:rsidR="00942E92" w:rsidRPr="00FC0326" w:rsidRDefault="00942E92" w:rsidP="002D63BE">
            <w:pPr>
              <w:jc w:val="center"/>
              <w:rPr>
                <w:rFonts w:cs="Times New Roman"/>
                <w:sz w:val="20"/>
                <w:szCs w:val="20"/>
              </w:rPr>
            </w:pPr>
            <w:r>
              <w:rPr>
                <w:rFonts w:cs="Times New Roman"/>
                <w:sz w:val="20"/>
                <w:szCs w:val="20"/>
              </w:rPr>
              <w:t>UR</w:t>
            </w:r>
          </w:p>
        </w:tc>
        <w:tc>
          <w:tcPr>
            <w:tcW w:w="1701" w:type="dxa"/>
            <w:shd w:val="clear" w:color="auto" w:fill="FFFFFF" w:themeFill="background1"/>
          </w:tcPr>
          <w:p w14:paraId="394A3B29" w14:textId="77777777" w:rsidR="00942E92" w:rsidRPr="00FC0326" w:rsidRDefault="002D63BE" w:rsidP="002D63BE">
            <w:pPr>
              <w:jc w:val="center"/>
              <w:rPr>
                <w:rFonts w:cs="Times New Roman"/>
                <w:sz w:val="20"/>
                <w:szCs w:val="20"/>
              </w:rPr>
            </w:pPr>
            <w:r>
              <w:rPr>
                <w:rFonts w:cs="Times New Roman"/>
                <w:sz w:val="20"/>
                <w:szCs w:val="20"/>
              </w:rPr>
              <w:t>2</w:t>
            </w:r>
            <w:r w:rsidR="00942E92">
              <w:rPr>
                <w:rFonts w:cs="Times New Roman"/>
                <w:sz w:val="20"/>
                <w:szCs w:val="20"/>
              </w:rPr>
              <w:t>018.gada 30.novembris</w:t>
            </w:r>
          </w:p>
        </w:tc>
      </w:tr>
      <w:tr w:rsidR="00942E92" w:rsidRPr="00FC0326" w14:paraId="1B0F1BEF" w14:textId="77777777" w:rsidTr="00FE237C">
        <w:trPr>
          <w:trHeight w:val="1952"/>
        </w:trPr>
        <w:tc>
          <w:tcPr>
            <w:tcW w:w="567" w:type="dxa"/>
            <w:vMerge/>
            <w:shd w:val="clear" w:color="auto" w:fill="FFFFFF" w:themeFill="background1"/>
          </w:tcPr>
          <w:p w14:paraId="10D9D420" w14:textId="77777777" w:rsidR="00942E92" w:rsidRPr="00FC0326" w:rsidRDefault="00942E92" w:rsidP="00942E92">
            <w:pPr>
              <w:rPr>
                <w:rFonts w:cs="Times New Roman"/>
                <w:sz w:val="20"/>
                <w:szCs w:val="20"/>
              </w:rPr>
            </w:pPr>
          </w:p>
        </w:tc>
        <w:tc>
          <w:tcPr>
            <w:tcW w:w="3683" w:type="dxa"/>
            <w:gridSpan w:val="2"/>
            <w:vMerge/>
            <w:shd w:val="clear" w:color="auto" w:fill="FFFFFF" w:themeFill="background1"/>
          </w:tcPr>
          <w:p w14:paraId="0FAB9B15" w14:textId="77777777" w:rsidR="00942E92" w:rsidRPr="00FC0326" w:rsidRDefault="00942E92" w:rsidP="00942E92">
            <w:pPr>
              <w:jc w:val="both"/>
              <w:rPr>
                <w:rFonts w:cs="Times New Roman"/>
                <w:sz w:val="20"/>
                <w:szCs w:val="20"/>
              </w:rPr>
            </w:pPr>
          </w:p>
        </w:tc>
        <w:tc>
          <w:tcPr>
            <w:tcW w:w="1704" w:type="dxa"/>
            <w:vMerge/>
            <w:shd w:val="clear" w:color="auto" w:fill="FFFFFF" w:themeFill="background1"/>
          </w:tcPr>
          <w:p w14:paraId="456924BC" w14:textId="77777777" w:rsidR="00942E92" w:rsidRPr="00FC0326" w:rsidRDefault="00942E92" w:rsidP="00942E92">
            <w:pPr>
              <w:ind w:left="-108" w:right="-108"/>
              <w:jc w:val="center"/>
              <w:rPr>
                <w:rFonts w:cs="Times New Roman"/>
                <w:sz w:val="20"/>
                <w:szCs w:val="20"/>
              </w:rPr>
            </w:pPr>
          </w:p>
        </w:tc>
        <w:tc>
          <w:tcPr>
            <w:tcW w:w="1984" w:type="dxa"/>
            <w:shd w:val="clear" w:color="auto" w:fill="FFFFFF" w:themeFill="background1"/>
          </w:tcPr>
          <w:p w14:paraId="6DB30B4C" w14:textId="77777777" w:rsidR="00942E92" w:rsidRPr="00FC0326" w:rsidRDefault="00405F7F" w:rsidP="00942E92">
            <w:pPr>
              <w:jc w:val="both"/>
              <w:rPr>
                <w:rFonts w:cs="Times New Roman"/>
                <w:sz w:val="20"/>
                <w:szCs w:val="20"/>
              </w:rPr>
            </w:pPr>
            <w:r>
              <w:rPr>
                <w:rFonts w:cs="Times New Roman"/>
                <w:sz w:val="20"/>
                <w:szCs w:val="20"/>
              </w:rPr>
              <w:t xml:space="preserve">2. </w:t>
            </w:r>
            <w:r w:rsidR="00942E92" w:rsidRPr="00FC0326">
              <w:rPr>
                <w:rFonts w:cs="Times New Roman"/>
                <w:sz w:val="20"/>
                <w:szCs w:val="20"/>
              </w:rPr>
              <w:t>Izstrādāti normatīvo aktu grozījumi</w:t>
            </w:r>
          </w:p>
        </w:tc>
        <w:tc>
          <w:tcPr>
            <w:tcW w:w="2835" w:type="dxa"/>
            <w:shd w:val="clear" w:color="auto" w:fill="FFFFFF" w:themeFill="background1"/>
          </w:tcPr>
          <w:p w14:paraId="08C55BFF" w14:textId="77777777" w:rsidR="00942E92" w:rsidRPr="00FC0326" w:rsidRDefault="00405F7F" w:rsidP="00942E92">
            <w:pPr>
              <w:jc w:val="both"/>
              <w:rPr>
                <w:rFonts w:cs="Times New Roman"/>
                <w:sz w:val="20"/>
                <w:szCs w:val="20"/>
              </w:rPr>
            </w:pPr>
            <w:r>
              <w:rPr>
                <w:rFonts w:cs="Times New Roman"/>
                <w:sz w:val="20"/>
                <w:szCs w:val="20"/>
              </w:rPr>
              <w:t>2.</w:t>
            </w:r>
            <w:r w:rsidR="00942E92" w:rsidRPr="00FC0326">
              <w:rPr>
                <w:rFonts w:cs="Times New Roman"/>
                <w:sz w:val="20"/>
                <w:szCs w:val="20"/>
              </w:rPr>
              <w:t>Normatīvo aktu grozījumu projekts</w:t>
            </w:r>
          </w:p>
        </w:tc>
        <w:tc>
          <w:tcPr>
            <w:tcW w:w="1134" w:type="dxa"/>
            <w:shd w:val="clear" w:color="auto" w:fill="FFFFFF" w:themeFill="background1"/>
          </w:tcPr>
          <w:p w14:paraId="16670301" w14:textId="77777777" w:rsidR="00942E92" w:rsidRPr="00FC0326" w:rsidRDefault="00942E92" w:rsidP="002D63BE">
            <w:pPr>
              <w:jc w:val="center"/>
              <w:rPr>
                <w:rFonts w:cs="Times New Roman"/>
                <w:sz w:val="20"/>
                <w:szCs w:val="20"/>
              </w:rPr>
            </w:pPr>
            <w:r w:rsidRPr="00FC0326">
              <w:rPr>
                <w:rFonts w:cs="Times New Roman"/>
                <w:sz w:val="20"/>
                <w:szCs w:val="20"/>
              </w:rPr>
              <w:t>TM</w:t>
            </w:r>
          </w:p>
        </w:tc>
        <w:tc>
          <w:tcPr>
            <w:tcW w:w="1276" w:type="dxa"/>
            <w:shd w:val="clear" w:color="auto" w:fill="FFFFFF" w:themeFill="background1"/>
          </w:tcPr>
          <w:p w14:paraId="08EB0E24" w14:textId="77777777" w:rsidR="00942E92" w:rsidRPr="00FC0326" w:rsidRDefault="00942E92" w:rsidP="002D63BE">
            <w:pPr>
              <w:jc w:val="center"/>
              <w:rPr>
                <w:rFonts w:cs="Times New Roman"/>
                <w:sz w:val="20"/>
                <w:szCs w:val="20"/>
              </w:rPr>
            </w:pPr>
            <w:r w:rsidRPr="00FC0326">
              <w:rPr>
                <w:rFonts w:cs="Times New Roman"/>
                <w:sz w:val="20"/>
                <w:szCs w:val="20"/>
              </w:rPr>
              <w:t>UR</w:t>
            </w:r>
          </w:p>
        </w:tc>
        <w:tc>
          <w:tcPr>
            <w:tcW w:w="1701" w:type="dxa"/>
            <w:shd w:val="clear" w:color="auto" w:fill="FFFFFF" w:themeFill="background1"/>
          </w:tcPr>
          <w:p w14:paraId="3C8A2736" w14:textId="77777777" w:rsidR="00942E92" w:rsidRPr="00FC0326" w:rsidRDefault="00942E92" w:rsidP="00FE237C">
            <w:pPr>
              <w:jc w:val="center"/>
              <w:rPr>
                <w:sz w:val="20"/>
                <w:szCs w:val="20"/>
              </w:rPr>
            </w:pPr>
            <w:r w:rsidRPr="00FC0326">
              <w:rPr>
                <w:sz w:val="20"/>
                <w:szCs w:val="20"/>
              </w:rPr>
              <w:t xml:space="preserve">2018.gada </w:t>
            </w:r>
            <w:r w:rsidR="00FE237C">
              <w:rPr>
                <w:sz w:val="20"/>
                <w:szCs w:val="20"/>
              </w:rPr>
              <w:t>28</w:t>
            </w:r>
            <w:r w:rsidRPr="00FC0326">
              <w:rPr>
                <w:sz w:val="20"/>
                <w:szCs w:val="20"/>
              </w:rPr>
              <w:t>.decembris</w:t>
            </w:r>
          </w:p>
        </w:tc>
      </w:tr>
      <w:tr w:rsidR="00942E92" w:rsidRPr="00F2297B" w14:paraId="24DF06AB" w14:textId="77777777" w:rsidTr="00FE237C">
        <w:trPr>
          <w:trHeight w:val="1952"/>
        </w:trPr>
        <w:tc>
          <w:tcPr>
            <w:tcW w:w="567" w:type="dxa"/>
            <w:vMerge w:val="restart"/>
            <w:tcBorders>
              <w:top w:val="single" w:sz="4" w:space="0" w:color="auto"/>
              <w:left w:val="single" w:sz="4" w:space="0" w:color="auto"/>
              <w:right w:val="single" w:sz="4" w:space="0" w:color="auto"/>
            </w:tcBorders>
            <w:shd w:val="clear" w:color="auto" w:fill="FFFFFF" w:themeFill="background1"/>
          </w:tcPr>
          <w:p w14:paraId="2DAF6715" w14:textId="77777777" w:rsidR="00942E92" w:rsidRPr="00454EA5" w:rsidRDefault="00942E92" w:rsidP="00942E92">
            <w:pPr>
              <w:rPr>
                <w:rFonts w:cs="Times New Roman"/>
                <w:sz w:val="20"/>
                <w:szCs w:val="20"/>
              </w:rPr>
            </w:pPr>
            <w:r w:rsidRPr="00454EA5">
              <w:rPr>
                <w:rFonts w:cs="Times New Roman"/>
                <w:sz w:val="20"/>
                <w:szCs w:val="20"/>
              </w:rPr>
              <w:t>5.2.</w:t>
            </w:r>
          </w:p>
          <w:p w14:paraId="3D126081" w14:textId="77777777" w:rsidR="00942E92" w:rsidRPr="00454EA5" w:rsidRDefault="00942E92" w:rsidP="00942E92">
            <w:pPr>
              <w:rPr>
                <w:rFonts w:cs="Times New Roman"/>
                <w:sz w:val="20"/>
                <w:szCs w:val="20"/>
              </w:rPr>
            </w:pPr>
            <w:r w:rsidRPr="00454EA5">
              <w:rPr>
                <w:rFonts w:cs="Times New Roman"/>
                <w:sz w:val="20"/>
                <w:szCs w:val="20"/>
              </w:rPr>
              <w:t> </w:t>
            </w:r>
          </w:p>
        </w:tc>
        <w:tc>
          <w:tcPr>
            <w:tcW w:w="3683" w:type="dxa"/>
            <w:gridSpan w:val="2"/>
            <w:vMerge w:val="restart"/>
            <w:tcBorders>
              <w:top w:val="single" w:sz="4" w:space="0" w:color="auto"/>
              <w:left w:val="single" w:sz="4" w:space="0" w:color="auto"/>
              <w:right w:val="single" w:sz="4" w:space="0" w:color="auto"/>
            </w:tcBorders>
            <w:shd w:val="clear" w:color="auto" w:fill="FFFFFF" w:themeFill="background1"/>
          </w:tcPr>
          <w:p w14:paraId="050D0078" w14:textId="77777777" w:rsidR="00942E92" w:rsidRPr="00454EA5" w:rsidRDefault="00942E92" w:rsidP="00942E92">
            <w:pPr>
              <w:jc w:val="both"/>
              <w:rPr>
                <w:rFonts w:cs="Times New Roman"/>
                <w:sz w:val="20"/>
                <w:szCs w:val="20"/>
              </w:rPr>
            </w:pPr>
            <w:r w:rsidRPr="00454EA5">
              <w:rPr>
                <w:rFonts w:cs="Times New Roman"/>
                <w:sz w:val="20"/>
                <w:szCs w:val="20"/>
              </w:rPr>
              <w:t>Atbilstoši 5.1. punktā veiktajam izvērtējumam, nodrošinot UR reģistru modernizāciju, izstrādāta riskos balstīta pieeja UR attiecībā uz patieso labuma guvēju informācijas pārbaudi.  </w:t>
            </w:r>
          </w:p>
          <w:p w14:paraId="5ED7B9A2" w14:textId="77777777" w:rsidR="00942E92" w:rsidRPr="00454EA5" w:rsidRDefault="00942E92" w:rsidP="00942E92">
            <w:pPr>
              <w:jc w:val="both"/>
              <w:rPr>
                <w:rFonts w:cs="Times New Roman"/>
                <w:sz w:val="20"/>
                <w:szCs w:val="20"/>
              </w:rPr>
            </w:pPr>
            <w:r w:rsidRPr="00454EA5">
              <w:rPr>
                <w:rFonts w:cs="Times New Roman"/>
                <w:sz w:val="20"/>
                <w:szCs w:val="20"/>
              </w:rPr>
              <w:t> </w:t>
            </w:r>
          </w:p>
        </w:tc>
        <w:tc>
          <w:tcPr>
            <w:tcW w:w="1704" w:type="dxa"/>
            <w:vMerge w:val="restart"/>
            <w:tcBorders>
              <w:top w:val="single" w:sz="4" w:space="0" w:color="auto"/>
              <w:left w:val="single" w:sz="4" w:space="0" w:color="auto"/>
              <w:right w:val="single" w:sz="4" w:space="0" w:color="auto"/>
            </w:tcBorders>
            <w:shd w:val="clear" w:color="auto" w:fill="FFFFFF" w:themeFill="background1"/>
          </w:tcPr>
          <w:p w14:paraId="14F964FB" w14:textId="77777777" w:rsidR="00942E92" w:rsidRPr="00454EA5" w:rsidRDefault="00942E92" w:rsidP="00942E92">
            <w:pPr>
              <w:ind w:left="-108" w:right="-108"/>
              <w:jc w:val="center"/>
              <w:rPr>
                <w:rFonts w:cs="Times New Roman"/>
                <w:sz w:val="20"/>
                <w:szCs w:val="20"/>
              </w:rPr>
            </w:pPr>
            <w:r w:rsidRPr="00454EA5">
              <w:rPr>
                <w:rFonts w:cs="Times New Roman"/>
                <w:sz w:val="20"/>
                <w:szCs w:val="20"/>
              </w:rPr>
              <w:t>Moneyval rekomendācija 5.1.</w:t>
            </w:r>
          </w:p>
          <w:p w14:paraId="3EA39E97" w14:textId="77777777" w:rsidR="00942E92" w:rsidRPr="00454EA5" w:rsidRDefault="00942E92" w:rsidP="00942E92">
            <w:pPr>
              <w:ind w:left="-108" w:right="-108"/>
              <w:jc w:val="center"/>
              <w:rPr>
                <w:rFonts w:cs="Times New Roman"/>
                <w:sz w:val="20"/>
                <w:szCs w:val="20"/>
              </w:rPr>
            </w:pPr>
            <w:r w:rsidRPr="00454EA5">
              <w:rPr>
                <w:rFonts w:cs="Times New Roman"/>
                <w:sz w:val="20"/>
                <w:szCs w:val="20"/>
              </w:rPr>
              <w:t> </w:t>
            </w:r>
          </w:p>
        </w:tc>
        <w:tc>
          <w:tcPr>
            <w:tcW w:w="1984" w:type="dxa"/>
            <w:vMerge w:val="restart"/>
            <w:tcBorders>
              <w:top w:val="single" w:sz="4" w:space="0" w:color="auto"/>
              <w:left w:val="single" w:sz="4" w:space="0" w:color="auto"/>
              <w:right w:val="single" w:sz="4" w:space="0" w:color="auto"/>
            </w:tcBorders>
            <w:shd w:val="clear" w:color="auto" w:fill="FFFFFF" w:themeFill="background1"/>
          </w:tcPr>
          <w:p w14:paraId="2607E38B" w14:textId="77777777" w:rsidR="00942E92" w:rsidRPr="00454EA5" w:rsidRDefault="00942E92" w:rsidP="00942E92">
            <w:pPr>
              <w:jc w:val="both"/>
              <w:rPr>
                <w:rFonts w:cs="Times New Roman"/>
                <w:sz w:val="20"/>
                <w:szCs w:val="20"/>
              </w:rPr>
            </w:pPr>
            <w:r w:rsidRPr="00454EA5">
              <w:rPr>
                <w:rFonts w:cs="Times New Roman"/>
                <w:sz w:val="20"/>
                <w:szCs w:val="20"/>
              </w:rPr>
              <w:t>UR vesto reģistru modernizācija, ieviešot iespējami automatizētāku reģistrācijas procesu un iekļaujot tajā riskos balstītās pieejas izveidi UR reģistrācijai iesniegtās patieso labuma guvēju informācijas pārbaudei.</w:t>
            </w:r>
          </w:p>
          <w:p w14:paraId="17B1196D" w14:textId="77777777" w:rsidR="00942E92" w:rsidRPr="00454EA5" w:rsidRDefault="00942E92" w:rsidP="00942E92">
            <w:pPr>
              <w:jc w:val="both"/>
              <w:rPr>
                <w:rFonts w:cs="Times New Roman"/>
                <w:sz w:val="20"/>
                <w:szCs w:val="20"/>
              </w:rPr>
            </w:pPr>
            <w:r w:rsidRPr="00454EA5">
              <w:rPr>
                <w:rFonts w:cs="Times New Roman"/>
                <w:sz w:val="20"/>
                <w:szCs w:val="20"/>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291A7B" w14:textId="77777777" w:rsidR="00942E92" w:rsidRPr="00454EA5" w:rsidRDefault="00942E92" w:rsidP="00942E92">
            <w:pPr>
              <w:jc w:val="both"/>
              <w:rPr>
                <w:rFonts w:cs="Times New Roman"/>
                <w:sz w:val="20"/>
                <w:szCs w:val="20"/>
              </w:rPr>
            </w:pPr>
            <w:r w:rsidRPr="00454EA5">
              <w:rPr>
                <w:rFonts w:cs="Times New Roman"/>
                <w:sz w:val="20"/>
                <w:szCs w:val="20"/>
              </w:rPr>
              <w:t>1. UR vestā komercreģistra modernizācija, kas nodrošina mūsdienīgu un ērtu datu ievadi gan klientiem, gan UR darbiniekiem, datu pārbaudi, uzglabāšanu, kā arī sadarbspēju ar informācijas izplatīšanas vidi un datu apmaiņu ar citām Valsts un pašvaldību iestādēm.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3E996C8" w14:textId="77777777" w:rsidR="00942E92" w:rsidRPr="00454EA5" w:rsidRDefault="00942E92" w:rsidP="002D63BE">
            <w:pPr>
              <w:jc w:val="center"/>
              <w:rPr>
                <w:rFonts w:cs="Times New Roman"/>
                <w:sz w:val="20"/>
                <w:szCs w:val="20"/>
              </w:rPr>
            </w:pPr>
            <w:r w:rsidRPr="00454EA5">
              <w:rPr>
                <w:rFonts w:cs="Times New Roman"/>
                <w:sz w:val="20"/>
                <w:szCs w:val="20"/>
              </w:rPr>
              <w:t>TM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560A" w14:textId="77777777" w:rsidR="00942E92" w:rsidRPr="00454EA5" w:rsidRDefault="00942E92" w:rsidP="002D63BE">
            <w:pPr>
              <w:jc w:val="center"/>
              <w:rPr>
                <w:rFonts w:cs="Times New Roman"/>
                <w:sz w:val="20"/>
                <w:szCs w:val="20"/>
              </w:rPr>
            </w:pPr>
            <w:r w:rsidRPr="00454EA5">
              <w:rPr>
                <w:rFonts w:cs="Times New Roman"/>
                <w:sz w:val="20"/>
                <w:szCs w:val="20"/>
              </w:rPr>
              <w:t>UR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D3AEA1" w14:textId="77777777" w:rsidR="00942E92" w:rsidRPr="00454EA5" w:rsidRDefault="00942E92" w:rsidP="00C1575A">
            <w:pPr>
              <w:jc w:val="center"/>
              <w:rPr>
                <w:sz w:val="20"/>
                <w:szCs w:val="20"/>
              </w:rPr>
            </w:pPr>
            <w:r w:rsidRPr="00454EA5">
              <w:rPr>
                <w:sz w:val="20"/>
                <w:szCs w:val="20"/>
              </w:rPr>
              <w:t>2019.gada 1.jū</w:t>
            </w:r>
            <w:r w:rsidR="00C1575A">
              <w:rPr>
                <w:sz w:val="20"/>
                <w:szCs w:val="20"/>
              </w:rPr>
              <w:t>l</w:t>
            </w:r>
            <w:r w:rsidRPr="00454EA5">
              <w:rPr>
                <w:sz w:val="20"/>
                <w:szCs w:val="20"/>
              </w:rPr>
              <w:t>ijs</w:t>
            </w:r>
          </w:p>
        </w:tc>
      </w:tr>
      <w:tr w:rsidR="00942E92" w:rsidRPr="00F2297B" w14:paraId="5906B55D" w14:textId="77777777" w:rsidTr="00FE237C">
        <w:trPr>
          <w:trHeight w:val="699"/>
        </w:trPr>
        <w:tc>
          <w:tcPr>
            <w:tcW w:w="567" w:type="dxa"/>
            <w:vMerge/>
            <w:tcBorders>
              <w:left w:val="single" w:sz="4" w:space="0" w:color="auto"/>
              <w:right w:val="single" w:sz="4" w:space="0" w:color="auto"/>
            </w:tcBorders>
            <w:shd w:val="clear" w:color="auto" w:fill="FFFFFF" w:themeFill="background1"/>
          </w:tcPr>
          <w:p w14:paraId="1B0FA018" w14:textId="77777777" w:rsidR="00942E92" w:rsidRPr="00F2297B" w:rsidRDefault="00942E92" w:rsidP="00942E92">
            <w:pPr>
              <w:rPr>
                <w:rFonts w:cs="Times New Roman"/>
                <w:sz w:val="20"/>
                <w:szCs w:val="20"/>
                <w:highlight w:val="yellow"/>
              </w:rPr>
            </w:pPr>
          </w:p>
        </w:tc>
        <w:tc>
          <w:tcPr>
            <w:tcW w:w="3683" w:type="dxa"/>
            <w:gridSpan w:val="2"/>
            <w:vMerge/>
            <w:tcBorders>
              <w:left w:val="single" w:sz="4" w:space="0" w:color="auto"/>
              <w:right w:val="single" w:sz="4" w:space="0" w:color="auto"/>
            </w:tcBorders>
            <w:shd w:val="clear" w:color="auto" w:fill="FFFFFF" w:themeFill="background1"/>
          </w:tcPr>
          <w:p w14:paraId="417D879E" w14:textId="77777777" w:rsidR="00942E92" w:rsidRPr="00F2297B" w:rsidRDefault="00942E92" w:rsidP="00942E92">
            <w:pPr>
              <w:jc w:val="both"/>
              <w:rPr>
                <w:rFonts w:cs="Times New Roman"/>
                <w:sz w:val="20"/>
                <w:szCs w:val="20"/>
                <w:highlight w:val="yellow"/>
              </w:rPr>
            </w:pPr>
          </w:p>
        </w:tc>
        <w:tc>
          <w:tcPr>
            <w:tcW w:w="1704" w:type="dxa"/>
            <w:vMerge/>
            <w:tcBorders>
              <w:left w:val="single" w:sz="4" w:space="0" w:color="auto"/>
              <w:right w:val="single" w:sz="4" w:space="0" w:color="auto"/>
            </w:tcBorders>
            <w:shd w:val="clear" w:color="auto" w:fill="FFFFFF" w:themeFill="background1"/>
          </w:tcPr>
          <w:p w14:paraId="07C89C82" w14:textId="77777777" w:rsidR="00942E92" w:rsidRPr="00F2297B" w:rsidRDefault="00942E92" w:rsidP="00942E92">
            <w:pPr>
              <w:ind w:left="-108" w:right="-108"/>
              <w:jc w:val="center"/>
              <w:rPr>
                <w:rFonts w:cs="Times New Roman"/>
                <w:sz w:val="20"/>
                <w:szCs w:val="20"/>
                <w:highlight w:val="yellow"/>
              </w:rPr>
            </w:pPr>
          </w:p>
        </w:tc>
        <w:tc>
          <w:tcPr>
            <w:tcW w:w="1984" w:type="dxa"/>
            <w:vMerge/>
            <w:tcBorders>
              <w:left w:val="single" w:sz="4" w:space="0" w:color="auto"/>
              <w:right w:val="single" w:sz="4" w:space="0" w:color="auto"/>
            </w:tcBorders>
            <w:shd w:val="clear" w:color="auto" w:fill="FFFFFF" w:themeFill="background1"/>
          </w:tcPr>
          <w:p w14:paraId="3628CE1E" w14:textId="77777777" w:rsidR="00942E92" w:rsidRPr="00F2297B" w:rsidRDefault="00942E92" w:rsidP="00942E92">
            <w:pPr>
              <w:jc w:val="both"/>
              <w:rPr>
                <w:rFonts w:cs="Times New Roman"/>
                <w:sz w:val="20"/>
                <w:szCs w:val="20"/>
                <w:highlight w:val="yellow"/>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7812CA" w14:textId="77777777" w:rsidR="00942E92" w:rsidRPr="00454EA5" w:rsidRDefault="00942E92" w:rsidP="00942E92">
            <w:pPr>
              <w:jc w:val="both"/>
              <w:rPr>
                <w:rFonts w:cs="Times New Roman"/>
                <w:sz w:val="20"/>
                <w:szCs w:val="20"/>
              </w:rPr>
            </w:pPr>
            <w:r w:rsidRPr="00454EA5">
              <w:rPr>
                <w:rFonts w:cs="Times New Roman"/>
                <w:sz w:val="20"/>
                <w:szCs w:val="20"/>
              </w:rPr>
              <w:t xml:space="preserve">2. Visu UR vesto reģistru modernizācija, izbūvēta jauna informācijas sistēma, kas visos UR reģistros nodrošina mūsdienīgu un ērtu datu ievadi gan klientiem, gan UR darbiniekiem, datu pārbaudi, uzglabāšanu, kā arī sadarbspēju ar informācijas izplatīšanas vidi </w:t>
            </w:r>
            <w:r w:rsidRPr="00454EA5">
              <w:rPr>
                <w:rFonts w:cs="Times New Roman"/>
                <w:sz w:val="20"/>
                <w:szCs w:val="20"/>
              </w:rPr>
              <w:lastRenderedPageBreak/>
              <w:t>un datu apmaiņu ar citām Valsts un pašvaldību iestādēm.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5AA92" w14:textId="77777777" w:rsidR="00942E92" w:rsidRPr="00454EA5" w:rsidRDefault="00942E92" w:rsidP="002D63BE">
            <w:pPr>
              <w:jc w:val="center"/>
              <w:rPr>
                <w:rFonts w:cs="Times New Roman"/>
                <w:sz w:val="20"/>
                <w:szCs w:val="20"/>
              </w:rPr>
            </w:pPr>
            <w:r w:rsidRPr="00454EA5">
              <w:rPr>
                <w:rFonts w:cs="Times New Roman"/>
                <w:sz w:val="20"/>
                <w:szCs w:val="20"/>
              </w:rPr>
              <w:lastRenderedPageBreak/>
              <w:t>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D7F0D" w14:textId="77777777" w:rsidR="00942E92" w:rsidRPr="00454EA5" w:rsidRDefault="00942E92" w:rsidP="002D63BE">
            <w:pPr>
              <w:jc w:val="center"/>
              <w:rPr>
                <w:rFonts w:cs="Times New Roman"/>
                <w:sz w:val="20"/>
                <w:szCs w:val="20"/>
              </w:rPr>
            </w:pPr>
            <w:r w:rsidRPr="00454EA5">
              <w:rPr>
                <w:rFonts w:cs="Times New Roman"/>
                <w:sz w:val="20"/>
                <w:szCs w:val="20"/>
              </w:rPr>
              <w:t>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9FF1A8" w14:textId="77777777" w:rsidR="00942E92" w:rsidRPr="00454EA5" w:rsidRDefault="00942E92" w:rsidP="002D63BE">
            <w:pPr>
              <w:jc w:val="center"/>
              <w:rPr>
                <w:sz w:val="20"/>
                <w:szCs w:val="20"/>
              </w:rPr>
            </w:pPr>
            <w:r w:rsidRPr="00454EA5">
              <w:rPr>
                <w:sz w:val="20"/>
                <w:szCs w:val="20"/>
              </w:rPr>
              <w:t>2020.gada 1.jūlijs</w:t>
            </w:r>
          </w:p>
        </w:tc>
      </w:tr>
      <w:tr w:rsidR="00942E92" w14:paraId="3AA344FA" w14:textId="77777777" w:rsidTr="00FE237C">
        <w:trPr>
          <w:trHeight w:val="1952"/>
        </w:trPr>
        <w:tc>
          <w:tcPr>
            <w:tcW w:w="567" w:type="dxa"/>
            <w:vMerge/>
            <w:tcBorders>
              <w:left w:val="single" w:sz="4" w:space="0" w:color="auto"/>
              <w:bottom w:val="single" w:sz="4" w:space="0" w:color="auto"/>
              <w:right w:val="single" w:sz="4" w:space="0" w:color="auto"/>
            </w:tcBorders>
            <w:shd w:val="clear" w:color="auto" w:fill="FFFFFF" w:themeFill="background1"/>
          </w:tcPr>
          <w:p w14:paraId="71688A06" w14:textId="77777777" w:rsidR="00942E92" w:rsidRPr="00F2297B" w:rsidRDefault="00942E92" w:rsidP="00942E92">
            <w:pPr>
              <w:rPr>
                <w:rFonts w:cs="Times New Roman"/>
                <w:sz w:val="20"/>
                <w:szCs w:val="20"/>
                <w:highlight w:val="yellow"/>
              </w:rPr>
            </w:pPr>
          </w:p>
        </w:tc>
        <w:tc>
          <w:tcPr>
            <w:tcW w:w="3683" w:type="dxa"/>
            <w:gridSpan w:val="2"/>
            <w:vMerge/>
            <w:tcBorders>
              <w:left w:val="single" w:sz="4" w:space="0" w:color="auto"/>
              <w:bottom w:val="single" w:sz="4" w:space="0" w:color="auto"/>
              <w:right w:val="single" w:sz="4" w:space="0" w:color="auto"/>
            </w:tcBorders>
            <w:shd w:val="clear" w:color="auto" w:fill="FFFFFF" w:themeFill="background1"/>
          </w:tcPr>
          <w:p w14:paraId="5283EED5" w14:textId="77777777" w:rsidR="00942E92" w:rsidRPr="00F2297B" w:rsidRDefault="00942E92" w:rsidP="00942E92">
            <w:pPr>
              <w:jc w:val="both"/>
              <w:rPr>
                <w:rFonts w:cs="Times New Roman"/>
                <w:sz w:val="20"/>
                <w:szCs w:val="20"/>
                <w:highlight w:val="yellow"/>
              </w:rPr>
            </w:pPr>
          </w:p>
        </w:tc>
        <w:tc>
          <w:tcPr>
            <w:tcW w:w="1704" w:type="dxa"/>
            <w:vMerge/>
            <w:tcBorders>
              <w:left w:val="single" w:sz="4" w:space="0" w:color="auto"/>
              <w:bottom w:val="single" w:sz="4" w:space="0" w:color="auto"/>
              <w:right w:val="single" w:sz="4" w:space="0" w:color="auto"/>
            </w:tcBorders>
            <w:shd w:val="clear" w:color="auto" w:fill="FFFFFF" w:themeFill="background1"/>
          </w:tcPr>
          <w:p w14:paraId="2A6E3586" w14:textId="77777777" w:rsidR="00942E92" w:rsidRPr="00F2297B" w:rsidRDefault="00942E92" w:rsidP="00942E92">
            <w:pPr>
              <w:ind w:left="-108" w:right="-108"/>
              <w:jc w:val="center"/>
              <w:rPr>
                <w:rFonts w:cs="Times New Roman"/>
                <w:sz w:val="20"/>
                <w:szCs w:val="20"/>
                <w:highlight w:val="yellow"/>
              </w:rPr>
            </w:pPr>
          </w:p>
        </w:tc>
        <w:tc>
          <w:tcPr>
            <w:tcW w:w="1984" w:type="dxa"/>
            <w:vMerge/>
            <w:tcBorders>
              <w:left w:val="single" w:sz="4" w:space="0" w:color="auto"/>
              <w:bottom w:val="single" w:sz="4" w:space="0" w:color="auto"/>
              <w:right w:val="single" w:sz="4" w:space="0" w:color="auto"/>
            </w:tcBorders>
            <w:shd w:val="clear" w:color="auto" w:fill="FFFFFF" w:themeFill="background1"/>
          </w:tcPr>
          <w:p w14:paraId="61082ED8" w14:textId="77777777" w:rsidR="00942E92" w:rsidRPr="00F2297B" w:rsidRDefault="00942E92" w:rsidP="00942E92">
            <w:pPr>
              <w:jc w:val="both"/>
              <w:rPr>
                <w:rFonts w:cs="Times New Roman"/>
                <w:sz w:val="20"/>
                <w:szCs w:val="20"/>
                <w:highlight w:val="yellow"/>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F9F428" w14:textId="77777777" w:rsidR="00942E92" w:rsidRPr="00454EA5" w:rsidRDefault="00942E92" w:rsidP="00942E92">
            <w:pPr>
              <w:jc w:val="both"/>
              <w:rPr>
                <w:rFonts w:cs="Times New Roman"/>
                <w:sz w:val="20"/>
                <w:szCs w:val="20"/>
              </w:rPr>
            </w:pPr>
            <w:r w:rsidRPr="00454EA5">
              <w:rPr>
                <w:rFonts w:cs="Times New Roman"/>
                <w:sz w:val="20"/>
                <w:szCs w:val="20"/>
              </w:rPr>
              <w:t>3. UR izveidota riskos balstīta pieeja, pārbaudot reģistrācijai iesniegto informāciju par patiesajiem labuma guvējiem, kas ietver automatizētu risku izvērtējumu, definētus riskus, kuriem iestājoties tiek: 1.ziņots par neparastu vai aizdomīgu darījumu; 2.tiek pagarināts reģistrācijas termiņš; 3.tiek atlikta vai atteikta reģistrācija.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185449" w14:textId="77777777" w:rsidR="00942E92" w:rsidRPr="00454EA5" w:rsidRDefault="00942E92" w:rsidP="002D63BE">
            <w:pPr>
              <w:jc w:val="center"/>
              <w:rPr>
                <w:rFonts w:cs="Times New Roman"/>
                <w:sz w:val="20"/>
                <w:szCs w:val="20"/>
              </w:rPr>
            </w:pPr>
            <w:r w:rsidRPr="00454EA5">
              <w:rPr>
                <w:rFonts w:cs="Times New Roman"/>
                <w:sz w:val="20"/>
                <w:szCs w:val="20"/>
              </w:rPr>
              <w:t>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63F5F" w14:textId="77777777" w:rsidR="00942E92" w:rsidRPr="00454EA5" w:rsidRDefault="00942E92" w:rsidP="002D63BE">
            <w:pPr>
              <w:jc w:val="center"/>
              <w:rPr>
                <w:rFonts w:cs="Times New Roman"/>
                <w:sz w:val="20"/>
                <w:szCs w:val="20"/>
              </w:rPr>
            </w:pPr>
            <w:r w:rsidRPr="00454EA5">
              <w:rPr>
                <w:rFonts w:cs="Times New Roman"/>
                <w:sz w:val="20"/>
                <w:szCs w:val="20"/>
              </w:rPr>
              <w:t>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9A0AF6" w14:textId="77777777" w:rsidR="00942E92" w:rsidRPr="00454EA5" w:rsidRDefault="00942E92" w:rsidP="00214CAE">
            <w:pPr>
              <w:jc w:val="center"/>
              <w:rPr>
                <w:sz w:val="20"/>
                <w:szCs w:val="20"/>
              </w:rPr>
            </w:pPr>
            <w:r w:rsidRPr="00454EA5">
              <w:rPr>
                <w:sz w:val="20"/>
                <w:szCs w:val="20"/>
              </w:rPr>
              <w:t>20</w:t>
            </w:r>
            <w:r w:rsidR="00214CAE">
              <w:rPr>
                <w:sz w:val="20"/>
                <w:szCs w:val="20"/>
              </w:rPr>
              <w:t>19</w:t>
            </w:r>
            <w:r w:rsidRPr="00454EA5">
              <w:rPr>
                <w:sz w:val="20"/>
                <w:szCs w:val="20"/>
              </w:rPr>
              <w:t>.gada 1.jūlijs</w:t>
            </w:r>
          </w:p>
        </w:tc>
      </w:tr>
      <w:tr w:rsidR="00942E92" w:rsidRPr="00FC0326" w14:paraId="050DB346" w14:textId="77777777" w:rsidTr="00FE237C">
        <w:trPr>
          <w:trHeight w:val="1952"/>
        </w:trPr>
        <w:tc>
          <w:tcPr>
            <w:tcW w:w="567" w:type="dxa"/>
            <w:shd w:val="clear" w:color="auto" w:fill="FFFFFF" w:themeFill="background1"/>
          </w:tcPr>
          <w:p w14:paraId="2499FAD9" w14:textId="77777777" w:rsidR="00942E92" w:rsidRPr="00FC0326" w:rsidRDefault="00942E92" w:rsidP="00942E92">
            <w:pPr>
              <w:rPr>
                <w:rFonts w:cs="Times New Roman"/>
                <w:sz w:val="20"/>
                <w:szCs w:val="20"/>
              </w:rPr>
            </w:pPr>
            <w:r w:rsidRPr="00FC0326">
              <w:rPr>
                <w:rFonts w:cs="Times New Roman"/>
                <w:sz w:val="20"/>
                <w:szCs w:val="20"/>
              </w:rPr>
              <w:t>5.3.</w:t>
            </w:r>
          </w:p>
        </w:tc>
        <w:tc>
          <w:tcPr>
            <w:tcW w:w="3683" w:type="dxa"/>
            <w:gridSpan w:val="2"/>
            <w:shd w:val="clear" w:color="auto" w:fill="FFFFFF" w:themeFill="background1"/>
          </w:tcPr>
          <w:p w14:paraId="42390A02" w14:textId="77777777" w:rsidR="00942E92" w:rsidRPr="00FC0326" w:rsidRDefault="00942E92" w:rsidP="00942E92">
            <w:pPr>
              <w:jc w:val="both"/>
              <w:rPr>
                <w:rFonts w:cs="Times New Roman"/>
                <w:sz w:val="20"/>
                <w:szCs w:val="20"/>
              </w:rPr>
            </w:pPr>
            <w:r w:rsidRPr="00FC0326">
              <w:rPr>
                <w:rFonts w:cs="Times New Roman"/>
                <w:sz w:val="20"/>
                <w:szCs w:val="20"/>
              </w:rPr>
              <w:t>Atbilstoši 5.1. punktā veiktajam izvērtējumam izveidota kārtība, kādā uzraudzības un kontroles iestādes informē atbildīgās institūcijas par gadījumiem, kad pastāv aizdomas par UR norādītās informācijas par patieso labumu guvēju neatbilstību.</w:t>
            </w:r>
          </w:p>
        </w:tc>
        <w:tc>
          <w:tcPr>
            <w:tcW w:w="1704" w:type="dxa"/>
            <w:shd w:val="clear" w:color="auto" w:fill="FFFFFF" w:themeFill="background1"/>
          </w:tcPr>
          <w:p w14:paraId="2141CAE4" w14:textId="77777777" w:rsidR="00942E92" w:rsidRPr="00FC0326" w:rsidRDefault="00942E92" w:rsidP="00EE1B29">
            <w:pPr>
              <w:ind w:left="-108" w:right="-108"/>
              <w:rPr>
                <w:rFonts w:cs="Times New Roman"/>
                <w:sz w:val="20"/>
                <w:szCs w:val="20"/>
              </w:rPr>
            </w:pPr>
            <w:r w:rsidRPr="00FC0326">
              <w:rPr>
                <w:rFonts w:cs="Times New Roman"/>
                <w:sz w:val="20"/>
                <w:szCs w:val="20"/>
              </w:rPr>
              <w:t>Moneyval rekomendācija 5.1.</w:t>
            </w:r>
          </w:p>
        </w:tc>
        <w:tc>
          <w:tcPr>
            <w:tcW w:w="1984" w:type="dxa"/>
            <w:shd w:val="clear" w:color="auto" w:fill="FFFFFF" w:themeFill="background1"/>
          </w:tcPr>
          <w:p w14:paraId="74115056" w14:textId="77777777" w:rsidR="00942E92" w:rsidRPr="00FC0326" w:rsidRDefault="00942E92" w:rsidP="00942E92">
            <w:pPr>
              <w:jc w:val="both"/>
              <w:rPr>
                <w:rFonts w:cs="Times New Roman"/>
                <w:sz w:val="20"/>
                <w:szCs w:val="20"/>
              </w:rPr>
            </w:pPr>
            <w:r w:rsidRPr="00FC0326">
              <w:rPr>
                <w:rFonts w:cs="Times New Roman"/>
                <w:sz w:val="20"/>
                <w:szCs w:val="20"/>
              </w:rPr>
              <w:t xml:space="preserve">UR saņem informāciju par neatbilstošu informāciju par patiesā labuma guvējiem  </w:t>
            </w:r>
          </w:p>
        </w:tc>
        <w:tc>
          <w:tcPr>
            <w:tcW w:w="2835" w:type="dxa"/>
            <w:shd w:val="clear" w:color="auto" w:fill="FFFFFF" w:themeFill="background1"/>
          </w:tcPr>
          <w:p w14:paraId="5743E655" w14:textId="77777777" w:rsidR="00942E92" w:rsidRPr="00FC0326" w:rsidRDefault="00942E92" w:rsidP="00942E92">
            <w:pPr>
              <w:jc w:val="both"/>
              <w:rPr>
                <w:rFonts w:cs="Times New Roman"/>
                <w:sz w:val="20"/>
                <w:szCs w:val="20"/>
              </w:rPr>
            </w:pPr>
            <w:r w:rsidRPr="00FC0326">
              <w:rPr>
                <w:rFonts w:cs="Times New Roman"/>
                <w:sz w:val="20"/>
                <w:szCs w:val="20"/>
              </w:rPr>
              <w:t xml:space="preserve">Izstrādāts informācijas apmaiņas mehānisms informācijas par patiesā labuma guvējiem pārbaudei </w:t>
            </w:r>
          </w:p>
        </w:tc>
        <w:tc>
          <w:tcPr>
            <w:tcW w:w="1134" w:type="dxa"/>
            <w:shd w:val="clear" w:color="auto" w:fill="FFFFFF" w:themeFill="background1"/>
          </w:tcPr>
          <w:p w14:paraId="62E824B7" w14:textId="77777777" w:rsidR="00942E92" w:rsidRPr="00FC0326" w:rsidRDefault="00942E92" w:rsidP="002D63BE">
            <w:pPr>
              <w:jc w:val="center"/>
              <w:rPr>
                <w:rFonts w:cs="Times New Roman"/>
                <w:sz w:val="20"/>
                <w:szCs w:val="20"/>
              </w:rPr>
            </w:pPr>
            <w:r w:rsidRPr="00FC0326">
              <w:rPr>
                <w:rFonts w:cs="Times New Roman"/>
                <w:sz w:val="20"/>
                <w:szCs w:val="20"/>
              </w:rPr>
              <w:t>TM</w:t>
            </w:r>
          </w:p>
        </w:tc>
        <w:tc>
          <w:tcPr>
            <w:tcW w:w="1276" w:type="dxa"/>
            <w:shd w:val="clear" w:color="auto" w:fill="FFFFFF" w:themeFill="background1"/>
          </w:tcPr>
          <w:p w14:paraId="7ED57883" w14:textId="77777777" w:rsidR="00942E92" w:rsidRPr="00FC0326" w:rsidRDefault="00942E92" w:rsidP="002D63BE">
            <w:pPr>
              <w:jc w:val="center"/>
              <w:rPr>
                <w:rFonts w:cs="Times New Roman"/>
                <w:sz w:val="20"/>
                <w:szCs w:val="20"/>
              </w:rPr>
            </w:pPr>
            <w:r w:rsidRPr="00FC0326">
              <w:rPr>
                <w:rFonts w:cs="Times New Roman"/>
                <w:sz w:val="20"/>
                <w:szCs w:val="20"/>
              </w:rPr>
              <w:t>UR, FKTK, VID, KD, LZNP, LZAP, LB, LZRA un NKMP</w:t>
            </w:r>
          </w:p>
        </w:tc>
        <w:tc>
          <w:tcPr>
            <w:tcW w:w="1701" w:type="dxa"/>
            <w:shd w:val="clear" w:color="auto" w:fill="FFFFFF" w:themeFill="background1"/>
          </w:tcPr>
          <w:p w14:paraId="5E7D3957" w14:textId="77777777" w:rsidR="00942E92" w:rsidRPr="00FC0326" w:rsidRDefault="00942E92" w:rsidP="002D63BE">
            <w:pPr>
              <w:jc w:val="center"/>
              <w:rPr>
                <w:rFonts w:cs="Times New Roman"/>
                <w:sz w:val="20"/>
                <w:szCs w:val="20"/>
              </w:rPr>
            </w:pPr>
            <w:r w:rsidRPr="00FC0326">
              <w:rPr>
                <w:rFonts w:cs="Times New Roman"/>
                <w:sz w:val="20"/>
                <w:szCs w:val="20"/>
              </w:rPr>
              <w:t>2020.gada 1.jūlijs</w:t>
            </w:r>
          </w:p>
        </w:tc>
      </w:tr>
      <w:tr w:rsidR="00942E92" w:rsidRPr="00FC0326" w14:paraId="206C76F9" w14:textId="77777777" w:rsidTr="00FE237C">
        <w:trPr>
          <w:trHeight w:val="850"/>
        </w:trPr>
        <w:tc>
          <w:tcPr>
            <w:tcW w:w="567" w:type="dxa"/>
            <w:shd w:val="clear" w:color="auto" w:fill="auto"/>
          </w:tcPr>
          <w:p w14:paraId="79A330C9" w14:textId="77777777" w:rsidR="00942E92" w:rsidRPr="00FC0326" w:rsidRDefault="00942E92" w:rsidP="00942E92">
            <w:pPr>
              <w:rPr>
                <w:rFonts w:cs="Times New Roman"/>
                <w:sz w:val="20"/>
                <w:szCs w:val="20"/>
              </w:rPr>
            </w:pPr>
            <w:r w:rsidRPr="00FC0326">
              <w:rPr>
                <w:rFonts w:cs="Times New Roman"/>
                <w:sz w:val="20"/>
                <w:szCs w:val="20"/>
              </w:rPr>
              <w:t>5.4.</w:t>
            </w:r>
          </w:p>
        </w:tc>
        <w:tc>
          <w:tcPr>
            <w:tcW w:w="3683" w:type="dxa"/>
            <w:gridSpan w:val="2"/>
            <w:shd w:val="clear" w:color="auto" w:fill="auto"/>
          </w:tcPr>
          <w:p w14:paraId="04937D3E" w14:textId="77777777" w:rsidR="00942E92" w:rsidRPr="00FC0326" w:rsidRDefault="00942E92" w:rsidP="00942E92">
            <w:pPr>
              <w:jc w:val="both"/>
              <w:rPr>
                <w:rFonts w:cs="Times New Roman"/>
                <w:sz w:val="20"/>
                <w:szCs w:val="20"/>
              </w:rPr>
            </w:pPr>
            <w:r w:rsidRPr="00FC0326">
              <w:rPr>
                <w:rFonts w:cs="Times New Roman"/>
                <w:sz w:val="20"/>
                <w:szCs w:val="20"/>
              </w:rPr>
              <w:t>Uzlabot normatīvo aktu par patiesā labuma guvēja identifikāciju un verifikāciju izpratni un piemērošanu finanšu un kapitāla tirgus dalībniekiem</w:t>
            </w:r>
          </w:p>
        </w:tc>
        <w:tc>
          <w:tcPr>
            <w:tcW w:w="1704" w:type="dxa"/>
            <w:shd w:val="clear" w:color="auto" w:fill="auto"/>
          </w:tcPr>
          <w:p w14:paraId="29386E7E" w14:textId="77777777" w:rsidR="00942E92" w:rsidRPr="00FC0326" w:rsidRDefault="00942E92" w:rsidP="00EE1B29">
            <w:pPr>
              <w:ind w:left="-108" w:right="-108"/>
              <w:rPr>
                <w:rFonts w:cs="Times New Roman"/>
                <w:sz w:val="20"/>
                <w:szCs w:val="20"/>
              </w:rPr>
            </w:pPr>
            <w:r w:rsidRPr="00FC0326">
              <w:rPr>
                <w:rFonts w:cs="Times New Roman"/>
                <w:sz w:val="20"/>
                <w:szCs w:val="20"/>
              </w:rPr>
              <w:t>Moneyval rekomendācija 5.1.</w:t>
            </w:r>
          </w:p>
        </w:tc>
        <w:tc>
          <w:tcPr>
            <w:tcW w:w="1984" w:type="dxa"/>
            <w:shd w:val="clear" w:color="auto" w:fill="auto"/>
          </w:tcPr>
          <w:p w14:paraId="74F3AFBD" w14:textId="77777777" w:rsidR="00942E92" w:rsidRPr="00FC0326" w:rsidRDefault="00942E92" w:rsidP="00942E92">
            <w:pPr>
              <w:jc w:val="both"/>
              <w:rPr>
                <w:rFonts w:cs="Times New Roman"/>
                <w:sz w:val="20"/>
                <w:szCs w:val="20"/>
              </w:rPr>
            </w:pPr>
            <w:r w:rsidRPr="00FC0326">
              <w:rPr>
                <w:rFonts w:cs="Times New Roman"/>
                <w:sz w:val="20"/>
                <w:szCs w:val="20"/>
              </w:rPr>
              <w:t xml:space="preserve">Uzlabota finanšu un kapitāla tirgus dalībnieku izpratne </w:t>
            </w:r>
          </w:p>
        </w:tc>
        <w:tc>
          <w:tcPr>
            <w:tcW w:w="2835" w:type="dxa"/>
            <w:shd w:val="clear" w:color="auto" w:fill="auto"/>
          </w:tcPr>
          <w:p w14:paraId="43A9C8F1" w14:textId="77777777" w:rsidR="00942E92" w:rsidRPr="00FC0326" w:rsidRDefault="00942E92" w:rsidP="00942E92">
            <w:pPr>
              <w:jc w:val="both"/>
              <w:rPr>
                <w:rFonts w:cs="Times New Roman"/>
                <w:sz w:val="20"/>
                <w:szCs w:val="20"/>
              </w:rPr>
            </w:pPr>
            <w:r w:rsidRPr="00FC0326">
              <w:rPr>
                <w:rFonts w:cs="Times New Roman"/>
                <w:sz w:val="20"/>
                <w:szCs w:val="20"/>
              </w:rPr>
              <w:t xml:space="preserve">Apzināta patiesā labuma guvēja identificēšanas  un verifikācijas problēmas un sniegtas vadlīnijas </w:t>
            </w:r>
          </w:p>
        </w:tc>
        <w:tc>
          <w:tcPr>
            <w:tcW w:w="1134" w:type="dxa"/>
            <w:shd w:val="clear" w:color="auto" w:fill="auto"/>
          </w:tcPr>
          <w:p w14:paraId="638E92F3" w14:textId="77777777" w:rsidR="00942E92" w:rsidRPr="00FC0326" w:rsidRDefault="00942E92" w:rsidP="002D63BE">
            <w:pPr>
              <w:jc w:val="center"/>
              <w:rPr>
                <w:rFonts w:cs="Times New Roman"/>
                <w:sz w:val="20"/>
                <w:szCs w:val="20"/>
              </w:rPr>
            </w:pPr>
            <w:r w:rsidRPr="00FC0326">
              <w:rPr>
                <w:rFonts w:cs="Times New Roman"/>
                <w:sz w:val="20"/>
                <w:szCs w:val="20"/>
              </w:rPr>
              <w:t>FKTK</w:t>
            </w:r>
          </w:p>
        </w:tc>
        <w:tc>
          <w:tcPr>
            <w:tcW w:w="1276" w:type="dxa"/>
            <w:shd w:val="clear" w:color="auto" w:fill="auto"/>
          </w:tcPr>
          <w:p w14:paraId="6FA86677" w14:textId="77777777" w:rsidR="00942E92" w:rsidRPr="00FC0326" w:rsidRDefault="00942E92" w:rsidP="002D63BE">
            <w:pPr>
              <w:jc w:val="center"/>
              <w:rPr>
                <w:rFonts w:cs="Times New Roman"/>
                <w:sz w:val="20"/>
                <w:szCs w:val="20"/>
              </w:rPr>
            </w:pPr>
          </w:p>
        </w:tc>
        <w:tc>
          <w:tcPr>
            <w:tcW w:w="1701" w:type="dxa"/>
            <w:shd w:val="clear" w:color="auto" w:fill="auto"/>
          </w:tcPr>
          <w:p w14:paraId="2A6FDC8B" w14:textId="77777777" w:rsidR="00942E92" w:rsidRPr="00FC0326" w:rsidRDefault="00942E92" w:rsidP="002D63BE">
            <w:pPr>
              <w:jc w:val="center"/>
              <w:rPr>
                <w:rFonts w:cs="Times New Roman"/>
                <w:sz w:val="20"/>
                <w:szCs w:val="20"/>
              </w:rPr>
            </w:pPr>
            <w:r w:rsidRPr="00FC0326">
              <w:rPr>
                <w:rFonts w:cs="Times New Roman"/>
                <w:sz w:val="20"/>
                <w:szCs w:val="20"/>
              </w:rPr>
              <w:t>2019.gada 1.aprīlis</w:t>
            </w:r>
          </w:p>
        </w:tc>
      </w:tr>
      <w:tr w:rsidR="00942E92" w:rsidRPr="00FC0326" w14:paraId="33D59AB5" w14:textId="77777777" w:rsidTr="00FE237C">
        <w:trPr>
          <w:trHeight w:val="85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C1CE3F4" w14:textId="77777777" w:rsidR="00942E92" w:rsidRPr="00FC0326" w:rsidRDefault="00942E92" w:rsidP="00942E92">
            <w:pPr>
              <w:rPr>
                <w:rFonts w:cs="Times New Roman"/>
                <w:sz w:val="20"/>
                <w:szCs w:val="20"/>
              </w:rPr>
            </w:pPr>
            <w:r w:rsidRPr="00FC0326">
              <w:rPr>
                <w:rFonts w:cs="Times New Roman"/>
                <w:sz w:val="20"/>
                <w:szCs w:val="20"/>
              </w:rPr>
              <w:t>5.5.</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tcPr>
          <w:p w14:paraId="7B61FC00" w14:textId="77777777" w:rsidR="00942E92" w:rsidRPr="00FC0326" w:rsidRDefault="00942E92" w:rsidP="00942E92">
            <w:pPr>
              <w:jc w:val="both"/>
              <w:rPr>
                <w:rFonts w:cs="Times New Roman"/>
                <w:sz w:val="20"/>
                <w:szCs w:val="20"/>
              </w:rPr>
            </w:pPr>
            <w:r w:rsidRPr="00FC0326">
              <w:rPr>
                <w:rFonts w:cs="Times New Roman"/>
                <w:sz w:val="20"/>
                <w:szCs w:val="20"/>
              </w:rPr>
              <w:t>Patiesā labuma guvēju sliekšņa samazinājums no 25 % līdz 10% vai sektoram pielāgota sliekšņa ieviešana, atsevišķa sliekšņa noteikšana politiski nozīmīgām personām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90D8FA5" w14:textId="77777777" w:rsidR="00942E92" w:rsidRPr="00FC0326" w:rsidRDefault="00942E92" w:rsidP="00EE1B29">
            <w:pPr>
              <w:ind w:left="-108" w:right="-108"/>
              <w:rPr>
                <w:rFonts w:cs="Times New Roman"/>
                <w:sz w:val="20"/>
                <w:szCs w:val="20"/>
              </w:rPr>
            </w:pPr>
            <w:r w:rsidRPr="00FC0326">
              <w:rPr>
                <w:rFonts w:cs="Times New Roman"/>
                <w:sz w:val="20"/>
                <w:szCs w:val="20"/>
              </w:rPr>
              <w:t xml:space="preserve">Moneyval rekomendācija 5.1., </w:t>
            </w:r>
            <w:r>
              <w:rPr>
                <w:rFonts w:cs="Times New Roman"/>
                <w:sz w:val="20"/>
                <w:szCs w:val="20"/>
              </w:rPr>
              <w:t>FSAP papildus pasākumi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4CB2B1" w14:textId="77777777" w:rsidR="00942E92" w:rsidRPr="00FC0326" w:rsidRDefault="00942E92" w:rsidP="00505985">
            <w:pPr>
              <w:rPr>
                <w:rFonts w:cs="Times New Roman"/>
                <w:sz w:val="20"/>
                <w:szCs w:val="20"/>
              </w:rPr>
            </w:pPr>
            <w:r w:rsidRPr="00FC0326">
              <w:rPr>
                <w:rFonts w:cs="Times New Roman"/>
                <w:sz w:val="20"/>
                <w:szCs w:val="20"/>
              </w:rPr>
              <w:t>Sagatavots izvērtējums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6FEC9E" w14:textId="77777777" w:rsidR="00942E92" w:rsidRPr="00FC0326" w:rsidRDefault="00942E92" w:rsidP="00942E92">
            <w:pPr>
              <w:jc w:val="both"/>
              <w:rPr>
                <w:rFonts w:cs="Times New Roman"/>
                <w:sz w:val="20"/>
                <w:szCs w:val="20"/>
              </w:rPr>
            </w:pPr>
            <w:r w:rsidRPr="00FC0326">
              <w:rPr>
                <w:rFonts w:cs="Times New Roman"/>
                <w:sz w:val="20"/>
                <w:szCs w:val="20"/>
              </w:rPr>
              <w:t xml:space="preserve">Izvērtējums iesniegts izskatīšanai FSAP sēdē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D54BB4" w14:textId="77777777" w:rsidR="00942E92" w:rsidRPr="00FC0326" w:rsidRDefault="00942E92" w:rsidP="002D63BE">
            <w:pPr>
              <w:jc w:val="center"/>
              <w:rPr>
                <w:rFonts w:cs="Times New Roman"/>
                <w:sz w:val="20"/>
                <w:szCs w:val="20"/>
              </w:rPr>
            </w:pPr>
            <w:r w:rsidRPr="00FC0326">
              <w:rPr>
                <w:rFonts w:cs="Times New Roman"/>
                <w:sz w:val="20"/>
                <w:szCs w:val="20"/>
              </w:rPr>
              <w:t>FM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C61E39" w14:textId="77777777" w:rsidR="00942E92" w:rsidRPr="00FC0326" w:rsidRDefault="00942E92" w:rsidP="002D63BE">
            <w:pPr>
              <w:jc w:val="center"/>
              <w:rPr>
                <w:rFonts w:cs="Times New Roman"/>
                <w:sz w:val="20"/>
                <w:szCs w:val="20"/>
              </w:rPr>
            </w:pPr>
            <w:r w:rsidRPr="00FC0326">
              <w:rPr>
                <w:rFonts w:cs="Times New Roman"/>
                <w:sz w:val="20"/>
                <w:szCs w:val="20"/>
              </w:rPr>
              <w:t>TM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821E69" w14:textId="77777777" w:rsidR="00942E92" w:rsidRPr="00FC0326" w:rsidRDefault="00942E92" w:rsidP="00FE237C">
            <w:pPr>
              <w:jc w:val="center"/>
              <w:rPr>
                <w:rFonts w:cs="Times New Roman"/>
                <w:sz w:val="20"/>
                <w:szCs w:val="20"/>
              </w:rPr>
            </w:pPr>
            <w:r w:rsidRPr="00FC0326">
              <w:rPr>
                <w:rFonts w:cs="Times New Roman"/>
                <w:sz w:val="20"/>
                <w:szCs w:val="20"/>
              </w:rPr>
              <w:t xml:space="preserve">2018.gada </w:t>
            </w:r>
            <w:r w:rsidR="00FE237C">
              <w:rPr>
                <w:rFonts w:cs="Times New Roman"/>
                <w:sz w:val="20"/>
                <w:szCs w:val="20"/>
              </w:rPr>
              <w:t>28</w:t>
            </w:r>
            <w:r w:rsidRPr="00FC0326">
              <w:rPr>
                <w:rFonts w:cs="Times New Roman"/>
                <w:sz w:val="20"/>
                <w:szCs w:val="20"/>
              </w:rPr>
              <w:t>.decembris</w:t>
            </w:r>
          </w:p>
        </w:tc>
      </w:tr>
      <w:tr w:rsidR="00942E92" w:rsidRPr="00FC0326" w14:paraId="322FDF71" w14:textId="77777777" w:rsidTr="00FE237C">
        <w:trPr>
          <w:trHeight w:val="85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9CCF46" w14:textId="77777777" w:rsidR="00942E92" w:rsidRPr="00FC0326" w:rsidRDefault="00942E92" w:rsidP="00942E92">
            <w:pPr>
              <w:rPr>
                <w:rFonts w:cs="Times New Roman"/>
                <w:sz w:val="20"/>
                <w:szCs w:val="20"/>
              </w:rPr>
            </w:pPr>
            <w:r w:rsidRPr="00FC0326">
              <w:rPr>
                <w:rFonts w:cs="Times New Roman"/>
                <w:sz w:val="20"/>
                <w:szCs w:val="20"/>
              </w:rPr>
              <w:t>5.6.</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tcPr>
          <w:p w14:paraId="2EC868C7" w14:textId="77777777" w:rsidR="00942E92" w:rsidRPr="00FC0326" w:rsidRDefault="00942E92" w:rsidP="00942E92">
            <w:pPr>
              <w:jc w:val="both"/>
              <w:rPr>
                <w:rFonts w:cs="Times New Roman"/>
                <w:sz w:val="20"/>
                <w:szCs w:val="20"/>
              </w:rPr>
            </w:pPr>
            <w:r w:rsidRPr="00FC0326">
              <w:rPr>
                <w:rFonts w:cs="Times New Roman"/>
                <w:sz w:val="20"/>
                <w:szCs w:val="20"/>
              </w:rPr>
              <w:t xml:space="preserve">Mehānisma ieviešana nominālo direktoru identificēšanai patiesā labuma guvēju reģistrā. NILLTFNL pieļauj par uzņēmuma patiesā labuma guvēju uzskatīt personu, kura ieņem amatu augstākās pārvaldības institūcijā, ja patiesā labuma guvēju nav </w:t>
            </w:r>
            <w:r w:rsidRPr="00FC0326">
              <w:rPr>
                <w:rFonts w:cs="Times New Roman"/>
                <w:sz w:val="20"/>
                <w:szCs w:val="20"/>
              </w:rPr>
              <w:lastRenderedPageBreak/>
              <w:t>iespējams noskaidrot. Šādas personas var būt ārzonu uzņēmumu iecelti nominālie direktori bez reālas kontroles pār uzņēmumu. Tas apgrūtina naudas atmazgāšanas risku novērtēšanu, tāpēc nominālie direktori būtu uzskatāmi norādāmi uzņēmumu reģistrā. Par to panākta vienošanās arī sarunās par jauno Eiropas direktīvu naudas atmazgāšanas novēršanas jomā (5AMLD) 2017.gada decembrī.</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68648C" w14:textId="77777777" w:rsidR="00942E92" w:rsidRPr="00FC0326" w:rsidRDefault="00942E92" w:rsidP="00EE1B29">
            <w:pPr>
              <w:ind w:left="-108" w:right="-108"/>
              <w:rPr>
                <w:rFonts w:cs="Times New Roman"/>
                <w:sz w:val="20"/>
                <w:szCs w:val="20"/>
              </w:rPr>
            </w:pPr>
            <w:r w:rsidRPr="00FC0326">
              <w:rPr>
                <w:rFonts w:cs="Times New Roman"/>
                <w:sz w:val="20"/>
                <w:szCs w:val="20"/>
              </w:rPr>
              <w:lastRenderedPageBreak/>
              <w:t>Moneyval rekomendācija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E628ED" w14:textId="77777777" w:rsidR="00942E92" w:rsidRPr="00FC0326" w:rsidRDefault="00942E92" w:rsidP="00942E92">
            <w:pPr>
              <w:jc w:val="both"/>
              <w:rPr>
                <w:rFonts w:cs="Times New Roman"/>
                <w:sz w:val="20"/>
                <w:szCs w:val="20"/>
              </w:rPr>
            </w:pPr>
            <w:r w:rsidRPr="00FC0326">
              <w:rPr>
                <w:rFonts w:cs="Times New Roman"/>
                <w:sz w:val="20"/>
                <w:szCs w:val="20"/>
              </w:rPr>
              <w:t>Sagatavots izvērtējums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BCCC4F" w14:textId="77777777" w:rsidR="00942E92" w:rsidRPr="00FC0326" w:rsidRDefault="00942E92" w:rsidP="00942E92">
            <w:pPr>
              <w:jc w:val="both"/>
              <w:rPr>
                <w:rFonts w:cs="Times New Roman"/>
                <w:b/>
                <w:sz w:val="20"/>
                <w:szCs w:val="20"/>
              </w:rPr>
            </w:pPr>
            <w:r w:rsidRPr="00FC0326">
              <w:rPr>
                <w:rFonts w:cs="Times New Roman"/>
                <w:sz w:val="20"/>
                <w:szCs w:val="20"/>
              </w:rPr>
              <w:t>Izvērtējums iesniegts izskatīšanai FSAP sēdē</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F6E617" w14:textId="77777777" w:rsidR="00942E92" w:rsidRPr="00FC0326" w:rsidRDefault="00942E92" w:rsidP="002D63BE">
            <w:pPr>
              <w:jc w:val="center"/>
              <w:rPr>
                <w:rFonts w:cs="Times New Roman"/>
                <w:sz w:val="20"/>
                <w:szCs w:val="20"/>
              </w:rPr>
            </w:pPr>
            <w:r w:rsidRPr="00FC0326">
              <w:rPr>
                <w:rFonts w:cs="Times New Roman"/>
                <w:sz w:val="20"/>
                <w:szCs w:val="20"/>
              </w:rPr>
              <w:t>FM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5CFB5" w14:textId="77777777" w:rsidR="00942E92" w:rsidRPr="00FC0326" w:rsidRDefault="00942E92" w:rsidP="002D63BE">
            <w:pPr>
              <w:jc w:val="center"/>
              <w:rPr>
                <w:rFonts w:cs="Times New Roman"/>
                <w:sz w:val="20"/>
                <w:szCs w:val="20"/>
              </w:rPr>
            </w:pPr>
            <w:r w:rsidRPr="00FC0326">
              <w:rPr>
                <w:rFonts w:cs="Times New Roman"/>
                <w:sz w:val="20"/>
                <w:szCs w:val="20"/>
              </w:rPr>
              <w:t>TM, FKTK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5E13F2" w14:textId="77777777" w:rsidR="00942E92" w:rsidRPr="00FC0326" w:rsidRDefault="00942E92" w:rsidP="00FE237C">
            <w:pPr>
              <w:jc w:val="center"/>
              <w:rPr>
                <w:rFonts w:cs="Times New Roman"/>
                <w:sz w:val="20"/>
                <w:szCs w:val="20"/>
              </w:rPr>
            </w:pPr>
            <w:r w:rsidRPr="00FC0326">
              <w:rPr>
                <w:rFonts w:cs="Times New Roman"/>
                <w:sz w:val="20"/>
                <w:szCs w:val="20"/>
              </w:rPr>
              <w:t xml:space="preserve">2018.gada </w:t>
            </w:r>
            <w:r w:rsidR="00FE237C">
              <w:rPr>
                <w:rFonts w:cs="Times New Roman"/>
                <w:sz w:val="20"/>
                <w:szCs w:val="20"/>
              </w:rPr>
              <w:t>28</w:t>
            </w:r>
            <w:r w:rsidRPr="00FC0326">
              <w:rPr>
                <w:rFonts w:cs="Times New Roman"/>
                <w:sz w:val="20"/>
                <w:szCs w:val="20"/>
              </w:rPr>
              <w:t>.decembris</w:t>
            </w:r>
          </w:p>
        </w:tc>
      </w:tr>
      <w:tr w:rsidR="00942E92" w:rsidRPr="00FC0326" w14:paraId="60F2A28D" w14:textId="77777777" w:rsidTr="00FE237C">
        <w:trPr>
          <w:trHeight w:val="1952"/>
        </w:trPr>
        <w:tc>
          <w:tcPr>
            <w:tcW w:w="567" w:type="dxa"/>
            <w:shd w:val="clear" w:color="auto" w:fill="FFFFFF" w:themeFill="background1"/>
          </w:tcPr>
          <w:p w14:paraId="719BB230" w14:textId="77777777" w:rsidR="00942E92" w:rsidRPr="00FC0326" w:rsidRDefault="00942E92" w:rsidP="00942E92">
            <w:pPr>
              <w:rPr>
                <w:rFonts w:cs="Times New Roman"/>
                <w:sz w:val="20"/>
                <w:szCs w:val="20"/>
              </w:rPr>
            </w:pPr>
            <w:r w:rsidRPr="00FC0326">
              <w:rPr>
                <w:rFonts w:cs="Times New Roman"/>
                <w:sz w:val="20"/>
                <w:szCs w:val="20"/>
              </w:rPr>
              <w:t>5.7.</w:t>
            </w:r>
          </w:p>
        </w:tc>
        <w:tc>
          <w:tcPr>
            <w:tcW w:w="3683" w:type="dxa"/>
            <w:gridSpan w:val="2"/>
            <w:shd w:val="clear" w:color="auto" w:fill="FFFFFF" w:themeFill="background1"/>
          </w:tcPr>
          <w:p w14:paraId="7D0FC7DB" w14:textId="77777777" w:rsidR="00942E92" w:rsidRPr="00FC0326" w:rsidRDefault="00942E92" w:rsidP="00942E92">
            <w:pPr>
              <w:jc w:val="both"/>
              <w:rPr>
                <w:rFonts w:cs="Times New Roman"/>
                <w:sz w:val="20"/>
                <w:szCs w:val="20"/>
              </w:rPr>
            </w:pPr>
            <w:r w:rsidRPr="00FC0326">
              <w:rPr>
                <w:rFonts w:cs="Times New Roman"/>
                <w:sz w:val="20"/>
                <w:szCs w:val="20"/>
              </w:rPr>
              <w:t>Notāru informācijas sistēmā (NIS) ieviests tiešsaistes savienojums ar UR reģistriem, lai uzlabotu informācijas, kas nepieciešama juridisko personu patieso labuma guvēju pārbaudei pieejamību</w:t>
            </w:r>
          </w:p>
        </w:tc>
        <w:tc>
          <w:tcPr>
            <w:tcW w:w="1704" w:type="dxa"/>
            <w:shd w:val="clear" w:color="auto" w:fill="FFFFFF" w:themeFill="background1"/>
          </w:tcPr>
          <w:p w14:paraId="61731677" w14:textId="77777777" w:rsidR="00942E92" w:rsidRPr="00FC0326" w:rsidRDefault="00942E92" w:rsidP="00EE1B29">
            <w:pPr>
              <w:ind w:left="-108" w:right="-108"/>
              <w:rPr>
                <w:rFonts w:cs="Times New Roman"/>
                <w:sz w:val="20"/>
                <w:szCs w:val="20"/>
              </w:rPr>
            </w:pPr>
            <w:r w:rsidRPr="00FC0326">
              <w:rPr>
                <w:rFonts w:cs="Times New Roman"/>
                <w:sz w:val="20"/>
                <w:szCs w:val="20"/>
              </w:rPr>
              <w:t>Moneyval rekomendācija 5.2.</w:t>
            </w:r>
          </w:p>
        </w:tc>
        <w:tc>
          <w:tcPr>
            <w:tcW w:w="1984" w:type="dxa"/>
            <w:shd w:val="clear" w:color="auto" w:fill="FFFFFF" w:themeFill="background1"/>
          </w:tcPr>
          <w:p w14:paraId="1731C174" w14:textId="77777777" w:rsidR="00942E92" w:rsidRPr="00FC0326" w:rsidRDefault="00942E92" w:rsidP="00942E92">
            <w:pPr>
              <w:jc w:val="both"/>
              <w:rPr>
                <w:rFonts w:cs="Times New Roman"/>
                <w:sz w:val="20"/>
                <w:szCs w:val="20"/>
              </w:rPr>
            </w:pPr>
            <w:r w:rsidRPr="00FC0326">
              <w:rPr>
                <w:rFonts w:cs="Times New Roman"/>
                <w:sz w:val="20"/>
                <w:szCs w:val="20"/>
              </w:rPr>
              <w:t>Veikti pielāgojumi Notāru informācijas sistēmā (NIS), lai nodrošinātu informācijas par patiesajiem labuma guvējiem no UR saņemšanu tiešsaistē.</w:t>
            </w:r>
          </w:p>
          <w:p w14:paraId="6AD73A08" w14:textId="77777777" w:rsidR="00942E92" w:rsidRPr="00FC0326" w:rsidRDefault="00942E92" w:rsidP="00942E92">
            <w:pPr>
              <w:jc w:val="both"/>
              <w:rPr>
                <w:rFonts w:cs="Times New Roman"/>
                <w:sz w:val="20"/>
                <w:szCs w:val="20"/>
              </w:rPr>
            </w:pPr>
          </w:p>
        </w:tc>
        <w:tc>
          <w:tcPr>
            <w:tcW w:w="2835" w:type="dxa"/>
            <w:shd w:val="clear" w:color="auto" w:fill="FFFFFF" w:themeFill="background1"/>
          </w:tcPr>
          <w:p w14:paraId="5DDA3C44" w14:textId="77777777" w:rsidR="00942E92" w:rsidRPr="00FC0326" w:rsidRDefault="00942E92" w:rsidP="00942E92">
            <w:pPr>
              <w:jc w:val="both"/>
              <w:rPr>
                <w:rFonts w:cs="Times New Roman"/>
                <w:sz w:val="20"/>
                <w:szCs w:val="20"/>
              </w:rPr>
            </w:pPr>
            <w:r w:rsidRPr="00FC0326">
              <w:rPr>
                <w:rFonts w:cs="Times New Roman"/>
                <w:sz w:val="20"/>
                <w:szCs w:val="20"/>
              </w:rPr>
              <w:t>Izveidots tiešsaistes rīks Notāru informācijas sistēmā (NIS) patiesā labuma guvēja noskaidrošanai UR reģistros.</w:t>
            </w:r>
          </w:p>
          <w:p w14:paraId="1846E42F" w14:textId="77777777" w:rsidR="00942E92" w:rsidRPr="00FC0326" w:rsidRDefault="00942E92" w:rsidP="00942E92">
            <w:pPr>
              <w:jc w:val="both"/>
              <w:rPr>
                <w:rFonts w:cs="Times New Roman"/>
                <w:sz w:val="20"/>
                <w:szCs w:val="20"/>
              </w:rPr>
            </w:pPr>
          </w:p>
          <w:p w14:paraId="72AC8CA1" w14:textId="77777777" w:rsidR="00942E92" w:rsidRPr="00FC0326" w:rsidRDefault="00942E92" w:rsidP="00942E92">
            <w:pPr>
              <w:jc w:val="both"/>
              <w:rPr>
                <w:rFonts w:cs="Times New Roman"/>
                <w:sz w:val="20"/>
                <w:szCs w:val="20"/>
              </w:rPr>
            </w:pPr>
          </w:p>
        </w:tc>
        <w:tc>
          <w:tcPr>
            <w:tcW w:w="1134" w:type="dxa"/>
            <w:shd w:val="clear" w:color="auto" w:fill="FFFFFF" w:themeFill="background1"/>
          </w:tcPr>
          <w:p w14:paraId="609BE71C" w14:textId="77777777" w:rsidR="00942E92" w:rsidRPr="00FC0326" w:rsidRDefault="00942E92" w:rsidP="002D63BE">
            <w:pPr>
              <w:jc w:val="center"/>
              <w:rPr>
                <w:rFonts w:cs="Times New Roman"/>
                <w:sz w:val="20"/>
                <w:szCs w:val="20"/>
              </w:rPr>
            </w:pPr>
            <w:r w:rsidRPr="00FC0326">
              <w:rPr>
                <w:rFonts w:cs="Times New Roman"/>
                <w:sz w:val="20"/>
                <w:szCs w:val="20"/>
              </w:rPr>
              <w:t>LZNP</w:t>
            </w:r>
          </w:p>
        </w:tc>
        <w:tc>
          <w:tcPr>
            <w:tcW w:w="1276" w:type="dxa"/>
            <w:shd w:val="clear" w:color="auto" w:fill="FFFFFF" w:themeFill="background1"/>
          </w:tcPr>
          <w:p w14:paraId="57FE094B" w14:textId="77777777" w:rsidR="00942E92" w:rsidRPr="00FC0326" w:rsidRDefault="00942E92" w:rsidP="002D63BE">
            <w:pPr>
              <w:jc w:val="center"/>
              <w:rPr>
                <w:rFonts w:cs="Times New Roman"/>
                <w:sz w:val="20"/>
                <w:szCs w:val="20"/>
              </w:rPr>
            </w:pPr>
            <w:r w:rsidRPr="00FC0326">
              <w:rPr>
                <w:rFonts w:cs="Times New Roman"/>
                <w:sz w:val="20"/>
                <w:szCs w:val="20"/>
              </w:rPr>
              <w:t>UR</w:t>
            </w:r>
          </w:p>
        </w:tc>
        <w:tc>
          <w:tcPr>
            <w:tcW w:w="1701" w:type="dxa"/>
            <w:shd w:val="clear" w:color="auto" w:fill="FFFFFF" w:themeFill="background1"/>
          </w:tcPr>
          <w:p w14:paraId="47B76035" w14:textId="77777777" w:rsidR="00942E92" w:rsidRPr="00FC0326" w:rsidRDefault="00942E92" w:rsidP="00FE237C">
            <w:pPr>
              <w:jc w:val="center"/>
              <w:rPr>
                <w:rFonts w:cs="Times New Roman"/>
                <w:sz w:val="20"/>
                <w:szCs w:val="20"/>
              </w:rPr>
            </w:pPr>
            <w:r w:rsidRPr="00FC0326">
              <w:rPr>
                <w:rFonts w:cs="Times New Roman"/>
                <w:sz w:val="20"/>
                <w:szCs w:val="20"/>
              </w:rPr>
              <w:t xml:space="preserve">2019.gada </w:t>
            </w:r>
            <w:r w:rsidR="00FE237C">
              <w:rPr>
                <w:rFonts w:cs="Times New Roman"/>
                <w:sz w:val="20"/>
                <w:szCs w:val="20"/>
              </w:rPr>
              <w:t>28</w:t>
            </w:r>
            <w:r w:rsidRPr="00FC0326">
              <w:rPr>
                <w:rFonts w:cs="Times New Roman"/>
                <w:sz w:val="20"/>
                <w:szCs w:val="20"/>
              </w:rPr>
              <w:t>.decembris</w:t>
            </w:r>
          </w:p>
        </w:tc>
      </w:tr>
      <w:tr w:rsidR="00942E92" w:rsidRPr="00FC0326" w14:paraId="2CF9FF92" w14:textId="77777777" w:rsidTr="00FE237C">
        <w:trPr>
          <w:trHeight w:val="841"/>
        </w:trPr>
        <w:tc>
          <w:tcPr>
            <w:tcW w:w="567" w:type="dxa"/>
            <w:vMerge w:val="restart"/>
            <w:shd w:val="clear" w:color="auto" w:fill="FFFFFF" w:themeFill="background1"/>
          </w:tcPr>
          <w:p w14:paraId="5752D822" w14:textId="77777777" w:rsidR="00942E92" w:rsidRPr="00FC0326" w:rsidRDefault="00942E92" w:rsidP="00942E92">
            <w:pPr>
              <w:rPr>
                <w:rFonts w:cs="Times New Roman"/>
                <w:sz w:val="20"/>
                <w:szCs w:val="20"/>
              </w:rPr>
            </w:pPr>
            <w:r w:rsidRPr="00FC0326">
              <w:rPr>
                <w:rFonts w:cs="Times New Roman"/>
                <w:sz w:val="20"/>
                <w:szCs w:val="20"/>
              </w:rPr>
              <w:t>5.8.</w:t>
            </w:r>
          </w:p>
        </w:tc>
        <w:tc>
          <w:tcPr>
            <w:tcW w:w="3683" w:type="dxa"/>
            <w:gridSpan w:val="2"/>
            <w:vMerge w:val="restart"/>
            <w:shd w:val="clear" w:color="auto" w:fill="FFFFFF" w:themeFill="background1"/>
          </w:tcPr>
          <w:p w14:paraId="203A732F" w14:textId="77777777" w:rsidR="00942E92" w:rsidRPr="00FC0326" w:rsidRDefault="00942E92" w:rsidP="00942E92">
            <w:pPr>
              <w:spacing w:after="160" w:line="259" w:lineRule="auto"/>
              <w:ind w:right="34"/>
              <w:jc w:val="both"/>
              <w:rPr>
                <w:rFonts w:cs="Times New Roman"/>
                <w:sz w:val="20"/>
                <w:szCs w:val="20"/>
              </w:rPr>
            </w:pPr>
            <w:r w:rsidRPr="00FC0326">
              <w:rPr>
                <w:rFonts w:cs="Times New Roman"/>
                <w:sz w:val="20"/>
                <w:szCs w:val="20"/>
              </w:rPr>
              <w:t>No UR vestā komercreģistra izslēgtas īpaši augsta riska komercsabiedrības, kas nav atklājušas to patiesos labuma guvējus</w:t>
            </w:r>
          </w:p>
        </w:tc>
        <w:tc>
          <w:tcPr>
            <w:tcW w:w="1704" w:type="dxa"/>
            <w:vMerge w:val="restart"/>
            <w:shd w:val="clear" w:color="auto" w:fill="FFFFFF" w:themeFill="background1"/>
          </w:tcPr>
          <w:p w14:paraId="7D619BF3" w14:textId="77777777" w:rsidR="00942E92" w:rsidRPr="00FC0326" w:rsidRDefault="00942E92" w:rsidP="00EE1B29">
            <w:pPr>
              <w:ind w:left="-108" w:right="-108"/>
              <w:rPr>
                <w:rFonts w:cs="Times New Roman"/>
                <w:sz w:val="20"/>
                <w:szCs w:val="20"/>
              </w:rPr>
            </w:pPr>
            <w:r w:rsidRPr="00FC0326">
              <w:rPr>
                <w:rFonts w:cs="Times New Roman"/>
                <w:sz w:val="20"/>
                <w:szCs w:val="20"/>
              </w:rPr>
              <w:t>Moneyval rekomendācija 5.2.</w:t>
            </w:r>
          </w:p>
        </w:tc>
        <w:tc>
          <w:tcPr>
            <w:tcW w:w="1984" w:type="dxa"/>
            <w:shd w:val="clear" w:color="auto" w:fill="FFFFFF" w:themeFill="background1"/>
          </w:tcPr>
          <w:p w14:paraId="24A8BD3A" w14:textId="77777777" w:rsidR="00942E92" w:rsidRPr="00FC0326" w:rsidRDefault="00942E92" w:rsidP="00942E92">
            <w:pPr>
              <w:jc w:val="both"/>
              <w:rPr>
                <w:rFonts w:cs="Times New Roman"/>
                <w:sz w:val="20"/>
                <w:szCs w:val="20"/>
              </w:rPr>
            </w:pPr>
            <w:r w:rsidRPr="00FC0326">
              <w:rPr>
                <w:rFonts w:cs="Times New Roman"/>
                <w:sz w:val="20"/>
                <w:szCs w:val="20"/>
              </w:rPr>
              <w:t xml:space="preserve">1. Nodrošināta faktiski neaktīvo komercsabiedrību izslēgšana no komercreģistra. Komercsabiedrības, kuras faktiski neveic saimniecisko darbību ir uzskatāmas par riskantām un to izmantošana noziedzīgiem nolūkiem ir izplatīta. 15.08.2018. komercreģistrā bija reģistrētas 9156 komercsabiedrības, kuras atbilstoši </w:t>
            </w:r>
            <w:r w:rsidRPr="00FC0326">
              <w:rPr>
                <w:rFonts w:cs="Times New Roman"/>
                <w:sz w:val="20"/>
                <w:szCs w:val="20"/>
              </w:rPr>
              <w:lastRenderedPageBreak/>
              <w:t>normatīvajam regulējumam būtu izslēdzamas no komercreģistra vienkāršotās likvidācijas kārtībā.</w:t>
            </w:r>
          </w:p>
        </w:tc>
        <w:tc>
          <w:tcPr>
            <w:tcW w:w="2835" w:type="dxa"/>
            <w:shd w:val="clear" w:color="auto" w:fill="FFFFFF" w:themeFill="background1"/>
          </w:tcPr>
          <w:p w14:paraId="78702EF6" w14:textId="77777777" w:rsidR="00942E92" w:rsidRPr="00FC0326" w:rsidRDefault="00405F7F" w:rsidP="00942E92">
            <w:pPr>
              <w:jc w:val="both"/>
              <w:rPr>
                <w:rFonts w:cs="Times New Roman"/>
                <w:sz w:val="20"/>
                <w:szCs w:val="20"/>
              </w:rPr>
            </w:pPr>
            <w:r>
              <w:rPr>
                <w:rFonts w:cs="Times New Roman"/>
                <w:sz w:val="20"/>
                <w:szCs w:val="20"/>
              </w:rPr>
              <w:lastRenderedPageBreak/>
              <w:t>1.</w:t>
            </w:r>
            <w:r w:rsidR="00942E92" w:rsidRPr="00FC0326">
              <w:rPr>
                <w:rFonts w:cs="Times New Roman"/>
                <w:sz w:val="20"/>
                <w:szCs w:val="20"/>
              </w:rPr>
              <w:t>No komercreģistra izslēgta 9156  līdz 15.08.2018. identificētās neaktīvās komercsabiedrības.</w:t>
            </w:r>
          </w:p>
        </w:tc>
        <w:tc>
          <w:tcPr>
            <w:tcW w:w="1134" w:type="dxa"/>
            <w:shd w:val="clear" w:color="auto" w:fill="FFFFFF" w:themeFill="background1"/>
          </w:tcPr>
          <w:p w14:paraId="02C68BDB" w14:textId="77777777" w:rsidR="00942E92" w:rsidRPr="00FC0326" w:rsidRDefault="00942E92" w:rsidP="002D63BE">
            <w:pPr>
              <w:jc w:val="center"/>
              <w:rPr>
                <w:rFonts w:cs="Times New Roman"/>
                <w:sz w:val="20"/>
                <w:szCs w:val="20"/>
              </w:rPr>
            </w:pPr>
            <w:r w:rsidRPr="00FC0326">
              <w:rPr>
                <w:rFonts w:cs="Times New Roman"/>
                <w:sz w:val="20"/>
                <w:szCs w:val="20"/>
              </w:rPr>
              <w:t>TM (UR)</w:t>
            </w:r>
          </w:p>
        </w:tc>
        <w:tc>
          <w:tcPr>
            <w:tcW w:w="1276" w:type="dxa"/>
            <w:shd w:val="clear" w:color="auto" w:fill="FFFFFF" w:themeFill="background1"/>
          </w:tcPr>
          <w:p w14:paraId="15F00709" w14:textId="77777777" w:rsidR="00942E92" w:rsidRPr="00FC0326" w:rsidRDefault="00942E92" w:rsidP="002D63BE">
            <w:pPr>
              <w:jc w:val="center"/>
              <w:rPr>
                <w:rFonts w:cs="Times New Roman"/>
                <w:sz w:val="20"/>
                <w:szCs w:val="20"/>
              </w:rPr>
            </w:pPr>
            <w:r w:rsidRPr="00FC0326">
              <w:rPr>
                <w:rFonts w:cs="Times New Roman"/>
                <w:sz w:val="20"/>
                <w:szCs w:val="20"/>
              </w:rPr>
              <w:t>VID</w:t>
            </w:r>
          </w:p>
        </w:tc>
        <w:tc>
          <w:tcPr>
            <w:tcW w:w="1701" w:type="dxa"/>
            <w:shd w:val="clear" w:color="auto" w:fill="FFFFFF" w:themeFill="background1"/>
          </w:tcPr>
          <w:p w14:paraId="344A99C6" w14:textId="77777777" w:rsidR="00942E92" w:rsidRPr="00FC0326" w:rsidRDefault="00942E92" w:rsidP="00FE237C">
            <w:pPr>
              <w:jc w:val="center"/>
              <w:rPr>
                <w:rFonts w:cs="Times New Roman"/>
                <w:sz w:val="20"/>
                <w:szCs w:val="20"/>
              </w:rPr>
            </w:pPr>
            <w:r w:rsidRPr="00FC0326">
              <w:rPr>
                <w:rFonts w:cs="Times New Roman"/>
                <w:sz w:val="20"/>
                <w:szCs w:val="20"/>
              </w:rPr>
              <w:t xml:space="preserve">2018.gada </w:t>
            </w:r>
            <w:r w:rsidR="00FE237C">
              <w:rPr>
                <w:rFonts w:cs="Times New Roman"/>
                <w:sz w:val="20"/>
                <w:szCs w:val="20"/>
              </w:rPr>
              <w:t>28</w:t>
            </w:r>
            <w:r w:rsidRPr="00FC0326">
              <w:rPr>
                <w:rFonts w:cs="Times New Roman"/>
                <w:sz w:val="20"/>
                <w:szCs w:val="20"/>
              </w:rPr>
              <w:t>.decembris</w:t>
            </w:r>
          </w:p>
        </w:tc>
      </w:tr>
      <w:tr w:rsidR="00942E92" w:rsidRPr="00FC0326" w14:paraId="23B86351" w14:textId="77777777" w:rsidTr="00FE237C">
        <w:trPr>
          <w:trHeight w:val="1952"/>
        </w:trPr>
        <w:tc>
          <w:tcPr>
            <w:tcW w:w="567" w:type="dxa"/>
            <w:vMerge/>
            <w:shd w:val="clear" w:color="auto" w:fill="FFFFFF" w:themeFill="background1"/>
          </w:tcPr>
          <w:p w14:paraId="0DCE5830" w14:textId="77777777" w:rsidR="00942E92" w:rsidRPr="00FC0326" w:rsidRDefault="00942E92" w:rsidP="00942E92">
            <w:pPr>
              <w:rPr>
                <w:rFonts w:cs="Times New Roman"/>
                <w:sz w:val="20"/>
                <w:szCs w:val="20"/>
              </w:rPr>
            </w:pPr>
          </w:p>
        </w:tc>
        <w:tc>
          <w:tcPr>
            <w:tcW w:w="3683" w:type="dxa"/>
            <w:gridSpan w:val="2"/>
            <w:vMerge/>
            <w:shd w:val="clear" w:color="auto" w:fill="FFFFFF" w:themeFill="background1"/>
          </w:tcPr>
          <w:p w14:paraId="4019DC3D" w14:textId="77777777" w:rsidR="00942E92" w:rsidRPr="00FC0326" w:rsidRDefault="00942E92" w:rsidP="00942E92">
            <w:pPr>
              <w:jc w:val="both"/>
              <w:rPr>
                <w:rFonts w:cs="Times New Roman"/>
                <w:sz w:val="20"/>
                <w:szCs w:val="20"/>
              </w:rPr>
            </w:pPr>
          </w:p>
        </w:tc>
        <w:tc>
          <w:tcPr>
            <w:tcW w:w="1704" w:type="dxa"/>
            <w:vMerge/>
            <w:shd w:val="clear" w:color="auto" w:fill="FFFFFF" w:themeFill="background1"/>
          </w:tcPr>
          <w:p w14:paraId="3B22EFD8" w14:textId="77777777" w:rsidR="00942E92" w:rsidRPr="00FC0326" w:rsidRDefault="00942E92" w:rsidP="00942E92">
            <w:pPr>
              <w:ind w:left="-108" w:right="-108"/>
              <w:jc w:val="center"/>
              <w:rPr>
                <w:rFonts w:cs="Times New Roman"/>
                <w:sz w:val="20"/>
                <w:szCs w:val="20"/>
              </w:rPr>
            </w:pPr>
          </w:p>
        </w:tc>
        <w:tc>
          <w:tcPr>
            <w:tcW w:w="1984" w:type="dxa"/>
            <w:shd w:val="clear" w:color="auto" w:fill="FFFFFF" w:themeFill="background1"/>
          </w:tcPr>
          <w:p w14:paraId="46580996" w14:textId="77777777" w:rsidR="00942E92" w:rsidRPr="00FC0326" w:rsidRDefault="00942E92" w:rsidP="00942E92">
            <w:pPr>
              <w:jc w:val="both"/>
              <w:rPr>
                <w:rFonts w:cs="Times New Roman"/>
                <w:sz w:val="20"/>
                <w:szCs w:val="20"/>
              </w:rPr>
            </w:pPr>
            <w:r w:rsidRPr="00FC0326">
              <w:rPr>
                <w:rFonts w:cs="Times New Roman"/>
                <w:sz w:val="20"/>
                <w:szCs w:val="20"/>
              </w:rPr>
              <w:t>2. Veikts izvērtējums, lai identificētu tās SIA, kurām ir paaugstināti NILLTF riski (prioritāte SIA ar dalībniekiem - ārvalstīs reģistrētām juridiskajām personām, kurām pieder virs 25% kapitāldaļu) un kas nav atklājušas to patiesos labuma guvējus.</w:t>
            </w:r>
          </w:p>
        </w:tc>
        <w:tc>
          <w:tcPr>
            <w:tcW w:w="2835" w:type="dxa"/>
            <w:shd w:val="clear" w:color="auto" w:fill="FFFFFF" w:themeFill="background1"/>
          </w:tcPr>
          <w:p w14:paraId="3A748A59" w14:textId="77777777" w:rsidR="00942E92" w:rsidRPr="00FC0326" w:rsidRDefault="00405F7F" w:rsidP="00942E92">
            <w:pPr>
              <w:jc w:val="both"/>
              <w:rPr>
                <w:rFonts w:cs="Times New Roman"/>
                <w:sz w:val="20"/>
                <w:szCs w:val="20"/>
              </w:rPr>
            </w:pPr>
            <w:r>
              <w:rPr>
                <w:rFonts w:cs="Times New Roman"/>
                <w:sz w:val="20"/>
                <w:szCs w:val="20"/>
              </w:rPr>
              <w:t>2.</w:t>
            </w:r>
            <w:r w:rsidR="00942E92" w:rsidRPr="00FC0326">
              <w:rPr>
                <w:rFonts w:cs="Times New Roman"/>
                <w:sz w:val="20"/>
                <w:szCs w:val="20"/>
              </w:rPr>
              <w:t>Izvērtējums – SIA,  kurām ir paaugstināti riski NILLTF jomā un, kas nav atklājušas patiesos labuma guvējus saraksts.</w:t>
            </w:r>
          </w:p>
          <w:p w14:paraId="23EC3D6B" w14:textId="77777777" w:rsidR="00942E92" w:rsidRPr="00FC0326" w:rsidRDefault="00942E92" w:rsidP="00942E92">
            <w:pPr>
              <w:jc w:val="both"/>
              <w:rPr>
                <w:rFonts w:cs="Times New Roman"/>
                <w:sz w:val="20"/>
                <w:szCs w:val="20"/>
              </w:rPr>
            </w:pPr>
          </w:p>
        </w:tc>
        <w:tc>
          <w:tcPr>
            <w:tcW w:w="1134" w:type="dxa"/>
            <w:shd w:val="clear" w:color="auto" w:fill="FFFFFF" w:themeFill="background1"/>
          </w:tcPr>
          <w:p w14:paraId="38FCF77B" w14:textId="77777777" w:rsidR="00942E92" w:rsidRPr="00FC0326" w:rsidRDefault="00942E92" w:rsidP="002D63BE">
            <w:pPr>
              <w:jc w:val="center"/>
              <w:rPr>
                <w:rFonts w:cs="Times New Roman"/>
                <w:sz w:val="20"/>
                <w:szCs w:val="20"/>
              </w:rPr>
            </w:pPr>
            <w:r w:rsidRPr="00FC0326">
              <w:rPr>
                <w:rFonts w:cs="Times New Roman"/>
                <w:sz w:val="20"/>
                <w:szCs w:val="20"/>
              </w:rPr>
              <w:t>TM (UR)</w:t>
            </w:r>
          </w:p>
          <w:p w14:paraId="5BAEF9B5" w14:textId="77777777" w:rsidR="00942E92" w:rsidRPr="00FC0326" w:rsidRDefault="00942E92" w:rsidP="002D63BE">
            <w:pPr>
              <w:jc w:val="center"/>
              <w:rPr>
                <w:rFonts w:cs="Times New Roman"/>
                <w:sz w:val="20"/>
                <w:szCs w:val="20"/>
              </w:rPr>
            </w:pPr>
          </w:p>
        </w:tc>
        <w:tc>
          <w:tcPr>
            <w:tcW w:w="1276" w:type="dxa"/>
            <w:shd w:val="clear" w:color="auto" w:fill="FFFFFF" w:themeFill="background1"/>
          </w:tcPr>
          <w:p w14:paraId="62AE6E4B" w14:textId="77777777" w:rsidR="00942E92" w:rsidRPr="00FC0326" w:rsidRDefault="00942E92" w:rsidP="002D63BE">
            <w:pPr>
              <w:jc w:val="center"/>
              <w:rPr>
                <w:rFonts w:cs="Times New Roman"/>
                <w:sz w:val="20"/>
                <w:szCs w:val="20"/>
              </w:rPr>
            </w:pPr>
            <w:r w:rsidRPr="00FC0326">
              <w:rPr>
                <w:rFonts w:cs="Times New Roman"/>
                <w:sz w:val="20"/>
                <w:szCs w:val="20"/>
              </w:rPr>
              <w:t>KD</w:t>
            </w:r>
            <w:r>
              <w:rPr>
                <w:rFonts w:cs="Times New Roman"/>
                <w:sz w:val="20"/>
                <w:szCs w:val="20"/>
              </w:rPr>
              <w:t>, VID</w:t>
            </w:r>
          </w:p>
          <w:p w14:paraId="58CA0F68" w14:textId="77777777" w:rsidR="00942E92" w:rsidRPr="00FC0326" w:rsidRDefault="00942E92" w:rsidP="002D63BE">
            <w:pPr>
              <w:jc w:val="center"/>
              <w:rPr>
                <w:rFonts w:cs="Times New Roman"/>
                <w:sz w:val="20"/>
                <w:szCs w:val="20"/>
              </w:rPr>
            </w:pPr>
          </w:p>
        </w:tc>
        <w:tc>
          <w:tcPr>
            <w:tcW w:w="1701" w:type="dxa"/>
            <w:shd w:val="clear" w:color="auto" w:fill="FFFFFF" w:themeFill="background1"/>
          </w:tcPr>
          <w:p w14:paraId="5ABDF2A7" w14:textId="77777777" w:rsidR="00942E92" w:rsidRPr="00FC0326" w:rsidRDefault="00942E92" w:rsidP="002D63BE">
            <w:pPr>
              <w:jc w:val="center"/>
              <w:rPr>
                <w:rFonts w:cs="Times New Roman"/>
                <w:sz w:val="20"/>
                <w:szCs w:val="20"/>
              </w:rPr>
            </w:pPr>
            <w:r w:rsidRPr="00FC0326">
              <w:rPr>
                <w:rFonts w:cs="Times New Roman"/>
                <w:sz w:val="20"/>
                <w:szCs w:val="20"/>
              </w:rPr>
              <w:t>2019.gada 1.februāris</w:t>
            </w:r>
          </w:p>
          <w:p w14:paraId="4412E3C2" w14:textId="77777777" w:rsidR="00942E92" w:rsidRPr="00FC0326" w:rsidRDefault="00942E92" w:rsidP="002D63BE">
            <w:pPr>
              <w:jc w:val="center"/>
              <w:rPr>
                <w:rFonts w:cs="Times New Roman"/>
                <w:sz w:val="20"/>
                <w:szCs w:val="20"/>
              </w:rPr>
            </w:pPr>
          </w:p>
        </w:tc>
      </w:tr>
      <w:tr w:rsidR="00942E92" w:rsidRPr="00FC0326" w14:paraId="256044FA" w14:textId="77777777" w:rsidTr="00FE237C">
        <w:trPr>
          <w:trHeight w:val="1952"/>
        </w:trPr>
        <w:tc>
          <w:tcPr>
            <w:tcW w:w="567" w:type="dxa"/>
            <w:vMerge/>
            <w:shd w:val="clear" w:color="auto" w:fill="FFFFFF" w:themeFill="background1"/>
          </w:tcPr>
          <w:p w14:paraId="73C6EC18" w14:textId="77777777" w:rsidR="00942E92" w:rsidRPr="00FC0326" w:rsidRDefault="00942E92" w:rsidP="00942E92">
            <w:pPr>
              <w:rPr>
                <w:rFonts w:cs="Times New Roman"/>
                <w:sz w:val="20"/>
                <w:szCs w:val="20"/>
              </w:rPr>
            </w:pPr>
          </w:p>
        </w:tc>
        <w:tc>
          <w:tcPr>
            <w:tcW w:w="3683" w:type="dxa"/>
            <w:gridSpan w:val="2"/>
            <w:vMerge/>
            <w:shd w:val="clear" w:color="auto" w:fill="FFFFFF" w:themeFill="background1"/>
          </w:tcPr>
          <w:p w14:paraId="315C5479" w14:textId="77777777" w:rsidR="00942E92" w:rsidRPr="00FC0326" w:rsidRDefault="00942E92" w:rsidP="00942E92">
            <w:pPr>
              <w:jc w:val="both"/>
              <w:rPr>
                <w:rFonts w:cs="Times New Roman"/>
                <w:sz w:val="20"/>
                <w:szCs w:val="20"/>
              </w:rPr>
            </w:pPr>
          </w:p>
        </w:tc>
        <w:tc>
          <w:tcPr>
            <w:tcW w:w="1704" w:type="dxa"/>
            <w:vMerge/>
            <w:shd w:val="clear" w:color="auto" w:fill="FFFFFF" w:themeFill="background1"/>
          </w:tcPr>
          <w:p w14:paraId="3E217442" w14:textId="77777777" w:rsidR="00942E92" w:rsidRPr="00FC0326" w:rsidRDefault="00942E92" w:rsidP="00942E92">
            <w:pPr>
              <w:ind w:left="-108" w:right="-108"/>
              <w:jc w:val="center"/>
              <w:rPr>
                <w:rFonts w:cs="Times New Roman"/>
                <w:sz w:val="20"/>
                <w:szCs w:val="20"/>
              </w:rPr>
            </w:pPr>
          </w:p>
        </w:tc>
        <w:tc>
          <w:tcPr>
            <w:tcW w:w="1984" w:type="dxa"/>
            <w:shd w:val="clear" w:color="auto" w:fill="FFFFFF" w:themeFill="background1"/>
          </w:tcPr>
          <w:p w14:paraId="2475DAB3" w14:textId="77777777" w:rsidR="00942E92" w:rsidRPr="00FC0326" w:rsidRDefault="00942E92" w:rsidP="00942E92">
            <w:pPr>
              <w:jc w:val="both"/>
              <w:rPr>
                <w:rFonts w:cs="Times New Roman"/>
                <w:sz w:val="20"/>
                <w:szCs w:val="20"/>
              </w:rPr>
            </w:pPr>
            <w:r w:rsidRPr="00FC0326">
              <w:rPr>
                <w:rFonts w:cs="Times New Roman"/>
                <w:sz w:val="20"/>
                <w:szCs w:val="20"/>
              </w:rPr>
              <w:t xml:space="preserve">3. Lai nodrošinātu, ka SIA ar paaugtinātiem riskiem, iesniedz informāciju par patiesajiem labuma guvējiem vai tiek izslēgtas no komercreģistra, 2.punkta ietvaros veiktajā izvērtējumā identificētajām SIA UR nosūtīs brīdinājumus par normatīvajos aktos noteikto dokumentu neiesniegšanu UR. Tālākās darbības tiks veiktas atbilstoši </w:t>
            </w:r>
            <w:r w:rsidRPr="00FC0326">
              <w:rPr>
                <w:rFonts w:cs="Times New Roman"/>
                <w:sz w:val="20"/>
                <w:szCs w:val="20"/>
              </w:rPr>
              <w:lastRenderedPageBreak/>
              <w:t xml:space="preserve">attiecīgo SIA sniegtajai informācijai, spēkā esošo normatīvo aktu regulējuma ietvaros un UR sadarbojoties ar VID. </w:t>
            </w:r>
          </w:p>
          <w:p w14:paraId="5853CCE2" w14:textId="77777777" w:rsidR="00942E92" w:rsidRPr="00FC0326" w:rsidRDefault="00942E92" w:rsidP="00942E92">
            <w:pPr>
              <w:jc w:val="both"/>
              <w:rPr>
                <w:rFonts w:cs="Times New Roman"/>
                <w:sz w:val="20"/>
                <w:szCs w:val="20"/>
              </w:rPr>
            </w:pPr>
            <w:r w:rsidRPr="00FC0326">
              <w:rPr>
                <w:rFonts w:cs="Times New Roman"/>
                <w:sz w:val="20"/>
                <w:szCs w:val="20"/>
              </w:rPr>
              <w:t>SIA, kurām ir paaugstināti riski NILLTF jomā ir atklājušas patiesos labuma guvējus vai arī to darbība ir izbeigta vai pieteikums par to darbības izbeigšanu ir iesniegts tiesā</w:t>
            </w:r>
          </w:p>
        </w:tc>
        <w:tc>
          <w:tcPr>
            <w:tcW w:w="2835" w:type="dxa"/>
            <w:shd w:val="clear" w:color="auto" w:fill="FFFFFF" w:themeFill="background1"/>
          </w:tcPr>
          <w:p w14:paraId="21E7DB5C" w14:textId="77777777" w:rsidR="00942E92" w:rsidRPr="00FC0326" w:rsidRDefault="00405F7F" w:rsidP="00942E92">
            <w:pPr>
              <w:jc w:val="both"/>
              <w:rPr>
                <w:rFonts w:cs="Times New Roman"/>
                <w:sz w:val="20"/>
                <w:szCs w:val="20"/>
              </w:rPr>
            </w:pPr>
            <w:r>
              <w:rPr>
                <w:rFonts w:cs="Times New Roman"/>
                <w:sz w:val="20"/>
                <w:szCs w:val="20"/>
              </w:rPr>
              <w:lastRenderedPageBreak/>
              <w:t>3.</w:t>
            </w:r>
            <w:r w:rsidR="00942E92" w:rsidRPr="00FC0326">
              <w:rPr>
                <w:rFonts w:cs="Times New Roman"/>
                <w:sz w:val="20"/>
                <w:szCs w:val="20"/>
              </w:rPr>
              <w:t>SIA, kurām ir paaugstināti riski NILLTF jomā ir atklājušas patiesos labuma guvējus (noteikts SIA skaits) vai arī to darbība ir izbeigta (noteikts SIA skaits) vai pieteikums par to darbības izbeigšanu ir iesniegts tiesā (noteikts SIA skaits).</w:t>
            </w:r>
          </w:p>
          <w:p w14:paraId="56D7296B" w14:textId="77777777" w:rsidR="00942E92" w:rsidRPr="00FC0326" w:rsidRDefault="00942E92" w:rsidP="00942E92">
            <w:pPr>
              <w:jc w:val="both"/>
              <w:rPr>
                <w:rFonts w:cs="Times New Roman"/>
                <w:sz w:val="20"/>
                <w:szCs w:val="20"/>
              </w:rPr>
            </w:pPr>
          </w:p>
          <w:p w14:paraId="175CD546" w14:textId="77777777" w:rsidR="00942E92" w:rsidRPr="00FC0326" w:rsidRDefault="00942E92" w:rsidP="00942E92">
            <w:pPr>
              <w:jc w:val="both"/>
              <w:rPr>
                <w:rFonts w:cs="Times New Roman"/>
                <w:sz w:val="20"/>
                <w:szCs w:val="20"/>
              </w:rPr>
            </w:pPr>
          </w:p>
        </w:tc>
        <w:tc>
          <w:tcPr>
            <w:tcW w:w="1134" w:type="dxa"/>
            <w:shd w:val="clear" w:color="auto" w:fill="FFFFFF" w:themeFill="background1"/>
          </w:tcPr>
          <w:p w14:paraId="5F6EAB61" w14:textId="77777777" w:rsidR="00942E92" w:rsidRPr="00FC0326" w:rsidRDefault="00942E92" w:rsidP="002D63BE">
            <w:pPr>
              <w:jc w:val="center"/>
              <w:rPr>
                <w:rFonts w:cs="Times New Roman"/>
                <w:sz w:val="20"/>
                <w:szCs w:val="20"/>
              </w:rPr>
            </w:pPr>
            <w:r w:rsidRPr="00FC0326">
              <w:rPr>
                <w:rFonts w:cs="Times New Roman"/>
                <w:sz w:val="20"/>
                <w:szCs w:val="20"/>
              </w:rPr>
              <w:t>TM (UR)</w:t>
            </w:r>
          </w:p>
          <w:p w14:paraId="33B196FC" w14:textId="77777777" w:rsidR="00942E92" w:rsidRPr="00FC0326" w:rsidRDefault="00942E92" w:rsidP="002D63BE">
            <w:pPr>
              <w:jc w:val="center"/>
              <w:rPr>
                <w:rFonts w:cs="Times New Roman"/>
                <w:sz w:val="20"/>
                <w:szCs w:val="20"/>
              </w:rPr>
            </w:pPr>
          </w:p>
        </w:tc>
        <w:tc>
          <w:tcPr>
            <w:tcW w:w="1276" w:type="dxa"/>
            <w:shd w:val="clear" w:color="auto" w:fill="FFFFFF" w:themeFill="background1"/>
          </w:tcPr>
          <w:p w14:paraId="3EFA06DB" w14:textId="77777777" w:rsidR="00942E92" w:rsidRPr="00FC0326" w:rsidRDefault="00942E92" w:rsidP="002D63BE">
            <w:pPr>
              <w:jc w:val="center"/>
              <w:rPr>
                <w:rFonts w:cs="Times New Roman"/>
                <w:sz w:val="20"/>
                <w:szCs w:val="20"/>
              </w:rPr>
            </w:pPr>
            <w:r w:rsidRPr="00FC0326">
              <w:rPr>
                <w:rFonts w:cs="Times New Roman"/>
                <w:sz w:val="20"/>
                <w:szCs w:val="20"/>
              </w:rPr>
              <w:t>VID</w:t>
            </w:r>
          </w:p>
          <w:p w14:paraId="18E5DA13" w14:textId="77777777" w:rsidR="00942E92" w:rsidRPr="00FC0326" w:rsidRDefault="00942E92" w:rsidP="002D63BE">
            <w:pPr>
              <w:jc w:val="center"/>
              <w:rPr>
                <w:rFonts w:cs="Times New Roman"/>
                <w:sz w:val="20"/>
                <w:szCs w:val="20"/>
              </w:rPr>
            </w:pPr>
          </w:p>
        </w:tc>
        <w:tc>
          <w:tcPr>
            <w:tcW w:w="1701" w:type="dxa"/>
            <w:shd w:val="clear" w:color="auto" w:fill="FFFFFF" w:themeFill="background1"/>
          </w:tcPr>
          <w:p w14:paraId="44EBCE90" w14:textId="77777777" w:rsidR="00942E92" w:rsidRPr="00FC0326" w:rsidRDefault="00942E92" w:rsidP="002D63BE">
            <w:pPr>
              <w:jc w:val="center"/>
              <w:rPr>
                <w:rFonts w:cs="Times New Roman"/>
                <w:sz w:val="20"/>
                <w:szCs w:val="20"/>
              </w:rPr>
            </w:pPr>
            <w:r w:rsidRPr="00FC0326">
              <w:rPr>
                <w:rFonts w:cs="Times New Roman"/>
                <w:sz w:val="20"/>
                <w:szCs w:val="20"/>
              </w:rPr>
              <w:t>2019.gada 1.augusts</w:t>
            </w:r>
          </w:p>
        </w:tc>
      </w:tr>
      <w:tr w:rsidR="00942E92" w:rsidRPr="00FC0326" w14:paraId="192D16E7" w14:textId="77777777" w:rsidTr="00A5486B">
        <w:trPr>
          <w:trHeight w:val="1303"/>
        </w:trPr>
        <w:tc>
          <w:tcPr>
            <w:tcW w:w="567" w:type="dxa"/>
            <w:shd w:val="clear" w:color="auto" w:fill="FFFFFF" w:themeFill="background1"/>
          </w:tcPr>
          <w:p w14:paraId="7942FC6A" w14:textId="77777777" w:rsidR="00942E92" w:rsidRPr="00FC0326" w:rsidRDefault="00942E92" w:rsidP="00942E92">
            <w:pPr>
              <w:rPr>
                <w:rFonts w:cs="Times New Roman"/>
                <w:sz w:val="20"/>
                <w:szCs w:val="20"/>
              </w:rPr>
            </w:pPr>
            <w:r w:rsidRPr="00FC0326">
              <w:rPr>
                <w:rFonts w:cs="Times New Roman"/>
                <w:sz w:val="20"/>
                <w:szCs w:val="20"/>
              </w:rPr>
              <w:t>5.9.</w:t>
            </w:r>
          </w:p>
        </w:tc>
        <w:tc>
          <w:tcPr>
            <w:tcW w:w="3683" w:type="dxa"/>
            <w:gridSpan w:val="2"/>
            <w:shd w:val="clear" w:color="auto" w:fill="FFFFFF" w:themeFill="background1"/>
          </w:tcPr>
          <w:p w14:paraId="19DA674B" w14:textId="77777777" w:rsidR="00942E92" w:rsidRPr="00FC0326" w:rsidRDefault="00942E92" w:rsidP="00942E92">
            <w:pPr>
              <w:jc w:val="both"/>
              <w:rPr>
                <w:rFonts w:cs="Times New Roman"/>
                <w:sz w:val="20"/>
                <w:szCs w:val="20"/>
              </w:rPr>
            </w:pPr>
            <w:r>
              <w:rPr>
                <w:rFonts w:cs="Times New Roman"/>
                <w:sz w:val="20"/>
                <w:szCs w:val="20"/>
              </w:rPr>
              <w:t>Izvērtēt iespējas nodrošināt bezmaksas piekļuvi</w:t>
            </w:r>
            <w:r w:rsidRPr="00FC0326">
              <w:rPr>
                <w:rFonts w:cs="Times New Roman"/>
                <w:sz w:val="20"/>
                <w:szCs w:val="20"/>
              </w:rPr>
              <w:t xml:space="preserve"> Latvijas patiesā labuma guvēju reģistram. </w:t>
            </w:r>
          </w:p>
        </w:tc>
        <w:tc>
          <w:tcPr>
            <w:tcW w:w="1704" w:type="dxa"/>
            <w:shd w:val="clear" w:color="auto" w:fill="FFFFFF" w:themeFill="background1"/>
          </w:tcPr>
          <w:p w14:paraId="6AB97A97" w14:textId="77777777" w:rsidR="00405F7F" w:rsidRDefault="00405F7F" w:rsidP="00EE1B29">
            <w:pPr>
              <w:ind w:left="-108" w:right="-108"/>
              <w:rPr>
                <w:sz w:val="20"/>
                <w:szCs w:val="20"/>
              </w:rPr>
            </w:pPr>
            <w:r w:rsidRPr="00FC0326">
              <w:rPr>
                <w:sz w:val="20"/>
                <w:szCs w:val="20"/>
              </w:rPr>
              <w:t>Pasākumu plāns 2017.-201</w:t>
            </w:r>
            <w:r>
              <w:rPr>
                <w:sz w:val="20"/>
                <w:szCs w:val="20"/>
              </w:rPr>
              <w:t>9.g.</w:t>
            </w:r>
            <w:r w:rsidRPr="00FC0326">
              <w:rPr>
                <w:sz w:val="20"/>
                <w:szCs w:val="20"/>
              </w:rPr>
              <w:t xml:space="preserve"> </w:t>
            </w:r>
          </w:p>
          <w:p w14:paraId="68A0E498" w14:textId="77777777" w:rsidR="00942E92" w:rsidRPr="00FC0326" w:rsidRDefault="00942E92" w:rsidP="00EE1B29">
            <w:pPr>
              <w:ind w:left="-108" w:right="-108"/>
              <w:rPr>
                <w:rFonts w:cs="Times New Roman"/>
                <w:sz w:val="20"/>
                <w:szCs w:val="20"/>
              </w:rPr>
            </w:pPr>
            <w:r w:rsidRPr="00FC0326">
              <w:rPr>
                <w:rFonts w:cs="Times New Roman"/>
                <w:sz w:val="20"/>
                <w:szCs w:val="20"/>
              </w:rPr>
              <w:t>Moneyval rekomendācija 5.3.</w:t>
            </w:r>
          </w:p>
        </w:tc>
        <w:tc>
          <w:tcPr>
            <w:tcW w:w="1984" w:type="dxa"/>
            <w:shd w:val="clear" w:color="auto" w:fill="FFFFFF" w:themeFill="background1"/>
          </w:tcPr>
          <w:p w14:paraId="7F6E9114" w14:textId="77777777" w:rsidR="00942E92" w:rsidRPr="00FC0326" w:rsidRDefault="00942E92" w:rsidP="00942E92">
            <w:pPr>
              <w:jc w:val="both"/>
              <w:rPr>
                <w:rFonts w:cs="Times New Roman"/>
                <w:sz w:val="20"/>
                <w:szCs w:val="20"/>
              </w:rPr>
            </w:pPr>
            <w:r w:rsidRPr="00FC0326">
              <w:rPr>
                <w:rFonts w:cs="Times New Roman"/>
                <w:sz w:val="20"/>
                <w:szCs w:val="20"/>
              </w:rPr>
              <w:t>Sagatavots izvērtējums</w:t>
            </w:r>
          </w:p>
        </w:tc>
        <w:tc>
          <w:tcPr>
            <w:tcW w:w="2835" w:type="dxa"/>
            <w:shd w:val="clear" w:color="auto" w:fill="FFFFFF" w:themeFill="background1"/>
          </w:tcPr>
          <w:p w14:paraId="4FC0A1C1" w14:textId="77777777" w:rsidR="00942E92" w:rsidRPr="00FC0326" w:rsidRDefault="00942E92" w:rsidP="00405F7F">
            <w:pPr>
              <w:jc w:val="both"/>
              <w:rPr>
                <w:rFonts w:cs="Times New Roman"/>
                <w:sz w:val="20"/>
                <w:szCs w:val="20"/>
              </w:rPr>
            </w:pPr>
            <w:r>
              <w:rPr>
                <w:rFonts w:cs="Times New Roman"/>
                <w:sz w:val="20"/>
                <w:szCs w:val="20"/>
              </w:rPr>
              <w:t xml:space="preserve">Izvērtējums iesniegts </w:t>
            </w:r>
            <w:r w:rsidRPr="00FC0326">
              <w:rPr>
                <w:rFonts w:cs="Times New Roman"/>
                <w:sz w:val="20"/>
                <w:szCs w:val="20"/>
              </w:rPr>
              <w:t>izskatīšanai FSAP sēdē</w:t>
            </w:r>
          </w:p>
        </w:tc>
        <w:tc>
          <w:tcPr>
            <w:tcW w:w="1134" w:type="dxa"/>
            <w:shd w:val="clear" w:color="auto" w:fill="FFFFFF" w:themeFill="background1"/>
          </w:tcPr>
          <w:p w14:paraId="2C0A3BC3" w14:textId="77777777" w:rsidR="00942E92" w:rsidRPr="00FC0326" w:rsidRDefault="00942E92" w:rsidP="002D63BE">
            <w:pPr>
              <w:jc w:val="center"/>
              <w:rPr>
                <w:rFonts w:cs="Times New Roman"/>
                <w:sz w:val="20"/>
                <w:szCs w:val="20"/>
              </w:rPr>
            </w:pPr>
            <w:r w:rsidRPr="00FC0326">
              <w:rPr>
                <w:rFonts w:cs="Times New Roman"/>
                <w:sz w:val="20"/>
                <w:szCs w:val="20"/>
              </w:rPr>
              <w:t>TM sadarbībā ar FM</w:t>
            </w:r>
          </w:p>
        </w:tc>
        <w:tc>
          <w:tcPr>
            <w:tcW w:w="1276" w:type="dxa"/>
            <w:shd w:val="clear" w:color="auto" w:fill="FFFFFF" w:themeFill="background1"/>
          </w:tcPr>
          <w:p w14:paraId="1FA368BB" w14:textId="77777777" w:rsidR="00942E92" w:rsidRPr="00FC0326" w:rsidRDefault="00942E92" w:rsidP="002D63BE">
            <w:pPr>
              <w:jc w:val="center"/>
              <w:rPr>
                <w:rFonts w:cs="Times New Roman"/>
                <w:sz w:val="20"/>
                <w:szCs w:val="20"/>
              </w:rPr>
            </w:pPr>
          </w:p>
        </w:tc>
        <w:tc>
          <w:tcPr>
            <w:tcW w:w="1701" w:type="dxa"/>
            <w:shd w:val="clear" w:color="auto" w:fill="FFFFFF" w:themeFill="background1"/>
          </w:tcPr>
          <w:p w14:paraId="5AF58CF2" w14:textId="77777777" w:rsidR="00942E92" w:rsidRPr="00FC0326" w:rsidRDefault="00942E92" w:rsidP="006F5E15">
            <w:pPr>
              <w:jc w:val="center"/>
              <w:rPr>
                <w:rFonts w:cs="Times New Roman"/>
                <w:sz w:val="20"/>
                <w:szCs w:val="20"/>
              </w:rPr>
            </w:pPr>
            <w:r>
              <w:rPr>
                <w:rFonts w:cs="Times New Roman"/>
                <w:sz w:val="20"/>
                <w:szCs w:val="20"/>
              </w:rPr>
              <w:t xml:space="preserve">2018.gada </w:t>
            </w:r>
            <w:r w:rsidR="006F5E15">
              <w:rPr>
                <w:rFonts w:cs="Times New Roman"/>
                <w:sz w:val="20"/>
                <w:szCs w:val="20"/>
              </w:rPr>
              <w:t>28</w:t>
            </w:r>
            <w:r>
              <w:rPr>
                <w:rFonts w:cs="Times New Roman"/>
                <w:sz w:val="20"/>
                <w:szCs w:val="20"/>
              </w:rPr>
              <w:t>.decembris</w:t>
            </w:r>
          </w:p>
        </w:tc>
      </w:tr>
      <w:tr w:rsidR="00942E92" w:rsidRPr="00FC0326" w14:paraId="50917841" w14:textId="77777777" w:rsidTr="00FE237C">
        <w:trPr>
          <w:trHeight w:val="805"/>
        </w:trPr>
        <w:tc>
          <w:tcPr>
            <w:tcW w:w="567" w:type="dxa"/>
            <w:shd w:val="clear" w:color="auto" w:fill="FFFFFF" w:themeFill="background1"/>
          </w:tcPr>
          <w:p w14:paraId="71D4607A" w14:textId="77777777" w:rsidR="00942E92" w:rsidRPr="00FC0326" w:rsidRDefault="00942E92" w:rsidP="00942E92">
            <w:pPr>
              <w:rPr>
                <w:rFonts w:cs="Times New Roman"/>
                <w:sz w:val="20"/>
                <w:szCs w:val="20"/>
              </w:rPr>
            </w:pPr>
            <w:r w:rsidRPr="00FC0326">
              <w:rPr>
                <w:rFonts w:cs="Times New Roman"/>
                <w:sz w:val="20"/>
                <w:szCs w:val="20"/>
              </w:rPr>
              <w:t>5.10.</w:t>
            </w:r>
          </w:p>
        </w:tc>
        <w:tc>
          <w:tcPr>
            <w:tcW w:w="3683" w:type="dxa"/>
            <w:gridSpan w:val="2"/>
            <w:shd w:val="clear" w:color="auto" w:fill="FFFFFF" w:themeFill="background1"/>
          </w:tcPr>
          <w:p w14:paraId="7B8609E0" w14:textId="77777777" w:rsidR="00942E92" w:rsidRPr="00FC0326" w:rsidRDefault="00942E92" w:rsidP="00942E92">
            <w:pPr>
              <w:spacing w:after="160" w:line="259" w:lineRule="auto"/>
              <w:ind w:right="34"/>
              <w:jc w:val="both"/>
              <w:rPr>
                <w:rFonts w:cs="Times New Roman"/>
                <w:bCs/>
                <w:sz w:val="20"/>
                <w:szCs w:val="20"/>
              </w:rPr>
            </w:pPr>
            <w:r w:rsidRPr="00FC0326">
              <w:rPr>
                <w:rFonts w:cs="Times New Roman"/>
                <w:sz w:val="20"/>
                <w:szCs w:val="20"/>
              </w:rPr>
              <w:t>Nodrošināta juridisku personu un juridisku veidojumu dibināšanas un darbības nodrošināšanas pakalpojumu sniedzēju identificēšana</w:t>
            </w:r>
          </w:p>
        </w:tc>
        <w:tc>
          <w:tcPr>
            <w:tcW w:w="1704" w:type="dxa"/>
            <w:shd w:val="clear" w:color="auto" w:fill="FFFFFF" w:themeFill="background1"/>
          </w:tcPr>
          <w:p w14:paraId="6035C365" w14:textId="77777777" w:rsidR="00942E92" w:rsidRPr="00FC0326" w:rsidRDefault="00942E92" w:rsidP="00EE1B29">
            <w:pPr>
              <w:ind w:left="-108" w:right="-108"/>
              <w:rPr>
                <w:rFonts w:cs="Times New Roman"/>
                <w:sz w:val="20"/>
                <w:szCs w:val="20"/>
              </w:rPr>
            </w:pPr>
            <w:r w:rsidRPr="00FC0326">
              <w:rPr>
                <w:rFonts w:cs="Times New Roman"/>
                <w:sz w:val="20"/>
                <w:szCs w:val="20"/>
              </w:rPr>
              <w:t>Moneyval rekomendācija 5.3.</w:t>
            </w:r>
          </w:p>
        </w:tc>
        <w:tc>
          <w:tcPr>
            <w:tcW w:w="1984" w:type="dxa"/>
            <w:shd w:val="clear" w:color="auto" w:fill="FFFFFF" w:themeFill="background1"/>
          </w:tcPr>
          <w:p w14:paraId="0995DEA0" w14:textId="77777777" w:rsidR="00942E92" w:rsidRPr="00FC0326" w:rsidRDefault="00942E92" w:rsidP="00942E92">
            <w:pPr>
              <w:jc w:val="both"/>
              <w:rPr>
                <w:rFonts w:cs="Times New Roman"/>
                <w:sz w:val="20"/>
                <w:szCs w:val="20"/>
              </w:rPr>
            </w:pPr>
            <w:r w:rsidRPr="00FC0326">
              <w:rPr>
                <w:rFonts w:cs="Times New Roman"/>
                <w:sz w:val="20"/>
                <w:szCs w:val="20"/>
              </w:rPr>
              <w:t>VID uzraugāmo juridisku personu un juridisku veidojumu dibināšanas un darbības nodrošināšanas pakalpojumu sniedzēju identificēšanas, atlases un uzraudzības mehānisma stiprināšana</w:t>
            </w:r>
          </w:p>
          <w:p w14:paraId="558A46F0" w14:textId="77777777" w:rsidR="00942E92" w:rsidRPr="00FC0326" w:rsidRDefault="00942E92" w:rsidP="00942E92">
            <w:pPr>
              <w:jc w:val="both"/>
              <w:rPr>
                <w:rFonts w:cs="Times New Roman"/>
                <w:sz w:val="20"/>
                <w:szCs w:val="20"/>
              </w:rPr>
            </w:pPr>
          </w:p>
        </w:tc>
        <w:tc>
          <w:tcPr>
            <w:tcW w:w="2835" w:type="dxa"/>
            <w:shd w:val="clear" w:color="auto" w:fill="FFFFFF" w:themeFill="background1"/>
          </w:tcPr>
          <w:p w14:paraId="34D04279" w14:textId="77777777" w:rsidR="00942E92" w:rsidRPr="00FC0326" w:rsidRDefault="00942E92" w:rsidP="00942E92">
            <w:pPr>
              <w:jc w:val="both"/>
              <w:rPr>
                <w:rFonts w:cs="Times New Roman"/>
                <w:sz w:val="20"/>
                <w:szCs w:val="20"/>
              </w:rPr>
            </w:pPr>
            <w:r w:rsidRPr="00FC0326">
              <w:rPr>
                <w:rFonts w:cs="Times New Roman"/>
                <w:sz w:val="20"/>
                <w:szCs w:val="20"/>
              </w:rPr>
              <w:t>Veikts izvērtējums par iespējamiem mehānismiem, kas nodrošinātu juridisku personu un juridisku veidojumu dibināšanas un darbības nodrošināšanas pakalpojumu sniedzēju identificēšanu un uzraudzību</w:t>
            </w:r>
          </w:p>
          <w:p w14:paraId="3492FB44" w14:textId="77777777" w:rsidR="00942E92" w:rsidRPr="00FC0326" w:rsidRDefault="00942E92" w:rsidP="00942E92">
            <w:pPr>
              <w:jc w:val="both"/>
              <w:rPr>
                <w:rFonts w:cs="Times New Roman"/>
                <w:sz w:val="20"/>
                <w:szCs w:val="20"/>
              </w:rPr>
            </w:pPr>
          </w:p>
        </w:tc>
        <w:tc>
          <w:tcPr>
            <w:tcW w:w="1134" w:type="dxa"/>
            <w:shd w:val="clear" w:color="auto" w:fill="FFFFFF" w:themeFill="background1"/>
          </w:tcPr>
          <w:p w14:paraId="05BE3B58" w14:textId="77777777" w:rsidR="00942E92" w:rsidRPr="00FC0326" w:rsidRDefault="00942E92" w:rsidP="002D63BE">
            <w:pPr>
              <w:jc w:val="center"/>
              <w:rPr>
                <w:rFonts w:cs="Times New Roman"/>
                <w:sz w:val="20"/>
                <w:szCs w:val="20"/>
              </w:rPr>
            </w:pPr>
            <w:r w:rsidRPr="00FC0326">
              <w:rPr>
                <w:rFonts w:cs="Times New Roman"/>
                <w:sz w:val="20"/>
                <w:szCs w:val="20"/>
              </w:rPr>
              <w:t>FM sadarbībā ar TM</w:t>
            </w:r>
          </w:p>
        </w:tc>
        <w:tc>
          <w:tcPr>
            <w:tcW w:w="1276" w:type="dxa"/>
            <w:shd w:val="clear" w:color="auto" w:fill="FFFFFF" w:themeFill="background1"/>
          </w:tcPr>
          <w:p w14:paraId="6DF75810" w14:textId="77777777" w:rsidR="00942E92" w:rsidRPr="00FC0326" w:rsidRDefault="00942E92" w:rsidP="002D63BE">
            <w:pPr>
              <w:jc w:val="center"/>
              <w:rPr>
                <w:rFonts w:cs="Times New Roman"/>
                <w:sz w:val="20"/>
                <w:szCs w:val="20"/>
              </w:rPr>
            </w:pPr>
            <w:r w:rsidRPr="00FC0326">
              <w:rPr>
                <w:rFonts w:cs="Times New Roman"/>
                <w:sz w:val="20"/>
                <w:szCs w:val="20"/>
              </w:rPr>
              <w:t>FM, VID,</w:t>
            </w:r>
          </w:p>
        </w:tc>
        <w:tc>
          <w:tcPr>
            <w:tcW w:w="1701" w:type="dxa"/>
            <w:shd w:val="clear" w:color="auto" w:fill="FFFFFF" w:themeFill="background1"/>
          </w:tcPr>
          <w:p w14:paraId="44FA4763" w14:textId="77777777" w:rsidR="00942E92" w:rsidRPr="00FC0326" w:rsidRDefault="00942E92" w:rsidP="002D63BE">
            <w:pPr>
              <w:jc w:val="center"/>
              <w:rPr>
                <w:rFonts w:cs="Times New Roman"/>
                <w:sz w:val="20"/>
                <w:szCs w:val="20"/>
              </w:rPr>
            </w:pPr>
            <w:r w:rsidRPr="00FC0326">
              <w:rPr>
                <w:rFonts w:cs="Times New Roman"/>
                <w:sz w:val="20"/>
                <w:szCs w:val="20"/>
              </w:rPr>
              <w:t>2018.gada 1.decembris</w:t>
            </w:r>
          </w:p>
        </w:tc>
      </w:tr>
      <w:tr w:rsidR="00942E92" w:rsidRPr="00FC0326" w14:paraId="1228C647" w14:textId="77777777" w:rsidTr="00FE237C">
        <w:trPr>
          <w:trHeight w:val="2087"/>
        </w:trPr>
        <w:tc>
          <w:tcPr>
            <w:tcW w:w="567" w:type="dxa"/>
            <w:vMerge w:val="restart"/>
            <w:tcBorders>
              <w:top w:val="single" w:sz="4" w:space="0" w:color="auto"/>
              <w:left w:val="single" w:sz="4" w:space="0" w:color="auto"/>
              <w:right w:val="single" w:sz="4" w:space="0" w:color="auto"/>
            </w:tcBorders>
            <w:shd w:val="clear" w:color="auto" w:fill="FFFFFF" w:themeFill="background1"/>
          </w:tcPr>
          <w:p w14:paraId="77BF46E7" w14:textId="77777777" w:rsidR="00942E92" w:rsidRPr="00FC0326" w:rsidRDefault="00942E92" w:rsidP="00942E92">
            <w:pPr>
              <w:rPr>
                <w:rFonts w:cs="Times New Roman"/>
                <w:sz w:val="20"/>
                <w:szCs w:val="20"/>
              </w:rPr>
            </w:pPr>
            <w:r w:rsidRPr="00FC0326">
              <w:rPr>
                <w:rFonts w:cs="Times New Roman"/>
                <w:sz w:val="20"/>
                <w:szCs w:val="20"/>
              </w:rPr>
              <w:lastRenderedPageBreak/>
              <w:t>5.11.</w:t>
            </w:r>
          </w:p>
        </w:tc>
        <w:tc>
          <w:tcPr>
            <w:tcW w:w="3683" w:type="dxa"/>
            <w:gridSpan w:val="2"/>
            <w:vMerge w:val="restart"/>
            <w:tcBorders>
              <w:top w:val="single" w:sz="4" w:space="0" w:color="auto"/>
              <w:left w:val="single" w:sz="4" w:space="0" w:color="auto"/>
              <w:right w:val="single" w:sz="4" w:space="0" w:color="auto"/>
            </w:tcBorders>
            <w:shd w:val="clear" w:color="auto" w:fill="FFFFFF" w:themeFill="background1"/>
          </w:tcPr>
          <w:p w14:paraId="000FFE56" w14:textId="77777777" w:rsidR="00942E92" w:rsidRPr="00FC0326" w:rsidRDefault="00942E92" w:rsidP="00942E92">
            <w:pPr>
              <w:jc w:val="both"/>
              <w:rPr>
                <w:rFonts w:cs="Times New Roman"/>
                <w:sz w:val="20"/>
                <w:szCs w:val="20"/>
              </w:rPr>
            </w:pPr>
            <w:r w:rsidRPr="00FC0326">
              <w:rPr>
                <w:rFonts w:cs="Times New Roman"/>
                <w:sz w:val="20"/>
                <w:szCs w:val="20"/>
              </w:rPr>
              <w:t>Nodrošināt, ka likuma subjekti (finanšu un nefinanšu iestādes) veic pasākumus klientu, kas ir juridiskas personas, patieso labuma guvēju noskaidrošanai un veic aktīvu šādas informācijas pārbaudi</w:t>
            </w:r>
          </w:p>
        </w:tc>
        <w:tc>
          <w:tcPr>
            <w:tcW w:w="1704" w:type="dxa"/>
            <w:vMerge w:val="restart"/>
            <w:tcBorders>
              <w:top w:val="single" w:sz="4" w:space="0" w:color="auto"/>
              <w:left w:val="single" w:sz="4" w:space="0" w:color="auto"/>
              <w:right w:val="single" w:sz="4" w:space="0" w:color="auto"/>
            </w:tcBorders>
            <w:shd w:val="clear" w:color="auto" w:fill="FFFFFF" w:themeFill="background1"/>
          </w:tcPr>
          <w:p w14:paraId="009CEACF" w14:textId="77777777" w:rsidR="00942E92" w:rsidRPr="00FC0326" w:rsidRDefault="00942E92" w:rsidP="00EE1B29">
            <w:pPr>
              <w:ind w:left="-108" w:right="-108"/>
              <w:rPr>
                <w:rFonts w:cs="Times New Roman"/>
                <w:sz w:val="20"/>
                <w:szCs w:val="20"/>
              </w:rPr>
            </w:pPr>
            <w:r w:rsidRPr="00FC0326">
              <w:rPr>
                <w:rFonts w:cs="Times New Roman"/>
                <w:sz w:val="20"/>
                <w:szCs w:val="20"/>
              </w:rPr>
              <w:t>Moneyval rekomendācija 5.4.</w:t>
            </w:r>
          </w:p>
        </w:tc>
        <w:tc>
          <w:tcPr>
            <w:tcW w:w="1984" w:type="dxa"/>
            <w:tcBorders>
              <w:top w:val="single" w:sz="4" w:space="0" w:color="auto"/>
              <w:left w:val="single" w:sz="4" w:space="0" w:color="auto"/>
              <w:right w:val="single" w:sz="4" w:space="0" w:color="auto"/>
            </w:tcBorders>
            <w:shd w:val="clear" w:color="auto" w:fill="FFFFFF" w:themeFill="background1"/>
          </w:tcPr>
          <w:p w14:paraId="1EE8B835" w14:textId="77777777" w:rsidR="00942E92" w:rsidRPr="00FC0326" w:rsidRDefault="00942E92" w:rsidP="00942E92">
            <w:pPr>
              <w:jc w:val="both"/>
              <w:rPr>
                <w:rFonts w:cs="Times New Roman"/>
                <w:sz w:val="20"/>
                <w:szCs w:val="20"/>
              </w:rPr>
            </w:pPr>
            <w:r>
              <w:rPr>
                <w:rFonts w:cs="Times New Roman"/>
                <w:sz w:val="20"/>
                <w:szCs w:val="20"/>
              </w:rPr>
              <w:t>1.</w:t>
            </w:r>
            <w:r w:rsidRPr="00FC0326">
              <w:rPr>
                <w:rFonts w:cs="Times New Roman"/>
                <w:sz w:val="20"/>
                <w:szCs w:val="20"/>
              </w:rPr>
              <w:t xml:space="preserve"> Izveidota vienota vispārīga pieeja uzraudzības institūciju metodoloģijā attiecībā uz klientu, kas ir juridiskas personas, izpēti, īpaši pievērošot uzmanību patieso labuma guvēju noskaidrošanai, un atbilstoši pilnveidotas uzraudzības un kontroles institūciju vadlīnijas</w:t>
            </w:r>
          </w:p>
        </w:tc>
        <w:tc>
          <w:tcPr>
            <w:tcW w:w="2835" w:type="dxa"/>
            <w:tcBorders>
              <w:top w:val="single" w:sz="4" w:space="0" w:color="auto"/>
              <w:left w:val="single" w:sz="4" w:space="0" w:color="auto"/>
              <w:right w:val="single" w:sz="4" w:space="0" w:color="auto"/>
            </w:tcBorders>
            <w:shd w:val="clear" w:color="auto" w:fill="FFFFFF" w:themeFill="background1"/>
          </w:tcPr>
          <w:p w14:paraId="60EF8271" w14:textId="77777777" w:rsidR="00942E92" w:rsidRPr="00FC0326" w:rsidRDefault="00850F9E" w:rsidP="00942E92">
            <w:pPr>
              <w:jc w:val="both"/>
              <w:rPr>
                <w:rFonts w:cs="Times New Roman"/>
                <w:sz w:val="20"/>
                <w:szCs w:val="20"/>
              </w:rPr>
            </w:pPr>
            <w:r>
              <w:rPr>
                <w:rFonts w:cs="Times New Roman"/>
                <w:sz w:val="20"/>
                <w:szCs w:val="20"/>
              </w:rPr>
              <w:t>1.</w:t>
            </w:r>
            <w:r w:rsidR="00942E92" w:rsidRPr="00FC0326">
              <w:rPr>
                <w:rFonts w:cs="Times New Roman"/>
                <w:sz w:val="20"/>
                <w:szCs w:val="20"/>
              </w:rPr>
              <w:t>Izstrādāta vienota pieeja un pilnveidotas vadlīnijas</w:t>
            </w:r>
            <w:r w:rsidR="00942E92">
              <w:rPr>
                <w:rFonts w:cs="Times New Roman"/>
                <w:sz w:val="20"/>
                <w:szCs w:val="20"/>
              </w:rPr>
              <w:t xml:space="preserve">, balstoties uz identificētiem riskiem, definēts veicamo pārbaužu apjoms </w:t>
            </w:r>
          </w:p>
          <w:p w14:paraId="5F6C0BFE" w14:textId="77777777" w:rsidR="00942E92" w:rsidRPr="00FC0326" w:rsidRDefault="00942E92" w:rsidP="00942E92">
            <w:pPr>
              <w:jc w:val="both"/>
              <w:rPr>
                <w:rFonts w:cs="Times New Roman"/>
                <w:sz w:val="20"/>
                <w:szCs w:val="20"/>
              </w:rPr>
            </w:pPr>
          </w:p>
        </w:tc>
        <w:tc>
          <w:tcPr>
            <w:tcW w:w="1134" w:type="dxa"/>
            <w:tcBorders>
              <w:top w:val="single" w:sz="4" w:space="0" w:color="auto"/>
              <w:left w:val="single" w:sz="4" w:space="0" w:color="auto"/>
              <w:right w:val="single" w:sz="4" w:space="0" w:color="auto"/>
            </w:tcBorders>
            <w:shd w:val="clear" w:color="auto" w:fill="FFFFFF" w:themeFill="background1"/>
          </w:tcPr>
          <w:p w14:paraId="4F14F6D3" w14:textId="77777777" w:rsidR="00942E92" w:rsidRPr="00FC0326" w:rsidRDefault="00942E92" w:rsidP="002D63BE">
            <w:pPr>
              <w:jc w:val="center"/>
              <w:rPr>
                <w:rFonts w:cs="Times New Roman"/>
                <w:sz w:val="20"/>
                <w:szCs w:val="20"/>
              </w:rPr>
            </w:pPr>
            <w:r w:rsidRPr="00FC0326">
              <w:rPr>
                <w:rFonts w:cs="Times New Roman"/>
                <w:sz w:val="20"/>
                <w:szCs w:val="20"/>
              </w:rPr>
              <w:t>KD</w:t>
            </w:r>
          </w:p>
        </w:tc>
        <w:tc>
          <w:tcPr>
            <w:tcW w:w="1276" w:type="dxa"/>
            <w:tcBorders>
              <w:top w:val="single" w:sz="4" w:space="0" w:color="auto"/>
              <w:left w:val="single" w:sz="4" w:space="0" w:color="auto"/>
              <w:right w:val="single" w:sz="4" w:space="0" w:color="auto"/>
            </w:tcBorders>
            <w:shd w:val="clear" w:color="auto" w:fill="FFFFFF" w:themeFill="background1"/>
          </w:tcPr>
          <w:p w14:paraId="724DD78A" w14:textId="77777777" w:rsidR="00942E92" w:rsidRPr="00FC0326" w:rsidRDefault="00942E92" w:rsidP="002D63BE">
            <w:pPr>
              <w:jc w:val="center"/>
              <w:rPr>
                <w:rFonts w:cs="Times New Roman"/>
                <w:sz w:val="20"/>
                <w:szCs w:val="20"/>
              </w:rPr>
            </w:pPr>
            <w:r w:rsidRPr="00FC0326">
              <w:rPr>
                <w:rFonts w:cs="Times New Roman"/>
                <w:sz w:val="20"/>
                <w:szCs w:val="20"/>
              </w:rPr>
              <w:t>FKTK, VID, LZNP, LZAP, LB, LZRA, NKMP</w:t>
            </w:r>
          </w:p>
        </w:tc>
        <w:tc>
          <w:tcPr>
            <w:tcW w:w="1701" w:type="dxa"/>
            <w:tcBorders>
              <w:top w:val="single" w:sz="4" w:space="0" w:color="auto"/>
              <w:left w:val="single" w:sz="4" w:space="0" w:color="auto"/>
              <w:right w:val="single" w:sz="4" w:space="0" w:color="auto"/>
            </w:tcBorders>
            <w:shd w:val="clear" w:color="auto" w:fill="FFFFFF" w:themeFill="background1"/>
          </w:tcPr>
          <w:p w14:paraId="2F52AFA3" w14:textId="77777777" w:rsidR="00942E92" w:rsidRPr="00FC0326" w:rsidRDefault="00942E92" w:rsidP="006F5E15">
            <w:pPr>
              <w:jc w:val="center"/>
              <w:rPr>
                <w:rFonts w:cs="Times New Roman"/>
                <w:sz w:val="20"/>
                <w:szCs w:val="20"/>
              </w:rPr>
            </w:pPr>
            <w:r w:rsidRPr="00FC0326">
              <w:rPr>
                <w:rFonts w:cs="Times New Roman"/>
                <w:sz w:val="20"/>
                <w:szCs w:val="20"/>
              </w:rPr>
              <w:t xml:space="preserve">2018.gada </w:t>
            </w:r>
            <w:r w:rsidR="006F5E15">
              <w:rPr>
                <w:rFonts w:cs="Times New Roman"/>
                <w:sz w:val="20"/>
                <w:szCs w:val="20"/>
              </w:rPr>
              <w:t>28</w:t>
            </w:r>
            <w:r w:rsidRPr="00FC0326">
              <w:rPr>
                <w:rFonts w:cs="Times New Roman"/>
                <w:sz w:val="20"/>
                <w:szCs w:val="20"/>
              </w:rPr>
              <w:t>.decembris</w:t>
            </w:r>
          </w:p>
        </w:tc>
      </w:tr>
      <w:tr w:rsidR="00942E92" w:rsidRPr="00FC0326" w14:paraId="59F84001" w14:textId="77777777" w:rsidTr="009E6048">
        <w:trPr>
          <w:trHeight w:val="1691"/>
        </w:trPr>
        <w:tc>
          <w:tcPr>
            <w:tcW w:w="567" w:type="dxa"/>
            <w:vMerge/>
            <w:tcBorders>
              <w:left w:val="single" w:sz="4" w:space="0" w:color="auto"/>
              <w:bottom w:val="single" w:sz="4" w:space="0" w:color="auto"/>
              <w:right w:val="single" w:sz="4" w:space="0" w:color="auto"/>
            </w:tcBorders>
            <w:shd w:val="clear" w:color="auto" w:fill="FFFFFF" w:themeFill="background1"/>
          </w:tcPr>
          <w:p w14:paraId="414B3EE6" w14:textId="77777777" w:rsidR="00942E92" w:rsidRPr="00FC0326" w:rsidRDefault="00942E92" w:rsidP="00942E92">
            <w:pPr>
              <w:rPr>
                <w:rFonts w:cs="Times New Roman"/>
                <w:sz w:val="20"/>
                <w:szCs w:val="20"/>
              </w:rPr>
            </w:pPr>
          </w:p>
        </w:tc>
        <w:tc>
          <w:tcPr>
            <w:tcW w:w="3683" w:type="dxa"/>
            <w:gridSpan w:val="2"/>
            <w:vMerge/>
            <w:tcBorders>
              <w:left w:val="single" w:sz="4" w:space="0" w:color="auto"/>
              <w:bottom w:val="single" w:sz="4" w:space="0" w:color="auto"/>
              <w:right w:val="single" w:sz="4" w:space="0" w:color="auto"/>
            </w:tcBorders>
            <w:shd w:val="clear" w:color="auto" w:fill="FFFFFF" w:themeFill="background1"/>
          </w:tcPr>
          <w:p w14:paraId="7EB8E4BA" w14:textId="77777777" w:rsidR="00942E92" w:rsidRPr="00FC0326" w:rsidRDefault="00942E92" w:rsidP="00942E92">
            <w:pPr>
              <w:jc w:val="both"/>
              <w:rPr>
                <w:rFonts w:cs="Times New Roman"/>
                <w:bCs/>
                <w:sz w:val="20"/>
                <w:szCs w:val="20"/>
              </w:rPr>
            </w:pPr>
          </w:p>
        </w:tc>
        <w:tc>
          <w:tcPr>
            <w:tcW w:w="1704" w:type="dxa"/>
            <w:vMerge/>
            <w:tcBorders>
              <w:left w:val="single" w:sz="4" w:space="0" w:color="auto"/>
              <w:bottom w:val="single" w:sz="4" w:space="0" w:color="auto"/>
              <w:right w:val="single" w:sz="4" w:space="0" w:color="auto"/>
            </w:tcBorders>
            <w:shd w:val="clear" w:color="auto" w:fill="FFFFFF" w:themeFill="background1"/>
          </w:tcPr>
          <w:p w14:paraId="162BB859" w14:textId="77777777" w:rsidR="00942E92" w:rsidRPr="00FC0326" w:rsidRDefault="00942E92" w:rsidP="00942E92">
            <w:pPr>
              <w:ind w:left="-108" w:right="-108"/>
              <w:jc w:val="center"/>
              <w:rPr>
                <w:rFonts w:cs="Times New Roman"/>
                <w:sz w:val="20"/>
                <w:szCs w:val="20"/>
              </w:rPr>
            </w:pPr>
          </w:p>
        </w:tc>
        <w:tc>
          <w:tcPr>
            <w:tcW w:w="1984" w:type="dxa"/>
            <w:tcBorders>
              <w:left w:val="single" w:sz="4" w:space="0" w:color="auto"/>
              <w:bottom w:val="single" w:sz="4" w:space="0" w:color="auto"/>
            </w:tcBorders>
            <w:shd w:val="clear" w:color="auto" w:fill="FFFFFF" w:themeFill="background1"/>
          </w:tcPr>
          <w:p w14:paraId="264BDCB7" w14:textId="77777777" w:rsidR="00942E92" w:rsidRPr="00FC0326" w:rsidRDefault="00942E92" w:rsidP="00942E92">
            <w:pPr>
              <w:jc w:val="both"/>
              <w:rPr>
                <w:rFonts w:cs="Times New Roman"/>
                <w:sz w:val="20"/>
                <w:szCs w:val="20"/>
              </w:rPr>
            </w:pPr>
            <w:r>
              <w:rPr>
                <w:rFonts w:cs="Times New Roman"/>
                <w:sz w:val="20"/>
                <w:szCs w:val="20"/>
              </w:rPr>
              <w:t>2</w:t>
            </w:r>
            <w:r w:rsidRPr="00FC0326">
              <w:rPr>
                <w:rFonts w:cs="Times New Roman"/>
                <w:sz w:val="20"/>
                <w:szCs w:val="20"/>
              </w:rPr>
              <w:t>. Mērķtiecīgas pārbaudes, lielāku prioritāti piešķirot tādiem saimnieciskās darbības veidiem, kas pa</w:t>
            </w:r>
            <w:r>
              <w:rPr>
                <w:rFonts w:cs="Times New Roman"/>
                <w:sz w:val="20"/>
                <w:szCs w:val="20"/>
              </w:rPr>
              <w:t>kļauti augstākam NILLTF riskam.</w:t>
            </w:r>
          </w:p>
        </w:tc>
        <w:tc>
          <w:tcPr>
            <w:tcW w:w="2835" w:type="dxa"/>
            <w:tcBorders>
              <w:bottom w:val="single" w:sz="4" w:space="0" w:color="auto"/>
            </w:tcBorders>
            <w:shd w:val="clear" w:color="auto" w:fill="FFFFFF" w:themeFill="background1"/>
          </w:tcPr>
          <w:p w14:paraId="475F1CAA" w14:textId="77777777" w:rsidR="00942E92" w:rsidRPr="00FC0326" w:rsidRDefault="00850F9E" w:rsidP="00942E92">
            <w:pPr>
              <w:jc w:val="both"/>
              <w:rPr>
                <w:rFonts w:cs="Times New Roman"/>
                <w:sz w:val="20"/>
                <w:szCs w:val="20"/>
              </w:rPr>
            </w:pPr>
            <w:r>
              <w:rPr>
                <w:rFonts w:cs="Times New Roman"/>
                <w:sz w:val="20"/>
                <w:szCs w:val="20"/>
              </w:rPr>
              <w:t>2.</w:t>
            </w:r>
            <w:r w:rsidR="00942E92" w:rsidRPr="00FC0326">
              <w:rPr>
                <w:rFonts w:cs="Times New Roman"/>
                <w:sz w:val="20"/>
                <w:szCs w:val="20"/>
              </w:rPr>
              <w:t>Mērķtiecīgu pārbaužu skaits, piemēroto soda sankciju/brīdinājumu skaits par PLG izpētes neveik</w:t>
            </w:r>
            <w:r w:rsidR="00942E92">
              <w:rPr>
                <w:rFonts w:cs="Times New Roman"/>
                <w:sz w:val="20"/>
                <w:szCs w:val="20"/>
              </w:rPr>
              <w:t>šanu vai neatbilstošu veikšanu.</w:t>
            </w:r>
          </w:p>
        </w:tc>
        <w:tc>
          <w:tcPr>
            <w:tcW w:w="1134" w:type="dxa"/>
            <w:tcBorders>
              <w:bottom w:val="single" w:sz="4" w:space="0" w:color="auto"/>
            </w:tcBorders>
            <w:shd w:val="clear" w:color="auto" w:fill="FFFFFF" w:themeFill="background1"/>
          </w:tcPr>
          <w:p w14:paraId="26DB8AD7" w14:textId="77777777" w:rsidR="00942E92" w:rsidRPr="00FC0326" w:rsidRDefault="00942E92" w:rsidP="002D63BE">
            <w:pPr>
              <w:jc w:val="center"/>
              <w:rPr>
                <w:rFonts w:cs="Times New Roman"/>
                <w:sz w:val="20"/>
                <w:szCs w:val="20"/>
              </w:rPr>
            </w:pPr>
            <w:r>
              <w:rPr>
                <w:rFonts w:cs="Times New Roman"/>
                <w:sz w:val="20"/>
                <w:szCs w:val="20"/>
              </w:rPr>
              <w:t>FKTK, VID, LZNP, LZAP, LB, LZRA</w:t>
            </w:r>
          </w:p>
        </w:tc>
        <w:tc>
          <w:tcPr>
            <w:tcW w:w="1276" w:type="dxa"/>
            <w:tcBorders>
              <w:bottom w:val="single" w:sz="4" w:space="0" w:color="auto"/>
            </w:tcBorders>
            <w:shd w:val="clear" w:color="auto" w:fill="FFFFFF" w:themeFill="background1"/>
          </w:tcPr>
          <w:p w14:paraId="4F6A0EDB" w14:textId="77777777" w:rsidR="00942E92" w:rsidRPr="00FC0326" w:rsidRDefault="00942E92" w:rsidP="002D63BE">
            <w:pPr>
              <w:jc w:val="center"/>
              <w:rPr>
                <w:rFonts w:cs="Times New Roman"/>
                <w:sz w:val="20"/>
                <w:szCs w:val="20"/>
              </w:rPr>
            </w:pPr>
          </w:p>
        </w:tc>
        <w:tc>
          <w:tcPr>
            <w:tcW w:w="1701" w:type="dxa"/>
            <w:tcBorders>
              <w:bottom w:val="single" w:sz="4" w:space="0" w:color="auto"/>
            </w:tcBorders>
            <w:shd w:val="clear" w:color="auto" w:fill="FFFFFF" w:themeFill="background1"/>
          </w:tcPr>
          <w:p w14:paraId="32C8BC9A" w14:textId="77777777" w:rsidR="00942E92" w:rsidRPr="00FC0326" w:rsidRDefault="00942E92" w:rsidP="006F5E15">
            <w:pPr>
              <w:jc w:val="center"/>
              <w:rPr>
                <w:rFonts w:cs="Times New Roman"/>
                <w:sz w:val="20"/>
                <w:szCs w:val="20"/>
              </w:rPr>
            </w:pPr>
            <w:r w:rsidRPr="00FC0326">
              <w:rPr>
                <w:rFonts w:cs="Times New Roman"/>
                <w:sz w:val="20"/>
                <w:szCs w:val="20"/>
              </w:rPr>
              <w:t xml:space="preserve">2019.gada </w:t>
            </w:r>
            <w:r w:rsidR="006F5E15">
              <w:rPr>
                <w:rFonts w:cs="Times New Roman"/>
                <w:sz w:val="20"/>
                <w:szCs w:val="20"/>
              </w:rPr>
              <w:t>28</w:t>
            </w:r>
            <w:r w:rsidRPr="00FC0326">
              <w:rPr>
                <w:rFonts w:cs="Times New Roman"/>
                <w:sz w:val="20"/>
                <w:szCs w:val="20"/>
              </w:rPr>
              <w:t>.decembris</w:t>
            </w:r>
          </w:p>
        </w:tc>
      </w:tr>
      <w:tr w:rsidR="00306969" w:rsidRPr="00FC0326" w14:paraId="32482F48" w14:textId="77777777" w:rsidTr="009E6048">
        <w:trPr>
          <w:trHeight w:val="1191"/>
        </w:trPr>
        <w:tc>
          <w:tcPr>
            <w:tcW w:w="567" w:type="dxa"/>
            <w:vMerge w:val="restart"/>
            <w:tcBorders>
              <w:left w:val="single" w:sz="4" w:space="0" w:color="auto"/>
              <w:bottom w:val="single" w:sz="4" w:space="0" w:color="auto"/>
              <w:right w:val="single" w:sz="4" w:space="0" w:color="auto"/>
            </w:tcBorders>
            <w:shd w:val="clear" w:color="auto" w:fill="FFFFFF" w:themeFill="background1"/>
          </w:tcPr>
          <w:p w14:paraId="23BC3AF6" w14:textId="77777777" w:rsidR="00306969" w:rsidRPr="00FC0326" w:rsidRDefault="00306969" w:rsidP="000D4C76">
            <w:pPr>
              <w:rPr>
                <w:rFonts w:cs="Times New Roman"/>
                <w:sz w:val="20"/>
                <w:szCs w:val="20"/>
              </w:rPr>
            </w:pPr>
            <w:r>
              <w:rPr>
                <w:rFonts w:cs="Times New Roman"/>
                <w:sz w:val="20"/>
                <w:szCs w:val="20"/>
              </w:rPr>
              <w:t>5.12.</w:t>
            </w:r>
          </w:p>
        </w:tc>
        <w:tc>
          <w:tcPr>
            <w:tcW w:w="3683" w:type="dxa"/>
            <w:gridSpan w:val="2"/>
            <w:tcBorders>
              <w:left w:val="single" w:sz="4" w:space="0" w:color="auto"/>
              <w:bottom w:val="single" w:sz="4" w:space="0" w:color="auto"/>
              <w:right w:val="single" w:sz="4" w:space="0" w:color="auto"/>
            </w:tcBorders>
            <w:shd w:val="clear" w:color="auto" w:fill="FFFFFF" w:themeFill="background1"/>
          </w:tcPr>
          <w:p w14:paraId="072EA59E" w14:textId="77777777" w:rsidR="00306969" w:rsidRPr="00FC0326" w:rsidRDefault="00306969" w:rsidP="000D4C76">
            <w:pPr>
              <w:jc w:val="both"/>
              <w:rPr>
                <w:rFonts w:cs="Times New Roman"/>
                <w:bCs/>
                <w:sz w:val="20"/>
                <w:szCs w:val="20"/>
              </w:rPr>
            </w:pPr>
            <w:r>
              <w:rPr>
                <w:rFonts w:cs="Times New Roman"/>
                <w:bCs/>
                <w:sz w:val="20"/>
                <w:szCs w:val="20"/>
              </w:rPr>
              <w:t xml:space="preserve">Uzlabota izpratne un mehānismi zvērinātu notāru veiktajos klientu izpētes pasākumos, noskaidrojot patiesā labuma guvējus. </w:t>
            </w:r>
          </w:p>
        </w:tc>
        <w:tc>
          <w:tcPr>
            <w:tcW w:w="1704" w:type="dxa"/>
            <w:tcBorders>
              <w:left w:val="single" w:sz="4" w:space="0" w:color="auto"/>
              <w:bottom w:val="single" w:sz="4" w:space="0" w:color="auto"/>
              <w:right w:val="single" w:sz="4" w:space="0" w:color="auto"/>
            </w:tcBorders>
            <w:shd w:val="clear" w:color="auto" w:fill="FFFFFF" w:themeFill="background1"/>
          </w:tcPr>
          <w:p w14:paraId="2394655C" w14:textId="77777777" w:rsidR="00306969" w:rsidRPr="00FC0326" w:rsidRDefault="00306969" w:rsidP="00EE1B29">
            <w:pPr>
              <w:ind w:left="-108" w:right="-108"/>
              <w:rPr>
                <w:rFonts w:cs="Times New Roman"/>
                <w:sz w:val="20"/>
                <w:szCs w:val="20"/>
              </w:rPr>
            </w:pPr>
            <w:r w:rsidRPr="00FC0326">
              <w:rPr>
                <w:rFonts w:cs="Times New Roman"/>
                <w:sz w:val="20"/>
                <w:szCs w:val="20"/>
              </w:rPr>
              <w:t xml:space="preserve">Moneyval rekomendācija </w:t>
            </w:r>
            <w:r>
              <w:rPr>
                <w:rFonts w:cs="Times New Roman"/>
                <w:sz w:val="20"/>
                <w:szCs w:val="20"/>
              </w:rPr>
              <w:t xml:space="preserve">3.1., </w:t>
            </w:r>
            <w:r w:rsidRPr="00FC0326">
              <w:rPr>
                <w:rFonts w:cs="Times New Roman"/>
                <w:sz w:val="20"/>
                <w:szCs w:val="20"/>
              </w:rPr>
              <w:t>5.4.</w:t>
            </w:r>
          </w:p>
        </w:tc>
        <w:tc>
          <w:tcPr>
            <w:tcW w:w="1984" w:type="dxa"/>
            <w:tcBorders>
              <w:left w:val="single" w:sz="4" w:space="0" w:color="auto"/>
              <w:bottom w:val="single" w:sz="4" w:space="0" w:color="auto"/>
            </w:tcBorders>
            <w:shd w:val="clear" w:color="auto" w:fill="FFFFFF" w:themeFill="background1"/>
          </w:tcPr>
          <w:p w14:paraId="0F012E6D" w14:textId="77777777" w:rsidR="00306969" w:rsidRDefault="00306969" w:rsidP="000D4C76">
            <w:pPr>
              <w:jc w:val="both"/>
              <w:rPr>
                <w:rFonts w:cs="Times New Roman"/>
                <w:sz w:val="20"/>
                <w:szCs w:val="20"/>
              </w:rPr>
            </w:pPr>
            <w:r w:rsidRPr="00FC0326">
              <w:rPr>
                <w:rFonts w:cs="Times New Roman"/>
                <w:sz w:val="20"/>
                <w:szCs w:val="20"/>
              </w:rPr>
              <w:t>Stiprināts NILTFN likuma subjektu (notāru) uzraudzības mehānisms</w:t>
            </w:r>
            <w:r>
              <w:rPr>
                <w:rFonts w:cs="Times New Roman"/>
                <w:sz w:val="20"/>
                <w:szCs w:val="20"/>
              </w:rPr>
              <w:t>, veidojot vienotu izpratni un uzlabojot mehānismus patieso labuma guvēju noskaidrošanā.</w:t>
            </w:r>
          </w:p>
        </w:tc>
        <w:tc>
          <w:tcPr>
            <w:tcW w:w="2835" w:type="dxa"/>
            <w:tcBorders>
              <w:bottom w:val="single" w:sz="4" w:space="0" w:color="auto"/>
            </w:tcBorders>
            <w:shd w:val="clear" w:color="auto" w:fill="FFFFFF" w:themeFill="background1"/>
          </w:tcPr>
          <w:p w14:paraId="3B5EC152" w14:textId="77777777" w:rsidR="00306969" w:rsidRPr="00FC0326" w:rsidRDefault="00306969" w:rsidP="000D4C76">
            <w:pPr>
              <w:jc w:val="both"/>
              <w:rPr>
                <w:rFonts w:cs="Times New Roman"/>
                <w:sz w:val="20"/>
                <w:szCs w:val="20"/>
              </w:rPr>
            </w:pPr>
            <w:r>
              <w:rPr>
                <w:rFonts w:cs="Times New Roman"/>
                <w:sz w:val="20"/>
                <w:szCs w:val="20"/>
              </w:rPr>
              <w:t>1. </w:t>
            </w:r>
            <w:r w:rsidRPr="004D7D3C">
              <w:rPr>
                <w:rFonts w:cs="Times New Roman"/>
                <w:sz w:val="20"/>
                <w:szCs w:val="20"/>
              </w:rPr>
              <w:t>Iegūtas ziņas no 22 citām CNUE (Eiropas Savienības Notāru padome) dalībvalstīm par iespējām noskaidrot patiesā labuma guvēju</w:t>
            </w:r>
            <w:r>
              <w:rPr>
                <w:rFonts w:cs="Times New Roman"/>
                <w:sz w:val="20"/>
                <w:szCs w:val="20"/>
              </w:rPr>
              <w:t>.</w:t>
            </w:r>
          </w:p>
        </w:tc>
        <w:tc>
          <w:tcPr>
            <w:tcW w:w="1134" w:type="dxa"/>
            <w:tcBorders>
              <w:bottom w:val="single" w:sz="4" w:space="0" w:color="auto"/>
            </w:tcBorders>
            <w:shd w:val="clear" w:color="auto" w:fill="FFFFFF" w:themeFill="background1"/>
          </w:tcPr>
          <w:p w14:paraId="3D2B49B2" w14:textId="77777777" w:rsidR="00306969" w:rsidRDefault="00306969" w:rsidP="000D4C76">
            <w:pPr>
              <w:jc w:val="center"/>
              <w:rPr>
                <w:rFonts w:cs="Times New Roman"/>
                <w:sz w:val="20"/>
                <w:szCs w:val="20"/>
              </w:rPr>
            </w:pPr>
            <w:r>
              <w:rPr>
                <w:rFonts w:cs="Times New Roman"/>
                <w:sz w:val="20"/>
                <w:szCs w:val="20"/>
              </w:rPr>
              <w:t>LZNP</w:t>
            </w:r>
          </w:p>
        </w:tc>
        <w:tc>
          <w:tcPr>
            <w:tcW w:w="1276" w:type="dxa"/>
            <w:tcBorders>
              <w:bottom w:val="single" w:sz="4" w:space="0" w:color="auto"/>
            </w:tcBorders>
            <w:shd w:val="clear" w:color="auto" w:fill="FFFFFF" w:themeFill="background1"/>
          </w:tcPr>
          <w:p w14:paraId="40B70283" w14:textId="77777777" w:rsidR="00306969" w:rsidRPr="00FC0326" w:rsidRDefault="00306969" w:rsidP="000D4C76">
            <w:pPr>
              <w:jc w:val="center"/>
              <w:rPr>
                <w:rFonts w:cs="Times New Roman"/>
                <w:sz w:val="20"/>
                <w:szCs w:val="20"/>
              </w:rPr>
            </w:pPr>
          </w:p>
        </w:tc>
        <w:tc>
          <w:tcPr>
            <w:tcW w:w="1701" w:type="dxa"/>
            <w:tcBorders>
              <w:bottom w:val="single" w:sz="4" w:space="0" w:color="auto"/>
            </w:tcBorders>
            <w:shd w:val="clear" w:color="auto" w:fill="FFFFFF" w:themeFill="background1"/>
          </w:tcPr>
          <w:p w14:paraId="47E8350E" w14:textId="77777777" w:rsidR="00306969" w:rsidRPr="00FC0326" w:rsidRDefault="00306969" w:rsidP="000D4C76">
            <w:pPr>
              <w:jc w:val="center"/>
              <w:rPr>
                <w:rFonts w:cs="Times New Roman"/>
                <w:sz w:val="20"/>
                <w:szCs w:val="20"/>
              </w:rPr>
            </w:pPr>
            <w:r>
              <w:rPr>
                <w:rFonts w:cs="Times New Roman"/>
                <w:sz w:val="20"/>
                <w:szCs w:val="20"/>
              </w:rPr>
              <w:t>2019.gada 1.janvāris</w:t>
            </w:r>
          </w:p>
        </w:tc>
      </w:tr>
      <w:tr w:rsidR="00306969" w:rsidRPr="00FC0326" w14:paraId="5CE7E1FF" w14:textId="77777777" w:rsidTr="009E6048">
        <w:trPr>
          <w:trHeight w:val="1191"/>
        </w:trPr>
        <w:tc>
          <w:tcPr>
            <w:tcW w:w="567" w:type="dxa"/>
            <w:vMerge/>
            <w:tcBorders>
              <w:top w:val="single" w:sz="4" w:space="0" w:color="auto"/>
              <w:left w:val="single" w:sz="4" w:space="0" w:color="auto"/>
              <w:right w:val="single" w:sz="4" w:space="0" w:color="auto"/>
            </w:tcBorders>
            <w:shd w:val="clear" w:color="auto" w:fill="FFFFFF" w:themeFill="background1"/>
          </w:tcPr>
          <w:p w14:paraId="164AA4CA" w14:textId="77777777" w:rsidR="00306969" w:rsidRPr="00FC0326" w:rsidRDefault="00306969" w:rsidP="000D4C76">
            <w:pPr>
              <w:jc w:val="both"/>
              <w:rPr>
                <w:rFonts w:cs="Times New Roman"/>
                <w:sz w:val="20"/>
                <w:szCs w:val="20"/>
              </w:rPr>
            </w:pPr>
          </w:p>
        </w:tc>
        <w:tc>
          <w:tcPr>
            <w:tcW w:w="3675" w:type="dxa"/>
            <w:vMerge w:val="restart"/>
            <w:tcBorders>
              <w:top w:val="single" w:sz="4" w:space="0" w:color="auto"/>
              <w:left w:val="single" w:sz="4" w:space="0" w:color="auto"/>
            </w:tcBorders>
            <w:shd w:val="clear" w:color="auto" w:fill="FFFFFF" w:themeFill="background1"/>
          </w:tcPr>
          <w:p w14:paraId="48A0A5BC" w14:textId="77777777" w:rsidR="00306969" w:rsidRPr="00FC0326" w:rsidRDefault="00306969" w:rsidP="000D4C76">
            <w:pPr>
              <w:jc w:val="both"/>
              <w:rPr>
                <w:rFonts w:cs="Times New Roman"/>
                <w:sz w:val="20"/>
                <w:szCs w:val="20"/>
              </w:rPr>
            </w:pPr>
          </w:p>
        </w:tc>
        <w:tc>
          <w:tcPr>
            <w:tcW w:w="1712" w:type="dxa"/>
            <w:gridSpan w:val="2"/>
            <w:vMerge w:val="restart"/>
            <w:tcBorders>
              <w:top w:val="single" w:sz="4" w:space="0" w:color="auto"/>
              <w:left w:val="single" w:sz="4" w:space="0" w:color="auto"/>
            </w:tcBorders>
            <w:shd w:val="clear" w:color="auto" w:fill="FFFFFF" w:themeFill="background1"/>
          </w:tcPr>
          <w:p w14:paraId="5602FAA8" w14:textId="77777777" w:rsidR="00306969" w:rsidRPr="00FC0326" w:rsidRDefault="00306969" w:rsidP="000D4C76">
            <w:pPr>
              <w:jc w:val="both"/>
              <w:rPr>
                <w:rFonts w:cs="Times New Roman"/>
                <w:sz w:val="20"/>
                <w:szCs w:val="20"/>
              </w:rPr>
            </w:pPr>
          </w:p>
        </w:tc>
        <w:tc>
          <w:tcPr>
            <w:tcW w:w="1984" w:type="dxa"/>
            <w:vMerge w:val="restart"/>
            <w:tcBorders>
              <w:top w:val="single" w:sz="4" w:space="0" w:color="auto"/>
              <w:left w:val="single" w:sz="4" w:space="0" w:color="auto"/>
            </w:tcBorders>
            <w:shd w:val="clear" w:color="auto" w:fill="FFFFFF" w:themeFill="background1"/>
          </w:tcPr>
          <w:p w14:paraId="4B56E54F" w14:textId="77777777" w:rsidR="00306969" w:rsidRPr="00FC0326" w:rsidRDefault="00306969" w:rsidP="000D4C76">
            <w:pPr>
              <w:jc w:val="both"/>
              <w:rPr>
                <w:rFonts w:cs="Times New Roman"/>
                <w:sz w:val="20"/>
                <w:szCs w:val="20"/>
              </w:rPr>
            </w:pPr>
          </w:p>
        </w:tc>
        <w:tc>
          <w:tcPr>
            <w:tcW w:w="2835" w:type="dxa"/>
            <w:tcBorders>
              <w:top w:val="single" w:sz="4" w:space="0" w:color="auto"/>
            </w:tcBorders>
            <w:shd w:val="clear" w:color="auto" w:fill="FFFFFF" w:themeFill="background1"/>
          </w:tcPr>
          <w:p w14:paraId="5FA7DF37" w14:textId="77777777" w:rsidR="00306969" w:rsidRPr="00FC0326" w:rsidRDefault="00306969" w:rsidP="000D4C76">
            <w:pPr>
              <w:jc w:val="both"/>
              <w:rPr>
                <w:rFonts w:cs="Times New Roman"/>
                <w:sz w:val="20"/>
                <w:szCs w:val="20"/>
              </w:rPr>
            </w:pPr>
            <w:r>
              <w:rPr>
                <w:rFonts w:cs="Times New Roman"/>
                <w:sz w:val="20"/>
                <w:szCs w:val="20"/>
              </w:rPr>
              <w:t>2.</w:t>
            </w:r>
            <w:r>
              <w:t xml:space="preserve"> </w:t>
            </w:r>
            <w:r w:rsidRPr="004D7D3C">
              <w:rPr>
                <w:rFonts w:cs="Times New Roman"/>
                <w:sz w:val="20"/>
                <w:szCs w:val="20"/>
              </w:rPr>
              <w:t xml:space="preserve">UINL (Starptautiskā Notariātu savienība) </w:t>
            </w:r>
            <w:r>
              <w:rPr>
                <w:rFonts w:cs="Times New Roman"/>
                <w:sz w:val="20"/>
                <w:szCs w:val="20"/>
              </w:rPr>
              <w:t xml:space="preserve">pieņemtas </w:t>
            </w:r>
            <w:r w:rsidRPr="004D7D3C">
              <w:rPr>
                <w:rFonts w:cs="Times New Roman"/>
                <w:sz w:val="20"/>
                <w:szCs w:val="20"/>
              </w:rPr>
              <w:t>vadlīnijas par NILLTF novēršanu latīņu notariātā (</w:t>
            </w:r>
            <w:r w:rsidRPr="00EE1B29">
              <w:rPr>
                <w:rFonts w:cs="Times New Roman"/>
                <w:i/>
                <w:sz w:val="20"/>
                <w:szCs w:val="20"/>
              </w:rPr>
              <w:t xml:space="preserve">the Guide “Good practices on the prevention of </w:t>
            </w:r>
            <w:r w:rsidRPr="00EE1B29">
              <w:rPr>
                <w:rFonts w:cs="Times New Roman"/>
                <w:i/>
                <w:sz w:val="20"/>
                <w:szCs w:val="20"/>
              </w:rPr>
              <w:lastRenderedPageBreak/>
              <w:t>money laundering and terrorist financing in the notarial sector”</w:t>
            </w:r>
            <w:r w:rsidRPr="004D7D3C">
              <w:rPr>
                <w:rFonts w:cs="Times New Roman"/>
                <w:sz w:val="20"/>
                <w:szCs w:val="20"/>
              </w:rPr>
              <w:t>)</w:t>
            </w:r>
            <w:r>
              <w:rPr>
                <w:rFonts w:cs="Times New Roman"/>
                <w:sz w:val="20"/>
                <w:szCs w:val="20"/>
              </w:rPr>
              <w:t>.</w:t>
            </w:r>
          </w:p>
        </w:tc>
        <w:tc>
          <w:tcPr>
            <w:tcW w:w="1134" w:type="dxa"/>
            <w:tcBorders>
              <w:top w:val="single" w:sz="4" w:space="0" w:color="auto"/>
            </w:tcBorders>
            <w:shd w:val="clear" w:color="auto" w:fill="FFFFFF" w:themeFill="background1"/>
          </w:tcPr>
          <w:p w14:paraId="462B20D0" w14:textId="77777777" w:rsidR="00306969" w:rsidRDefault="00306969" w:rsidP="000D4C76">
            <w:pPr>
              <w:jc w:val="center"/>
              <w:rPr>
                <w:rFonts w:cs="Times New Roman"/>
                <w:sz w:val="20"/>
                <w:szCs w:val="20"/>
              </w:rPr>
            </w:pPr>
            <w:r>
              <w:rPr>
                <w:rFonts w:cs="Times New Roman"/>
                <w:sz w:val="20"/>
                <w:szCs w:val="20"/>
              </w:rPr>
              <w:lastRenderedPageBreak/>
              <w:t>LZNP</w:t>
            </w:r>
          </w:p>
        </w:tc>
        <w:tc>
          <w:tcPr>
            <w:tcW w:w="1276" w:type="dxa"/>
            <w:tcBorders>
              <w:top w:val="single" w:sz="4" w:space="0" w:color="auto"/>
            </w:tcBorders>
            <w:shd w:val="clear" w:color="auto" w:fill="FFFFFF" w:themeFill="background1"/>
          </w:tcPr>
          <w:p w14:paraId="7F96B19C" w14:textId="77777777" w:rsidR="00306969" w:rsidRPr="00FC0326" w:rsidRDefault="00306969" w:rsidP="000D4C76">
            <w:pPr>
              <w:jc w:val="center"/>
              <w:rPr>
                <w:rFonts w:cs="Times New Roman"/>
                <w:sz w:val="20"/>
                <w:szCs w:val="20"/>
              </w:rPr>
            </w:pPr>
          </w:p>
        </w:tc>
        <w:tc>
          <w:tcPr>
            <w:tcW w:w="1701" w:type="dxa"/>
            <w:tcBorders>
              <w:top w:val="single" w:sz="4" w:space="0" w:color="auto"/>
            </w:tcBorders>
            <w:shd w:val="clear" w:color="auto" w:fill="FFFFFF" w:themeFill="background1"/>
          </w:tcPr>
          <w:p w14:paraId="5328BD02" w14:textId="77777777" w:rsidR="00306969" w:rsidRPr="00FC0326" w:rsidRDefault="00306969" w:rsidP="000D4C76">
            <w:pPr>
              <w:jc w:val="center"/>
              <w:rPr>
                <w:rFonts w:cs="Times New Roman"/>
                <w:sz w:val="20"/>
                <w:szCs w:val="20"/>
              </w:rPr>
            </w:pPr>
            <w:r>
              <w:rPr>
                <w:rFonts w:cs="Times New Roman"/>
                <w:sz w:val="20"/>
                <w:szCs w:val="20"/>
              </w:rPr>
              <w:t>2019.gada 1.maijs</w:t>
            </w:r>
          </w:p>
        </w:tc>
      </w:tr>
      <w:tr w:rsidR="00306969" w:rsidRPr="00FC0326" w14:paraId="04BE436E" w14:textId="77777777" w:rsidTr="00FE237C">
        <w:trPr>
          <w:trHeight w:val="1191"/>
        </w:trPr>
        <w:tc>
          <w:tcPr>
            <w:tcW w:w="567" w:type="dxa"/>
            <w:vMerge/>
            <w:tcBorders>
              <w:left w:val="single" w:sz="4" w:space="0" w:color="auto"/>
              <w:right w:val="single" w:sz="4" w:space="0" w:color="auto"/>
            </w:tcBorders>
            <w:shd w:val="clear" w:color="auto" w:fill="FFFFFF" w:themeFill="background1"/>
          </w:tcPr>
          <w:p w14:paraId="46D5DF89" w14:textId="77777777" w:rsidR="00306969" w:rsidRPr="00FC0326" w:rsidRDefault="00306969" w:rsidP="000D4C76">
            <w:pPr>
              <w:jc w:val="both"/>
              <w:rPr>
                <w:rFonts w:cs="Times New Roman"/>
                <w:sz w:val="20"/>
                <w:szCs w:val="20"/>
              </w:rPr>
            </w:pPr>
          </w:p>
        </w:tc>
        <w:tc>
          <w:tcPr>
            <w:tcW w:w="3675" w:type="dxa"/>
            <w:vMerge/>
            <w:tcBorders>
              <w:top w:val="nil"/>
              <w:left w:val="single" w:sz="4" w:space="0" w:color="auto"/>
            </w:tcBorders>
            <w:shd w:val="clear" w:color="auto" w:fill="FFFFFF" w:themeFill="background1"/>
          </w:tcPr>
          <w:p w14:paraId="15ED53D4" w14:textId="77777777" w:rsidR="00306969" w:rsidRPr="00FC0326" w:rsidRDefault="00306969" w:rsidP="000D4C76">
            <w:pPr>
              <w:jc w:val="both"/>
              <w:rPr>
                <w:rFonts w:cs="Times New Roman"/>
                <w:sz w:val="20"/>
                <w:szCs w:val="20"/>
              </w:rPr>
            </w:pPr>
          </w:p>
        </w:tc>
        <w:tc>
          <w:tcPr>
            <w:tcW w:w="1712" w:type="dxa"/>
            <w:gridSpan w:val="2"/>
            <w:vMerge/>
            <w:tcBorders>
              <w:top w:val="nil"/>
              <w:left w:val="single" w:sz="4" w:space="0" w:color="auto"/>
            </w:tcBorders>
            <w:shd w:val="clear" w:color="auto" w:fill="FFFFFF" w:themeFill="background1"/>
          </w:tcPr>
          <w:p w14:paraId="4CB5A350" w14:textId="77777777" w:rsidR="00306969" w:rsidRPr="00FC0326" w:rsidRDefault="00306969" w:rsidP="000D4C76">
            <w:pPr>
              <w:jc w:val="both"/>
              <w:rPr>
                <w:rFonts w:cs="Times New Roman"/>
                <w:sz w:val="20"/>
                <w:szCs w:val="20"/>
              </w:rPr>
            </w:pPr>
          </w:p>
        </w:tc>
        <w:tc>
          <w:tcPr>
            <w:tcW w:w="1984" w:type="dxa"/>
            <w:vMerge/>
            <w:tcBorders>
              <w:top w:val="nil"/>
              <w:left w:val="single" w:sz="4" w:space="0" w:color="auto"/>
            </w:tcBorders>
            <w:shd w:val="clear" w:color="auto" w:fill="FFFFFF" w:themeFill="background1"/>
          </w:tcPr>
          <w:p w14:paraId="6F470FD9" w14:textId="77777777" w:rsidR="00306969" w:rsidRPr="00FC0326" w:rsidRDefault="00306969" w:rsidP="000D4C76">
            <w:pPr>
              <w:jc w:val="both"/>
              <w:rPr>
                <w:rFonts w:cs="Times New Roman"/>
                <w:sz w:val="20"/>
                <w:szCs w:val="20"/>
              </w:rPr>
            </w:pPr>
          </w:p>
        </w:tc>
        <w:tc>
          <w:tcPr>
            <w:tcW w:w="2835" w:type="dxa"/>
            <w:shd w:val="clear" w:color="auto" w:fill="FFFFFF" w:themeFill="background1"/>
          </w:tcPr>
          <w:p w14:paraId="1437E53B" w14:textId="77777777" w:rsidR="00306969" w:rsidRPr="00EC5CD4" w:rsidRDefault="00306969" w:rsidP="000D4C76">
            <w:pPr>
              <w:jc w:val="both"/>
            </w:pPr>
            <w:r>
              <w:rPr>
                <w:rFonts w:cs="Times New Roman"/>
                <w:sz w:val="20"/>
                <w:szCs w:val="20"/>
              </w:rPr>
              <w:t>3.</w:t>
            </w:r>
            <w:r>
              <w:t xml:space="preserve"> </w:t>
            </w:r>
            <w:r w:rsidRPr="00DD61AD">
              <w:rPr>
                <w:rFonts w:cs="Times New Roman"/>
                <w:sz w:val="20"/>
                <w:szCs w:val="20"/>
              </w:rPr>
              <w:t>Sagatavots ziņojums par progresu darījuma reģistra</w:t>
            </w:r>
            <w:r>
              <w:rPr>
                <w:rFonts w:cs="Times New Roman"/>
                <w:sz w:val="20"/>
                <w:szCs w:val="20"/>
              </w:rPr>
              <w:t>, kurā iekļauta pazīme “patiesā labuma guvējs”</w:t>
            </w:r>
            <w:r w:rsidRPr="00DD61AD">
              <w:rPr>
                <w:rFonts w:cs="Times New Roman"/>
                <w:sz w:val="20"/>
                <w:szCs w:val="20"/>
              </w:rPr>
              <w:t xml:space="preserve"> izveidē</w:t>
            </w:r>
            <w:r>
              <w:rPr>
                <w:rFonts w:cs="Times New Roman"/>
                <w:sz w:val="20"/>
                <w:szCs w:val="20"/>
              </w:rPr>
              <w:t>.</w:t>
            </w:r>
          </w:p>
        </w:tc>
        <w:tc>
          <w:tcPr>
            <w:tcW w:w="1134" w:type="dxa"/>
            <w:shd w:val="clear" w:color="auto" w:fill="FFFFFF" w:themeFill="background1"/>
          </w:tcPr>
          <w:p w14:paraId="3F61C367" w14:textId="77777777" w:rsidR="00306969" w:rsidRDefault="00306969" w:rsidP="000D4C76">
            <w:pPr>
              <w:jc w:val="center"/>
              <w:rPr>
                <w:rFonts w:cs="Times New Roman"/>
                <w:sz w:val="20"/>
                <w:szCs w:val="20"/>
              </w:rPr>
            </w:pPr>
            <w:r>
              <w:rPr>
                <w:rFonts w:cs="Times New Roman"/>
                <w:sz w:val="20"/>
                <w:szCs w:val="20"/>
              </w:rPr>
              <w:t>LZNP</w:t>
            </w:r>
          </w:p>
        </w:tc>
        <w:tc>
          <w:tcPr>
            <w:tcW w:w="1276" w:type="dxa"/>
            <w:shd w:val="clear" w:color="auto" w:fill="FFFFFF" w:themeFill="background1"/>
          </w:tcPr>
          <w:p w14:paraId="24921E63" w14:textId="77777777" w:rsidR="00306969" w:rsidRPr="00FC0326" w:rsidRDefault="00306969" w:rsidP="000D4C76">
            <w:pPr>
              <w:jc w:val="center"/>
              <w:rPr>
                <w:rFonts w:cs="Times New Roman"/>
                <w:sz w:val="20"/>
                <w:szCs w:val="20"/>
              </w:rPr>
            </w:pPr>
          </w:p>
        </w:tc>
        <w:tc>
          <w:tcPr>
            <w:tcW w:w="1701" w:type="dxa"/>
            <w:shd w:val="clear" w:color="auto" w:fill="FFFFFF" w:themeFill="background1"/>
          </w:tcPr>
          <w:p w14:paraId="14A478E2" w14:textId="77777777" w:rsidR="00306969" w:rsidRPr="00FC0326" w:rsidRDefault="00306969" w:rsidP="000D4C76">
            <w:pPr>
              <w:jc w:val="center"/>
              <w:rPr>
                <w:rFonts w:cs="Times New Roman"/>
                <w:sz w:val="20"/>
                <w:szCs w:val="20"/>
              </w:rPr>
            </w:pPr>
            <w:r>
              <w:rPr>
                <w:rFonts w:cs="Times New Roman"/>
                <w:sz w:val="20"/>
                <w:szCs w:val="20"/>
              </w:rPr>
              <w:t>2019.gada 31.decembris</w:t>
            </w:r>
          </w:p>
        </w:tc>
      </w:tr>
      <w:tr w:rsidR="00306969" w14:paraId="6FA7149A" w14:textId="77777777" w:rsidTr="00FE237C">
        <w:trPr>
          <w:trHeight w:val="1191"/>
        </w:trPr>
        <w:tc>
          <w:tcPr>
            <w:tcW w:w="567" w:type="dxa"/>
            <w:vMerge/>
            <w:tcBorders>
              <w:left w:val="single" w:sz="4" w:space="0" w:color="auto"/>
              <w:right w:val="single" w:sz="4" w:space="0" w:color="auto"/>
            </w:tcBorders>
            <w:shd w:val="clear" w:color="auto" w:fill="FFFFFF" w:themeFill="background1"/>
          </w:tcPr>
          <w:p w14:paraId="122D97D3" w14:textId="77777777" w:rsidR="00306969" w:rsidRPr="00FC0326" w:rsidRDefault="00306969" w:rsidP="000D4C76">
            <w:pPr>
              <w:jc w:val="both"/>
              <w:rPr>
                <w:rFonts w:cs="Times New Roman"/>
                <w:sz w:val="20"/>
                <w:szCs w:val="20"/>
              </w:rPr>
            </w:pPr>
          </w:p>
        </w:tc>
        <w:tc>
          <w:tcPr>
            <w:tcW w:w="3675" w:type="dxa"/>
            <w:vMerge/>
            <w:tcBorders>
              <w:top w:val="nil"/>
              <w:left w:val="single" w:sz="4" w:space="0" w:color="auto"/>
            </w:tcBorders>
            <w:shd w:val="clear" w:color="auto" w:fill="FFFFFF" w:themeFill="background1"/>
          </w:tcPr>
          <w:p w14:paraId="7A262A5A" w14:textId="77777777" w:rsidR="00306969" w:rsidRPr="00FC0326" w:rsidRDefault="00306969" w:rsidP="000D4C76">
            <w:pPr>
              <w:jc w:val="both"/>
              <w:rPr>
                <w:rFonts w:cs="Times New Roman"/>
                <w:sz w:val="20"/>
                <w:szCs w:val="20"/>
              </w:rPr>
            </w:pPr>
          </w:p>
        </w:tc>
        <w:tc>
          <w:tcPr>
            <w:tcW w:w="1712" w:type="dxa"/>
            <w:gridSpan w:val="2"/>
            <w:vMerge/>
            <w:tcBorders>
              <w:top w:val="nil"/>
              <w:left w:val="single" w:sz="4" w:space="0" w:color="auto"/>
            </w:tcBorders>
            <w:shd w:val="clear" w:color="auto" w:fill="FFFFFF" w:themeFill="background1"/>
          </w:tcPr>
          <w:p w14:paraId="2533C172" w14:textId="77777777" w:rsidR="00306969" w:rsidRPr="00FC0326" w:rsidRDefault="00306969" w:rsidP="000D4C76">
            <w:pPr>
              <w:jc w:val="both"/>
              <w:rPr>
                <w:rFonts w:cs="Times New Roman"/>
                <w:sz w:val="20"/>
                <w:szCs w:val="20"/>
              </w:rPr>
            </w:pPr>
          </w:p>
        </w:tc>
        <w:tc>
          <w:tcPr>
            <w:tcW w:w="1984" w:type="dxa"/>
            <w:vMerge/>
            <w:tcBorders>
              <w:top w:val="nil"/>
              <w:left w:val="single" w:sz="4" w:space="0" w:color="auto"/>
            </w:tcBorders>
            <w:shd w:val="clear" w:color="auto" w:fill="FFFFFF" w:themeFill="background1"/>
          </w:tcPr>
          <w:p w14:paraId="4D910AE7" w14:textId="77777777" w:rsidR="00306969" w:rsidRPr="00FC0326" w:rsidRDefault="00306969" w:rsidP="000D4C76">
            <w:pPr>
              <w:jc w:val="both"/>
              <w:rPr>
                <w:rFonts w:cs="Times New Roman"/>
                <w:sz w:val="20"/>
                <w:szCs w:val="20"/>
              </w:rPr>
            </w:pPr>
          </w:p>
        </w:tc>
        <w:tc>
          <w:tcPr>
            <w:tcW w:w="2835" w:type="dxa"/>
            <w:shd w:val="clear" w:color="auto" w:fill="FFFFFF" w:themeFill="background1"/>
          </w:tcPr>
          <w:p w14:paraId="505C2D9D" w14:textId="77777777" w:rsidR="00306969" w:rsidRDefault="00306969" w:rsidP="000D4C76">
            <w:pPr>
              <w:jc w:val="both"/>
              <w:rPr>
                <w:rFonts w:cs="Times New Roman"/>
                <w:sz w:val="20"/>
                <w:szCs w:val="20"/>
              </w:rPr>
            </w:pPr>
            <w:r>
              <w:rPr>
                <w:rFonts w:cs="Times New Roman"/>
                <w:sz w:val="20"/>
                <w:szCs w:val="20"/>
              </w:rPr>
              <w:t>4. </w:t>
            </w:r>
            <w:r w:rsidRPr="00DD61AD">
              <w:rPr>
                <w:rFonts w:cs="Times New Roman"/>
                <w:sz w:val="20"/>
                <w:szCs w:val="20"/>
              </w:rPr>
              <w:t>Izveidots ar zvērinātu notāru starpniecību veikto darījumu reģistrs un tajā iekļauta pazīme “patiesā labuma guvējs</w:t>
            </w:r>
            <w:r>
              <w:rPr>
                <w:rFonts w:cs="Times New Roman"/>
                <w:sz w:val="20"/>
                <w:szCs w:val="20"/>
              </w:rPr>
              <w:t>”.</w:t>
            </w:r>
          </w:p>
        </w:tc>
        <w:tc>
          <w:tcPr>
            <w:tcW w:w="1134" w:type="dxa"/>
            <w:shd w:val="clear" w:color="auto" w:fill="FFFFFF" w:themeFill="background1"/>
          </w:tcPr>
          <w:p w14:paraId="7B4EB6E0" w14:textId="77777777" w:rsidR="00306969" w:rsidRDefault="00306969" w:rsidP="000D4C76">
            <w:pPr>
              <w:jc w:val="center"/>
              <w:rPr>
                <w:rFonts w:cs="Times New Roman"/>
                <w:sz w:val="20"/>
                <w:szCs w:val="20"/>
              </w:rPr>
            </w:pPr>
            <w:r>
              <w:rPr>
                <w:rFonts w:cs="Times New Roman"/>
                <w:sz w:val="20"/>
                <w:szCs w:val="20"/>
              </w:rPr>
              <w:t>LZNP</w:t>
            </w:r>
          </w:p>
        </w:tc>
        <w:tc>
          <w:tcPr>
            <w:tcW w:w="1276" w:type="dxa"/>
            <w:shd w:val="clear" w:color="auto" w:fill="FFFFFF" w:themeFill="background1"/>
          </w:tcPr>
          <w:p w14:paraId="15CA9D39" w14:textId="77777777" w:rsidR="00306969" w:rsidRPr="00FC0326" w:rsidRDefault="00306969" w:rsidP="000D4C76">
            <w:pPr>
              <w:jc w:val="center"/>
              <w:rPr>
                <w:rFonts w:cs="Times New Roman"/>
                <w:sz w:val="20"/>
                <w:szCs w:val="20"/>
              </w:rPr>
            </w:pPr>
          </w:p>
        </w:tc>
        <w:tc>
          <w:tcPr>
            <w:tcW w:w="1701" w:type="dxa"/>
            <w:shd w:val="clear" w:color="auto" w:fill="FFFFFF" w:themeFill="background1"/>
          </w:tcPr>
          <w:p w14:paraId="18FE5246" w14:textId="77777777" w:rsidR="00306969" w:rsidRDefault="00306969" w:rsidP="000D4C76">
            <w:pPr>
              <w:jc w:val="center"/>
              <w:rPr>
                <w:rFonts w:cs="Times New Roman"/>
                <w:sz w:val="20"/>
                <w:szCs w:val="20"/>
              </w:rPr>
            </w:pPr>
            <w:r>
              <w:rPr>
                <w:rFonts w:cs="Times New Roman"/>
                <w:sz w:val="20"/>
                <w:szCs w:val="20"/>
              </w:rPr>
              <w:t>2021.gada 31.decembris</w:t>
            </w:r>
          </w:p>
        </w:tc>
      </w:tr>
      <w:tr w:rsidR="00306969" w:rsidRPr="00FC0326" w14:paraId="473EDBF9" w14:textId="77777777" w:rsidTr="00FE237C">
        <w:trPr>
          <w:trHeight w:val="940"/>
        </w:trPr>
        <w:tc>
          <w:tcPr>
            <w:tcW w:w="567" w:type="dxa"/>
            <w:vMerge/>
            <w:tcBorders>
              <w:left w:val="single" w:sz="4" w:space="0" w:color="auto"/>
              <w:right w:val="single" w:sz="4" w:space="0" w:color="auto"/>
            </w:tcBorders>
            <w:shd w:val="clear" w:color="auto" w:fill="FFFFFF" w:themeFill="background1"/>
          </w:tcPr>
          <w:p w14:paraId="77CE5B97" w14:textId="77777777" w:rsidR="00306969" w:rsidRPr="00FC0326" w:rsidRDefault="00306969" w:rsidP="000D4C76">
            <w:pPr>
              <w:jc w:val="both"/>
              <w:rPr>
                <w:rFonts w:cs="Times New Roman"/>
                <w:sz w:val="20"/>
                <w:szCs w:val="20"/>
              </w:rPr>
            </w:pPr>
          </w:p>
        </w:tc>
        <w:tc>
          <w:tcPr>
            <w:tcW w:w="3675" w:type="dxa"/>
            <w:vMerge/>
            <w:tcBorders>
              <w:top w:val="nil"/>
              <w:left w:val="single" w:sz="4" w:space="0" w:color="auto"/>
            </w:tcBorders>
            <w:shd w:val="clear" w:color="auto" w:fill="FFFFFF" w:themeFill="background1"/>
          </w:tcPr>
          <w:p w14:paraId="429CB59A" w14:textId="77777777" w:rsidR="00306969" w:rsidRPr="00FC0326" w:rsidRDefault="00306969" w:rsidP="000D4C76">
            <w:pPr>
              <w:jc w:val="both"/>
              <w:rPr>
                <w:rFonts w:cs="Times New Roman"/>
                <w:sz w:val="20"/>
                <w:szCs w:val="20"/>
              </w:rPr>
            </w:pPr>
          </w:p>
        </w:tc>
        <w:tc>
          <w:tcPr>
            <w:tcW w:w="1712" w:type="dxa"/>
            <w:gridSpan w:val="2"/>
            <w:vMerge/>
            <w:tcBorders>
              <w:top w:val="nil"/>
              <w:left w:val="single" w:sz="4" w:space="0" w:color="auto"/>
            </w:tcBorders>
            <w:shd w:val="clear" w:color="auto" w:fill="FFFFFF" w:themeFill="background1"/>
          </w:tcPr>
          <w:p w14:paraId="10EFB7A1" w14:textId="77777777" w:rsidR="00306969" w:rsidRPr="00FC0326" w:rsidRDefault="00306969" w:rsidP="000D4C76">
            <w:pPr>
              <w:jc w:val="both"/>
              <w:rPr>
                <w:rFonts w:cs="Times New Roman"/>
                <w:sz w:val="20"/>
                <w:szCs w:val="20"/>
              </w:rPr>
            </w:pPr>
          </w:p>
        </w:tc>
        <w:tc>
          <w:tcPr>
            <w:tcW w:w="1984" w:type="dxa"/>
            <w:vMerge/>
            <w:tcBorders>
              <w:top w:val="nil"/>
              <w:left w:val="single" w:sz="4" w:space="0" w:color="auto"/>
            </w:tcBorders>
            <w:shd w:val="clear" w:color="auto" w:fill="FFFFFF" w:themeFill="background1"/>
          </w:tcPr>
          <w:p w14:paraId="5764576E" w14:textId="77777777" w:rsidR="00306969" w:rsidRPr="00FC0326" w:rsidRDefault="00306969" w:rsidP="000D4C76">
            <w:pPr>
              <w:jc w:val="both"/>
              <w:rPr>
                <w:rFonts w:cs="Times New Roman"/>
                <w:sz w:val="20"/>
                <w:szCs w:val="20"/>
              </w:rPr>
            </w:pPr>
          </w:p>
        </w:tc>
        <w:tc>
          <w:tcPr>
            <w:tcW w:w="2835" w:type="dxa"/>
            <w:shd w:val="clear" w:color="auto" w:fill="FFFFFF" w:themeFill="background1"/>
          </w:tcPr>
          <w:p w14:paraId="3F7AFCCA" w14:textId="77777777" w:rsidR="00306969" w:rsidRDefault="00306969" w:rsidP="000D4C76">
            <w:pPr>
              <w:jc w:val="both"/>
              <w:rPr>
                <w:rFonts w:cs="Times New Roman"/>
                <w:sz w:val="20"/>
                <w:szCs w:val="20"/>
              </w:rPr>
            </w:pPr>
            <w:r>
              <w:rPr>
                <w:rFonts w:cs="Times New Roman"/>
                <w:sz w:val="20"/>
                <w:szCs w:val="20"/>
              </w:rPr>
              <w:t>5.</w:t>
            </w:r>
            <w:r>
              <w:t xml:space="preserve"> </w:t>
            </w:r>
            <w:r w:rsidRPr="004D7D3C">
              <w:rPr>
                <w:rFonts w:cs="Times New Roman"/>
                <w:sz w:val="20"/>
                <w:szCs w:val="20"/>
              </w:rPr>
              <w:t>Izveidots vizualizēts attēls un metodoloģija patiesā labuma guvēja</w:t>
            </w:r>
            <w:r>
              <w:rPr>
                <w:rFonts w:cs="Times New Roman"/>
                <w:sz w:val="20"/>
                <w:szCs w:val="20"/>
              </w:rPr>
              <w:t xml:space="preserve"> </w:t>
            </w:r>
            <w:r w:rsidRPr="004D7D3C">
              <w:rPr>
                <w:rFonts w:cs="Times New Roman"/>
                <w:sz w:val="20"/>
                <w:szCs w:val="20"/>
              </w:rPr>
              <w:t>noskaidrošanai</w:t>
            </w:r>
            <w:r>
              <w:rPr>
                <w:rFonts w:cs="Times New Roman"/>
                <w:sz w:val="20"/>
                <w:szCs w:val="20"/>
              </w:rPr>
              <w:t>.</w:t>
            </w:r>
          </w:p>
        </w:tc>
        <w:tc>
          <w:tcPr>
            <w:tcW w:w="1134" w:type="dxa"/>
            <w:shd w:val="clear" w:color="auto" w:fill="FFFFFF" w:themeFill="background1"/>
          </w:tcPr>
          <w:p w14:paraId="6C40A573" w14:textId="77777777" w:rsidR="00306969" w:rsidRDefault="00306969" w:rsidP="000D4C76">
            <w:pPr>
              <w:jc w:val="center"/>
              <w:rPr>
                <w:rFonts w:cs="Times New Roman"/>
                <w:sz w:val="20"/>
                <w:szCs w:val="20"/>
              </w:rPr>
            </w:pPr>
            <w:r>
              <w:rPr>
                <w:rFonts w:cs="Times New Roman"/>
                <w:sz w:val="20"/>
                <w:szCs w:val="20"/>
              </w:rPr>
              <w:t>LZNP</w:t>
            </w:r>
          </w:p>
        </w:tc>
        <w:tc>
          <w:tcPr>
            <w:tcW w:w="1276" w:type="dxa"/>
            <w:shd w:val="clear" w:color="auto" w:fill="FFFFFF" w:themeFill="background1"/>
          </w:tcPr>
          <w:p w14:paraId="07182557" w14:textId="77777777" w:rsidR="00306969" w:rsidRPr="00FC0326" w:rsidRDefault="00306969" w:rsidP="000D4C76">
            <w:pPr>
              <w:jc w:val="center"/>
              <w:rPr>
                <w:rFonts w:cs="Times New Roman"/>
                <w:sz w:val="20"/>
                <w:szCs w:val="20"/>
              </w:rPr>
            </w:pPr>
          </w:p>
        </w:tc>
        <w:tc>
          <w:tcPr>
            <w:tcW w:w="1701" w:type="dxa"/>
            <w:shd w:val="clear" w:color="auto" w:fill="FFFFFF" w:themeFill="background1"/>
          </w:tcPr>
          <w:p w14:paraId="445D381F" w14:textId="77777777" w:rsidR="00306969" w:rsidRPr="00FC0326" w:rsidRDefault="00306969" w:rsidP="000D4C76">
            <w:pPr>
              <w:jc w:val="center"/>
              <w:rPr>
                <w:rFonts w:cs="Times New Roman"/>
                <w:sz w:val="20"/>
                <w:szCs w:val="20"/>
              </w:rPr>
            </w:pPr>
            <w:r>
              <w:rPr>
                <w:rFonts w:cs="Times New Roman"/>
                <w:sz w:val="20"/>
                <w:szCs w:val="20"/>
              </w:rPr>
              <w:t>2021.gada 31.decembris</w:t>
            </w:r>
          </w:p>
        </w:tc>
      </w:tr>
    </w:tbl>
    <w:p w14:paraId="5189A9B6" w14:textId="77777777" w:rsidR="00306969" w:rsidRPr="00FC0326" w:rsidRDefault="00306969" w:rsidP="00FF0BBA">
      <w:pPr>
        <w:jc w:val="both"/>
        <w:rPr>
          <w:b/>
          <w:sz w:val="28"/>
          <w:szCs w:val="28"/>
        </w:rPr>
      </w:pPr>
    </w:p>
    <w:p w14:paraId="2940852F" w14:textId="77777777" w:rsidR="00FF0BBA" w:rsidRPr="00E24F37" w:rsidRDefault="009C6D67" w:rsidP="00E24F37">
      <w:pPr>
        <w:pStyle w:val="Heading2"/>
        <w:rPr>
          <w:rFonts w:ascii="Times New Roman" w:hAnsi="Times New Roman" w:cs="Times New Roman"/>
          <w:b/>
          <w:color w:val="auto"/>
          <w:sz w:val="28"/>
          <w:szCs w:val="28"/>
        </w:rPr>
      </w:pPr>
      <w:bookmarkStart w:id="12" w:name="_Toc524977654"/>
      <w:r w:rsidRPr="00E24F37">
        <w:rPr>
          <w:rFonts w:ascii="Times New Roman" w:hAnsi="Times New Roman" w:cs="Times New Roman"/>
          <w:b/>
          <w:color w:val="auto"/>
          <w:sz w:val="28"/>
          <w:szCs w:val="28"/>
        </w:rPr>
        <w:t>6</w:t>
      </w:r>
      <w:r w:rsidR="00FF0BBA" w:rsidRPr="00E24F37">
        <w:rPr>
          <w:rFonts w:ascii="Times New Roman" w:hAnsi="Times New Roman" w:cs="Times New Roman"/>
          <w:b/>
          <w:color w:val="auto"/>
          <w:sz w:val="28"/>
          <w:szCs w:val="28"/>
        </w:rPr>
        <w:t xml:space="preserve">.rīcības virziens – </w:t>
      </w:r>
      <w:r w:rsidRPr="00E24F37">
        <w:rPr>
          <w:rFonts w:ascii="Times New Roman" w:hAnsi="Times New Roman" w:cs="Times New Roman"/>
          <w:b/>
          <w:color w:val="auto"/>
          <w:sz w:val="28"/>
          <w:szCs w:val="28"/>
        </w:rPr>
        <w:t>Finanšu izlūkošana</w:t>
      </w:r>
      <w:bookmarkEnd w:id="12"/>
      <w:r w:rsidR="00FF0BBA" w:rsidRPr="00E24F37">
        <w:rPr>
          <w:rFonts w:ascii="Times New Roman" w:hAnsi="Times New Roman" w:cs="Times New Roman"/>
          <w:b/>
          <w:color w:val="auto"/>
          <w:sz w:val="28"/>
          <w:szCs w:val="28"/>
        </w:rPr>
        <w:t xml:space="preserve">  </w:t>
      </w:r>
    </w:p>
    <w:p w14:paraId="2B421C4A" w14:textId="77777777" w:rsidR="00FF0BBA" w:rsidRPr="00FC0326" w:rsidRDefault="00FF0BBA" w:rsidP="00FF0BBA">
      <w:pPr>
        <w:jc w:val="both"/>
        <w:rPr>
          <w:sz w:val="28"/>
          <w:szCs w:val="28"/>
        </w:rPr>
      </w:pPr>
    </w:p>
    <w:p w14:paraId="22440FE9" w14:textId="77777777" w:rsidR="00FF0BBA" w:rsidRPr="00FC0326" w:rsidRDefault="00FF0BBA" w:rsidP="00FF0BBA">
      <w:pPr>
        <w:jc w:val="both"/>
        <w:rPr>
          <w:szCs w:val="24"/>
        </w:rPr>
      </w:pPr>
      <w:r w:rsidRPr="00FC0326">
        <w:rPr>
          <w:szCs w:val="24"/>
        </w:rPr>
        <w:t xml:space="preserve">Par rīcības virzienu atbildīgā iestāde: </w:t>
      </w:r>
      <w:r w:rsidR="009C6D67" w:rsidRPr="00FC0326">
        <w:rPr>
          <w:szCs w:val="24"/>
        </w:rPr>
        <w:t>KD</w:t>
      </w:r>
    </w:p>
    <w:p w14:paraId="28232CFF" w14:textId="77777777" w:rsidR="00FF0BBA" w:rsidRPr="00FC0326" w:rsidRDefault="00FF0BBA" w:rsidP="00FF0BBA">
      <w:pPr>
        <w:jc w:val="both"/>
        <w:rPr>
          <w:szCs w:val="24"/>
        </w:rPr>
      </w:pPr>
      <w:r w:rsidRPr="00FC0326">
        <w:rPr>
          <w:szCs w:val="24"/>
        </w:rPr>
        <w:t xml:space="preserve">Līdzatbildīgās iestādes: </w:t>
      </w:r>
      <w:r w:rsidR="009C6D67" w:rsidRPr="00FC0326">
        <w:rPr>
          <w:szCs w:val="24"/>
        </w:rPr>
        <w:t>VP, VID, DP, KNAB, ĢP</w:t>
      </w:r>
      <w:r w:rsidR="00342D0D">
        <w:rPr>
          <w:szCs w:val="24"/>
        </w:rPr>
        <w:t xml:space="preserve">, FKTK, LZNP, LZAP, LB, LZRA, NKMP, PTAC, </w:t>
      </w:r>
      <w:r w:rsidR="0090763B">
        <w:rPr>
          <w:szCs w:val="24"/>
        </w:rPr>
        <w:t>NKMP</w:t>
      </w:r>
      <w:r w:rsidR="00342D0D">
        <w:rPr>
          <w:szCs w:val="24"/>
        </w:rPr>
        <w:t>, IAUI, SM</w:t>
      </w:r>
    </w:p>
    <w:p w14:paraId="6881F3D2" w14:textId="77777777" w:rsidR="00A3142E" w:rsidRDefault="00A3142E" w:rsidP="00FF0BBA">
      <w:pPr>
        <w:jc w:val="both"/>
        <w:rPr>
          <w:sz w:val="28"/>
          <w:szCs w:val="28"/>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701"/>
        <w:gridCol w:w="1984"/>
        <w:gridCol w:w="2835"/>
        <w:gridCol w:w="1276"/>
        <w:gridCol w:w="1134"/>
        <w:gridCol w:w="1701"/>
      </w:tblGrid>
      <w:tr w:rsidR="00A3142E" w:rsidRPr="00FC0326" w14:paraId="3DF1B746" w14:textId="77777777" w:rsidTr="0041273D">
        <w:tc>
          <w:tcPr>
            <w:tcW w:w="4253" w:type="dxa"/>
            <w:gridSpan w:val="2"/>
          </w:tcPr>
          <w:p w14:paraId="5C73C08A" w14:textId="77777777" w:rsidR="00A3142E" w:rsidRPr="00FC0326" w:rsidRDefault="00A3142E" w:rsidP="00A3142E">
            <w:pPr>
              <w:rPr>
                <w:rFonts w:cs="Times New Roman"/>
                <w:b/>
                <w:bCs/>
                <w:sz w:val="20"/>
                <w:szCs w:val="20"/>
              </w:rPr>
            </w:pPr>
            <w:r w:rsidRPr="00FC0326">
              <w:rPr>
                <w:rFonts w:cs="Times New Roman"/>
                <w:b/>
                <w:bCs/>
                <w:sz w:val="20"/>
                <w:szCs w:val="20"/>
              </w:rPr>
              <w:t>1.Rīcības virziens</w:t>
            </w:r>
          </w:p>
        </w:tc>
        <w:tc>
          <w:tcPr>
            <w:tcW w:w="10631" w:type="dxa"/>
            <w:gridSpan w:val="6"/>
          </w:tcPr>
          <w:p w14:paraId="5FAE54A2" w14:textId="77777777" w:rsidR="00A3142E" w:rsidRPr="00FC0326" w:rsidRDefault="00A3142E" w:rsidP="00A3142E">
            <w:pPr>
              <w:jc w:val="both"/>
              <w:rPr>
                <w:rFonts w:cs="Times New Roman"/>
                <w:b/>
                <w:bCs/>
                <w:sz w:val="20"/>
                <w:szCs w:val="20"/>
              </w:rPr>
            </w:pPr>
            <w:r>
              <w:rPr>
                <w:rFonts w:cs="Times New Roman"/>
                <w:b/>
                <w:sz w:val="20"/>
                <w:szCs w:val="20"/>
              </w:rPr>
              <w:t>FINANŠU IZLŪKOŠANA</w:t>
            </w:r>
          </w:p>
        </w:tc>
      </w:tr>
      <w:tr w:rsidR="00A3142E" w:rsidRPr="00FC0326" w14:paraId="10606D6C" w14:textId="77777777" w:rsidTr="0041273D">
        <w:tc>
          <w:tcPr>
            <w:tcW w:w="4253" w:type="dxa"/>
            <w:gridSpan w:val="2"/>
          </w:tcPr>
          <w:p w14:paraId="7D10CBE5" w14:textId="77777777" w:rsidR="00A3142E" w:rsidRPr="00FC0326" w:rsidRDefault="00A3142E" w:rsidP="00A3142E">
            <w:pPr>
              <w:rPr>
                <w:rFonts w:cs="Times New Roman"/>
                <w:b/>
                <w:bCs/>
                <w:sz w:val="20"/>
                <w:szCs w:val="20"/>
              </w:rPr>
            </w:pPr>
            <w:r w:rsidRPr="00FC0326">
              <w:rPr>
                <w:rFonts w:cs="Times New Roman"/>
                <w:b/>
                <w:bCs/>
                <w:sz w:val="20"/>
                <w:szCs w:val="20"/>
              </w:rPr>
              <w:t>Sasniedzamie apakšmērķi:</w:t>
            </w:r>
          </w:p>
        </w:tc>
        <w:tc>
          <w:tcPr>
            <w:tcW w:w="10631" w:type="dxa"/>
            <w:gridSpan w:val="6"/>
          </w:tcPr>
          <w:p w14:paraId="086B1DBC" w14:textId="77777777" w:rsidR="00A3142E" w:rsidRPr="00FC0326" w:rsidRDefault="00A3142E" w:rsidP="00342D0D">
            <w:pPr>
              <w:jc w:val="both"/>
              <w:rPr>
                <w:rFonts w:cs="Times New Roman"/>
                <w:b/>
                <w:bCs/>
                <w:sz w:val="20"/>
                <w:szCs w:val="20"/>
              </w:rPr>
            </w:pPr>
            <w:r>
              <w:rPr>
                <w:rFonts w:cs="Times New Roman"/>
                <w:b/>
                <w:bCs/>
                <w:sz w:val="20"/>
                <w:szCs w:val="20"/>
              </w:rPr>
              <w:t xml:space="preserve">1. </w:t>
            </w:r>
            <w:r w:rsidR="00342D0D">
              <w:rPr>
                <w:rFonts w:cs="Times New Roman"/>
                <w:b/>
                <w:bCs/>
                <w:sz w:val="20"/>
                <w:szCs w:val="20"/>
              </w:rPr>
              <w:t>Uzlabot</w:t>
            </w:r>
            <w:r w:rsidR="00161E8F">
              <w:rPr>
                <w:rFonts w:cs="Times New Roman"/>
                <w:b/>
                <w:bCs/>
                <w:sz w:val="20"/>
                <w:szCs w:val="20"/>
              </w:rPr>
              <w:t>a</w:t>
            </w:r>
            <w:r w:rsidR="00342D0D">
              <w:rPr>
                <w:rFonts w:cs="Times New Roman"/>
                <w:b/>
                <w:bCs/>
                <w:sz w:val="20"/>
                <w:szCs w:val="20"/>
              </w:rPr>
              <w:t xml:space="preserve"> aizdomīgu un nep</w:t>
            </w:r>
            <w:r w:rsidR="007129BF">
              <w:rPr>
                <w:rFonts w:cs="Times New Roman"/>
                <w:b/>
                <w:bCs/>
                <w:sz w:val="20"/>
                <w:szCs w:val="20"/>
              </w:rPr>
              <w:t>a</w:t>
            </w:r>
            <w:r w:rsidR="00161E8F">
              <w:rPr>
                <w:rFonts w:cs="Times New Roman"/>
                <w:b/>
                <w:bCs/>
                <w:sz w:val="20"/>
                <w:szCs w:val="20"/>
              </w:rPr>
              <w:t>rastu darījumu ziņošanas sistēma</w:t>
            </w:r>
          </w:p>
        </w:tc>
      </w:tr>
      <w:tr w:rsidR="00A3142E" w:rsidRPr="00FC0326" w14:paraId="69976409" w14:textId="77777777" w:rsidTr="0041273D">
        <w:tc>
          <w:tcPr>
            <w:tcW w:w="4253" w:type="dxa"/>
            <w:gridSpan w:val="2"/>
          </w:tcPr>
          <w:p w14:paraId="5E527D95" w14:textId="77777777" w:rsidR="00A3142E" w:rsidRPr="00FC0326" w:rsidRDefault="00A3142E" w:rsidP="00A3142E">
            <w:pPr>
              <w:rPr>
                <w:rFonts w:cs="Times New Roman"/>
                <w:b/>
                <w:bCs/>
                <w:sz w:val="20"/>
                <w:szCs w:val="20"/>
              </w:rPr>
            </w:pPr>
          </w:p>
        </w:tc>
        <w:tc>
          <w:tcPr>
            <w:tcW w:w="10631" w:type="dxa"/>
            <w:gridSpan w:val="6"/>
          </w:tcPr>
          <w:p w14:paraId="1DA8A38F" w14:textId="77777777" w:rsidR="00A3142E" w:rsidRPr="00FC0326" w:rsidRDefault="007B2625" w:rsidP="00342D0D">
            <w:pPr>
              <w:jc w:val="both"/>
              <w:rPr>
                <w:rFonts w:cs="Times New Roman"/>
                <w:b/>
                <w:bCs/>
                <w:sz w:val="20"/>
                <w:szCs w:val="20"/>
              </w:rPr>
            </w:pPr>
            <w:r>
              <w:rPr>
                <w:rFonts w:cs="Times New Roman"/>
                <w:b/>
                <w:bCs/>
                <w:sz w:val="20"/>
                <w:szCs w:val="20"/>
              </w:rPr>
              <w:t>2</w:t>
            </w:r>
            <w:r w:rsidR="007129BF">
              <w:rPr>
                <w:rFonts w:cs="Times New Roman"/>
                <w:b/>
                <w:bCs/>
                <w:sz w:val="20"/>
                <w:szCs w:val="20"/>
              </w:rPr>
              <w:t xml:space="preserve">. </w:t>
            </w:r>
            <w:r w:rsidR="00342D0D">
              <w:rPr>
                <w:rFonts w:cs="Times New Roman"/>
                <w:b/>
                <w:bCs/>
                <w:sz w:val="20"/>
                <w:szCs w:val="20"/>
              </w:rPr>
              <w:t>Nodrošināt</w:t>
            </w:r>
            <w:r w:rsidR="00161E8F">
              <w:rPr>
                <w:rFonts w:cs="Times New Roman"/>
                <w:b/>
                <w:bCs/>
                <w:sz w:val="20"/>
                <w:szCs w:val="20"/>
              </w:rPr>
              <w:t>a</w:t>
            </w:r>
            <w:r w:rsidR="007129BF">
              <w:rPr>
                <w:rFonts w:cs="Times New Roman"/>
                <w:b/>
                <w:bCs/>
                <w:sz w:val="20"/>
                <w:szCs w:val="20"/>
              </w:rPr>
              <w:t xml:space="preserve"> koordinācija</w:t>
            </w:r>
            <w:r w:rsidR="00342D0D">
              <w:rPr>
                <w:rFonts w:cs="Times New Roman"/>
                <w:b/>
                <w:bCs/>
                <w:sz w:val="20"/>
                <w:szCs w:val="20"/>
              </w:rPr>
              <w:t xml:space="preserve"> starp KD, uzraugošām un kontrolējošām institūcijām, tiesību aizsardzības iestādēm un likuma subjektiem</w:t>
            </w:r>
          </w:p>
        </w:tc>
      </w:tr>
      <w:tr w:rsidR="00FD1DE9" w:rsidRPr="00FC0326" w14:paraId="2042AD29" w14:textId="77777777" w:rsidTr="0041273D">
        <w:tc>
          <w:tcPr>
            <w:tcW w:w="4253" w:type="dxa"/>
            <w:gridSpan w:val="2"/>
          </w:tcPr>
          <w:p w14:paraId="6FE5AB39" w14:textId="77777777" w:rsidR="00FD1DE9" w:rsidRPr="00FC0326" w:rsidRDefault="00FD1DE9" w:rsidP="00A3142E">
            <w:pPr>
              <w:rPr>
                <w:rFonts w:cs="Times New Roman"/>
                <w:b/>
                <w:bCs/>
                <w:sz w:val="20"/>
                <w:szCs w:val="20"/>
              </w:rPr>
            </w:pPr>
          </w:p>
        </w:tc>
        <w:tc>
          <w:tcPr>
            <w:tcW w:w="10631" w:type="dxa"/>
            <w:gridSpan w:val="6"/>
          </w:tcPr>
          <w:p w14:paraId="58E69082" w14:textId="77777777" w:rsidR="00FD1DE9" w:rsidRDefault="00FD1DE9" w:rsidP="00342D0D">
            <w:pPr>
              <w:jc w:val="both"/>
              <w:rPr>
                <w:rFonts w:cs="Times New Roman"/>
                <w:b/>
                <w:bCs/>
                <w:sz w:val="20"/>
                <w:szCs w:val="20"/>
              </w:rPr>
            </w:pPr>
            <w:r>
              <w:rPr>
                <w:rFonts w:cs="Times New Roman"/>
                <w:b/>
                <w:bCs/>
                <w:sz w:val="20"/>
                <w:szCs w:val="20"/>
              </w:rPr>
              <w:t xml:space="preserve">3. </w:t>
            </w:r>
            <w:r w:rsidR="00342D0D">
              <w:rPr>
                <w:rFonts w:cs="Times New Roman"/>
                <w:b/>
                <w:bCs/>
                <w:sz w:val="20"/>
                <w:szCs w:val="20"/>
              </w:rPr>
              <w:t>Nodrošinātas adekvātas iespējas veikt stratēģisko un operacionālo analīzi</w:t>
            </w:r>
          </w:p>
        </w:tc>
      </w:tr>
      <w:tr w:rsidR="00FD1DE9" w:rsidRPr="00FC0326" w14:paraId="45A492D5" w14:textId="77777777" w:rsidTr="0041273D">
        <w:tc>
          <w:tcPr>
            <w:tcW w:w="4253" w:type="dxa"/>
            <w:gridSpan w:val="2"/>
          </w:tcPr>
          <w:p w14:paraId="38F9C0E2" w14:textId="77777777" w:rsidR="00FD1DE9" w:rsidRPr="00FC0326" w:rsidRDefault="00FD1DE9" w:rsidP="00A3142E">
            <w:pPr>
              <w:rPr>
                <w:rFonts w:cs="Times New Roman"/>
                <w:b/>
                <w:bCs/>
                <w:sz w:val="20"/>
                <w:szCs w:val="20"/>
              </w:rPr>
            </w:pPr>
          </w:p>
        </w:tc>
        <w:tc>
          <w:tcPr>
            <w:tcW w:w="10631" w:type="dxa"/>
            <w:gridSpan w:val="6"/>
          </w:tcPr>
          <w:p w14:paraId="60696069" w14:textId="77777777" w:rsidR="00FD1DE9" w:rsidRPr="00FD1DE9" w:rsidRDefault="00FD1DE9" w:rsidP="0025344E">
            <w:pPr>
              <w:pStyle w:val="ListParagraph"/>
              <w:tabs>
                <w:tab w:val="left" w:pos="6307"/>
              </w:tabs>
              <w:ind w:left="0"/>
              <w:jc w:val="both"/>
              <w:rPr>
                <w:rFonts w:cs="Times New Roman"/>
                <w:b/>
                <w:bCs/>
                <w:sz w:val="20"/>
                <w:szCs w:val="20"/>
              </w:rPr>
            </w:pPr>
            <w:r>
              <w:rPr>
                <w:rFonts w:cs="Times New Roman"/>
                <w:b/>
                <w:bCs/>
                <w:sz w:val="20"/>
                <w:szCs w:val="20"/>
              </w:rPr>
              <w:t xml:space="preserve">4. </w:t>
            </w:r>
            <w:r w:rsidR="00342D0D">
              <w:rPr>
                <w:rFonts w:cs="Times New Roman"/>
                <w:b/>
                <w:bCs/>
                <w:sz w:val="20"/>
                <w:szCs w:val="20"/>
              </w:rPr>
              <w:t>KD reorganizēts par administratīva tipa finanšu izlūkošanas dienestu, nosakot tā pilnīgu autonomiju un operacionālu neatkarību</w:t>
            </w:r>
          </w:p>
        </w:tc>
      </w:tr>
      <w:tr w:rsidR="00A3142E" w:rsidRPr="00FC0326" w14:paraId="712863F5" w14:textId="77777777" w:rsidTr="0041273D">
        <w:tc>
          <w:tcPr>
            <w:tcW w:w="567" w:type="dxa"/>
          </w:tcPr>
          <w:p w14:paraId="55A1C46D" w14:textId="77777777" w:rsidR="00A3142E" w:rsidRPr="00FC0326" w:rsidRDefault="0041273D" w:rsidP="0041273D">
            <w:pPr>
              <w:jc w:val="center"/>
              <w:rPr>
                <w:rFonts w:cs="Times New Roman"/>
                <w:bCs/>
                <w:sz w:val="20"/>
                <w:szCs w:val="20"/>
              </w:rPr>
            </w:pPr>
            <w:r>
              <w:rPr>
                <w:rFonts w:cs="Times New Roman"/>
                <w:bCs/>
                <w:sz w:val="20"/>
                <w:szCs w:val="20"/>
              </w:rPr>
              <w:t>Nr. p.</w:t>
            </w:r>
            <w:r w:rsidR="00A3142E" w:rsidRPr="00FC0326">
              <w:rPr>
                <w:rFonts w:cs="Times New Roman"/>
                <w:bCs/>
                <w:sz w:val="20"/>
                <w:szCs w:val="20"/>
              </w:rPr>
              <w:t>k.</w:t>
            </w:r>
          </w:p>
        </w:tc>
        <w:tc>
          <w:tcPr>
            <w:tcW w:w="3686" w:type="dxa"/>
            <w:shd w:val="clear" w:color="auto" w:fill="auto"/>
          </w:tcPr>
          <w:p w14:paraId="39F97BA4" w14:textId="77777777" w:rsidR="00A3142E" w:rsidRPr="00FC0326" w:rsidRDefault="00A3142E" w:rsidP="00A3142E">
            <w:pPr>
              <w:jc w:val="center"/>
              <w:rPr>
                <w:rFonts w:cs="Times New Roman"/>
                <w:bCs/>
                <w:i/>
                <w:sz w:val="20"/>
                <w:szCs w:val="20"/>
              </w:rPr>
            </w:pPr>
            <w:r w:rsidRPr="00FC0326">
              <w:rPr>
                <w:rFonts w:cs="Times New Roman"/>
                <w:b/>
                <w:bCs/>
                <w:sz w:val="20"/>
                <w:szCs w:val="20"/>
              </w:rPr>
              <w:t>Pasākums</w:t>
            </w:r>
          </w:p>
        </w:tc>
        <w:tc>
          <w:tcPr>
            <w:tcW w:w="1701" w:type="dxa"/>
          </w:tcPr>
          <w:p w14:paraId="33090797" w14:textId="77777777" w:rsidR="00A3142E" w:rsidRPr="00FC0326" w:rsidRDefault="00A3142E" w:rsidP="00A3142E">
            <w:pPr>
              <w:ind w:right="-108"/>
              <w:rPr>
                <w:rFonts w:cs="Times New Roman"/>
                <w:b/>
                <w:sz w:val="20"/>
                <w:szCs w:val="20"/>
              </w:rPr>
            </w:pPr>
            <w:r w:rsidRPr="00FC0326">
              <w:rPr>
                <w:rFonts w:cs="Times New Roman"/>
                <w:b/>
                <w:sz w:val="20"/>
                <w:szCs w:val="20"/>
              </w:rPr>
              <w:t xml:space="preserve">Avots </w:t>
            </w:r>
          </w:p>
        </w:tc>
        <w:tc>
          <w:tcPr>
            <w:tcW w:w="1984" w:type="dxa"/>
            <w:shd w:val="clear" w:color="auto" w:fill="auto"/>
          </w:tcPr>
          <w:p w14:paraId="7C74EA7E" w14:textId="77777777" w:rsidR="00A3142E" w:rsidRPr="00FC0326" w:rsidRDefault="00A3142E" w:rsidP="00A3142E">
            <w:pPr>
              <w:rPr>
                <w:rFonts w:cs="Times New Roman"/>
                <w:b/>
                <w:bCs/>
                <w:i/>
                <w:sz w:val="20"/>
                <w:szCs w:val="20"/>
              </w:rPr>
            </w:pPr>
            <w:r w:rsidRPr="00FC0326">
              <w:rPr>
                <w:rFonts w:cs="Times New Roman"/>
                <w:b/>
                <w:sz w:val="20"/>
                <w:szCs w:val="20"/>
              </w:rPr>
              <w:t>Darbības rezultāts</w:t>
            </w:r>
          </w:p>
        </w:tc>
        <w:tc>
          <w:tcPr>
            <w:tcW w:w="2835" w:type="dxa"/>
          </w:tcPr>
          <w:p w14:paraId="2C54DE48" w14:textId="77777777" w:rsidR="00A3142E" w:rsidRPr="00FC0326" w:rsidRDefault="00A3142E" w:rsidP="00A3142E">
            <w:pPr>
              <w:jc w:val="center"/>
              <w:rPr>
                <w:rFonts w:cs="Times New Roman"/>
                <w:bCs/>
                <w:i/>
                <w:sz w:val="20"/>
                <w:szCs w:val="20"/>
              </w:rPr>
            </w:pPr>
            <w:r w:rsidRPr="00FC0326">
              <w:rPr>
                <w:rFonts w:cs="Times New Roman"/>
                <w:b/>
                <w:sz w:val="20"/>
                <w:szCs w:val="20"/>
              </w:rPr>
              <w:t>Rezultatīvais rādītājs</w:t>
            </w:r>
          </w:p>
        </w:tc>
        <w:tc>
          <w:tcPr>
            <w:tcW w:w="1276" w:type="dxa"/>
            <w:shd w:val="clear" w:color="auto" w:fill="auto"/>
          </w:tcPr>
          <w:p w14:paraId="4EE04965" w14:textId="77777777" w:rsidR="00A3142E" w:rsidRPr="00FC0326" w:rsidRDefault="00A3142E" w:rsidP="00A3142E">
            <w:pPr>
              <w:jc w:val="center"/>
              <w:rPr>
                <w:rFonts w:cs="Times New Roman"/>
                <w:bCs/>
                <w:i/>
                <w:sz w:val="20"/>
                <w:szCs w:val="20"/>
              </w:rPr>
            </w:pPr>
            <w:r w:rsidRPr="00FC0326">
              <w:rPr>
                <w:rFonts w:cs="Times New Roman"/>
                <w:b/>
                <w:bCs/>
                <w:sz w:val="20"/>
                <w:szCs w:val="20"/>
              </w:rPr>
              <w:t>Atbildīgā institūcija</w:t>
            </w:r>
          </w:p>
        </w:tc>
        <w:tc>
          <w:tcPr>
            <w:tcW w:w="1134" w:type="dxa"/>
            <w:shd w:val="clear" w:color="auto" w:fill="auto"/>
          </w:tcPr>
          <w:p w14:paraId="0D6C8E59" w14:textId="77777777" w:rsidR="00A3142E" w:rsidRPr="00FC0326" w:rsidRDefault="00A3142E" w:rsidP="00A3142E">
            <w:pPr>
              <w:jc w:val="center"/>
              <w:rPr>
                <w:rFonts w:cs="Times New Roman"/>
                <w:bCs/>
                <w:i/>
                <w:sz w:val="20"/>
                <w:szCs w:val="20"/>
              </w:rPr>
            </w:pPr>
            <w:r w:rsidRPr="00FC0326">
              <w:rPr>
                <w:rFonts w:cs="Times New Roman"/>
                <w:b/>
                <w:bCs/>
                <w:sz w:val="20"/>
                <w:szCs w:val="20"/>
              </w:rPr>
              <w:t xml:space="preserve">Līdz-atbildīgās </w:t>
            </w:r>
            <w:r w:rsidRPr="00FC0326">
              <w:rPr>
                <w:rFonts w:cs="Times New Roman"/>
                <w:b/>
                <w:bCs/>
                <w:sz w:val="20"/>
                <w:szCs w:val="20"/>
              </w:rPr>
              <w:lastRenderedPageBreak/>
              <w:t>institūcijas</w:t>
            </w:r>
          </w:p>
        </w:tc>
        <w:tc>
          <w:tcPr>
            <w:tcW w:w="1701" w:type="dxa"/>
            <w:shd w:val="clear" w:color="auto" w:fill="auto"/>
          </w:tcPr>
          <w:p w14:paraId="189D99F7" w14:textId="77777777" w:rsidR="00A3142E" w:rsidRPr="00FC0326" w:rsidRDefault="00A3142E" w:rsidP="00A3142E">
            <w:pPr>
              <w:jc w:val="center"/>
              <w:rPr>
                <w:rFonts w:cs="Times New Roman"/>
                <w:bCs/>
                <w:i/>
                <w:sz w:val="20"/>
                <w:szCs w:val="20"/>
              </w:rPr>
            </w:pPr>
            <w:r w:rsidRPr="00FC0326">
              <w:rPr>
                <w:rFonts w:cs="Times New Roman"/>
                <w:b/>
                <w:bCs/>
                <w:sz w:val="20"/>
                <w:szCs w:val="20"/>
              </w:rPr>
              <w:lastRenderedPageBreak/>
              <w:t>Izpildes termiņš</w:t>
            </w:r>
          </w:p>
        </w:tc>
      </w:tr>
      <w:tr w:rsidR="00921C02" w:rsidRPr="00A3142E" w14:paraId="22B48944" w14:textId="77777777" w:rsidTr="0041273D">
        <w:trPr>
          <w:trHeight w:val="1228"/>
        </w:trPr>
        <w:tc>
          <w:tcPr>
            <w:tcW w:w="567" w:type="dxa"/>
            <w:shd w:val="clear" w:color="auto" w:fill="FFFFFF" w:themeFill="background1"/>
          </w:tcPr>
          <w:p w14:paraId="358F95EE" w14:textId="77777777" w:rsidR="00921C02" w:rsidRDefault="00921C02" w:rsidP="00A3142E">
            <w:pPr>
              <w:rPr>
                <w:rFonts w:cs="Times New Roman"/>
                <w:sz w:val="20"/>
                <w:szCs w:val="20"/>
              </w:rPr>
            </w:pPr>
            <w:r>
              <w:rPr>
                <w:rFonts w:cs="Times New Roman"/>
                <w:sz w:val="20"/>
                <w:szCs w:val="20"/>
              </w:rPr>
              <w:t>6.1.</w:t>
            </w:r>
          </w:p>
        </w:tc>
        <w:tc>
          <w:tcPr>
            <w:tcW w:w="3686" w:type="dxa"/>
            <w:shd w:val="clear" w:color="auto" w:fill="FFFFFF" w:themeFill="background1"/>
          </w:tcPr>
          <w:p w14:paraId="6077A2E7" w14:textId="77777777" w:rsidR="00921C02" w:rsidRDefault="00921C02" w:rsidP="00A3142E">
            <w:pPr>
              <w:jc w:val="both"/>
              <w:rPr>
                <w:rFonts w:cs="Times New Roman"/>
                <w:sz w:val="20"/>
                <w:szCs w:val="20"/>
              </w:rPr>
            </w:pPr>
            <w:r>
              <w:rPr>
                <w:rFonts w:cs="Times New Roman"/>
                <w:sz w:val="20"/>
                <w:szCs w:val="20"/>
              </w:rPr>
              <w:t>Nodrošināt NILLTF novēršanas likuma subjektu un uzraugu apmācību</w:t>
            </w:r>
          </w:p>
        </w:tc>
        <w:tc>
          <w:tcPr>
            <w:tcW w:w="1701" w:type="dxa"/>
            <w:shd w:val="clear" w:color="auto" w:fill="FFFFFF" w:themeFill="background1"/>
          </w:tcPr>
          <w:p w14:paraId="68B150C8" w14:textId="77777777" w:rsidR="00921C02" w:rsidRDefault="00921C02" w:rsidP="00A3142E">
            <w:pPr>
              <w:jc w:val="both"/>
              <w:rPr>
                <w:rFonts w:cs="Times New Roman"/>
                <w:sz w:val="20"/>
                <w:szCs w:val="20"/>
              </w:rPr>
            </w:pPr>
            <w:r>
              <w:rPr>
                <w:rFonts w:cs="Times New Roman"/>
                <w:sz w:val="20"/>
                <w:szCs w:val="20"/>
              </w:rPr>
              <w:t>Moneyval rekomendācija 6.1</w:t>
            </w:r>
          </w:p>
        </w:tc>
        <w:tc>
          <w:tcPr>
            <w:tcW w:w="1984" w:type="dxa"/>
            <w:shd w:val="clear" w:color="auto" w:fill="FFFFFF" w:themeFill="background1"/>
          </w:tcPr>
          <w:p w14:paraId="7574F2D4" w14:textId="77777777" w:rsidR="00921C02" w:rsidRDefault="00211EDC" w:rsidP="00FC417E">
            <w:pPr>
              <w:jc w:val="both"/>
              <w:rPr>
                <w:rFonts w:cs="Times New Roman"/>
                <w:sz w:val="20"/>
                <w:szCs w:val="20"/>
              </w:rPr>
            </w:pPr>
            <w:r>
              <w:rPr>
                <w:rFonts w:cs="Times New Roman"/>
                <w:sz w:val="20"/>
                <w:szCs w:val="20"/>
              </w:rPr>
              <w:t xml:space="preserve">1. </w:t>
            </w:r>
            <w:r w:rsidR="001A7662">
              <w:rPr>
                <w:rFonts w:cs="Times New Roman"/>
                <w:sz w:val="20"/>
                <w:szCs w:val="20"/>
              </w:rPr>
              <w:t>KD veicis uzraugu divpakāpju apmācību (ievada seminārs visiem uzraugiem, 1-2 specializēti semināri katrai uzraudzības un kontroles institūcijai atsevišķi) par kvalitatīvas ziņošanas priekšnoteikumiem:</w:t>
            </w:r>
          </w:p>
          <w:p w14:paraId="2294979E" w14:textId="77777777" w:rsidR="001A7662" w:rsidRDefault="001A7662" w:rsidP="0025344E">
            <w:pPr>
              <w:pStyle w:val="ListParagraph"/>
              <w:numPr>
                <w:ilvl w:val="0"/>
                <w:numId w:val="2"/>
              </w:numPr>
              <w:jc w:val="both"/>
              <w:rPr>
                <w:rFonts w:cs="Times New Roman"/>
                <w:sz w:val="20"/>
                <w:szCs w:val="20"/>
              </w:rPr>
            </w:pPr>
            <w:r>
              <w:rPr>
                <w:rFonts w:cs="Times New Roman"/>
                <w:sz w:val="20"/>
                <w:szCs w:val="20"/>
              </w:rPr>
              <w:t>atšķirībām starp aizdomīgiem un neparastiem darījumiem;</w:t>
            </w:r>
          </w:p>
          <w:p w14:paraId="398951C1" w14:textId="77777777" w:rsidR="00211EDC" w:rsidRDefault="001A7662" w:rsidP="0025344E">
            <w:pPr>
              <w:pStyle w:val="ListParagraph"/>
              <w:numPr>
                <w:ilvl w:val="0"/>
                <w:numId w:val="2"/>
              </w:numPr>
              <w:jc w:val="both"/>
              <w:rPr>
                <w:rFonts w:cs="Times New Roman"/>
                <w:sz w:val="20"/>
                <w:szCs w:val="20"/>
              </w:rPr>
            </w:pPr>
            <w:r>
              <w:rPr>
                <w:rFonts w:cs="Times New Roman"/>
                <w:sz w:val="20"/>
                <w:szCs w:val="20"/>
              </w:rPr>
              <w:t>iespējamām negatīvām sekām novēlotai vai aizsardzības ziņošanai</w:t>
            </w:r>
            <w:r w:rsidR="00211EDC">
              <w:rPr>
                <w:rFonts w:cs="Times New Roman"/>
                <w:sz w:val="20"/>
                <w:szCs w:val="20"/>
              </w:rPr>
              <w:t>.</w:t>
            </w:r>
          </w:p>
          <w:p w14:paraId="64122C48" w14:textId="77777777" w:rsidR="00211EDC" w:rsidRDefault="00211EDC" w:rsidP="0025344E">
            <w:pPr>
              <w:pStyle w:val="ListParagraph"/>
              <w:ind w:left="0"/>
              <w:jc w:val="both"/>
              <w:rPr>
                <w:rFonts w:cs="Times New Roman"/>
                <w:sz w:val="20"/>
                <w:szCs w:val="20"/>
              </w:rPr>
            </w:pPr>
            <w:r>
              <w:rPr>
                <w:rFonts w:cs="Times New Roman"/>
                <w:sz w:val="20"/>
                <w:szCs w:val="20"/>
              </w:rPr>
              <w:t>2. KD, pēc atsevišķas vienošanās ar noteiktu subjektu grupām, veic to specializētu apmācību par kvalitatīvas ziņošanas priekšnoteikumiem:</w:t>
            </w:r>
          </w:p>
          <w:p w14:paraId="2839B7D3" w14:textId="77777777" w:rsidR="00211EDC" w:rsidRDefault="00211EDC" w:rsidP="00211EDC">
            <w:pPr>
              <w:pStyle w:val="ListParagraph"/>
              <w:numPr>
                <w:ilvl w:val="0"/>
                <w:numId w:val="2"/>
              </w:numPr>
              <w:jc w:val="both"/>
              <w:rPr>
                <w:rFonts w:cs="Times New Roman"/>
                <w:sz w:val="20"/>
                <w:szCs w:val="20"/>
              </w:rPr>
            </w:pPr>
            <w:r>
              <w:rPr>
                <w:rFonts w:cs="Times New Roman"/>
                <w:sz w:val="20"/>
                <w:szCs w:val="20"/>
              </w:rPr>
              <w:t>atšķirībām starp aizdomīgiem un neparastiem darījumiem;</w:t>
            </w:r>
          </w:p>
          <w:p w14:paraId="494DE22F" w14:textId="77777777" w:rsidR="00211EDC" w:rsidRPr="0025344E" w:rsidRDefault="00211EDC" w:rsidP="0025344E">
            <w:pPr>
              <w:pStyle w:val="ListParagraph"/>
              <w:numPr>
                <w:ilvl w:val="0"/>
                <w:numId w:val="2"/>
              </w:numPr>
              <w:jc w:val="both"/>
              <w:rPr>
                <w:rFonts w:cs="Times New Roman"/>
                <w:sz w:val="20"/>
                <w:szCs w:val="20"/>
              </w:rPr>
            </w:pPr>
            <w:r>
              <w:rPr>
                <w:rFonts w:cs="Times New Roman"/>
                <w:sz w:val="20"/>
                <w:szCs w:val="20"/>
              </w:rPr>
              <w:lastRenderedPageBreak/>
              <w:t>iespējamām negatīvām sekām novēlotai vai aizsardzības ziņošanai.</w:t>
            </w:r>
          </w:p>
        </w:tc>
        <w:tc>
          <w:tcPr>
            <w:tcW w:w="2835" w:type="dxa"/>
            <w:shd w:val="clear" w:color="auto" w:fill="FFFFFF" w:themeFill="background1"/>
          </w:tcPr>
          <w:p w14:paraId="4BEAF852" w14:textId="77777777" w:rsidR="00C02CAA" w:rsidRPr="00A3142E" w:rsidRDefault="001D5BB4" w:rsidP="00C02CAA">
            <w:pPr>
              <w:jc w:val="both"/>
              <w:rPr>
                <w:rFonts w:cs="Times New Roman"/>
                <w:sz w:val="20"/>
                <w:szCs w:val="20"/>
              </w:rPr>
            </w:pPr>
            <w:r>
              <w:rPr>
                <w:rFonts w:cs="Times New Roman"/>
                <w:sz w:val="20"/>
                <w:szCs w:val="20"/>
              </w:rPr>
              <w:lastRenderedPageBreak/>
              <w:t>1. un 2. V</w:t>
            </w:r>
            <w:r w:rsidR="00C02CAA">
              <w:rPr>
                <w:rFonts w:cs="Times New Roman"/>
                <w:sz w:val="20"/>
                <w:szCs w:val="20"/>
              </w:rPr>
              <w:t>ismaz 11 obligāti apmeklējami semināri.</w:t>
            </w:r>
          </w:p>
        </w:tc>
        <w:tc>
          <w:tcPr>
            <w:tcW w:w="1276" w:type="dxa"/>
            <w:shd w:val="clear" w:color="auto" w:fill="FFFFFF" w:themeFill="background1"/>
          </w:tcPr>
          <w:p w14:paraId="10453410" w14:textId="77777777" w:rsidR="00921C02" w:rsidRPr="00A3142E" w:rsidRDefault="001D5BB4" w:rsidP="002D63BE">
            <w:pPr>
              <w:jc w:val="center"/>
              <w:rPr>
                <w:rFonts w:cs="Times New Roman"/>
                <w:sz w:val="20"/>
                <w:szCs w:val="20"/>
              </w:rPr>
            </w:pPr>
            <w:r>
              <w:rPr>
                <w:rFonts w:cs="Times New Roman"/>
                <w:sz w:val="20"/>
                <w:szCs w:val="20"/>
              </w:rPr>
              <w:t>KD</w:t>
            </w:r>
          </w:p>
        </w:tc>
        <w:tc>
          <w:tcPr>
            <w:tcW w:w="1134" w:type="dxa"/>
            <w:shd w:val="clear" w:color="auto" w:fill="FFFFFF" w:themeFill="background1"/>
          </w:tcPr>
          <w:p w14:paraId="49EB0E39" w14:textId="77777777" w:rsidR="00921C02" w:rsidRPr="00A3142E" w:rsidRDefault="001D5BB4" w:rsidP="002D63BE">
            <w:pPr>
              <w:jc w:val="center"/>
              <w:rPr>
                <w:rFonts w:cs="Times New Roman"/>
                <w:sz w:val="20"/>
                <w:szCs w:val="20"/>
              </w:rPr>
            </w:pPr>
            <w:r>
              <w:rPr>
                <w:rFonts w:cs="Times New Roman"/>
                <w:sz w:val="20"/>
                <w:szCs w:val="20"/>
              </w:rPr>
              <w:t xml:space="preserve">FKTK, VID, LZNP, LZAP, LZRA, LB, PTAC, SM, </w:t>
            </w:r>
            <w:r w:rsidR="0090763B">
              <w:rPr>
                <w:rFonts w:cs="Times New Roman"/>
                <w:sz w:val="20"/>
                <w:szCs w:val="20"/>
              </w:rPr>
              <w:t>NKMP</w:t>
            </w:r>
            <w:r>
              <w:rPr>
                <w:rFonts w:cs="Times New Roman"/>
                <w:sz w:val="20"/>
                <w:szCs w:val="20"/>
              </w:rPr>
              <w:t>, NILLTF novēršanas likuma subjekti</w:t>
            </w:r>
          </w:p>
        </w:tc>
        <w:tc>
          <w:tcPr>
            <w:tcW w:w="1701" w:type="dxa"/>
            <w:shd w:val="clear" w:color="auto" w:fill="FFFFFF" w:themeFill="background1"/>
          </w:tcPr>
          <w:p w14:paraId="598D7453" w14:textId="77777777" w:rsidR="00921C02" w:rsidRPr="00A3142E" w:rsidRDefault="001D5BB4" w:rsidP="002D63BE">
            <w:pPr>
              <w:jc w:val="center"/>
              <w:rPr>
                <w:rFonts w:cs="Times New Roman"/>
                <w:sz w:val="20"/>
                <w:szCs w:val="20"/>
              </w:rPr>
            </w:pPr>
            <w:r>
              <w:rPr>
                <w:rFonts w:cs="Times New Roman"/>
                <w:sz w:val="20"/>
                <w:szCs w:val="20"/>
              </w:rPr>
              <w:t>2019.gada 1.maijs</w:t>
            </w:r>
          </w:p>
        </w:tc>
      </w:tr>
      <w:tr w:rsidR="0075119B" w:rsidRPr="00A3142E" w14:paraId="0307E991" w14:textId="77777777" w:rsidTr="0041273D">
        <w:trPr>
          <w:trHeight w:val="1228"/>
        </w:trPr>
        <w:tc>
          <w:tcPr>
            <w:tcW w:w="567" w:type="dxa"/>
            <w:vMerge w:val="restart"/>
            <w:shd w:val="clear" w:color="auto" w:fill="FFFFFF" w:themeFill="background1"/>
          </w:tcPr>
          <w:p w14:paraId="0302CBE0" w14:textId="77777777" w:rsidR="0075119B" w:rsidRDefault="0075119B" w:rsidP="00A3142E">
            <w:pPr>
              <w:rPr>
                <w:rFonts w:cs="Times New Roman"/>
                <w:sz w:val="20"/>
                <w:szCs w:val="20"/>
              </w:rPr>
            </w:pPr>
            <w:r>
              <w:rPr>
                <w:rFonts w:cs="Times New Roman"/>
                <w:sz w:val="20"/>
                <w:szCs w:val="20"/>
              </w:rPr>
              <w:t xml:space="preserve">6.2. </w:t>
            </w:r>
          </w:p>
        </w:tc>
        <w:tc>
          <w:tcPr>
            <w:tcW w:w="3686" w:type="dxa"/>
            <w:vMerge w:val="restart"/>
            <w:shd w:val="clear" w:color="auto" w:fill="FFFFFF" w:themeFill="background1"/>
          </w:tcPr>
          <w:p w14:paraId="1D53FF82" w14:textId="77777777" w:rsidR="0075119B" w:rsidRDefault="0075119B" w:rsidP="00A3142E">
            <w:pPr>
              <w:jc w:val="both"/>
              <w:rPr>
                <w:rFonts w:cs="Times New Roman"/>
                <w:sz w:val="20"/>
                <w:szCs w:val="20"/>
              </w:rPr>
            </w:pPr>
            <w:r>
              <w:rPr>
                <w:rFonts w:cs="Times New Roman"/>
                <w:sz w:val="20"/>
                <w:szCs w:val="20"/>
              </w:rPr>
              <w:t>Nodrošināta informācijas sniegšana NILLTF novēršanas likuma subjektiem</w:t>
            </w:r>
          </w:p>
        </w:tc>
        <w:tc>
          <w:tcPr>
            <w:tcW w:w="1701" w:type="dxa"/>
            <w:vMerge w:val="restart"/>
            <w:shd w:val="clear" w:color="auto" w:fill="FFFFFF" w:themeFill="background1"/>
          </w:tcPr>
          <w:p w14:paraId="3A7DDB5F" w14:textId="77777777" w:rsidR="0075119B" w:rsidRDefault="0075119B" w:rsidP="00A3142E">
            <w:pPr>
              <w:jc w:val="both"/>
              <w:rPr>
                <w:rFonts w:cs="Times New Roman"/>
                <w:sz w:val="20"/>
                <w:szCs w:val="20"/>
              </w:rPr>
            </w:pPr>
            <w:r>
              <w:rPr>
                <w:rFonts w:cs="Times New Roman"/>
                <w:sz w:val="20"/>
                <w:szCs w:val="20"/>
              </w:rPr>
              <w:t>Moneyval rekomendācija 6.1</w:t>
            </w:r>
          </w:p>
        </w:tc>
        <w:tc>
          <w:tcPr>
            <w:tcW w:w="1984" w:type="dxa"/>
            <w:shd w:val="clear" w:color="auto" w:fill="FFFFFF" w:themeFill="background1"/>
          </w:tcPr>
          <w:p w14:paraId="09559E63" w14:textId="77777777" w:rsidR="0075119B" w:rsidRPr="00A3142E" w:rsidRDefault="0075119B" w:rsidP="00FC417E">
            <w:pPr>
              <w:jc w:val="both"/>
              <w:rPr>
                <w:rFonts w:cs="Times New Roman"/>
                <w:sz w:val="20"/>
                <w:szCs w:val="20"/>
              </w:rPr>
            </w:pPr>
            <w:r>
              <w:rPr>
                <w:rFonts w:cs="Times New Roman"/>
                <w:sz w:val="20"/>
                <w:szCs w:val="20"/>
              </w:rPr>
              <w:t>1. Pilnveidota KD mājas lapā esošās informācija par NILLTF novēršanu.</w:t>
            </w:r>
          </w:p>
        </w:tc>
        <w:tc>
          <w:tcPr>
            <w:tcW w:w="2835" w:type="dxa"/>
            <w:shd w:val="clear" w:color="auto" w:fill="FFFFFF" w:themeFill="background1"/>
          </w:tcPr>
          <w:p w14:paraId="34A9EB65" w14:textId="77777777" w:rsidR="0075119B" w:rsidRPr="00A3142E" w:rsidRDefault="0075119B" w:rsidP="00A3142E">
            <w:pPr>
              <w:jc w:val="both"/>
              <w:rPr>
                <w:rFonts w:cs="Times New Roman"/>
                <w:sz w:val="20"/>
                <w:szCs w:val="20"/>
              </w:rPr>
            </w:pPr>
            <w:r>
              <w:rPr>
                <w:rFonts w:cs="Times New Roman"/>
                <w:sz w:val="20"/>
                <w:szCs w:val="20"/>
              </w:rPr>
              <w:t>1. Reizi mēnesī sagatavota operatīva un praktiski pielietojama informācija ziņojumu KD sagatavošanai</w:t>
            </w:r>
          </w:p>
        </w:tc>
        <w:tc>
          <w:tcPr>
            <w:tcW w:w="1276" w:type="dxa"/>
            <w:shd w:val="clear" w:color="auto" w:fill="FFFFFF" w:themeFill="background1"/>
          </w:tcPr>
          <w:p w14:paraId="75B85AB4" w14:textId="77777777" w:rsidR="0075119B" w:rsidRPr="00A3142E" w:rsidRDefault="0075119B" w:rsidP="002D63BE">
            <w:pPr>
              <w:jc w:val="center"/>
              <w:rPr>
                <w:rFonts w:cs="Times New Roman"/>
                <w:sz w:val="20"/>
                <w:szCs w:val="20"/>
              </w:rPr>
            </w:pPr>
            <w:r>
              <w:rPr>
                <w:rFonts w:cs="Times New Roman"/>
                <w:sz w:val="20"/>
                <w:szCs w:val="20"/>
              </w:rPr>
              <w:t>KD</w:t>
            </w:r>
          </w:p>
        </w:tc>
        <w:tc>
          <w:tcPr>
            <w:tcW w:w="1134" w:type="dxa"/>
            <w:shd w:val="clear" w:color="auto" w:fill="FFFFFF" w:themeFill="background1"/>
          </w:tcPr>
          <w:p w14:paraId="3C7CA380" w14:textId="77777777" w:rsidR="0075119B" w:rsidRPr="00A3142E" w:rsidRDefault="0075119B" w:rsidP="002D63BE">
            <w:pPr>
              <w:jc w:val="center"/>
              <w:rPr>
                <w:rFonts w:cs="Times New Roman"/>
                <w:sz w:val="20"/>
                <w:szCs w:val="20"/>
              </w:rPr>
            </w:pPr>
          </w:p>
        </w:tc>
        <w:tc>
          <w:tcPr>
            <w:tcW w:w="1701" w:type="dxa"/>
            <w:shd w:val="clear" w:color="auto" w:fill="FFFFFF" w:themeFill="background1"/>
          </w:tcPr>
          <w:p w14:paraId="149945F0" w14:textId="77777777" w:rsidR="0075119B" w:rsidRDefault="0075119B" w:rsidP="002D63BE">
            <w:pPr>
              <w:jc w:val="center"/>
              <w:rPr>
                <w:rFonts w:cs="Times New Roman"/>
                <w:sz w:val="20"/>
                <w:szCs w:val="20"/>
              </w:rPr>
            </w:pPr>
            <w:r>
              <w:rPr>
                <w:rFonts w:cs="Times New Roman"/>
                <w:sz w:val="20"/>
                <w:szCs w:val="20"/>
              </w:rPr>
              <w:t>Regulāri no 2018.gada 1.novembra</w:t>
            </w:r>
          </w:p>
          <w:p w14:paraId="571CB2E5" w14:textId="77777777" w:rsidR="0075119B" w:rsidRPr="00A3142E" w:rsidRDefault="0075119B" w:rsidP="002D63BE">
            <w:pPr>
              <w:jc w:val="center"/>
              <w:rPr>
                <w:rFonts w:cs="Times New Roman"/>
                <w:sz w:val="20"/>
                <w:szCs w:val="20"/>
              </w:rPr>
            </w:pPr>
          </w:p>
        </w:tc>
      </w:tr>
      <w:tr w:rsidR="0075119B" w:rsidRPr="00A3142E" w14:paraId="66CBBC2D" w14:textId="77777777" w:rsidTr="0041273D">
        <w:trPr>
          <w:trHeight w:val="1228"/>
        </w:trPr>
        <w:tc>
          <w:tcPr>
            <w:tcW w:w="567" w:type="dxa"/>
            <w:vMerge/>
            <w:shd w:val="clear" w:color="auto" w:fill="FFFFFF" w:themeFill="background1"/>
          </w:tcPr>
          <w:p w14:paraId="61980224" w14:textId="77777777" w:rsidR="0075119B" w:rsidRDefault="0075119B" w:rsidP="00A3142E">
            <w:pPr>
              <w:rPr>
                <w:rFonts w:cs="Times New Roman"/>
                <w:sz w:val="20"/>
                <w:szCs w:val="20"/>
              </w:rPr>
            </w:pPr>
          </w:p>
        </w:tc>
        <w:tc>
          <w:tcPr>
            <w:tcW w:w="3686" w:type="dxa"/>
            <w:vMerge/>
            <w:shd w:val="clear" w:color="auto" w:fill="FFFFFF" w:themeFill="background1"/>
          </w:tcPr>
          <w:p w14:paraId="1F970E34" w14:textId="77777777" w:rsidR="0075119B" w:rsidRDefault="0075119B" w:rsidP="00A3142E">
            <w:pPr>
              <w:jc w:val="both"/>
              <w:rPr>
                <w:rFonts w:cs="Times New Roman"/>
                <w:sz w:val="20"/>
                <w:szCs w:val="20"/>
              </w:rPr>
            </w:pPr>
          </w:p>
        </w:tc>
        <w:tc>
          <w:tcPr>
            <w:tcW w:w="1701" w:type="dxa"/>
            <w:vMerge/>
            <w:shd w:val="clear" w:color="auto" w:fill="FFFFFF" w:themeFill="background1"/>
          </w:tcPr>
          <w:p w14:paraId="01089352" w14:textId="77777777" w:rsidR="0075119B" w:rsidRDefault="0075119B" w:rsidP="00A3142E">
            <w:pPr>
              <w:jc w:val="both"/>
              <w:rPr>
                <w:rFonts w:cs="Times New Roman"/>
                <w:sz w:val="20"/>
                <w:szCs w:val="20"/>
              </w:rPr>
            </w:pPr>
          </w:p>
        </w:tc>
        <w:tc>
          <w:tcPr>
            <w:tcW w:w="1984" w:type="dxa"/>
            <w:shd w:val="clear" w:color="auto" w:fill="FFFFFF" w:themeFill="background1"/>
          </w:tcPr>
          <w:p w14:paraId="41086DA2" w14:textId="77777777" w:rsidR="0075119B" w:rsidRDefault="0075119B" w:rsidP="00FC417E">
            <w:pPr>
              <w:jc w:val="both"/>
              <w:rPr>
                <w:rFonts w:cs="Times New Roman"/>
                <w:sz w:val="20"/>
                <w:szCs w:val="20"/>
              </w:rPr>
            </w:pPr>
            <w:r>
              <w:rPr>
                <w:rFonts w:cs="Times New Roman"/>
                <w:sz w:val="20"/>
                <w:szCs w:val="20"/>
              </w:rPr>
              <w:t>2. Izveidot</w:t>
            </w:r>
            <w:r w:rsidR="00185B7D">
              <w:rPr>
                <w:rFonts w:cs="Times New Roman"/>
                <w:sz w:val="20"/>
                <w:szCs w:val="20"/>
              </w:rPr>
              <w:t>a</w:t>
            </w:r>
            <w:r>
              <w:rPr>
                <w:rFonts w:cs="Times New Roman"/>
                <w:sz w:val="20"/>
                <w:szCs w:val="20"/>
              </w:rPr>
              <w:t xml:space="preserve"> KD mājas lapā e-pakalpojuma sadaļā reģistrētiem lietotājiem pieejam</w:t>
            </w:r>
            <w:r w:rsidR="00185B7D">
              <w:rPr>
                <w:rFonts w:cs="Times New Roman"/>
                <w:sz w:val="20"/>
                <w:szCs w:val="20"/>
              </w:rPr>
              <w:t>a</w:t>
            </w:r>
            <w:r w:rsidR="00F10A11">
              <w:rPr>
                <w:rFonts w:cs="Times New Roman"/>
                <w:sz w:val="20"/>
                <w:szCs w:val="20"/>
              </w:rPr>
              <w:t xml:space="preserve"> </w:t>
            </w:r>
            <w:r>
              <w:rPr>
                <w:rFonts w:cs="Times New Roman"/>
                <w:sz w:val="20"/>
                <w:szCs w:val="20"/>
              </w:rPr>
              <w:t>informācijas sadaļ</w:t>
            </w:r>
            <w:r w:rsidR="00185B7D">
              <w:rPr>
                <w:rFonts w:cs="Times New Roman"/>
                <w:sz w:val="20"/>
                <w:szCs w:val="20"/>
              </w:rPr>
              <w:t>a</w:t>
            </w:r>
            <w:r>
              <w:rPr>
                <w:rFonts w:cs="Times New Roman"/>
                <w:sz w:val="20"/>
                <w:szCs w:val="20"/>
              </w:rPr>
              <w:t>, kur publicēt</w:t>
            </w:r>
            <w:r w:rsidR="00185B7D">
              <w:rPr>
                <w:rFonts w:cs="Times New Roman"/>
                <w:sz w:val="20"/>
                <w:szCs w:val="20"/>
              </w:rPr>
              <w:t>a</w:t>
            </w:r>
            <w:r>
              <w:rPr>
                <w:rFonts w:cs="Times New Roman"/>
                <w:sz w:val="20"/>
                <w:szCs w:val="20"/>
              </w:rPr>
              <w:t xml:space="preserve"> ziņotājiem adresēt</w:t>
            </w:r>
            <w:r w:rsidR="00185B7D">
              <w:rPr>
                <w:rFonts w:cs="Times New Roman"/>
                <w:sz w:val="20"/>
                <w:szCs w:val="20"/>
              </w:rPr>
              <w:t>a</w:t>
            </w:r>
            <w:r>
              <w:rPr>
                <w:rFonts w:cs="Times New Roman"/>
                <w:sz w:val="20"/>
                <w:szCs w:val="20"/>
              </w:rPr>
              <w:t xml:space="preserve"> informācij</w:t>
            </w:r>
            <w:r w:rsidR="00185B7D">
              <w:rPr>
                <w:rFonts w:cs="Times New Roman"/>
                <w:sz w:val="20"/>
                <w:szCs w:val="20"/>
              </w:rPr>
              <w:t>a</w:t>
            </w:r>
            <w:r>
              <w:rPr>
                <w:rFonts w:cs="Times New Roman"/>
                <w:sz w:val="20"/>
                <w:szCs w:val="20"/>
              </w:rPr>
              <w:t>, kas nav publiskojama.</w:t>
            </w:r>
          </w:p>
        </w:tc>
        <w:tc>
          <w:tcPr>
            <w:tcW w:w="2835" w:type="dxa"/>
            <w:shd w:val="clear" w:color="auto" w:fill="FFFFFF" w:themeFill="background1"/>
          </w:tcPr>
          <w:p w14:paraId="7B62A635" w14:textId="77777777" w:rsidR="0075119B" w:rsidRDefault="0075119B" w:rsidP="00A3142E">
            <w:pPr>
              <w:jc w:val="both"/>
              <w:rPr>
                <w:rFonts w:cs="Times New Roman"/>
                <w:sz w:val="20"/>
                <w:szCs w:val="20"/>
              </w:rPr>
            </w:pPr>
            <w:r>
              <w:rPr>
                <w:rFonts w:cs="Times New Roman"/>
                <w:sz w:val="20"/>
                <w:szCs w:val="20"/>
              </w:rPr>
              <w:t>2. Reizi mēnesī sagatavota operatīva, praktiski pielietojama informācija ziņojumu sagatavošanai.</w:t>
            </w:r>
          </w:p>
        </w:tc>
        <w:tc>
          <w:tcPr>
            <w:tcW w:w="1276" w:type="dxa"/>
            <w:shd w:val="clear" w:color="auto" w:fill="FFFFFF" w:themeFill="background1"/>
          </w:tcPr>
          <w:p w14:paraId="128F3A11" w14:textId="77777777" w:rsidR="0075119B" w:rsidRDefault="0075119B" w:rsidP="002D63BE">
            <w:pPr>
              <w:jc w:val="center"/>
              <w:rPr>
                <w:rFonts w:cs="Times New Roman"/>
                <w:sz w:val="20"/>
                <w:szCs w:val="20"/>
              </w:rPr>
            </w:pPr>
            <w:r>
              <w:rPr>
                <w:rFonts w:cs="Times New Roman"/>
                <w:sz w:val="20"/>
                <w:szCs w:val="20"/>
              </w:rPr>
              <w:t>KD</w:t>
            </w:r>
          </w:p>
        </w:tc>
        <w:tc>
          <w:tcPr>
            <w:tcW w:w="1134" w:type="dxa"/>
            <w:shd w:val="clear" w:color="auto" w:fill="FFFFFF" w:themeFill="background1"/>
          </w:tcPr>
          <w:p w14:paraId="1BB34691" w14:textId="77777777" w:rsidR="0075119B" w:rsidRPr="00A3142E" w:rsidRDefault="0075119B" w:rsidP="002D63BE">
            <w:pPr>
              <w:jc w:val="center"/>
              <w:rPr>
                <w:rFonts w:cs="Times New Roman"/>
                <w:sz w:val="20"/>
                <w:szCs w:val="20"/>
              </w:rPr>
            </w:pPr>
          </w:p>
        </w:tc>
        <w:tc>
          <w:tcPr>
            <w:tcW w:w="1701" w:type="dxa"/>
            <w:shd w:val="clear" w:color="auto" w:fill="FFFFFF" w:themeFill="background1"/>
          </w:tcPr>
          <w:p w14:paraId="47A6D87B" w14:textId="77777777" w:rsidR="0075119B" w:rsidRDefault="0075119B" w:rsidP="002D63BE">
            <w:pPr>
              <w:jc w:val="center"/>
              <w:rPr>
                <w:rFonts w:cs="Times New Roman"/>
                <w:sz w:val="20"/>
                <w:szCs w:val="20"/>
              </w:rPr>
            </w:pPr>
            <w:r>
              <w:rPr>
                <w:rFonts w:cs="Times New Roman"/>
                <w:sz w:val="20"/>
                <w:szCs w:val="20"/>
              </w:rPr>
              <w:t>Regulāri no 2019.gada 1.janvāra</w:t>
            </w:r>
          </w:p>
        </w:tc>
      </w:tr>
      <w:tr w:rsidR="00A3142E" w:rsidRPr="00A3142E" w14:paraId="3A609288" w14:textId="77777777" w:rsidTr="0041273D">
        <w:trPr>
          <w:trHeight w:val="1228"/>
        </w:trPr>
        <w:tc>
          <w:tcPr>
            <w:tcW w:w="567" w:type="dxa"/>
            <w:shd w:val="clear" w:color="auto" w:fill="FFFFFF" w:themeFill="background1"/>
          </w:tcPr>
          <w:p w14:paraId="30FEEDDB" w14:textId="77777777" w:rsidR="00A3142E" w:rsidRPr="00A3142E" w:rsidRDefault="00A3142E" w:rsidP="00A3142E">
            <w:pPr>
              <w:rPr>
                <w:rFonts w:cs="Times New Roman"/>
                <w:sz w:val="20"/>
                <w:szCs w:val="20"/>
              </w:rPr>
            </w:pPr>
            <w:r>
              <w:rPr>
                <w:rFonts w:cs="Times New Roman"/>
                <w:sz w:val="20"/>
                <w:szCs w:val="20"/>
              </w:rPr>
              <w:t>6.</w:t>
            </w:r>
            <w:r w:rsidR="00EC20E7">
              <w:rPr>
                <w:rFonts w:cs="Times New Roman"/>
                <w:sz w:val="20"/>
                <w:szCs w:val="20"/>
              </w:rPr>
              <w:t>3</w:t>
            </w:r>
            <w:r>
              <w:rPr>
                <w:rFonts w:cs="Times New Roman"/>
                <w:sz w:val="20"/>
                <w:szCs w:val="20"/>
              </w:rPr>
              <w:t>.</w:t>
            </w:r>
          </w:p>
        </w:tc>
        <w:tc>
          <w:tcPr>
            <w:tcW w:w="3686" w:type="dxa"/>
            <w:shd w:val="clear" w:color="auto" w:fill="FFFFFF" w:themeFill="background1"/>
          </w:tcPr>
          <w:p w14:paraId="3EF7A66D" w14:textId="77777777" w:rsidR="00A3142E" w:rsidRPr="00A3142E" w:rsidRDefault="00EC20E7" w:rsidP="00A3142E">
            <w:pPr>
              <w:jc w:val="both"/>
              <w:rPr>
                <w:rFonts w:cs="Times New Roman"/>
                <w:sz w:val="20"/>
                <w:szCs w:val="20"/>
              </w:rPr>
            </w:pPr>
            <w:r>
              <w:rPr>
                <w:rFonts w:cs="Times New Roman"/>
                <w:sz w:val="20"/>
                <w:szCs w:val="20"/>
              </w:rPr>
              <w:t>Uzlabot aizdomīgu un neparastu darījumu ziņošanas kvalitāti</w:t>
            </w:r>
            <w:r w:rsidR="00516D42">
              <w:rPr>
                <w:rFonts w:cs="Times New Roman"/>
                <w:sz w:val="20"/>
                <w:szCs w:val="20"/>
              </w:rPr>
              <w:t>.</w:t>
            </w:r>
          </w:p>
        </w:tc>
        <w:tc>
          <w:tcPr>
            <w:tcW w:w="1701" w:type="dxa"/>
            <w:shd w:val="clear" w:color="auto" w:fill="FFFFFF" w:themeFill="background1"/>
          </w:tcPr>
          <w:p w14:paraId="3DB88275" w14:textId="77777777" w:rsidR="00A3142E" w:rsidRPr="00A3142E" w:rsidRDefault="00A3142E" w:rsidP="00EC20E7">
            <w:pPr>
              <w:jc w:val="both"/>
              <w:rPr>
                <w:rFonts w:cs="Times New Roman"/>
                <w:sz w:val="20"/>
                <w:szCs w:val="20"/>
              </w:rPr>
            </w:pPr>
            <w:r>
              <w:rPr>
                <w:rFonts w:cs="Times New Roman"/>
                <w:sz w:val="20"/>
                <w:szCs w:val="20"/>
              </w:rPr>
              <w:t>Moneyval rekomendācija 6.1</w:t>
            </w:r>
            <w:r w:rsidR="00EC20E7">
              <w:rPr>
                <w:rFonts w:cs="Times New Roman"/>
                <w:sz w:val="20"/>
                <w:szCs w:val="20"/>
              </w:rPr>
              <w:t xml:space="preserve">. </w:t>
            </w:r>
          </w:p>
        </w:tc>
        <w:tc>
          <w:tcPr>
            <w:tcW w:w="1984" w:type="dxa"/>
            <w:shd w:val="clear" w:color="auto" w:fill="FFFFFF" w:themeFill="background1"/>
          </w:tcPr>
          <w:p w14:paraId="6A719AB1" w14:textId="77777777" w:rsidR="00A3142E" w:rsidRPr="00A3142E" w:rsidRDefault="00185B7D" w:rsidP="00185B7D">
            <w:pPr>
              <w:jc w:val="both"/>
              <w:rPr>
                <w:rFonts w:cs="Times New Roman"/>
                <w:sz w:val="20"/>
                <w:szCs w:val="20"/>
              </w:rPr>
            </w:pPr>
            <w:r>
              <w:rPr>
                <w:rFonts w:cs="Times New Roman"/>
                <w:sz w:val="20"/>
                <w:szCs w:val="20"/>
              </w:rPr>
              <w:t>V</w:t>
            </w:r>
            <w:r w:rsidR="00EC20E7">
              <w:rPr>
                <w:rFonts w:cs="Times New Roman"/>
                <w:sz w:val="20"/>
                <w:szCs w:val="20"/>
              </w:rPr>
              <w:t xml:space="preserve">eikta likuma subjektu risku profilēšana, lai uzlabotu aizdomīgu darījumu ziņojumu kvalitāti. Nodrošināta atgriezeniskā saite NILLTF novēršanas likuma subjektiem un uzraudzības un kontroles instrukcijām, paaugstināta subjektu motivācija iesniegt ziņojumus. </w:t>
            </w:r>
          </w:p>
        </w:tc>
        <w:tc>
          <w:tcPr>
            <w:tcW w:w="2835" w:type="dxa"/>
            <w:shd w:val="clear" w:color="auto" w:fill="FFFFFF" w:themeFill="background1"/>
          </w:tcPr>
          <w:p w14:paraId="2348707D" w14:textId="77777777" w:rsidR="00A3142E" w:rsidRPr="00A3142E" w:rsidRDefault="0075119B" w:rsidP="00A3142E">
            <w:pPr>
              <w:jc w:val="both"/>
              <w:rPr>
                <w:rFonts w:cs="Times New Roman"/>
                <w:sz w:val="20"/>
                <w:szCs w:val="20"/>
              </w:rPr>
            </w:pPr>
            <w:r>
              <w:rPr>
                <w:rFonts w:cs="Times New Roman"/>
                <w:sz w:val="20"/>
                <w:szCs w:val="20"/>
              </w:rPr>
              <w:t>I</w:t>
            </w:r>
            <w:r w:rsidR="00EC20E7">
              <w:rPr>
                <w:rFonts w:cs="Times New Roman"/>
                <w:sz w:val="20"/>
                <w:szCs w:val="20"/>
              </w:rPr>
              <w:t>zveidota uz risku balstīta pieeja sadarbībā ar NILLTF novēršanas likuma subjektiem. Nodrošināta kvalitatīvāka saziņa starp KD un subjektiem. Samazinājies nekvalitatīvu ziņojumu skaits par 20%.</w:t>
            </w:r>
          </w:p>
        </w:tc>
        <w:tc>
          <w:tcPr>
            <w:tcW w:w="1276" w:type="dxa"/>
            <w:shd w:val="clear" w:color="auto" w:fill="FFFFFF" w:themeFill="background1"/>
          </w:tcPr>
          <w:p w14:paraId="2D102C60" w14:textId="77777777" w:rsidR="00A3142E" w:rsidRPr="00A3142E" w:rsidRDefault="00A3142E" w:rsidP="002D63BE">
            <w:pPr>
              <w:jc w:val="center"/>
              <w:rPr>
                <w:rFonts w:cs="Times New Roman"/>
                <w:sz w:val="20"/>
                <w:szCs w:val="20"/>
              </w:rPr>
            </w:pPr>
            <w:r w:rsidRPr="00A3142E">
              <w:rPr>
                <w:rFonts w:cs="Times New Roman"/>
                <w:sz w:val="20"/>
                <w:szCs w:val="20"/>
              </w:rPr>
              <w:t>KD,</w:t>
            </w:r>
          </w:p>
        </w:tc>
        <w:tc>
          <w:tcPr>
            <w:tcW w:w="1134" w:type="dxa"/>
            <w:shd w:val="clear" w:color="auto" w:fill="FFFFFF" w:themeFill="background1"/>
          </w:tcPr>
          <w:p w14:paraId="608324DB" w14:textId="77777777" w:rsidR="00A3142E" w:rsidRPr="00A3142E" w:rsidRDefault="00EC20E7" w:rsidP="002D63BE">
            <w:pPr>
              <w:jc w:val="center"/>
              <w:rPr>
                <w:rFonts w:cs="Times New Roman"/>
                <w:sz w:val="20"/>
                <w:szCs w:val="20"/>
              </w:rPr>
            </w:pPr>
            <w:r>
              <w:rPr>
                <w:rFonts w:cs="Times New Roman"/>
                <w:sz w:val="20"/>
                <w:szCs w:val="20"/>
              </w:rPr>
              <w:t xml:space="preserve">FKTK, VID, LZNP, LZAP, LZRA, LB, KMP, PTAC, </w:t>
            </w:r>
            <w:r w:rsidR="0090763B">
              <w:rPr>
                <w:rFonts w:cs="Times New Roman"/>
                <w:sz w:val="20"/>
                <w:szCs w:val="20"/>
              </w:rPr>
              <w:t>NKMP</w:t>
            </w:r>
            <w:r>
              <w:rPr>
                <w:rFonts w:cs="Times New Roman"/>
                <w:sz w:val="20"/>
                <w:szCs w:val="20"/>
              </w:rPr>
              <w:t xml:space="preserve"> IAUI, SM</w:t>
            </w:r>
          </w:p>
        </w:tc>
        <w:tc>
          <w:tcPr>
            <w:tcW w:w="1701" w:type="dxa"/>
            <w:shd w:val="clear" w:color="auto" w:fill="FFFFFF" w:themeFill="background1"/>
          </w:tcPr>
          <w:p w14:paraId="2229D86D" w14:textId="77777777" w:rsidR="00A3142E" w:rsidRPr="00A3142E" w:rsidRDefault="00516D42" w:rsidP="0092169A">
            <w:pPr>
              <w:jc w:val="center"/>
              <w:rPr>
                <w:rFonts w:cs="Times New Roman"/>
                <w:sz w:val="20"/>
                <w:szCs w:val="20"/>
              </w:rPr>
            </w:pPr>
            <w:r>
              <w:rPr>
                <w:rFonts w:cs="Times New Roman"/>
                <w:sz w:val="20"/>
                <w:szCs w:val="20"/>
              </w:rPr>
              <w:t>S</w:t>
            </w:r>
            <w:r w:rsidR="00EC20E7">
              <w:rPr>
                <w:rFonts w:cs="Times New Roman"/>
                <w:sz w:val="20"/>
                <w:szCs w:val="20"/>
              </w:rPr>
              <w:t>ākot ar 201</w:t>
            </w:r>
            <w:r w:rsidR="0092169A">
              <w:rPr>
                <w:rFonts w:cs="Times New Roman"/>
                <w:sz w:val="20"/>
                <w:szCs w:val="20"/>
              </w:rPr>
              <w:t>8</w:t>
            </w:r>
            <w:r w:rsidR="00EC20E7">
              <w:rPr>
                <w:rFonts w:cs="Times New Roman"/>
                <w:sz w:val="20"/>
                <w:szCs w:val="20"/>
              </w:rPr>
              <w:t>.gada 1.novembri</w:t>
            </w:r>
          </w:p>
        </w:tc>
      </w:tr>
      <w:tr w:rsidR="00850F9E" w:rsidRPr="00A3142E" w14:paraId="2662DB26" w14:textId="77777777" w:rsidTr="0041273D">
        <w:trPr>
          <w:trHeight w:val="1228"/>
        </w:trPr>
        <w:tc>
          <w:tcPr>
            <w:tcW w:w="567" w:type="dxa"/>
            <w:vMerge w:val="restart"/>
            <w:shd w:val="clear" w:color="auto" w:fill="auto"/>
          </w:tcPr>
          <w:p w14:paraId="25E24971" w14:textId="77777777" w:rsidR="00850F9E" w:rsidRPr="00FC417E" w:rsidRDefault="00850F9E" w:rsidP="0040642E">
            <w:pPr>
              <w:rPr>
                <w:rFonts w:cs="Times New Roman"/>
                <w:sz w:val="20"/>
                <w:szCs w:val="20"/>
              </w:rPr>
            </w:pPr>
            <w:r>
              <w:rPr>
                <w:rFonts w:cs="Times New Roman"/>
                <w:sz w:val="20"/>
                <w:szCs w:val="20"/>
              </w:rPr>
              <w:lastRenderedPageBreak/>
              <w:t>6.4.</w:t>
            </w:r>
          </w:p>
        </w:tc>
        <w:tc>
          <w:tcPr>
            <w:tcW w:w="3686" w:type="dxa"/>
            <w:vMerge w:val="restart"/>
            <w:shd w:val="clear" w:color="auto" w:fill="auto"/>
          </w:tcPr>
          <w:p w14:paraId="75284C50" w14:textId="77777777" w:rsidR="00850F9E" w:rsidRPr="00FC417E" w:rsidRDefault="00850F9E" w:rsidP="0025344E">
            <w:pPr>
              <w:jc w:val="both"/>
              <w:rPr>
                <w:rFonts w:cs="Times New Roman"/>
                <w:sz w:val="20"/>
                <w:szCs w:val="20"/>
              </w:rPr>
            </w:pPr>
            <w:r>
              <w:rPr>
                <w:rFonts w:cs="Times New Roman"/>
                <w:sz w:val="20"/>
                <w:szCs w:val="20"/>
              </w:rPr>
              <w:t>Stiprināt publiskā un privātā sektora sadarbība, pilnveidot informācijas apmaiņu un uzlabot savstarpējo uzticamību.</w:t>
            </w:r>
          </w:p>
        </w:tc>
        <w:tc>
          <w:tcPr>
            <w:tcW w:w="1701" w:type="dxa"/>
            <w:vMerge w:val="restart"/>
            <w:shd w:val="clear" w:color="auto" w:fill="auto"/>
          </w:tcPr>
          <w:p w14:paraId="26049838" w14:textId="77777777" w:rsidR="00850F9E" w:rsidRPr="00FC417E" w:rsidRDefault="00850F9E" w:rsidP="0040642E">
            <w:pPr>
              <w:jc w:val="both"/>
              <w:rPr>
                <w:rFonts w:cs="Times New Roman"/>
                <w:sz w:val="20"/>
                <w:szCs w:val="20"/>
              </w:rPr>
            </w:pPr>
            <w:r>
              <w:rPr>
                <w:rFonts w:cs="Times New Roman"/>
                <w:sz w:val="20"/>
                <w:szCs w:val="20"/>
              </w:rPr>
              <w:t>Moneyval rekomendācija 6.2.</w:t>
            </w:r>
          </w:p>
        </w:tc>
        <w:tc>
          <w:tcPr>
            <w:tcW w:w="1984" w:type="dxa"/>
            <w:vMerge w:val="restart"/>
            <w:shd w:val="clear" w:color="auto" w:fill="auto"/>
          </w:tcPr>
          <w:p w14:paraId="19505943" w14:textId="77777777" w:rsidR="00850F9E" w:rsidRDefault="00850F9E" w:rsidP="0025344E">
            <w:pPr>
              <w:jc w:val="both"/>
              <w:rPr>
                <w:rFonts w:cs="Times New Roman"/>
                <w:sz w:val="20"/>
                <w:szCs w:val="20"/>
              </w:rPr>
            </w:pPr>
            <w:r>
              <w:rPr>
                <w:rFonts w:cs="Times New Roman"/>
                <w:sz w:val="20"/>
                <w:szCs w:val="20"/>
              </w:rPr>
              <w:t>Nodrošināta efektīva KD Konsultatīvās padomes un sadarbības platformas darbība, tajā skaitā, noteikta sadarbības koordinācijas grupas darba organizācija, lietvedība, konfidencialitātes ievērošana u.c. grupas efektīvas darbības pamata lietas.</w:t>
            </w:r>
          </w:p>
        </w:tc>
        <w:tc>
          <w:tcPr>
            <w:tcW w:w="2835" w:type="dxa"/>
            <w:shd w:val="clear" w:color="auto" w:fill="auto"/>
          </w:tcPr>
          <w:p w14:paraId="3A7D2CAB" w14:textId="77777777" w:rsidR="00850F9E" w:rsidRDefault="00850F9E" w:rsidP="00EC75AE">
            <w:pPr>
              <w:pStyle w:val="ListParagraph"/>
              <w:ind w:left="33"/>
              <w:jc w:val="both"/>
              <w:rPr>
                <w:rFonts w:cs="Times New Roman"/>
                <w:sz w:val="20"/>
                <w:szCs w:val="20"/>
              </w:rPr>
            </w:pPr>
            <w:r>
              <w:rPr>
                <w:rFonts w:cs="Times New Roman"/>
                <w:sz w:val="20"/>
                <w:szCs w:val="20"/>
              </w:rPr>
              <w:t>1. Izstrādāti sadarbības koordinācijas grupas (NILLTF novēršanas likuma 55.pants) darbībai nepieciešamie iekšējie normatīvie akti. Nedrošināta sadarbības grupas darbība.</w:t>
            </w:r>
          </w:p>
        </w:tc>
        <w:tc>
          <w:tcPr>
            <w:tcW w:w="1276" w:type="dxa"/>
            <w:shd w:val="clear" w:color="auto" w:fill="auto"/>
          </w:tcPr>
          <w:p w14:paraId="6F2760FA" w14:textId="77777777" w:rsidR="00850F9E" w:rsidRPr="00FC417E" w:rsidRDefault="00850F9E" w:rsidP="002D63BE">
            <w:pPr>
              <w:jc w:val="center"/>
              <w:rPr>
                <w:rFonts w:cs="Times New Roman"/>
                <w:sz w:val="20"/>
                <w:szCs w:val="20"/>
              </w:rPr>
            </w:pPr>
            <w:r>
              <w:rPr>
                <w:rFonts w:cs="Times New Roman"/>
                <w:sz w:val="20"/>
                <w:szCs w:val="20"/>
              </w:rPr>
              <w:t>KD</w:t>
            </w:r>
          </w:p>
        </w:tc>
        <w:tc>
          <w:tcPr>
            <w:tcW w:w="1134" w:type="dxa"/>
            <w:shd w:val="clear" w:color="auto" w:fill="auto"/>
          </w:tcPr>
          <w:p w14:paraId="54C05440" w14:textId="77777777" w:rsidR="00850F9E" w:rsidRPr="00FC417E" w:rsidRDefault="00850F9E" w:rsidP="002D63BE">
            <w:pPr>
              <w:jc w:val="center"/>
              <w:rPr>
                <w:rFonts w:cs="Times New Roman"/>
                <w:sz w:val="20"/>
                <w:szCs w:val="20"/>
              </w:rPr>
            </w:pPr>
            <w:r>
              <w:rPr>
                <w:rFonts w:cs="Times New Roman"/>
                <w:sz w:val="20"/>
                <w:szCs w:val="20"/>
              </w:rPr>
              <w:t>VP, NMPP, KNAB, DP, ĢP, LFNA</w:t>
            </w:r>
          </w:p>
        </w:tc>
        <w:tc>
          <w:tcPr>
            <w:tcW w:w="1701" w:type="dxa"/>
            <w:shd w:val="clear" w:color="auto" w:fill="auto"/>
          </w:tcPr>
          <w:p w14:paraId="716CF7C9" w14:textId="77777777" w:rsidR="00850F9E" w:rsidRDefault="00850F9E" w:rsidP="0080332D">
            <w:pPr>
              <w:jc w:val="center"/>
              <w:rPr>
                <w:rFonts w:cs="Times New Roman"/>
                <w:sz w:val="20"/>
                <w:szCs w:val="20"/>
              </w:rPr>
            </w:pPr>
            <w:r>
              <w:rPr>
                <w:rFonts w:cs="Times New Roman"/>
                <w:sz w:val="20"/>
                <w:szCs w:val="20"/>
              </w:rPr>
              <w:t xml:space="preserve">2018.gada </w:t>
            </w:r>
          </w:p>
          <w:p w14:paraId="7C6AC05E" w14:textId="77777777" w:rsidR="00850F9E" w:rsidRPr="00FC417E" w:rsidRDefault="00850F9E" w:rsidP="0092169A">
            <w:pPr>
              <w:jc w:val="center"/>
              <w:rPr>
                <w:rFonts w:cs="Times New Roman"/>
                <w:sz w:val="20"/>
                <w:szCs w:val="20"/>
              </w:rPr>
            </w:pPr>
            <w:r>
              <w:rPr>
                <w:rFonts w:cs="Times New Roman"/>
                <w:sz w:val="20"/>
                <w:szCs w:val="20"/>
              </w:rPr>
              <w:t>30.novembris</w:t>
            </w:r>
          </w:p>
        </w:tc>
      </w:tr>
      <w:tr w:rsidR="00850F9E" w:rsidRPr="00A3142E" w14:paraId="2E5472D9" w14:textId="77777777" w:rsidTr="0041273D">
        <w:trPr>
          <w:trHeight w:val="1228"/>
        </w:trPr>
        <w:tc>
          <w:tcPr>
            <w:tcW w:w="567" w:type="dxa"/>
            <w:vMerge/>
            <w:shd w:val="clear" w:color="auto" w:fill="auto"/>
          </w:tcPr>
          <w:p w14:paraId="397E042A" w14:textId="77777777" w:rsidR="00850F9E" w:rsidRPr="00FC417E" w:rsidRDefault="00850F9E" w:rsidP="0040642E">
            <w:pPr>
              <w:rPr>
                <w:rFonts w:cs="Times New Roman"/>
                <w:sz w:val="20"/>
                <w:szCs w:val="20"/>
              </w:rPr>
            </w:pPr>
          </w:p>
        </w:tc>
        <w:tc>
          <w:tcPr>
            <w:tcW w:w="3686" w:type="dxa"/>
            <w:vMerge/>
            <w:shd w:val="clear" w:color="auto" w:fill="auto"/>
          </w:tcPr>
          <w:p w14:paraId="3272A46A" w14:textId="77777777" w:rsidR="00850F9E" w:rsidRPr="00FC417E" w:rsidRDefault="00850F9E" w:rsidP="008171F9">
            <w:pPr>
              <w:rPr>
                <w:rFonts w:cs="Times New Roman"/>
                <w:sz w:val="20"/>
                <w:szCs w:val="20"/>
              </w:rPr>
            </w:pPr>
          </w:p>
        </w:tc>
        <w:tc>
          <w:tcPr>
            <w:tcW w:w="1701" w:type="dxa"/>
            <w:vMerge/>
            <w:shd w:val="clear" w:color="auto" w:fill="auto"/>
          </w:tcPr>
          <w:p w14:paraId="731A3239" w14:textId="77777777" w:rsidR="00850F9E" w:rsidRPr="00FC417E" w:rsidRDefault="00850F9E" w:rsidP="0040642E">
            <w:pPr>
              <w:jc w:val="both"/>
              <w:rPr>
                <w:rFonts w:cs="Times New Roman"/>
                <w:sz w:val="20"/>
                <w:szCs w:val="20"/>
              </w:rPr>
            </w:pPr>
          </w:p>
        </w:tc>
        <w:tc>
          <w:tcPr>
            <w:tcW w:w="1984" w:type="dxa"/>
            <w:vMerge/>
            <w:shd w:val="clear" w:color="auto" w:fill="auto"/>
          </w:tcPr>
          <w:p w14:paraId="4F05ABFE" w14:textId="77777777" w:rsidR="00850F9E" w:rsidRDefault="00850F9E" w:rsidP="008171F9">
            <w:pPr>
              <w:rPr>
                <w:rFonts w:cs="Times New Roman"/>
                <w:sz w:val="20"/>
                <w:szCs w:val="20"/>
              </w:rPr>
            </w:pPr>
          </w:p>
        </w:tc>
        <w:tc>
          <w:tcPr>
            <w:tcW w:w="2835" w:type="dxa"/>
            <w:shd w:val="clear" w:color="auto" w:fill="auto"/>
          </w:tcPr>
          <w:p w14:paraId="27A40FB5" w14:textId="77777777" w:rsidR="00850F9E" w:rsidRDefault="00850F9E" w:rsidP="0080332D">
            <w:pPr>
              <w:pStyle w:val="ListParagraph"/>
              <w:ind w:left="33"/>
              <w:jc w:val="both"/>
              <w:rPr>
                <w:rFonts w:cs="Times New Roman"/>
                <w:sz w:val="20"/>
                <w:szCs w:val="20"/>
              </w:rPr>
            </w:pPr>
            <w:r>
              <w:rPr>
                <w:rFonts w:cs="Times New Roman"/>
                <w:sz w:val="20"/>
                <w:szCs w:val="20"/>
              </w:rPr>
              <w:t>2. KD Konsultatīvā padome atbilstoši atjaunotam mandātam sasaukta vismaz vienu reizi mēnesī.</w:t>
            </w:r>
          </w:p>
        </w:tc>
        <w:tc>
          <w:tcPr>
            <w:tcW w:w="1276" w:type="dxa"/>
            <w:shd w:val="clear" w:color="auto" w:fill="auto"/>
          </w:tcPr>
          <w:p w14:paraId="5BFB63D3" w14:textId="77777777" w:rsidR="00850F9E" w:rsidRPr="00FC417E" w:rsidRDefault="00850F9E" w:rsidP="002D63BE">
            <w:pPr>
              <w:jc w:val="center"/>
              <w:rPr>
                <w:rFonts w:cs="Times New Roman"/>
                <w:sz w:val="20"/>
                <w:szCs w:val="20"/>
              </w:rPr>
            </w:pPr>
            <w:r>
              <w:rPr>
                <w:rFonts w:cs="Times New Roman"/>
                <w:sz w:val="20"/>
                <w:szCs w:val="20"/>
              </w:rPr>
              <w:t>KD</w:t>
            </w:r>
          </w:p>
        </w:tc>
        <w:tc>
          <w:tcPr>
            <w:tcW w:w="1134" w:type="dxa"/>
            <w:shd w:val="clear" w:color="auto" w:fill="auto"/>
          </w:tcPr>
          <w:p w14:paraId="56318405" w14:textId="77777777" w:rsidR="00850F9E" w:rsidRPr="00FC417E" w:rsidRDefault="00850F9E" w:rsidP="002D63BE">
            <w:pPr>
              <w:jc w:val="center"/>
              <w:rPr>
                <w:rFonts w:cs="Times New Roman"/>
                <w:sz w:val="20"/>
                <w:szCs w:val="20"/>
              </w:rPr>
            </w:pPr>
            <w:r>
              <w:rPr>
                <w:rFonts w:cs="Times New Roman"/>
                <w:sz w:val="20"/>
                <w:szCs w:val="20"/>
              </w:rPr>
              <w:t>VP, NMPP, KNAB, DP, ĢP</w:t>
            </w:r>
          </w:p>
        </w:tc>
        <w:tc>
          <w:tcPr>
            <w:tcW w:w="1701" w:type="dxa"/>
            <w:shd w:val="clear" w:color="auto" w:fill="auto"/>
          </w:tcPr>
          <w:p w14:paraId="44A2A303" w14:textId="77777777" w:rsidR="00850F9E" w:rsidRPr="00FC417E" w:rsidRDefault="00850F9E" w:rsidP="0080332D">
            <w:pPr>
              <w:jc w:val="center"/>
              <w:rPr>
                <w:rFonts w:cs="Times New Roman"/>
                <w:sz w:val="20"/>
                <w:szCs w:val="20"/>
              </w:rPr>
            </w:pPr>
            <w:r>
              <w:rPr>
                <w:rFonts w:cs="Times New Roman"/>
                <w:sz w:val="20"/>
                <w:szCs w:val="20"/>
              </w:rPr>
              <w:t>Sākot ar 2019.gada 1.janvāri</w:t>
            </w:r>
          </w:p>
        </w:tc>
      </w:tr>
      <w:tr w:rsidR="0080332D" w:rsidRPr="00A3142E" w14:paraId="027A45D0" w14:textId="77777777" w:rsidTr="0041273D">
        <w:trPr>
          <w:trHeight w:val="1228"/>
        </w:trPr>
        <w:tc>
          <w:tcPr>
            <w:tcW w:w="567" w:type="dxa"/>
            <w:vMerge w:val="restart"/>
            <w:shd w:val="clear" w:color="auto" w:fill="auto"/>
          </w:tcPr>
          <w:p w14:paraId="78C6B09E" w14:textId="77777777" w:rsidR="0080332D" w:rsidRPr="00FC417E" w:rsidRDefault="0080332D" w:rsidP="0040642E">
            <w:pPr>
              <w:rPr>
                <w:rFonts w:cs="Times New Roman"/>
                <w:sz w:val="20"/>
                <w:szCs w:val="20"/>
              </w:rPr>
            </w:pPr>
            <w:r w:rsidRPr="00FC417E">
              <w:rPr>
                <w:rFonts w:cs="Times New Roman"/>
                <w:sz w:val="20"/>
                <w:szCs w:val="20"/>
              </w:rPr>
              <w:t>6.</w:t>
            </w:r>
            <w:r w:rsidR="002F6B21">
              <w:rPr>
                <w:rFonts w:cs="Times New Roman"/>
                <w:sz w:val="20"/>
                <w:szCs w:val="20"/>
              </w:rPr>
              <w:t>5</w:t>
            </w:r>
            <w:r w:rsidRPr="00FC417E">
              <w:rPr>
                <w:rFonts w:cs="Times New Roman"/>
                <w:sz w:val="20"/>
                <w:szCs w:val="20"/>
              </w:rPr>
              <w:t>.</w:t>
            </w:r>
          </w:p>
        </w:tc>
        <w:tc>
          <w:tcPr>
            <w:tcW w:w="3686" w:type="dxa"/>
            <w:vMerge w:val="restart"/>
            <w:shd w:val="clear" w:color="auto" w:fill="auto"/>
          </w:tcPr>
          <w:p w14:paraId="797289AB" w14:textId="77777777" w:rsidR="0080332D" w:rsidRPr="00FC417E" w:rsidRDefault="0080332D" w:rsidP="0025344E">
            <w:pPr>
              <w:jc w:val="both"/>
              <w:rPr>
                <w:rFonts w:cs="Times New Roman"/>
                <w:sz w:val="20"/>
                <w:szCs w:val="20"/>
              </w:rPr>
            </w:pPr>
            <w:r w:rsidRPr="00FC417E">
              <w:rPr>
                <w:rFonts w:cs="Times New Roman"/>
                <w:sz w:val="20"/>
                <w:szCs w:val="20"/>
              </w:rPr>
              <w:t>Palielināt KD darbinieku skaitu, tai skaitā palielināt KD resursus stratēģiskās analīzes veikšanai</w:t>
            </w:r>
            <w:r w:rsidR="00044038">
              <w:rPr>
                <w:rFonts w:cs="Times New Roman"/>
                <w:sz w:val="20"/>
                <w:szCs w:val="20"/>
              </w:rPr>
              <w:t>.</w:t>
            </w:r>
          </w:p>
          <w:p w14:paraId="3A185118" w14:textId="77777777" w:rsidR="0080332D" w:rsidRPr="00FC417E" w:rsidRDefault="0080332D" w:rsidP="0040642E">
            <w:pPr>
              <w:rPr>
                <w:rFonts w:cs="Times New Roman"/>
                <w:sz w:val="20"/>
                <w:szCs w:val="20"/>
              </w:rPr>
            </w:pPr>
          </w:p>
        </w:tc>
        <w:tc>
          <w:tcPr>
            <w:tcW w:w="1701" w:type="dxa"/>
            <w:vMerge w:val="restart"/>
            <w:shd w:val="clear" w:color="auto" w:fill="auto"/>
          </w:tcPr>
          <w:p w14:paraId="51EBD5D1" w14:textId="77777777" w:rsidR="0080332D" w:rsidRPr="00FC417E" w:rsidRDefault="0080332D" w:rsidP="0040642E">
            <w:pPr>
              <w:jc w:val="both"/>
              <w:rPr>
                <w:rFonts w:cs="Times New Roman"/>
                <w:sz w:val="20"/>
                <w:szCs w:val="20"/>
              </w:rPr>
            </w:pPr>
            <w:r w:rsidRPr="00FC417E">
              <w:rPr>
                <w:rFonts w:cs="Times New Roman"/>
                <w:sz w:val="20"/>
                <w:szCs w:val="20"/>
              </w:rPr>
              <w:t>Moneyval rekomendācija 6.3.</w:t>
            </w:r>
          </w:p>
        </w:tc>
        <w:tc>
          <w:tcPr>
            <w:tcW w:w="1984" w:type="dxa"/>
            <w:vMerge w:val="restart"/>
            <w:shd w:val="clear" w:color="auto" w:fill="auto"/>
          </w:tcPr>
          <w:p w14:paraId="5F76936F" w14:textId="77777777" w:rsidR="0080332D" w:rsidRPr="00FC417E" w:rsidRDefault="0080332D" w:rsidP="0025344E">
            <w:pPr>
              <w:jc w:val="both"/>
              <w:rPr>
                <w:rFonts w:cs="Times New Roman"/>
                <w:sz w:val="20"/>
                <w:szCs w:val="20"/>
              </w:rPr>
            </w:pPr>
            <w:r>
              <w:rPr>
                <w:rFonts w:cs="Times New Roman"/>
                <w:sz w:val="20"/>
                <w:szCs w:val="20"/>
              </w:rPr>
              <w:t xml:space="preserve">Stiprināta KD kapacitāte gan stratēģiskās analīzes, gan operacionālās analīzes </w:t>
            </w:r>
            <w:r w:rsidR="00044038">
              <w:rPr>
                <w:rFonts w:cs="Times New Roman"/>
                <w:sz w:val="20"/>
                <w:szCs w:val="20"/>
              </w:rPr>
              <w:t>jomā</w:t>
            </w:r>
            <w:r>
              <w:rPr>
                <w:rFonts w:cs="Times New Roman"/>
                <w:sz w:val="20"/>
                <w:szCs w:val="20"/>
              </w:rPr>
              <w:t>. Nodrošināta jauno darbinieku apmāc</w:t>
            </w:r>
            <w:r w:rsidR="00044038">
              <w:rPr>
                <w:rFonts w:cs="Times New Roman"/>
                <w:sz w:val="20"/>
                <w:szCs w:val="20"/>
              </w:rPr>
              <w:t>ī</w:t>
            </w:r>
            <w:r>
              <w:rPr>
                <w:rFonts w:cs="Times New Roman"/>
                <w:sz w:val="20"/>
                <w:szCs w:val="20"/>
              </w:rPr>
              <w:t>ba un esošo darbinieku zināšanu pilnveidošana atbilstoši jaunākajiem riskiem.</w:t>
            </w:r>
          </w:p>
        </w:tc>
        <w:tc>
          <w:tcPr>
            <w:tcW w:w="2835" w:type="dxa"/>
            <w:shd w:val="clear" w:color="auto" w:fill="auto"/>
          </w:tcPr>
          <w:p w14:paraId="6302E15D" w14:textId="77777777" w:rsidR="0080332D" w:rsidRPr="0080332D" w:rsidRDefault="0080332D" w:rsidP="0080332D">
            <w:pPr>
              <w:pStyle w:val="ListParagraph"/>
              <w:ind w:left="33"/>
              <w:jc w:val="both"/>
              <w:rPr>
                <w:rFonts w:cs="Times New Roman"/>
                <w:sz w:val="20"/>
                <w:szCs w:val="20"/>
              </w:rPr>
            </w:pPr>
            <w:r>
              <w:rPr>
                <w:rFonts w:cs="Times New Roman"/>
                <w:sz w:val="20"/>
                <w:szCs w:val="20"/>
              </w:rPr>
              <w:t xml:space="preserve">1. </w:t>
            </w:r>
            <w:r w:rsidRPr="0080332D">
              <w:rPr>
                <w:rFonts w:cs="Times New Roman"/>
                <w:sz w:val="20"/>
                <w:szCs w:val="20"/>
              </w:rPr>
              <w:t xml:space="preserve">2018.gadā izveidotas 2 papildu amata vietas. </w:t>
            </w:r>
          </w:p>
          <w:p w14:paraId="008C970A" w14:textId="77777777" w:rsidR="0080332D" w:rsidRPr="0080332D" w:rsidRDefault="0080332D" w:rsidP="0080332D">
            <w:pPr>
              <w:pStyle w:val="ListParagraph"/>
              <w:ind w:left="33"/>
              <w:jc w:val="both"/>
              <w:rPr>
                <w:rFonts w:cs="Times New Roman"/>
                <w:sz w:val="20"/>
                <w:szCs w:val="20"/>
              </w:rPr>
            </w:pPr>
            <w:r w:rsidRPr="0080332D">
              <w:rPr>
                <w:rFonts w:cs="Times New Roman"/>
                <w:sz w:val="20"/>
                <w:szCs w:val="20"/>
              </w:rPr>
              <w:t>2019.gadā izveidotas 16 jaunas amata vietas;</w:t>
            </w:r>
          </w:p>
          <w:p w14:paraId="2C8AFD7A" w14:textId="77777777" w:rsidR="0080332D" w:rsidRPr="00FC417E" w:rsidRDefault="0080332D" w:rsidP="0080332D">
            <w:pPr>
              <w:pStyle w:val="ListParagraph"/>
              <w:ind w:left="33"/>
              <w:jc w:val="both"/>
              <w:rPr>
                <w:rFonts w:cs="Times New Roman"/>
                <w:sz w:val="20"/>
                <w:szCs w:val="20"/>
              </w:rPr>
            </w:pPr>
            <w:r w:rsidRPr="0080332D">
              <w:rPr>
                <w:rFonts w:cs="Times New Roman"/>
                <w:color w:val="000000"/>
                <w:sz w:val="20"/>
                <w:szCs w:val="20"/>
              </w:rPr>
              <w:t>veiktas izmaiņas attiecība uz darbinieku atlīdzību.</w:t>
            </w:r>
            <w:r w:rsidRPr="00FC417E" w:rsidDel="009B4D1A">
              <w:rPr>
                <w:rFonts w:cs="Times New Roman"/>
                <w:sz w:val="20"/>
                <w:szCs w:val="20"/>
              </w:rPr>
              <w:t xml:space="preserve"> </w:t>
            </w:r>
          </w:p>
        </w:tc>
        <w:tc>
          <w:tcPr>
            <w:tcW w:w="1276" w:type="dxa"/>
            <w:shd w:val="clear" w:color="auto" w:fill="auto"/>
          </w:tcPr>
          <w:p w14:paraId="6B2AF68E" w14:textId="77777777" w:rsidR="0080332D" w:rsidRPr="00FC417E" w:rsidRDefault="0080332D" w:rsidP="002D63BE">
            <w:pPr>
              <w:jc w:val="center"/>
              <w:rPr>
                <w:rFonts w:cs="Times New Roman"/>
                <w:sz w:val="20"/>
                <w:szCs w:val="20"/>
              </w:rPr>
            </w:pPr>
            <w:r w:rsidRPr="00FC417E">
              <w:rPr>
                <w:rFonts w:cs="Times New Roman"/>
                <w:sz w:val="20"/>
                <w:szCs w:val="20"/>
              </w:rPr>
              <w:t>KD</w:t>
            </w:r>
          </w:p>
        </w:tc>
        <w:tc>
          <w:tcPr>
            <w:tcW w:w="1134" w:type="dxa"/>
            <w:shd w:val="clear" w:color="auto" w:fill="auto"/>
          </w:tcPr>
          <w:p w14:paraId="6A4184A1" w14:textId="77777777" w:rsidR="0080332D" w:rsidRPr="00FC417E" w:rsidRDefault="0080332D" w:rsidP="002D63BE">
            <w:pPr>
              <w:jc w:val="center"/>
              <w:rPr>
                <w:rFonts w:cs="Times New Roman"/>
                <w:sz w:val="20"/>
                <w:szCs w:val="20"/>
              </w:rPr>
            </w:pPr>
          </w:p>
        </w:tc>
        <w:tc>
          <w:tcPr>
            <w:tcW w:w="1701" w:type="dxa"/>
            <w:shd w:val="clear" w:color="auto" w:fill="auto"/>
          </w:tcPr>
          <w:p w14:paraId="6E8A1164" w14:textId="77777777" w:rsidR="0080332D" w:rsidRPr="00FC417E" w:rsidRDefault="0080332D" w:rsidP="0080332D">
            <w:pPr>
              <w:jc w:val="center"/>
              <w:rPr>
                <w:rFonts w:cs="Times New Roman"/>
                <w:sz w:val="20"/>
                <w:szCs w:val="20"/>
              </w:rPr>
            </w:pPr>
            <w:r w:rsidRPr="00FC417E">
              <w:rPr>
                <w:rFonts w:cs="Times New Roman"/>
                <w:sz w:val="20"/>
                <w:szCs w:val="20"/>
              </w:rPr>
              <w:t>201</w:t>
            </w:r>
            <w:r>
              <w:rPr>
                <w:rFonts w:cs="Times New Roman"/>
                <w:sz w:val="20"/>
                <w:szCs w:val="20"/>
              </w:rPr>
              <w:t>8</w:t>
            </w:r>
            <w:r w:rsidRPr="00FC417E">
              <w:rPr>
                <w:rFonts w:cs="Times New Roman"/>
                <w:sz w:val="20"/>
                <w:szCs w:val="20"/>
              </w:rPr>
              <w:t xml:space="preserve">.gada </w:t>
            </w:r>
            <w:r w:rsidR="009E6048">
              <w:rPr>
                <w:rFonts w:cs="Times New Roman"/>
                <w:sz w:val="20"/>
                <w:szCs w:val="20"/>
              </w:rPr>
              <w:t>28</w:t>
            </w:r>
            <w:r w:rsidRPr="00FC417E">
              <w:rPr>
                <w:rFonts w:cs="Times New Roman"/>
                <w:sz w:val="20"/>
                <w:szCs w:val="20"/>
              </w:rPr>
              <w:t>.</w:t>
            </w:r>
            <w:r>
              <w:rPr>
                <w:rFonts w:cs="Times New Roman"/>
                <w:sz w:val="20"/>
                <w:szCs w:val="20"/>
              </w:rPr>
              <w:t>decembris</w:t>
            </w:r>
          </w:p>
          <w:p w14:paraId="41CA21AA" w14:textId="77777777" w:rsidR="0080332D" w:rsidRPr="00FC417E" w:rsidRDefault="0080332D" w:rsidP="002D63BE">
            <w:pPr>
              <w:jc w:val="center"/>
              <w:rPr>
                <w:rFonts w:cs="Times New Roman"/>
                <w:sz w:val="20"/>
                <w:szCs w:val="20"/>
              </w:rPr>
            </w:pPr>
          </w:p>
        </w:tc>
      </w:tr>
      <w:tr w:rsidR="0080332D" w:rsidRPr="00A3142E" w14:paraId="6C44F257" w14:textId="77777777" w:rsidTr="0041273D">
        <w:trPr>
          <w:trHeight w:val="1228"/>
        </w:trPr>
        <w:tc>
          <w:tcPr>
            <w:tcW w:w="567" w:type="dxa"/>
            <w:vMerge/>
            <w:shd w:val="clear" w:color="auto" w:fill="auto"/>
          </w:tcPr>
          <w:p w14:paraId="27D4E1E1" w14:textId="77777777" w:rsidR="0080332D" w:rsidRPr="00FC417E" w:rsidRDefault="0080332D" w:rsidP="0040642E">
            <w:pPr>
              <w:rPr>
                <w:rFonts w:cs="Times New Roman"/>
                <w:sz w:val="20"/>
                <w:szCs w:val="20"/>
              </w:rPr>
            </w:pPr>
          </w:p>
        </w:tc>
        <w:tc>
          <w:tcPr>
            <w:tcW w:w="3686" w:type="dxa"/>
            <w:vMerge/>
            <w:shd w:val="clear" w:color="auto" w:fill="auto"/>
          </w:tcPr>
          <w:p w14:paraId="2CEA39C0" w14:textId="77777777" w:rsidR="0080332D" w:rsidRPr="00FC417E" w:rsidRDefault="0080332D" w:rsidP="0040642E">
            <w:pPr>
              <w:rPr>
                <w:rFonts w:cs="Times New Roman"/>
                <w:sz w:val="20"/>
                <w:szCs w:val="20"/>
              </w:rPr>
            </w:pPr>
          </w:p>
        </w:tc>
        <w:tc>
          <w:tcPr>
            <w:tcW w:w="1701" w:type="dxa"/>
            <w:vMerge/>
            <w:shd w:val="clear" w:color="auto" w:fill="auto"/>
          </w:tcPr>
          <w:p w14:paraId="30B65065" w14:textId="77777777" w:rsidR="0080332D" w:rsidRPr="00FC417E" w:rsidRDefault="0080332D" w:rsidP="0040642E">
            <w:pPr>
              <w:jc w:val="both"/>
              <w:rPr>
                <w:rFonts w:cs="Times New Roman"/>
                <w:sz w:val="20"/>
                <w:szCs w:val="20"/>
              </w:rPr>
            </w:pPr>
          </w:p>
        </w:tc>
        <w:tc>
          <w:tcPr>
            <w:tcW w:w="1984" w:type="dxa"/>
            <w:vMerge/>
            <w:shd w:val="clear" w:color="auto" w:fill="auto"/>
          </w:tcPr>
          <w:p w14:paraId="5D36FDC5" w14:textId="77777777" w:rsidR="0080332D" w:rsidRPr="00FC417E" w:rsidRDefault="0080332D" w:rsidP="0040642E">
            <w:pPr>
              <w:rPr>
                <w:rFonts w:cs="Times New Roman"/>
                <w:sz w:val="20"/>
                <w:szCs w:val="20"/>
              </w:rPr>
            </w:pPr>
          </w:p>
        </w:tc>
        <w:tc>
          <w:tcPr>
            <w:tcW w:w="2835" w:type="dxa"/>
            <w:shd w:val="clear" w:color="auto" w:fill="auto"/>
          </w:tcPr>
          <w:p w14:paraId="21B2488F" w14:textId="77777777" w:rsidR="0080332D" w:rsidRPr="0080332D" w:rsidRDefault="0080332D" w:rsidP="0041273D">
            <w:pPr>
              <w:jc w:val="both"/>
              <w:rPr>
                <w:rFonts w:cs="Times New Roman"/>
                <w:sz w:val="20"/>
                <w:szCs w:val="20"/>
              </w:rPr>
            </w:pPr>
            <w:r>
              <w:rPr>
                <w:rFonts w:cs="Times New Roman"/>
                <w:color w:val="000000"/>
                <w:sz w:val="20"/>
                <w:szCs w:val="20"/>
              </w:rPr>
              <w:t xml:space="preserve">2. </w:t>
            </w:r>
            <w:r w:rsidRPr="0080332D">
              <w:rPr>
                <w:rFonts w:cs="Times New Roman"/>
                <w:color w:val="000000"/>
                <w:sz w:val="20"/>
                <w:szCs w:val="20"/>
              </w:rPr>
              <w:t>Izvērtēta KD programmnodrošinājuma efektivitāte un sagatavoti priekšlikumi par nepieciešamajiem uzlabojumiem datu apstrādē un analīzē.  IT sistēmu attīstība</w:t>
            </w:r>
            <w:r w:rsidRPr="0080332D">
              <w:rPr>
                <w:rFonts w:cs="Times New Roman"/>
                <w:sz w:val="20"/>
                <w:szCs w:val="20"/>
              </w:rPr>
              <w:t xml:space="preserve"> </w:t>
            </w:r>
            <w:r w:rsidR="002F6B21">
              <w:rPr>
                <w:rFonts w:cs="Times New Roman"/>
                <w:sz w:val="20"/>
                <w:szCs w:val="20"/>
              </w:rPr>
              <w:t>.</w:t>
            </w:r>
          </w:p>
        </w:tc>
        <w:tc>
          <w:tcPr>
            <w:tcW w:w="1276" w:type="dxa"/>
            <w:shd w:val="clear" w:color="auto" w:fill="auto"/>
          </w:tcPr>
          <w:p w14:paraId="4F964F32" w14:textId="77777777" w:rsidR="0080332D" w:rsidRPr="00FC417E" w:rsidRDefault="0080332D" w:rsidP="002D63BE">
            <w:pPr>
              <w:jc w:val="center"/>
              <w:rPr>
                <w:rFonts w:cs="Times New Roman"/>
                <w:sz w:val="20"/>
                <w:szCs w:val="20"/>
              </w:rPr>
            </w:pPr>
            <w:r w:rsidRPr="00FC417E">
              <w:rPr>
                <w:rFonts w:cs="Times New Roman"/>
                <w:sz w:val="20"/>
                <w:szCs w:val="20"/>
              </w:rPr>
              <w:t>KD</w:t>
            </w:r>
          </w:p>
        </w:tc>
        <w:tc>
          <w:tcPr>
            <w:tcW w:w="1134" w:type="dxa"/>
            <w:shd w:val="clear" w:color="auto" w:fill="auto"/>
          </w:tcPr>
          <w:p w14:paraId="5469024F" w14:textId="77777777" w:rsidR="0080332D" w:rsidRPr="00FC417E" w:rsidRDefault="0080332D" w:rsidP="002D63BE">
            <w:pPr>
              <w:jc w:val="center"/>
              <w:rPr>
                <w:rFonts w:cs="Times New Roman"/>
                <w:sz w:val="20"/>
                <w:szCs w:val="20"/>
              </w:rPr>
            </w:pPr>
          </w:p>
        </w:tc>
        <w:tc>
          <w:tcPr>
            <w:tcW w:w="1701" w:type="dxa"/>
            <w:shd w:val="clear" w:color="auto" w:fill="auto"/>
          </w:tcPr>
          <w:p w14:paraId="5B8A8609" w14:textId="77777777" w:rsidR="0080332D" w:rsidRPr="00FC417E" w:rsidRDefault="0080332D" w:rsidP="002D63BE">
            <w:pPr>
              <w:jc w:val="center"/>
              <w:rPr>
                <w:rFonts w:cs="Times New Roman"/>
                <w:sz w:val="20"/>
                <w:szCs w:val="20"/>
              </w:rPr>
            </w:pPr>
            <w:r w:rsidRPr="00FC417E">
              <w:rPr>
                <w:rFonts w:cs="Times New Roman"/>
                <w:sz w:val="20"/>
                <w:szCs w:val="20"/>
              </w:rPr>
              <w:t>2018.gada 20.decembris</w:t>
            </w:r>
          </w:p>
        </w:tc>
      </w:tr>
      <w:tr w:rsidR="0080332D" w:rsidRPr="0041273D" w14:paraId="4E2BDE1D" w14:textId="77777777" w:rsidTr="0041273D">
        <w:trPr>
          <w:trHeight w:val="1228"/>
        </w:trPr>
        <w:tc>
          <w:tcPr>
            <w:tcW w:w="567" w:type="dxa"/>
            <w:vMerge/>
            <w:shd w:val="clear" w:color="auto" w:fill="FFFFFF" w:themeFill="background1"/>
          </w:tcPr>
          <w:p w14:paraId="2C11E31A" w14:textId="77777777" w:rsidR="0080332D" w:rsidRDefault="0080332D" w:rsidP="00BD055F">
            <w:pPr>
              <w:rPr>
                <w:rFonts w:cs="Times New Roman"/>
                <w:sz w:val="20"/>
                <w:szCs w:val="20"/>
              </w:rPr>
            </w:pPr>
          </w:p>
        </w:tc>
        <w:tc>
          <w:tcPr>
            <w:tcW w:w="3686" w:type="dxa"/>
            <w:vMerge/>
            <w:shd w:val="clear" w:color="auto" w:fill="FFFFFF" w:themeFill="background1"/>
          </w:tcPr>
          <w:p w14:paraId="45421AB6" w14:textId="77777777" w:rsidR="0080332D" w:rsidRDefault="0080332D" w:rsidP="00454EA5">
            <w:pPr>
              <w:rPr>
                <w:rFonts w:cs="Times New Roman"/>
                <w:sz w:val="20"/>
                <w:szCs w:val="20"/>
              </w:rPr>
            </w:pPr>
          </w:p>
        </w:tc>
        <w:tc>
          <w:tcPr>
            <w:tcW w:w="1701" w:type="dxa"/>
            <w:vMerge/>
            <w:shd w:val="clear" w:color="auto" w:fill="FFFFFF" w:themeFill="background1"/>
          </w:tcPr>
          <w:p w14:paraId="14078FC9" w14:textId="77777777" w:rsidR="0080332D" w:rsidRPr="00A3142E" w:rsidRDefault="0080332D" w:rsidP="00A3142E">
            <w:pPr>
              <w:jc w:val="both"/>
              <w:rPr>
                <w:rFonts w:cs="Times New Roman"/>
                <w:sz w:val="20"/>
                <w:szCs w:val="20"/>
              </w:rPr>
            </w:pPr>
          </w:p>
        </w:tc>
        <w:tc>
          <w:tcPr>
            <w:tcW w:w="1984" w:type="dxa"/>
            <w:vMerge/>
            <w:shd w:val="clear" w:color="auto" w:fill="FFFFFF" w:themeFill="background1"/>
          </w:tcPr>
          <w:p w14:paraId="0123D96E" w14:textId="77777777" w:rsidR="0080332D" w:rsidRDefault="0080332D" w:rsidP="00926CD8">
            <w:pPr>
              <w:jc w:val="both"/>
              <w:rPr>
                <w:rFonts w:cs="Times New Roman"/>
                <w:sz w:val="20"/>
                <w:szCs w:val="20"/>
              </w:rPr>
            </w:pPr>
          </w:p>
        </w:tc>
        <w:tc>
          <w:tcPr>
            <w:tcW w:w="2835" w:type="dxa"/>
            <w:shd w:val="clear" w:color="auto" w:fill="FFFFFF" w:themeFill="background1"/>
          </w:tcPr>
          <w:p w14:paraId="57590868" w14:textId="77777777" w:rsidR="0080332D" w:rsidRPr="00A3142E" w:rsidRDefault="0080332D" w:rsidP="00926CD8">
            <w:pPr>
              <w:jc w:val="both"/>
              <w:rPr>
                <w:rFonts w:cs="Times New Roman"/>
                <w:sz w:val="20"/>
                <w:szCs w:val="20"/>
              </w:rPr>
            </w:pPr>
            <w:r>
              <w:rPr>
                <w:rFonts w:cs="Times New Roman"/>
                <w:sz w:val="20"/>
                <w:szCs w:val="20"/>
              </w:rPr>
              <w:t>3. KD darbinieku apmācība</w:t>
            </w:r>
            <w:r w:rsidR="002F6B21">
              <w:rPr>
                <w:rFonts w:cs="Times New Roman"/>
                <w:sz w:val="20"/>
                <w:szCs w:val="20"/>
              </w:rPr>
              <w:t>.</w:t>
            </w:r>
          </w:p>
        </w:tc>
        <w:tc>
          <w:tcPr>
            <w:tcW w:w="1276" w:type="dxa"/>
            <w:shd w:val="clear" w:color="auto" w:fill="FFFFFF" w:themeFill="background1"/>
          </w:tcPr>
          <w:p w14:paraId="0DA46782" w14:textId="77777777" w:rsidR="0080332D" w:rsidRPr="00A3142E" w:rsidRDefault="0080332D" w:rsidP="002D63BE">
            <w:pPr>
              <w:jc w:val="center"/>
              <w:rPr>
                <w:rFonts w:cs="Times New Roman"/>
                <w:sz w:val="20"/>
                <w:szCs w:val="20"/>
              </w:rPr>
            </w:pPr>
            <w:r>
              <w:rPr>
                <w:rFonts w:cs="Times New Roman"/>
                <w:sz w:val="20"/>
                <w:szCs w:val="20"/>
              </w:rPr>
              <w:t>KD</w:t>
            </w:r>
          </w:p>
        </w:tc>
        <w:tc>
          <w:tcPr>
            <w:tcW w:w="1134" w:type="dxa"/>
            <w:shd w:val="clear" w:color="auto" w:fill="FFFFFF" w:themeFill="background1"/>
          </w:tcPr>
          <w:p w14:paraId="7723B07A" w14:textId="77777777" w:rsidR="0080332D" w:rsidRPr="00A3142E" w:rsidRDefault="0080332D" w:rsidP="002D63BE">
            <w:pPr>
              <w:jc w:val="center"/>
              <w:rPr>
                <w:rFonts w:cs="Times New Roman"/>
                <w:sz w:val="20"/>
                <w:szCs w:val="20"/>
              </w:rPr>
            </w:pPr>
          </w:p>
        </w:tc>
        <w:tc>
          <w:tcPr>
            <w:tcW w:w="1701" w:type="dxa"/>
            <w:shd w:val="clear" w:color="auto" w:fill="FFFFFF" w:themeFill="background1"/>
          </w:tcPr>
          <w:p w14:paraId="2F3638C0" w14:textId="77777777" w:rsidR="0080332D" w:rsidRPr="00A3142E" w:rsidRDefault="0080332D" w:rsidP="0041273D">
            <w:pPr>
              <w:jc w:val="center"/>
              <w:rPr>
                <w:rFonts w:cs="Times New Roman"/>
                <w:sz w:val="20"/>
                <w:szCs w:val="20"/>
              </w:rPr>
            </w:pPr>
            <w:r>
              <w:rPr>
                <w:rFonts w:cs="Times New Roman"/>
                <w:sz w:val="20"/>
                <w:szCs w:val="20"/>
              </w:rPr>
              <w:t xml:space="preserve">2019.gada </w:t>
            </w:r>
            <w:r w:rsidR="009E6048">
              <w:rPr>
                <w:rFonts w:cs="Times New Roman"/>
                <w:sz w:val="20"/>
                <w:szCs w:val="20"/>
              </w:rPr>
              <w:t>28</w:t>
            </w:r>
            <w:r>
              <w:rPr>
                <w:rFonts w:cs="Times New Roman"/>
                <w:sz w:val="20"/>
                <w:szCs w:val="20"/>
              </w:rPr>
              <w:t>.decembris</w:t>
            </w:r>
          </w:p>
        </w:tc>
      </w:tr>
      <w:tr w:rsidR="0080332D" w:rsidRPr="00A3142E" w14:paraId="2B96FAEB" w14:textId="77777777" w:rsidTr="00613C61">
        <w:trPr>
          <w:trHeight w:val="1228"/>
        </w:trPr>
        <w:tc>
          <w:tcPr>
            <w:tcW w:w="567" w:type="dxa"/>
            <w:vMerge/>
            <w:tcBorders>
              <w:bottom w:val="nil"/>
            </w:tcBorders>
            <w:shd w:val="clear" w:color="auto" w:fill="FFFFFF" w:themeFill="background1"/>
          </w:tcPr>
          <w:p w14:paraId="03F4D981" w14:textId="77777777" w:rsidR="0080332D" w:rsidRDefault="0080332D" w:rsidP="00BD055F">
            <w:pPr>
              <w:rPr>
                <w:rFonts w:cs="Times New Roman"/>
                <w:sz w:val="20"/>
                <w:szCs w:val="20"/>
              </w:rPr>
            </w:pPr>
          </w:p>
        </w:tc>
        <w:tc>
          <w:tcPr>
            <w:tcW w:w="3686" w:type="dxa"/>
            <w:vMerge/>
            <w:tcBorders>
              <w:bottom w:val="nil"/>
            </w:tcBorders>
            <w:shd w:val="clear" w:color="auto" w:fill="FFFFFF" w:themeFill="background1"/>
          </w:tcPr>
          <w:p w14:paraId="6348CA9B" w14:textId="77777777" w:rsidR="0080332D" w:rsidRDefault="0080332D" w:rsidP="00454EA5">
            <w:pPr>
              <w:rPr>
                <w:rFonts w:cs="Times New Roman"/>
                <w:sz w:val="20"/>
                <w:szCs w:val="20"/>
              </w:rPr>
            </w:pPr>
          </w:p>
        </w:tc>
        <w:tc>
          <w:tcPr>
            <w:tcW w:w="1701" w:type="dxa"/>
            <w:vMerge/>
            <w:tcBorders>
              <w:bottom w:val="nil"/>
            </w:tcBorders>
            <w:shd w:val="clear" w:color="auto" w:fill="FFFFFF" w:themeFill="background1"/>
          </w:tcPr>
          <w:p w14:paraId="7A91849B" w14:textId="77777777" w:rsidR="0080332D" w:rsidRPr="00A3142E" w:rsidRDefault="0080332D" w:rsidP="00A3142E">
            <w:pPr>
              <w:jc w:val="both"/>
              <w:rPr>
                <w:rFonts w:cs="Times New Roman"/>
                <w:sz w:val="20"/>
                <w:szCs w:val="20"/>
              </w:rPr>
            </w:pPr>
          </w:p>
        </w:tc>
        <w:tc>
          <w:tcPr>
            <w:tcW w:w="1984" w:type="dxa"/>
            <w:vMerge/>
            <w:tcBorders>
              <w:bottom w:val="nil"/>
            </w:tcBorders>
            <w:shd w:val="clear" w:color="auto" w:fill="FFFFFF" w:themeFill="background1"/>
          </w:tcPr>
          <w:p w14:paraId="3B992884" w14:textId="77777777" w:rsidR="0080332D" w:rsidRDefault="0080332D" w:rsidP="00926CD8">
            <w:pPr>
              <w:jc w:val="both"/>
              <w:rPr>
                <w:rFonts w:cs="Times New Roman"/>
                <w:sz w:val="20"/>
                <w:szCs w:val="20"/>
              </w:rPr>
            </w:pPr>
          </w:p>
        </w:tc>
        <w:tc>
          <w:tcPr>
            <w:tcW w:w="2835" w:type="dxa"/>
            <w:shd w:val="clear" w:color="auto" w:fill="FFFFFF" w:themeFill="background1"/>
          </w:tcPr>
          <w:p w14:paraId="7DB433AE" w14:textId="77777777" w:rsidR="0080332D" w:rsidRPr="00A3142E" w:rsidRDefault="0080332D" w:rsidP="00926CD8">
            <w:pPr>
              <w:jc w:val="both"/>
              <w:rPr>
                <w:rFonts w:cs="Times New Roman"/>
                <w:sz w:val="20"/>
                <w:szCs w:val="20"/>
              </w:rPr>
            </w:pPr>
            <w:r>
              <w:rPr>
                <w:rFonts w:cs="Times New Roman"/>
                <w:sz w:val="20"/>
                <w:szCs w:val="20"/>
              </w:rPr>
              <w:t xml:space="preserve">4. KD iekārtotas darba vietas jaunajiem darbiniekiem un uzsākts darbs jaunās telpās </w:t>
            </w:r>
          </w:p>
        </w:tc>
        <w:tc>
          <w:tcPr>
            <w:tcW w:w="1276" w:type="dxa"/>
            <w:shd w:val="clear" w:color="auto" w:fill="FFFFFF" w:themeFill="background1"/>
          </w:tcPr>
          <w:p w14:paraId="052F915A" w14:textId="77777777" w:rsidR="0080332D" w:rsidRPr="00A3142E" w:rsidRDefault="0080332D" w:rsidP="002D63BE">
            <w:pPr>
              <w:jc w:val="center"/>
              <w:rPr>
                <w:rFonts w:cs="Times New Roman"/>
                <w:sz w:val="20"/>
                <w:szCs w:val="20"/>
              </w:rPr>
            </w:pPr>
            <w:r>
              <w:rPr>
                <w:rFonts w:cs="Times New Roman"/>
                <w:sz w:val="20"/>
                <w:szCs w:val="20"/>
              </w:rPr>
              <w:t>KD</w:t>
            </w:r>
          </w:p>
        </w:tc>
        <w:tc>
          <w:tcPr>
            <w:tcW w:w="1134" w:type="dxa"/>
            <w:shd w:val="clear" w:color="auto" w:fill="FFFFFF" w:themeFill="background1"/>
          </w:tcPr>
          <w:p w14:paraId="0CE7D5FB" w14:textId="77777777" w:rsidR="0080332D" w:rsidRPr="00A3142E" w:rsidRDefault="0080332D" w:rsidP="002D63BE">
            <w:pPr>
              <w:jc w:val="center"/>
              <w:rPr>
                <w:rFonts w:cs="Times New Roman"/>
                <w:sz w:val="20"/>
                <w:szCs w:val="20"/>
              </w:rPr>
            </w:pPr>
          </w:p>
        </w:tc>
        <w:tc>
          <w:tcPr>
            <w:tcW w:w="1701" w:type="dxa"/>
            <w:shd w:val="clear" w:color="auto" w:fill="FFFFFF" w:themeFill="background1"/>
          </w:tcPr>
          <w:p w14:paraId="3508BF13" w14:textId="77777777" w:rsidR="0080332D" w:rsidRPr="00A3142E" w:rsidRDefault="0080332D" w:rsidP="009E6048">
            <w:pPr>
              <w:jc w:val="center"/>
              <w:rPr>
                <w:rFonts w:cs="Times New Roman"/>
                <w:sz w:val="20"/>
                <w:szCs w:val="20"/>
              </w:rPr>
            </w:pPr>
            <w:r>
              <w:rPr>
                <w:rFonts w:cs="Times New Roman"/>
                <w:sz w:val="20"/>
                <w:szCs w:val="20"/>
              </w:rPr>
              <w:t xml:space="preserve">2019.gada </w:t>
            </w:r>
            <w:r w:rsidR="009E6048">
              <w:rPr>
                <w:rFonts w:cs="Times New Roman"/>
                <w:sz w:val="20"/>
                <w:szCs w:val="20"/>
              </w:rPr>
              <w:t>28</w:t>
            </w:r>
            <w:r>
              <w:rPr>
                <w:rFonts w:cs="Times New Roman"/>
                <w:sz w:val="20"/>
                <w:szCs w:val="20"/>
              </w:rPr>
              <w:t>.decembris</w:t>
            </w:r>
          </w:p>
        </w:tc>
      </w:tr>
      <w:tr w:rsidR="00613C61" w:rsidRPr="00A3142E" w14:paraId="18B7A7A0" w14:textId="77777777" w:rsidTr="00466A18">
        <w:trPr>
          <w:trHeight w:val="1228"/>
        </w:trPr>
        <w:tc>
          <w:tcPr>
            <w:tcW w:w="567" w:type="dxa"/>
            <w:tcBorders>
              <w:top w:val="nil"/>
            </w:tcBorders>
            <w:shd w:val="clear" w:color="auto" w:fill="FFFFFF" w:themeFill="background1"/>
          </w:tcPr>
          <w:p w14:paraId="5A24D9FE" w14:textId="77777777" w:rsidR="00613C61" w:rsidRDefault="00613C61" w:rsidP="00613C61">
            <w:pPr>
              <w:rPr>
                <w:rFonts w:cs="Times New Roman"/>
                <w:sz w:val="20"/>
                <w:szCs w:val="20"/>
              </w:rPr>
            </w:pPr>
          </w:p>
        </w:tc>
        <w:tc>
          <w:tcPr>
            <w:tcW w:w="3686" w:type="dxa"/>
            <w:tcBorders>
              <w:top w:val="nil"/>
            </w:tcBorders>
            <w:shd w:val="clear" w:color="auto" w:fill="FFFFFF" w:themeFill="background1"/>
          </w:tcPr>
          <w:p w14:paraId="52CBD032" w14:textId="77777777" w:rsidR="00613C61" w:rsidRDefault="00613C61" w:rsidP="00613C61">
            <w:pPr>
              <w:jc w:val="center"/>
              <w:rPr>
                <w:rFonts w:cs="Times New Roman"/>
                <w:sz w:val="20"/>
                <w:szCs w:val="20"/>
              </w:rPr>
            </w:pPr>
          </w:p>
        </w:tc>
        <w:tc>
          <w:tcPr>
            <w:tcW w:w="1701" w:type="dxa"/>
            <w:tcBorders>
              <w:top w:val="nil"/>
            </w:tcBorders>
            <w:shd w:val="clear" w:color="auto" w:fill="FFFFFF" w:themeFill="background1"/>
          </w:tcPr>
          <w:p w14:paraId="6FFEEFB8" w14:textId="77777777" w:rsidR="00613C61" w:rsidRPr="00A3142E" w:rsidRDefault="00613C61" w:rsidP="00613C61">
            <w:pPr>
              <w:jc w:val="center"/>
              <w:rPr>
                <w:rFonts w:cs="Times New Roman"/>
                <w:sz w:val="20"/>
                <w:szCs w:val="20"/>
              </w:rPr>
            </w:pPr>
          </w:p>
        </w:tc>
        <w:tc>
          <w:tcPr>
            <w:tcW w:w="1984" w:type="dxa"/>
            <w:tcBorders>
              <w:top w:val="nil"/>
            </w:tcBorders>
            <w:shd w:val="clear" w:color="auto" w:fill="FFFFFF" w:themeFill="background1"/>
          </w:tcPr>
          <w:p w14:paraId="223F52B7" w14:textId="77777777" w:rsidR="00613C61" w:rsidRDefault="00613C61" w:rsidP="00613C61">
            <w:pPr>
              <w:jc w:val="center"/>
              <w:rPr>
                <w:rFonts w:cs="Times New Roman"/>
                <w:sz w:val="20"/>
                <w:szCs w:val="20"/>
              </w:rPr>
            </w:pPr>
          </w:p>
        </w:tc>
        <w:tc>
          <w:tcPr>
            <w:tcW w:w="2835" w:type="dxa"/>
            <w:shd w:val="clear" w:color="auto" w:fill="auto"/>
          </w:tcPr>
          <w:p w14:paraId="72550D78" w14:textId="77777777" w:rsidR="00613C61" w:rsidRPr="00613C61" w:rsidRDefault="00613C61" w:rsidP="004A7EED">
            <w:pPr>
              <w:jc w:val="both"/>
              <w:rPr>
                <w:rFonts w:cs="Times New Roman"/>
                <w:sz w:val="20"/>
                <w:szCs w:val="20"/>
              </w:rPr>
            </w:pPr>
            <w:r w:rsidRPr="00613C61">
              <w:rPr>
                <w:rFonts w:cs="Times New Roman"/>
                <w:sz w:val="20"/>
                <w:szCs w:val="20"/>
              </w:rPr>
              <w:t>5. Piesaistīts ārpakalpojuma sniedzējs ABLV pašlikvidācijas procesa gaitā veicamajai operacionāla</w:t>
            </w:r>
            <w:r w:rsidR="00A80C4B">
              <w:rPr>
                <w:rFonts w:cs="Times New Roman"/>
                <w:sz w:val="20"/>
                <w:szCs w:val="20"/>
              </w:rPr>
              <w:t>i un stratēģiskai analīzei u.c.</w:t>
            </w:r>
            <w:r w:rsidRPr="00613C61">
              <w:rPr>
                <w:rFonts w:cs="Times New Roman"/>
                <w:sz w:val="20"/>
                <w:szCs w:val="20"/>
              </w:rPr>
              <w:t xml:space="preserve"> </w:t>
            </w:r>
          </w:p>
        </w:tc>
        <w:tc>
          <w:tcPr>
            <w:tcW w:w="1276" w:type="dxa"/>
            <w:shd w:val="clear" w:color="auto" w:fill="auto"/>
          </w:tcPr>
          <w:p w14:paraId="43F2B060" w14:textId="77777777" w:rsidR="00613C61" w:rsidRPr="00613C61" w:rsidRDefault="00613C61" w:rsidP="00613C61">
            <w:pPr>
              <w:jc w:val="center"/>
              <w:rPr>
                <w:rFonts w:cs="Times New Roman"/>
                <w:sz w:val="20"/>
                <w:szCs w:val="20"/>
              </w:rPr>
            </w:pPr>
            <w:r w:rsidRPr="00613C61">
              <w:rPr>
                <w:rFonts w:cs="Times New Roman"/>
                <w:sz w:val="20"/>
                <w:szCs w:val="20"/>
              </w:rPr>
              <w:t>KD</w:t>
            </w:r>
          </w:p>
        </w:tc>
        <w:tc>
          <w:tcPr>
            <w:tcW w:w="1134" w:type="dxa"/>
            <w:shd w:val="clear" w:color="auto" w:fill="auto"/>
          </w:tcPr>
          <w:p w14:paraId="50652F69" w14:textId="77777777" w:rsidR="00613C61" w:rsidRPr="00613C61" w:rsidRDefault="00613C61" w:rsidP="00613C61">
            <w:pPr>
              <w:jc w:val="center"/>
              <w:rPr>
                <w:rFonts w:cs="Times New Roman"/>
                <w:sz w:val="20"/>
                <w:szCs w:val="20"/>
              </w:rPr>
            </w:pPr>
          </w:p>
        </w:tc>
        <w:tc>
          <w:tcPr>
            <w:tcW w:w="1701" w:type="dxa"/>
            <w:shd w:val="clear" w:color="auto" w:fill="auto"/>
          </w:tcPr>
          <w:p w14:paraId="54D8B57F" w14:textId="77777777" w:rsidR="00613C61" w:rsidRPr="00613C61" w:rsidRDefault="00613C61" w:rsidP="00613C61">
            <w:pPr>
              <w:jc w:val="center"/>
              <w:rPr>
                <w:rFonts w:cs="Times New Roman"/>
                <w:sz w:val="20"/>
                <w:szCs w:val="20"/>
              </w:rPr>
            </w:pPr>
            <w:r w:rsidRPr="00613C61">
              <w:rPr>
                <w:rFonts w:cs="Times New Roman"/>
                <w:sz w:val="20"/>
                <w:szCs w:val="20"/>
              </w:rPr>
              <w:t>2018.gada 1.novembris</w:t>
            </w:r>
          </w:p>
        </w:tc>
      </w:tr>
      <w:tr w:rsidR="00CD49D0" w:rsidRPr="00A3142E" w14:paraId="737F4625" w14:textId="77777777" w:rsidTr="0041273D">
        <w:trPr>
          <w:trHeight w:val="1228"/>
        </w:trPr>
        <w:tc>
          <w:tcPr>
            <w:tcW w:w="567" w:type="dxa"/>
            <w:shd w:val="clear" w:color="auto" w:fill="FFFFFF" w:themeFill="background1"/>
          </w:tcPr>
          <w:p w14:paraId="58A65A79" w14:textId="77777777" w:rsidR="00CD49D0" w:rsidRDefault="00942E92" w:rsidP="00942E92">
            <w:pPr>
              <w:rPr>
                <w:rFonts w:cs="Times New Roman"/>
                <w:sz w:val="20"/>
                <w:szCs w:val="20"/>
              </w:rPr>
            </w:pPr>
            <w:r>
              <w:rPr>
                <w:rFonts w:cs="Times New Roman"/>
                <w:sz w:val="20"/>
                <w:szCs w:val="20"/>
              </w:rPr>
              <w:t>6.</w:t>
            </w:r>
            <w:r w:rsidR="0033152C">
              <w:rPr>
                <w:rFonts w:cs="Times New Roman"/>
                <w:sz w:val="20"/>
                <w:szCs w:val="20"/>
              </w:rPr>
              <w:t>6</w:t>
            </w:r>
            <w:r w:rsidR="00A26F5F">
              <w:rPr>
                <w:rFonts w:cs="Times New Roman"/>
                <w:sz w:val="20"/>
                <w:szCs w:val="20"/>
              </w:rPr>
              <w:t>.</w:t>
            </w:r>
          </w:p>
        </w:tc>
        <w:tc>
          <w:tcPr>
            <w:tcW w:w="3686" w:type="dxa"/>
            <w:shd w:val="clear" w:color="auto" w:fill="FFFFFF" w:themeFill="background1"/>
          </w:tcPr>
          <w:p w14:paraId="00E9BA63" w14:textId="77777777" w:rsidR="00CD49D0" w:rsidRDefault="00A26F5F" w:rsidP="00333994">
            <w:pPr>
              <w:jc w:val="both"/>
              <w:rPr>
                <w:rFonts w:cs="Times New Roman"/>
                <w:sz w:val="20"/>
                <w:szCs w:val="20"/>
              </w:rPr>
            </w:pPr>
            <w:r w:rsidRPr="00A3142E">
              <w:rPr>
                <w:rFonts w:cs="Times New Roman"/>
                <w:sz w:val="20"/>
                <w:szCs w:val="20"/>
              </w:rPr>
              <w:t xml:space="preserve">Izstrādāt grozījumus NILLTFN likumā, lai novērstu informācijas atklāšanas riskus, paredzot plašāku ziņojumā iekļaujamās informācijas apjomu. </w:t>
            </w:r>
          </w:p>
        </w:tc>
        <w:tc>
          <w:tcPr>
            <w:tcW w:w="1701" w:type="dxa"/>
            <w:shd w:val="clear" w:color="auto" w:fill="FFFFFF" w:themeFill="background1"/>
          </w:tcPr>
          <w:p w14:paraId="21A0270F" w14:textId="77777777" w:rsidR="00CD49D0" w:rsidRDefault="00A26F5F" w:rsidP="00A3142E">
            <w:pPr>
              <w:jc w:val="both"/>
              <w:rPr>
                <w:rFonts w:cs="Times New Roman"/>
                <w:sz w:val="20"/>
                <w:szCs w:val="20"/>
              </w:rPr>
            </w:pPr>
            <w:r>
              <w:rPr>
                <w:rFonts w:cs="Times New Roman"/>
                <w:sz w:val="20"/>
                <w:szCs w:val="20"/>
              </w:rPr>
              <w:t>Moneyval rekomendācija 6.4.</w:t>
            </w:r>
          </w:p>
        </w:tc>
        <w:tc>
          <w:tcPr>
            <w:tcW w:w="1984" w:type="dxa"/>
            <w:shd w:val="clear" w:color="auto" w:fill="FFFFFF" w:themeFill="background1"/>
          </w:tcPr>
          <w:p w14:paraId="18071BAE" w14:textId="77777777" w:rsidR="00A26F5F" w:rsidRPr="00A3142E" w:rsidRDefault="00A26F5F" w:rsidP="00333994">
            <w:pPr>
              <w:jc w:val="both"/>
              <w:rPr>
                <w:rFonts w:cs="Times New Roman"/>
                <w:sz w:val="20"/>
                <w:szCs w:val="20"/>
              </w:rPr>
            </w:pPr>
            <w:r w:rsidRPr="00A3142E">
              <w:rPr>
                <w:rFonts w:cs="Times New Roman"/>
                <w:sz w:val="20"/>
                <w:szCs w:val="20"/>
              </w:rPr>
              <w:t>Mazināts informācijas atklāšanas risks, likuma subjektiem pieprasot papildus informāciju.</w:t>
            </w:r>
          </w:p>
        </w:tc>
        <w:tc>
          <w:tcPr>
            <w:tcW w:w="2835" w:type="dxa"/>
            <w:shd w:val="clear" w:color="auto" w:fill="FFFFFF" w:themeFill="background1"/>
          </w:tcPr>
          <w:p w14:paraId="63BDAE26" w14:textId="77777777" w:rsidR="00A26F5F" w:rsidRDefault="00A26F5F" w:rsidP="00333994">
            <w:pPr>
              <w:jc w:val="both"/>
              <w:rPr>
                <w:rFonts w:cs="Times New Roman"/>
                <w:sz w:val="20"/>
                <w:szCs w:val="20"/>
              </w:rPr>
            </w:pPr>
            <w:r w:rsidRPr="00A3142E">
              <w:rPr>
                <w:rFonts w:cs="Times New Roman"/>
                <w:sz w:val="20"/>
                <w:szCs w:val="20"/>
              </w:rPr>
              <w:t xml:space="preserve">Izstrādāti grozījumi NILLTFN likumā </w:t>
            </w:r>
          </w:p>
          <w:p w14:paraId="7ECED862" w14:textId="77777777" w:rsidR="00CD49D0" w:rsidRPr="00A3142E" w:rsidRDefault="00CD49D0" w:rsidP="00333994">
            <w:pPr>
              <w:pStyle w:val="ListParagraph"/>
              <w:ind w:left="33"/>
              <w:jc w:val="both"/>
              <w:rPr>
                <w:rFonts w:cs="Times New Roman"/>
                <w:sz w:val="20"/>
                <w:szCs w:val="20"/>
              </w:rPr>
            </w:pPr>
          </w:p>
        </w:tc>
        <w:tc>
          <w:tcPr>
            <w:tcW w:w="1276" w:type="dxa"/>
            <w:shd w:val="clear" w:color="auto" w:fill="FFFFFF" w:themeFill="background1"/>
          </w:tcPr>
          <w:p w14:paraId="60501166" w14:textId="77777777" w:rsidR="00CD49D0" w:rsidRDefault="00A26F5F" w:rsidP="002D63BE">
            <w:pPr>
              <w:jc w:val="center"/>
              <w:rPr>
                <w:rFonts w:cs="Times New Roman"/>
                <w:sz w:val="20"/>
                <w:szCs w:val="20"/>
              </w:rPr>
            </w:pPr>
            <w:r>
              <w:rPr>
                <w:rFonts w:cs="Times New Roman"/>
                <w:sz w:val="20"/>
                <w:szCs w:val="20"/>
              </w:rPr>
              <w:t>FM</w:t>
            </w:r>
          </w:p>
        </w:tc>
        <w:tc>
          <w:tcPr>
            <w:tcW w:w="1134" w:type="dxa"/>
            <w:shd w:val="clear" w:color="auto" w:fill="FFFFFF" w:themeFill="background1"/>
          </w:tcPr>
          <w:p w14:paraId="7AB8622C" w14:textId="77777777" w:rsidR="00CD49D0" w:rsidRPr="00FC417E" w:rsidRDefault="00A26F5F" w:rsidP="002D63BE">
            <w:pPr>
              <w:jc w:val="center"/>
              <w:rPr>
                <w:rFonts w:cs="Times New Roman"/>
                <w:sz w:val="20"/>
                <w:szCs w:val="20"/>
              </w:rPr>
            </w:pPr>
            <w:r w:rsidRPr="00FC417E">
              <w:rPr>
                <w:rFonts w:cs="Times New Roman"/>
                <w:sz w:val="20"/>
                <w:szCs w:val="20"/>
              </w:rPr>
              <w:t>KD</w:t>
            </w:r>
          </w:p>
        </w:tc>
        <w:tc>
          <w:tcPr>
            <w:tcW w:w="1701" w:type="dxa"/>
            <w:shd w:val="clear" w:color="auto" w:fill="FFFFFF" w:themeFill="background1"/>
          </w:tcPr>
          <w:p w14:paraId="0E9B3650" w14:textId="77777777" w:rsidR="00CD49D0" w:rsidRPr="00FC417E" w:rsidRDefault="00A26F5F" w:rsidP="009E6048">
            <w:pPr>
              <w:jc w:val="center"/>
              <w:rPr>
                <w:rFonts w:cs="Times New Roman"/>
                <w:sz w:val="20"/>
                <w:szCs w:val="20"/>
              </w:rPr>
            </w:pPr>
            <w:r w:rsidRPr="00FC417E">
              <w:rPr>
                <w:rFonts w:cs="Times New Roman"/>
                <w:sz w:val="20"/>
                <w:szCs w:val="20"/>
              </w:rPr>
              <w:t xml:space="preserve">2018.gada </w:t>
            </w:r>
            <w:r w:rsidR="009E6048">
              <w:rPr>
                <w:rFonts w:cs="Times New Roman"/>
                <w:sz w:val="20"/>
                <w:szCs w:val="20"/>
              </w:rPr>
              <w:t>28</w:t>
            </w:r>
            <w:r w:rsidRPr="00FC417E">
              <w:rPr>
                <w:rFonts w:cs="Times New Roman"/>
                <w:sz w:val="20"/>
                <w:szCs w:val="20"/>
              </w:rPr>
              <w:t>.decembris</w:t>
            </w:r>
          </w:p>
        </w:tc>
      </w:tr>
      <w:tr w:rsidR="002F5F09" w:rsidRPr="00A3142E" w14:paraId="0C6242D1" w14:textId="77777777" w:rsidTr="0041273D">
        <w:trPr>
          <w:trHeight w:val="1228"/>
        </w:trPr>
        <w:tc>
          <w:tcPr>
            <w:tcW w:w="567" w:type="dxa"/>
            <w:vMerge w:val="restart"/>
            <w:shd w:val="clear" w:color="auto" w:fill="FFFFFF" w:themeFill="background1"/>
          </w:tcPr>
          <w:p w14:paraId="74B2E449" w14:textId="77777777" w:rsidR="002F5F09" w:rsidRDefault="00942E92" w:rsidP="00A26F5F">
            <w:pPr>
              <w:rPr>
                <w:rFonts w:cs="Times New Roman"/>
                <w:sz w:val="20"/>
                <w:szCs w:val="20"/>
              </w:rPr>
            </w:pPr>
            <w:r>
              <w:rPr>
                <w:rFonts w:cs="Times New Roman"/>
                <w:sz w:val="20"/>
                <w:szCs w:val="20"/>
              </w:rPr>
              <w:t>6.</w:t>
            </w:r>
            <w:r w:rsidR="0033152C">
              <w:rPr>
                <w:rFonts w:cs="Times New Roman"/>
                <w:sz w:val="20"/>
                <w:szCs w:val="20"/>
              </w:rPr>
              <w:t>7</w:t>
            </w:r>
            <w:r w:rsidR="002F5F09">
              <w:rPr>
                <w:rFonts w:cs="Times New Roman"/>
                <w:sz w:val="20"/>
                <w:szCs w:val="20"/>
              </w:rPr>
              <w:t>.</w:t>
            </w:r>
          </w:p>
        </w:tc>
        <w:tc>
          <w:tcPr>
            <w:tcW w:w="3686" w:type="dxa"/>
            <w:vMerge w:val="restart"/>
            <w:shd w:val="clear" w:color="auto" w:fill="FFFFFF" w:themeFill="background1"/>
          </w:tcPr>
          <w:p w14:paraId="0DECC5A0" w14:textId="77777777" w:rsidR="002F5F09" w:rsidRPr="00A3142E" w:rsidRDefault="002F5F09" w:rsidP="0025344E">
            <w:pPr>
              <w:jc w:val="both"/>
              <w:rPr>
                <w:rFonts w:cs="Times New Roman"/>
                <w:sz w:val="20"/>
                <w:szCs w:val="20"/>
              </w:rPr>
            </w:pPr>
            <w:r w:rsidRPr="00A3142E">
              <w:rPr>
                <w:rFonts w:cs="Times New Roman"/>
                <w:sz w:val="20"/>
                <w:szCs w:val="20"/>
              </w:rPr>
              <w:t>Nodrošināt Kontroles dienestam tiešsaistes piekļuvi šādām valsts informācijas sistēmu datu bāzēm – KRASS, Traktortehnikas reģistrs, Kuģu reģistrs.</w:t>
            </w:r>
          </w:p>
        </w:tc>
        <w:tc>
          <w:tcPr>
            <w:tcW w:w="1701" w:type="dxa"/>
            <w:vMerge w:val="restart"/>
            <w:shd w:val="clear" w:color="auto" w:fill="FFFFFF" w:themeFill="background1"/>
          </w:tcPr>
          <w:p w14:paraId="4F663D67" w14:textId="77777777" w:rsidR="002F5F09" w:rsidRDefault="002D63BE" w:rsidP="006B5812">
            <w:pPr>
              <w:jc w:val="both"/>
              <w:rPr>
                <w:rFonts w:cs="Times New Roman"/>
                <w:sz w:val="20"/>
                <w:szCs w:val="20"/>
              </w:rPr>
            </w:pPr>
            <w:r>
              <w:rPr>
                <w:rFonts w:cs="Times New Roman"/>
                <w:sz w:val="20"/>
                <w:szCs w:val="20"/>
              </w:rPr>
              <w:t>FATF 29.rekomendā</w:t>
            </w:r>
            <w:r w:rsidR="006B5812">
              <w:rPr>
                <w:rFonts w:cs="Times New Roman"/>
                <w:sz w:val="20"/>
                <w:szCs w:val="20"/>
              </w:rPr>
              <w:t>c</w:t>
            </w:r>
            <w:r>
              <w:rPr>
                <w:rFonts w:cs="Times New Roman"/>
                <w:sz w:val="20"/>
                <w:szCs w:val="20"/>
              </w:rPr>
              <w:t>ija</w:t>
            </w:r>
          </w:p>
        </w:tc>
        <w:tc>
          <w:tcPr>
            <w:tcW w:w="1984" w:type="dxa"/>
            <w:vMerge w:val="restart"/>
            <w:shd w:val="clear" w:color="auto" w:fill="FFFFFF" w:themeFill="background1"/>
          </w:tcPr>
          <w:p w14:paraId="204E6DB0" w14:textId="77777777" w:rsidR="002F5F09" w:rsidRPr="00A3142E" w:rsidRDefault="002F5F09" w:rsidP="00EC75AE">
            <w:pPr>
              <w:jc w:val="both"/>
              <w:rPr>
                <w:rFonts w:cs="Times New Roman"/>
                <w:sz w:val="20"/>
                <w:szCs w:val="20"/>
              </w:rPr>
            </w:pPr>
            <w:r w:rsidRPr="00A3142E">
              <w:rPr>
                <w:rFonts w:cs="Times New Roman"/>
                <w:sz w:val="20"/>
                <w:szCs w:val="20"/>
              </w:rPr>
              <w:t xml:space="preserve">Paātrināta datu iegūšana </w:t>
            </w:r>
            <w:r w:rsidR="00EC75AE">
              <w:rPr>
                <w:rFonts w:cs="Times New Roman"/>
                <w:sz w:val="20"/>
                <w:szCs w:val="20"/>
              </w:rPr>
              <w:t>no</w:t>
            </w:r>
            <w:r w:rsidR="00EC75AE" w:rsidRPr="00A3142E">
              <w:rPr>
                <w:rFonts w:cs="Times New Roman"/>
                <w:sz w:val="20"/>
                <w:szCs w:val="20"/>
              </w:rPr>
              <w:t xml:space="preserve"> </w:t>
            </w:r>
            <w:r w:rsidRPr="00A3142E">
              <w:rPr>
                <w:rFonts w:cs="Times New Roman"/>
                <w:sz w:val="20"/>
                <w:szCs w:val="20"/>
              </w:rPr>
              <w:t>valsts informācijas sistēmām</w:t>
            </w:r>
          </w:p>
        </w:tc>
        <w:tc>
          <w:tcPr>
            <w:tcW w:w="2835" w:type="dxa"/>
            <w:shd w:val="clear" w:color="auto" w:fill="FFFFFF" w:themeFill="background1"/>
          </w:tcPr>
          <w:p w14:paraId="7BD2C789" w14:textId="77777777" w:rsidR="002F5F09" w:rsidRPr="00A3142E" w:rsidRDefault="006B5812" w:rsidP="00FC417E">
            <w:pPr>
              <w:jc w:val="both"/>
              <w:rPr>
                <w:rFonts w:cs="Times New Roman"/>
                <w:sz w:val="20"/>
                <w:szCs w:val="20"/>
              </w:rPr>
            </w:pPr>
            <w:r>
              <w:rPr>
                <w:rFonts w:cs="Times New Roman"/>
                <w:sz w:val="20"/>
                <w:szCs w:val="20"/>
              </w:rPr>
              <w:t xml:space="preserve">1. </w:t>
            </w:r>
            <w:r w:rsidR="002F5F09" w:rsidRPr="00A3142E">
              <w:rPr>
                <w:rFonts w:cs="Times New Roman"/>
                <w:sz w:val="20"/>
                <w:szCs w:val="20"/>
              </w:rPr>
              <w:t>Nodrošināta tiešsaistes piekļuve KD nepieciešamajām datu bāzēm</w:t>
            </w:r>
          </w:p>
        </w:tc>
        <w:tc>
          <w:tcPr>
            <w:tcW w:w="1276" w:type="dxa"/>
            <w:shd w:val="clear" w:color="auto" w:fill="FFFFFF" w:themeFill="background1"/>
          </w:tcPr>
          <w:p w14:paraId="603DC15D" w14:textId="77777777" w:rsidR="002F5F09" w:rsidRDefault="002F5F09" w:rsidP="002D63BE">
            <w:pPr>
              <w:jc w:val="center"/>
              <w:rPr>
                <w:rFonts w:cs="Times New Roman"/>
                <w:sz w:val="20"/>
                <w:szCs w:val="20"/>
              </w:rPr>
            </w:pPr>
            <w:r>
              <w:rPr>
                <w:rFonts w:cs="Times New Roman"/>
                <w:sz w:val="20"/>
                <w:szCs w:val="20"/>
              </w:rPr>
              <w:t>KD</w:t>
            </w:r>
          </w:p>
        </w:tc>
        <w:tc>
          <w:tcPr>
            <w:tcW w:w="1134" w:type="dxa"/>
            <w:shd w:val="clear" w:color="auto" w:fill="FFFFFF" w:themeFill="background1"/>
          </w:tcPr>
          <w:p w14:paraId="3C2FEA85" w14:textId="77777777" w:rsidR="002F5F09" w:rsidRDefault="002F5F09" w:rsidP="002D63BE">
            <w:pPr>
              <w:jc w:val="center"/>
              <w:rPr>
                <w:rFonts w:cs="Times New Roman"/>
                <w:sz w:val="20"/>
                <w:szCs w:val="20"/>
              </w:rPr>
            </w:pPr>
            <w:r>
              <w:rPr>
                <w:rFonts w:cs="Times New Roman"/>
                <w:sz w:val="20"/>
                <w:szCs w:val="20"/>
              </w:rPr>
              <w:t>Datu bāžu turētāji</w:t>
            </w:r>
          </w:p>
        </w:tc>
        <w:tc>
          <w:tcPr>
            <w:tcW w:w="1701" w:type="dxa"/>
            <w:shd w:val="clear" w:color="auto" w:fill="FFFFFF" w:themeFill="background1"/>
          </w:tcPr>
          <w:p w14:paraId="1544D313" w14:textId="77777777" w:rsidR="002F5F09" w:rsidRDefault="002F5F09" w:rsidP="002D63BE">
            <w:pPr>
              <w:jc w:val="center"/>
              <w:rPr>
                <w:rFonts w:cs="Times New Roman"/>
                <w:sz w:val="20"/>
                <w:szCs w:val="20"/>
              </w:rPr>
            </w:pPr>
            <w:r>
              <w:rPr>
                <w:rFonts w:cs="Times New Roman"/>
                <w:sz w:val="20"/>
                <w:szCs w:val="20"/>
              </w:rPr>
              <w:t>2019.</w:t>
            </w:r>
            <w:r w:rsidR="009608CC">
              <w:rPr>
                <w:rFonts w:cs="Times New Roman"/>
                <w:sz w:val="20"/>
                <w:szCs w:val="20"/>
              </w:rPr>
              <w:t>gada 1.jūlijs</w:t>
            </w:r>
          </w:p>
        </w:tc>
      </w:tr>
      <w:tr w:rsidR="002F5F09" w:rsidRPr="00A3142E" w14:paraId="3A5C8CF9" w14:textId="77777777" w:rsidTr="0041273D">
        <w:trPr>
          <w:trHeight w:val="1228"/>
        </w:trPr>
        <w:tc>
          <w:tcPr>
            <w:tcW w:w="567" w:type="dxa"/>
            <w:vMerge/>
            <w:shd w:val="clear" w:color="auto" w:fill="FFFFFF" w:themeFill="background1"/>
          </w:tcPr>
          <w:p w14:paraId="30AA0745" w14:textId="77777777" w:rsidR="002F5F09" w:rsidRDefault="002F5F09" w:rsidP="000C118F">
            <w:pPr>
              <w:rPr>
                <w:rFonts w:cs="Times New Roman"/>
                <w:sz w:val="20"/>
                <w:szCs w:val="20"/>
              </w:rPr>
            </w:pPr>
          </w:p>
        </w:tc>
        <w:tc>
          <w:tcPr>
            <w:tcW w:w="3686" w:type="dxa"/>
            <w:vMerge/>
            <w:shd w:val="clear" w:color="auto" w:fill="FFFFFF" w:themeFill="background1"/>
          </w:tcPr>
          <w:p w14:paraId="05E5B684" w14:textId="77777777" w:rsidR="002F5F09" w:rsidRPr="00A3142E" w:rsidRDefault="002F5F09" w:rsidP="000C118F">
            <w:pPr>
              <w:rPr>
                <w:rFonts w:cs="Times New Roman"/>
                <w:sz w:val="20"/>
                <w:szCs w:val="20"/>
              </w:rPr>
            </w:pPr>
          </w:p>
        </w:tc>
        <w:tc>
          <w:tcPr>
            <w:tcW w:w="1701" w:type="dxa"/>
            <w:vMerge/>
            <w:shd w:val="clear" w:color="auto" w:fill="FFFFFF" w:themeFill="background1"/>
          </w:tcPr>
          <w:p w14:paraId="58978E43" w14:textId="77777777" w:rsidR="002F5F09" w:rsidRDefault="002F5F09" w:rsidP="000C118F">
            <w:pPr>
              <w:jc w:val="both"/>
              <w:rPr>
                <w:rFonts w:cs="Times New Roman"/>
                <w:sz w:val="20"/>
                <w:szCs w:val="20"/>
              </w:rPr>
            </w:pPr>
          </w:p>
        </w:tc>
        <w:tc>
          <w:tcPr>
            <w:tcW w:w="1984" w:type="dxa"/>
            <w:vMerge/>
            <w:shd w:val="clear" w:color="auto" w:fill="FFFFFF" w:themeFill="background1"/>
          </w:tcPr>
          <w:p w14:paraId="493995E7" w14:textId="77777777" w:rsidR="002F5F09" w:rsidRPr="00A3142E" w:rsidRDefault="002F5F09" w:rsidP="000C118F">
            <w:pPr>
              <w:rPr>
                <w:rFonts w:cs="Times New Roman"/>
                <w:sz w:val="20"/>
                <w:szCs w:val="20"/>
              </w:rPr>
            </w:pPr>
          </w:p>
        </w:tc>
        <w:tc>
          <w:tcPr>
            <w:tcW w:w="2835" w:type="dxa"/>
            <w:shd w:val="clear" w:color="auto" w:fill="FFFFFF" w:themeFill="background1"/>
          </w:tcPr>
          <w:p w14:paraId="41389888" w14:textId="77777777" w:rsidR="002F5F09" w:rsidRPr="000C118F" w:rsidRDefault="006B5812" w:rsidP="00FC417E">
            <w:pPr>
              <w:jc w:val="both"/>
              <w:rPr>
                <w:rFonts w:cs="Times New Roman"/>
                <w:b/>
                <w:sz w:val="20"/>
                <w:szCs w:val="20"/>
              </w:rPr>
            </w:pPr>
            <w:r>
              <w:rPr>
                <w:rFonts w:cs="Times New Roman"/>
                <w:sz w:val="20"/>
                <w:szCs w:val="20"/>
              </w:rPr>
              <w:t xml:space="preserve">2. </w:t>
            </w:r>
            <w:r w:rsidR="002F5F09" w:rsidRPr="00A3142E">
              <w:rPr>
                <w:rFonts w:cs="Times New Roman"/>
                <w:sz w:val="20"/>
                <w:szCs w:val="20"/>
              </w:rPr>
              <w:t>Apzinātas jaunas tiešsaistē pieejamās datu bāzes</w:t>
            </w:r>
            <w:r w:rsidR="002F5F09">
              <w:rPr>
                <w:rFonts w:cs="Times New Roman"/>
                <w:sz w:val="20"/>
                <w:szCs w:val="20"/>
              </w:rPr>
              <w:t>, s</w:t>
            </w:r>
            <w:r w:rsidR="002F5F09" w:rsidRPr="00A3142E">
              <w:rPr>
                <w:rFonts w:cs="Times New Roman"/>
                <w:sz w:val="20"/>
                <w:szCs w:val="20"/>
              </w:rPr>
              <w:t>agatavota tabula ar jaunām tiešsaistē pieejamām datu bāzēm, iekļaujot vērtējumu par nepieciešamību pievienot attiecīgo datu bāzi KD datu avotiem.</w:t>
            </w:r>
          </w:p>
        </w:tc>
        <w:tc>
          <w:tcPr>
            <w:tcW w:w="1276" w:type="dxa"/>
            <w:shd w:val="clear" w:color="auto" w:fill="FFFFFF" w:themeFill="background1"/>
          </w:tcPr>
          <w:p w14:paraId="33407C8A" w14:textId="77777777" w:rsidR="002F5F09" w:rsidRDefault="002F5F09" w:rsidP="002D63BE">
            <w:pPr>
              <w:jc w:val="center"/>
              <w:rPr>
                <w:rFonts w:cs="Times New Roman"/>
                <w:sz w:val="20"/>
                <w:szCs w:val="20"/>
              </w:rPr>
            </w:pPr>
            <w:r>
              <w:rPr>
                <w:rFonts w:cs="Times New Roman"/>
                <w:sz w:val="20"/>
                <w:szCs w:val="20"/>
              </w:rPr>
              <w:t>KD</w:t>
            </w:r>
          </w:p>
        </w:tc>
        <w:tc>
          <w:tcPr>
            <w:tcW w:w="1134" w:type="dxa"/>
            <w:shd w:val="clear" w:color="auto" w:fill="FFFFFF" w:themeFill="background1"/>
          </w:tcPr>
          <w:p w14:paraId="4BF67986" w14:textId="77777777" w:rsidR="002F5F09" w:rsidRDefault="002F5F09" w:rsidP="002D63BE">
            <w:pPr>
              <w:jc w:val="center"/>
              <w:rPr>
                <w:rFonts w:cs="Times New Roman"/>
                <w:sz w:val="20"/>
                <w:szCs w:val="20"/>
              </w:rPr>
            </w:pPr>
          </w:p>
        </w:tc>
        <w:tc>
          <w:tcPr>
            <w:tcW w:w="1701" w:type="dxa"/>
            <w:shd w:val="clear" w:color="auto" w:fill="FFFFFF" w:themeFill="background1"/>
          </w:tcPr>
          <w:p w14:paraId="49A0D6C8" w14:textId="77777777" w:rsidR="002F5F09" w:rsidRDefault="002F5F09" w:rsidP="002D63BE">
            <w:pPr>
              <w:jc w:val="center"/>
              <w:rPr>
                <w:rFonts w:cs="Times New Roman"/>
                <w:sz w:val="20"/>
                <w:szCs w:val="20"/>
              </w:rPr>
            </w:pPr>
            <w:r>
              <w:rPr>
                <w:rFonts w:cs="Times New Roman"/>
                <w:sz w:val="20"/>
                <w:szCs w:val="20"/>
              </w:rPr>
              <w:t>2019.</w:t>
            </w:r>
            <w:r w:rsidR="009608CC">
              <w:rPr>
                <w:rFonts w:cs="Times New Roman"/>
                <w:sz w:val="20"/>
                <w:szCs w:val="20"/>
              </w:rPr>
              <w:t>gada 1.jūlijs</w:t>
            </w:r>
          </w:p>
        </w:tc>
      </w:tr>
      <w:tr w:rsidR="00942E92" w:rsidRPr="00A3142E" w14:paraId="4DBD4561" w14:textId="77777777" w:rsidTr="0041273D">
        <w:trPr>
          <w:trHeight w:val="1228"/>
        </w:trPr>
        <w:tc>
          <w:tcPr>
            <w:tcW w:w="567" w:type="dxa"/>
            <w:shd w:val="clear" w:color="auto" w:fill="FFFFFF" w:themeFill="background1"/>
          </w:tcPr>
          <w:p w14:paraId="0B990FE4" w14:textId="77777777" w:rsidR="00942E92" w:rsidRDefault="00942E92" w:rsidP="00942E92">
            <w:pPr>
              <w:rPr>
                <w:rFonts w:cs="Times New Roman"/>
                <w:sz w:val="20"/>
                <w:szCs w:val="20"/>
              </w:rPr>
            </w:pPr>
            <w:r>
              <w:rPr>
                <w:rFonts w:cs="Times New Roman"/>
                <w:bCs/>
                <w:sz w:val="20"/>
                <w:szCs w:val="20"/>
              </w:rPr>
              <w:t>6.</w:t>
            </w:r>
            <w:r w:rsidR="0033152C">
              <w:rPr>
                <w:rFonts w:cs="Times New Roman"/>
                <w:bCs/>
                <w:sz w:val="20"/>
                <w:szCs w:val="20"/>
              </w:rPr>
              <w:t>8.</w:t>
            </w:r>
            <w:r>
              <w:rPr>
                <w:rFonts w:cs="Times New Roman"/>
                <w:bCs/>
                <w:sz w:val="20"/>
                <w:szCs w:val="20"/>
              </w:rPr>
              <w:t>.</w:t>
            </w:r>
          </w:p>
        </w:tc>
        <w:tc>
          <w:tcPr>
            <w:tcW w:w="3686" w:type="dxa"/>
            <w:shd w:val="clear" w:color="auto" w:fill="FFFFFF" w:themeFill="background1"/>
          </w:tcPr>
          <w:p w14:paraId="0A0352BB" w14:textId="77777777" w:rsidR="00942E92" w:rsidRPr="00A3142E" w:rsidRDefault="00942E92" w:rsidP="0025344E">
            <w:pPr>
              <w:jc w:val="both"/>
              <w:rPr>
                <w:rFonts w:cs="Times New Roman"/>
                <w:sz w:val="20"/>
                <w:szCs w:val="20"/>
              </w:rPr>
            </w:pPr>
            <w:r>
              <w:rPr>
                <w:sz w:val="20"/>
                <w:szCs w:val="20"/>
              </w:rPr>
              <w:t>Izstrādāt tipoloģij</w:t>
            </w:r>
            <w:r w:rsidR="006B5812">
              <w:rPr>
                <w:sz w:val="20"/>
                <w:szCs w:val="20"/>
              </w:rPr>
              <w:t>as</w:t>
            </w:r>
            <w:r>
              <w:rPr>
                <w:sz w:val="20"/>
                <w:szCs w:val="20"/>
              </w:rPr>
              <w:t xml:space="preserve"> par </w:t>
            </w:r>
            <w:r w:rsidR="00E0273A">
              <w:rPr>
                <w:sz w:val="20"/>
                <w:szCs w:val="20"/>
              </w:rPr>
              <w:t>n</w:t>
            </w:r>
            <w:r w:rsidR="006B5812">
              <w:rPr>
                <w:sz w:val="20"/>
                <w:szCs w:val="20"/>
              </w:rPr>
              <w:t xml:space="preserve">oziedzīgiem nodarījumiem, kas rada lielāko apdraudējumu valsts NILLTFN sistēmai. </w:t>
            </w:r>
          </w:p>
        </w:tc>
        <w:tc>
          <w:tcPr>
            <w:tcW w:w="1701" w:type="dxa"/>
            <w:shd w:val="clear" w:color="auto" w:fill="FFFFFF" w:themeFill="background1"/>
          </w:tcPr>
          <w:p w14:paraId="3C898C8D" w14:textId="77777777" w:rsidR="00942E92" w:rsidRDefault="00942E92" w:rsidP="00942E92">
            <w:pPr>
              <w:ind w:right="-108"/>
              <w:rPr>
                <w:rFonts w:cs="Times New Roman"/>
                <w:sz w:val="20"/>
                <w:szCs w:val="20"/>
              </w:rPr>
            </w:pPr>
            <w:r>
              <w:rPr>
                <w:rFonts w:cs="Times New Roman"/>
                <w:sz w:val="20"/>
                <w:szCs w:val="20"/>
              </w:rPr>
              <w:t>Moneyval rekomendācija 7.2.</w:t>
            </w:r>
          </w:p>
          <w:p w14:paraId="03E1D50B" w14:textId="77777777" w:rsidR="00942E92" w:rsidRDefault="00942E92" w:rsidP="00942E92">
            <w:pPr>
              <w:jc w:val="both"/>
              <w:rPr>
                <w:rFonts w:cs="Times New Roman"/>
                <w:sz w:val="20"/>
                <w:szCs w:val="20"/>
              </w:rPr>
            </w:pPr>
          </w:p>
        </w:tc>
        <w:tc>
          <w:tcPr>
            <w:tcW w:w="1984" w:type="dxa"/>
            <w:shd w:val="clear" w:color="auto" w:fill="FFFFFF" w:themeFill="background1"/>
          </w:tcPr>
          <w:p w14:paraId="09B6B5FB" w14:textId="77777777" w:rsidR="00942E92" w:rsidRDefault="00942E92" w:rsidP="0025344E">
            <w:pPr>
              <w:jc w:val="both"/>
              <w:rPr>
                <w:rFonts w:cs="Times New Roman"/>
                <w:sz w:val="20"/>
                <w:szCs w:val="20"/>
              </w:rPr>
            </w:pPr>
            <w:r>
              <w:rPr>
                <w:rFonts w:cs="Times New Roman"/>
                <w:sz w:val="20"/>
                <w:szCs w:val="20"/>
              </w:rPr>
              <w:t xml:space="preserve">Uzlabotas spējas atklāt un efektīvi izmeklēt </w:t>
            </w:r>
            <w:r w:rsidR="00E0273A">
              <w:rPr>
                <w:rFonts w:cs="Times New Roman"/>
                <w:sz w:val="20"/>
                <w:szCs w:val="20"/>
              </w:rPr>
              <w:t xml:space="preserve">ar </w:t>
            </w:r>
            <w:r>
              <w:rPr>
                <w:rFonts w:cs="Times New Roman"/>
                <w:sz w:val="20"/>
                <w:szCs w:val="20"/>
              </w:rPr>
              <w:t>NILL saistītu</w:t>
            </w:r>
            <w:r w:rsidR="00E0273A">
              <w:rPr>
                <w:rFonts w:cs="Times New Roman"/>
                <w:sz w:val="20"/>
                <w:szCs w:val="20"/>
              </w:rPr>
              <w:t>s</w:t>
            </w:r>
            <w:r>
              <w:rPr>
                <w:rFonts w:cs="Times New Roman"/>
                <w:sz w:val="20"/>
                <w:szCs w:val="20"/>
              </w:rPr>
              <w:t xml:space="preserve"> noziedzīg</w:t>
            </w:r>
            <w:r w:rsidR="00E0273A">
              <w:rPr>
                <w:rFonts w:cs="Times New Roman"/>
                <w:sz w:val="20"/>
                <w:szCs w:val="20"/>
              </w:rPr>
              <w:t>us</w:t>
            </w:r>
            <w:r>
              <w:rPr>
                <w:rFonts w:cs="Times New Roman"/>
                <w:sz w:val="20"/>
                <w:szCs w:val="20"/>
              </w:rPr>
              <w:t xml:space="preserve"> nodarījum</w:t>
            </w:r>
            <w:r w:rsidR="00E0273A">
              <w:rPr>
                <w:rFonts w:cs="Times New Roman"/>
                <w:sz w:val="20"/>
                <w:szCs w:val="20"/>
              </w:rPr>
              <w:t>us</w:t>
            </w:r>
          </w:p>
          <w:p w14:paraId="41700D63" w14:textId="77777777" w:rsidR="00942E92" w:rsidRPr="00A3142E" w:rsidRDefault="00942E92" w:rsidP="00942E92">
            <w:pPr>
              <w:rPr>
                <w:rFonts w:cs="Times New Roman"/>
                <w:sz w:val="20"/>
                <w:szCs w:val="20"/>
              </w:rPr>
            </w:pPr>
          </w:p>
        </w:tc>
        <w:tc>
          <w:tcPr>
            <w:tcW w:w="2835" w:type="dxa"/>
            <w:shd w:val="clear" w:color="auto" w:fill="FFFFFF" w:themeFill="background1"/>
          </w:tcPr>
          <w:p w14:paraId="02BE7971" w14:textId="77777777" w:rsidR="00942E92" w:rsidRDefault="00942E92" w:rsidP="0025344E">
            <w:pPr>
              <w:jc w:val="both"/>
              <w:rPr>
                <w:rFonts w:cs="Times New Roman"/>
                <w:sz w:val="20"/>
                <w:szCs w:val="20"/>
              </w:rPr>
            </w:pPr>
            <w:r>
              <w:rPr>
                <w:rFonts w:cs="Times New Roman"/>
                <w:sz w:val="20"/>
                <w:szCs w:val="20"/>
              </w:rPr>
              <w:t>Izstrādātas tipoloģijas</w:t>
            </w:r>
            <w:r w:rsidR="00E0273A">
              <w:rPr>
                <w:rFonts w:cs="Times New Roman"/>
                <w:sz w:val="20"/>
                <w:szCs w:val="20"/>
              </w:rPr>
              <w:t xml:space="preserve"> nodokļu jomā, kā arī par krāpšanas un korupcijas saistību ar noziedzīgi iegūtu līdzekļu legalizāciju</w:t>
            </w:r>
            <w:r w:rsidR="0033152C">
              <w:rPr>
                <w:rFonts w:cs="Times New Roman"/>
                <w:sz w:val="20"/>
                <w:szCs w:val="20"/>
              </w:rPr>
              <w:t>.</w:t>
            </w:r>
          </w:p>
          <w:p w14:paraId="60459BCC" w14:textId="77777777" w:rsidR="00942E92" w:rsidRPr="00A3142E" w:rsidRDefault="00942E92" w:rsidP="00942E92">
            <w:pPr>
              <w:jc w:val="both"/>
              <w:rPr>
                <w:rFonts w:cs="Times New Roman"/>
                <w:sz w:val="20"/>
                <w:szCs w:val="20"/>
              </w:rPr>
            </w:pPr>
          </w:p>
        </w:tc>
        <w:tc>
          <w:tcPr>
            <w:tcW w:w="1276" w:type="dxa"/>
            <w:shd w:val="clear" w:color="auto" w:fill="FFFFFF" w:themeFill="background1"/>
          </w:tcPr>
          <w:p w14:paraId="6976C058" w14:textId="77777777" w:rsidR="00942E92" w:rsidRDefault="00942E92" w:rsidP="002D63BE">
            <w:pPr>
              <w:jc w:val="center"/>
              <w:rPr>
                <w:rFonts w:cs="Times New Roman"/>
                <w:sz w:val="20"/>
                <w:szCs w:val="20"/>
              </w:rPr>
            </w:pPr>
            <w:r>
              <w:rPr>
                <w:rFonts w:cs="Times New Roman"/>
                <w:bCs/>
                <w:sz w:val="20"/>
                <w:szCs w:val="20"/>
              </w:rPr>
              <w:t>KD</w:t>
            </w:r>
          </w:p>
        </w:tc>
        <w:tc>
          <w:tcPr>
            <w:tcW w:w="1134" w:type="dxa"/>
            <w:shd w:val="clear" w:color="auto" w:fill="FFFFFF" w:themeFill="background1"/>
          </w:tcPr>
          <w:p w14:paraId="0BBDDBA5" w14:textId="77777777" w:rsidR="00942E92" w:rsidRDefault="00E0273A" w:rsidP="002D63BE">
            <w:pPr>
              <w:jc w:val="center"/>
              <w:rPr>
                <w:rFonts w:cs="Times New Roman"/>
                <w:sz w:val="20"/>
                <w:szCs w:val="20"/>
              </w:rPr>
            </w:pPr>
            <w:r>
              <w:rPr>
                <w:rFonts w:cs="Times New Roman"/>
                <w:bCs/>
                <w:sz w:val="20"/>
                <w:szCs w:val="20"/>
              </w:rPr>
              <w:t xml:space="preserve">VP, NMPP, </w:t>
            </w:r>
            <w:r w:rsidR="00942E92">
              <w:rPr>
                <w:rFonts w:cs="Times New Roman"/>
                <w:bCs/>
                <w:sz w:val="20"/>
                <w:szCs w:val="20"/>
              </w:rPr>
              <w:t>KNAB</w:t>
            </w:r>
            <w:r>
              <w:rPr>
                <w:rFonts w:cs="Times New Roman"/>
                <w:bCs/>
                <w:sz w:val="20"/>
                <w:szCs w:val="20"/>
              </w:rPr>
              <w:t>, ĢP</w:t>
            </w:r>
          </w:p>
        </w:tc>
        <w:tc>
          <w:tcPr>
            <w:tcW w:w="1701" w:type="dxa"/>
            <w:shd w:val="clear" w:color="auto" w:fill="FFFFFF" w:themeFill="background1"/>
          </w:tcPr>
          <w:p w14:paraId="0D9FFD18" w14:textId="77777777" w:rsidR="00942E92" w:rsidRDefault="00942E92" w:rsidP="002D63BE">
            <w:pPr>
              <w:jc w:val="center"/>
              <w:rPr>
                <w:rFonts w:cs="Times New Roman"/>
                <w:sz w:val="20"/>
                <w:szCs w:val="20"/>
              </w:rPr>
            </w:pPr>
            <w:r>
              <w:rPr>
                <w:rFonts w:cs="Times New Roman"/>
                <w:sz w:val="20"/>
                <w:szCs w:val="20"/>
              </w:rPr>
              <w:t>2018.gada 1</w:t>
            </w:r>
            <w:r w:rsidR="0033152C">
              <w:rPr>
                <w:rFonts w:cs="Times New Roman"/>
                <w:sz w:val="20"/>
                <w:szCs w:val="20"/>
              </w:rPr>
              <w:t>5</w:t>
            </w:r>
            <w:r>
              <w:rPr>
                <w:rFonts w:cs="Times New Roman"/>
                <w:sz w:val="20"/>
                <w:szCs w:val="20"/>
              </w:rPr>
              <w:t>.novembris</w:t>
            </w:r>
          </w:p>
        </w:tc>
      </w:tr>
      <w:tr w:rsidR="0033152C" w:rsidRPr="00A3142E" w14:paraId="084644F0" w14:textId="77777777" w:rsidTr="0041273D">
        <w:trPr>
          <w:trHeight w:val="1228"/>
        </w:trPr>
        <w:tc>
          <w:tcPr>
            <w:tcW w:w="567" w:type="dxa"/>
            <w:shd w:val="clear" w:color="auto" w:fill="FFFFFF" w:themeFill="background1"/>
          </w:tcPr>
          <w:p w14:paraId="711B74E6" w14:textId="77777777" w:rsidR="0033152C" w:rsidRDefault="0033152C" w:rsidP="00942E92">
            <w:pPr>
              <w:rPr>
                <w:rFonts w:cs="Times New Roman"/>
                <w:bCs/>
                <w:sz w:val="20"/>
                <w:szCs w:val="20"/>
              </w:rPr>
            </w:pPr>
            <w:r>
              <w:rPr>
                <w:rFonts w:cs="Times New Roman"/>
                <w:bCs/>
                <w:sz w:val="20"/>
                <w:szCs w:val="20"/>
              </w:rPr>
              <w:t>6.9.</w:t>
            </w:r>
          </w:p>
        </w:tc>
        <w:tc>
          <w:tcPr>
            <w:tcW w:w="3686" w:type="dxa"/>
            <w:shd w:val="clear" w:color="auto" w:fill="FFFFFF" w:themeFill="background1"/>
          </w:tcPr>
          <w:p w14:paraId="45609384" w14:textId="77777777" w:rsidR="0033152C" w:rsidRDefault="0033152C" w:rsidP="006B5812">
            <w:pPr>
              <w:jc w:val="both"/>
              <w:rPr>
                <w:sz w:val="20"/>
                <w:szCs w:val="20"/>
              </w:rPr>
            </w:pPr>
            <w:r>
              <w:rPr>
                <w:sz w:val="20"/>
                <w:szCs w:val="20"/>
              </w:rPr>
              <w:t>Sagatavots priekšlikums KD statusa maiņai.</w:t>
            </w:r>
          </w:p>
        </w:tc>
        <w:tc>
          <w:tcPr>
            <w:tcW w:w="1701" w:type="dxa"/>
            <w:shd w:val="clear" w:color="auto" w:fill="FFFFFF" w:themeFill="background1"/>
          </w:tcPr>
          <w:p w14:paraId="25080173" w14:textId="77777777" w:rsidR="0033152C" w:rsidRDefault="0033152C" w:rsidP="00942E92">
            <w:pPr>
              <w:ind w:right="-108"/>
              <w:rPr>
                <w:rFonts w:cs="Times New Roman"/>
                <w:sz w:val="20"/>
                <w:szCs w:val="20"/>
              </w:rPr>
            </w:pPr>
            <w:r>
              <w:rPr>
                <w:rFonts w:cs="Times New Roman"/>
                <w:sz w:val="20"/>
                <w:szCs w:val="20"/>
              </w:rPr>
              <w:t>Moneyval rekomendācija 6.5.</w:t>
            </w:r>
          </w:p>
        </w:tc>
        <w:tc>
          <w:tcPr>
            <w:tcW w:w="1984" w:type="dxa"/>
            <w:shd w:val="clear" w:color="auto" w:fill="FFFFFF" w:themeFill="background1"/>
          </w:tcPr>
          <w:p w14:paraId="3F2C7218" w14:textId="77777777" w:rsidR="0033152C" w:rsidRDefault="0033152C" w:rsidP="0033152C">
            <w:pPr>
              <w:jc w:val="both"/>
              <w:rPr>
                <w:rFonts w:cs="Times New Roman"/>
                <w:sz w:val="20"/>
                <w:szCs w:val="20"/>
              </w:rPr>
            </w:pPr>
            <w:r>
              <w:rPr>
                <w:rFonts w:cs="Times New Roman"/>
                <w:sz w:val="20"/>
                <w:szCs w:val="20"/>
              </w:rPr>
              <w:t xml:space="preserve">Izstrādāts likumprojekts KD statusa maiņai (saskaņojot ar Egmont grupu), nodrošinot pilnīgu KD autonomiju un operacionālo </w:t>
            </w:r>
            <w:r>
              <w:rPr>
                <w:rFonts w:cs="Times New Roman"/>
                <w:sz w:val="20"/>
                <w:szCs w:val="20"/>
              </w:rPr>
              <w:lastRenderedPageBreak/>
              <w:t>neatkarību, paredzot atbilstošu finansējumu, darbinieku skaitu un citus nepieciešamos resursus pilnvērtīgai normatīvajos aktos un šajā plānā noteikto darbību veikšanai.</w:t>
            </w:r>
          </w:p>
        </w:tc>
        <w:tc>
          <w:tcPr>
            <w:tcW w:w="2835" w:type="dxa"/>
            <w:shd w:val="clear" w:color="auto" w:fill="FFFFFF" w:themeFill="background1"/>
          </w:tcPr>
          <w:p w14:paraId="2721C9FA" w14:textId="77777777" w:rsidR="0033152C" w:rsidRDefault="00B7226F" w:rsidP="00E0273A">
            <w:pPr>
              <w:jc w:val="both"/>
              <w:rPr>
                <w:rFonts w:cs="Times New Roman"/>
                <w:sz w:val="20"/>
                <w:szCs w:val="20"/>
              </w:rPr>
            </w:pPr>
            <w:r>
              <w:rPr>
                <w:rFonts w:cs="Times New Roman"/>
                <w:sz w:val="20"/>
                <w:szCs w:val="20"/>
              </w:rPr>
              <w:lastRenderedPageBreak/>
              <w:t>Likumprojekts iesniegts izskatīšanai Saeimā</w:t>
            </w:r>
          </w:p>
        </w:tc>
        <w:tc>
          <w:tcPr>
            <w:tcW w:w="1276" w:type="dxa"/>
            <w:shd w:val="clear" w:color="auto" w:fill="FFFFFF" w:themeFill="background1"/>
          </w:tcPr>
          <w:p w14:paraId="564E4BB1" w14:textId="77777777" w:rsidR="0033152C" w:rsidRDefault="00B7226F" w:rsidP="002D63BE">
            <w:pPr>
              <w:jc w:val="center"/>
              <w:rPr>
                <w:rFonts w:cs="Times New Roman"/>
                <w:bCs/>
                <w:sz w:val="20"/>
                <w:szCs w:val="20"/>
              </w:rPr>
            </w:pPr>
            <w:r>
              <w:rPr>
                <w:rFonts w:cs="Times New Roman"/>
                <w:bCs/>
                <w:sz w:val="20"/>
                <w:szCs w:val="20"/>
              </w:rPr>
              <w:t>FM</w:t>
            </w:r>
          </w:p>
        </w:tc>
        <w:tc>
          <w:tcPr>
            <w:tcW w:w="1134" w:type="dxa"/>
            <w:shd w:val="clear" w:color="auto" w:fill="FFFFFF" w:themeFill="background1"/>
          </w:tcPr>
          <w:p w14:paraId="14BAB745" w14:textId="77777777" w:rsidR="0033152C" w:rsidRDefault="00B7226F" w:rsidP="002D63BE">
            <w:pPr>
              <w:jc w:val="center"/>
              <w:rPr>
                <w:rFonts w:cs="Times New Roman"/>
                <w:bCs/>
                <w:sz w:val="20"/>
                <w:szCs w:val="20"/>
              </w:rPr>
            </w:pPr>
            <w:r>
              <w:rPr>
                <w:rFonts w:cs="Times New Roman"/>
                <w:bCs/>
                <w:sz w:val="20"/>
                <w:szCs w:val="20"/>
              </w:rPr>
              <w:t xml:space="preserve">KD, VK, TM, </w:t>
            </w:r>
            <w:r w:rsidR="00294DB7">
              <w:rPr>
                <w:rFonts w:cs="Times New Roman"/>
                <w:bCs/>
                <w:sz w:val="20"/>
                <w:szCs w:val="20"/>
              </w:rPr>
              <w:t>IeM, ĢP</w:t>
            </w:r>
          </w:p>
        </w:tc>
        <w:tc>
          <w:tcPr>
            <w:tcW w:w="1701" w:type="dxa"/>
            <w:shd w:val="clear" w:color="auto" w:fill="FFFFFF" w:themeFill="background1"/>
          </w:tcPr>
          <w:p w14:paraId="5A15901B" w14:textId="77777777" w:rsidR="0033152C" w:rsidRDefault="00294DB7" w:rsidP="002D63BE">
            <w:pPr>
              <w:jc w:val="center"/>
              <w:rPr>
                <w:rFonts w:cs="Times New Roman"/>
                <w:sz w:val="20"/>
                <w:szCs w:val="20"/>
              </w:rPr>
            </w:pPr>
            <w:r>
              <w:rPr>
                <w:rFonts w:cs="Times New Roman"/>
                <w:sz w:val="20"/>
                <w:szCs w:val="20"/>
              </w:rPr>
              <w:t>2018.gada 15.oktobris</w:t>
            </w:r>
          </w:p>
        </w:tc>
      </w:tr>
    </w:tbl>
    <w:p w14:paraId="0ACF5899" w14:textId="77777777" w:rsidR="00A3142E" w:rsidRDefault="00A3142E" w:rsidP="00A3142E">
      <w:pPr>
        <w:jc w:val="both"/>
        <w:rPr>
          <w:rFonts w:cs="Times New Roman"/>
        </w:rPr>
      </w:pPr>
    </w:p>
    <w:p w14:paraId="4F869BE8" w14:textId="77777777" w:rsidR="00A5486B" w:rsidRDefault="00A5486B" w:rsidP="00A3142E">
      <w:pPr>
        <w:jc w:val="both"/>
        <w:rPr>
          <w:rFonts w:cs="Times New Roman"/>
        </w:rPr>
      </w:pPr>
    </w:p>
    <w:p w14:paraId="7A17E134" w14:textId="77777777" w:rsidR="00FF0BBA" w:rsidRPr="00E24F37" w:rsidRDefault="00FC14D0" w:rsidP="00E24F37">
      <w:pPr>
        <w:pStyle w:val="Heading2"/>
        <w:rPr>
          <w:rFonts w:ascii="Times New Roman" w:hAnsi="Times New Roman" w:cs="Times New Roman"/>
          <w:b/>
          <w:color w:val="auto"/>
          <w:sz w:val="28"/>
          <w:szCs w:val="28"/>
        </w:rPr>
      </w:pPr>
      <w:bookmarkStart w:id="13" w:name="_Toc524977655"/>
      <w:r w:rsidRPr="00E24F37">
        <w:rPr>
          <w:rFonts w:ascii="Times New Roman" w:hAnsi="Times New Roman" w:cs="Times New Roman"/>
          <w:b/>
          <w:color w:val="auto"/>
          <w:sz w:val="28"/>
          <w:szCs w:val="28"/>
        </w:rPr>
        <w:t>7</w:t>
      </w:r>
      <w:r w:rsidR="00FF0BBA" w:rsidRPr="00E24F37">
        <w:rPr>
          <w:rFonts w:ascii="Times New Roman" w:hAnsi="Times New Roman" w:cs="Times New Roman"/>
          <w:b/>
          <w:color w:val="auto"/>
          <w:sz w:val="28"/>
          <w:szCs w:val="28"/>
        </w:rPr>
        <w:t xml:space="preserve">.rīcības virziens – </w:t>
      </w:r>
      <w:r w:rsidR="001C2B0B" w:rsidRPr="00E24F37">
        <w:rPr>
          <w:rFonts w:ascii="Times New Roman" w:hAnsi="Times New Roman" w:cs="Times New Roman"/>
          <w:b/>
          <w:color w:val="auto"/>
          <w:sz w:val="28"/>
          <w:szCs w:val="28"/>
        </w:rPr>
        <w:t>Noziedzīgi iegūtu līdzekļu legalizācijas i</w:t>
      </w:r>
      <w:r w:rsidRPr="00E24F37">
        <w:rPr>
          <w:rFonts w:ascii="Times New Roman" w:hAnsi="Times New Roman" w:cs="Times New Roman"/>
          <w:b/>
          <w:color w:val="auto"/>
          <w:sz w:val="28"/>
          <w:szCs w:val="28"/>
        </w:rPr>
        <w:t>zmeklēšana un kriminālvajāšana</w:t>
      </w:r>
      <w:bookmarkEnd w:id="13"/>
    </w:p>
    <w:p w14:paraId="01278480" w14:textId="77777777" w:rsidR="00FF0BBA" w:rsidRPr="00FC0326" w:rsidRDefault="00FF0BBA" w:rsidP="00FF0BBA">
      <w:pPr>
        <w:jc w:val="both"/>
        <w:rPr>
          <w:sz w:val="28"/>
          <w:szCs w:val="28"/>
        </w:rPr>
      </w:pPr>
    </w:p>
    <w:p w14:paraId="6412D8AC" w14:textId="77777777" w:rsidR="00FF0BBA" w:rsidRPr="00FC0326" w:rsidRDefault="00FF0BBA" w:rsidP="00FF0BBA">
      <w:pPr>
        <w:jc w:val="both"/>
        <w:rPr>
          <w:szCs w:val="24"/>
        </w:rPr>
      </w:pPr>
      <w:r w:rsidRPr="00FC0326">
        <w:rPr>
          <w:szCs w:val="24"/>
        </w:rPr>
        <w:t xml:space="preserve">Par rīcības virzienu atbildīgā iestāde: </w:t>
      </w:r>
      <w:r w:rsidR="00FC14D0" w:rsidRPr="00FC0326">
        <w:rPr>
          <w:szCs w:val="24"/>
        </w:rPr>
        <w:t>TM</w:t>
      </w:r>
    </w:p>
    <w:p w14:paraId="420F24D6" w14:textId="77777777" w:rsidR="00FF0BBA" w:rsidRPr="00FC0326" w:rsidRDefault="00FF0BBA" w:rsidP="00FF0BBA">
      <w:pPr>
        <w:jc w:val="both"/>
        <w:rPr>
          <w:szCs w:val="24"/>
        </w:rPr>
      </w:pPr>
      <w:r w:rsidRPr="00FC0326">
        <w:rPr>
          <w:szCs w:val="24"/>
        </w:rPr>
        <w:t xml:space="preserve">Līdzatbildīgās iestādes: </w:t>
      </w:r>
      <w:r w:rsidR="005A4F79" w:rsidRPr="00FC0326">
        <w:rPr>
          <w:szCs w:val="24"/>
        </w:rPr>
        <w:t xml:space="preserve">IeM, </w:t>
      </w:r>
      <w:r w:rsidR="00FC14D0" w:rsidRPr="00FC0326">
        <w:rPr>
          <w:szCs w:val="24"/>
        </w:rPr>
        <w:t>KD, VP, VID, KNAP, DP, ĢP</w:t>
      </w:r>
    </w:p>
    <w:p w14:paraId="5A050FB1" w14:textId="77777777" w:rsidR="00914F28" w:rsidRDefault="00914F28" w:rsidP="00914F28">
      <w:pPr>
        <w:jc w:val="both"/>
        <w:rPr>
          <w:sz w:val="28"/>
          <w:szCs w:val="28"/>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686"/>
        <w:gridCol w:w="1590"/>
        <w:gridCol w:w="2507"/>
        <w:gridCol w:w="2639"/>
        <w:gridCol w:w="1197"/>
        <w:gridCol w:w="1202"/>
        <w:gridCol w:w="1390"/>
      </w:tblGrid>
      <w:tr w:rsidR="00914F28" w14:paraId="6772CAAD" w14:textId="77777777" w:rsidTr="002941FC">
        <w:tc>
          <w:tcPr>
            <w:tcW w:w="4359" w:type="dxa"/>
            <w:gridSpan w:val="2"/>
            <w:tcBorders>
              <w:top w:val="single" w:sz="4" w:space="0" w:color="auto"/>
              <w:left w:val="single" w:sz="4" w:space="0" w:color="auto"/>
              <w:bottom w:val="single" w:sz="4" w:space="0" w:color="auto"/>
              <w:right w:val="single" w:sz="4" w:space="0" w:color="auto"/>
            </w:tcBorders>
            <w:hideMark/>
          </w:tcPr>
          <w:p w14:paraId="0F37CD00" w14:textId="77777777" w:rsidR="00914F28" w:rsidRDefault="00914F28" w:rsidP="00710E51">
            <w:pPr>
              <w:rPr>
                <w:rFonts w:cs="Times New Roman"/>
                <w:b/>
                <w:bCs/>
                <w:sz w:val="20"/>
                <w:szCs w:val="20"/>
              </w:rPr>
            </w:pPr>
            <w:bookmarkStart w:id="14" w:name="_Hlk522202723"/>
            <w:r>
              <w:rPr>
                <w:rFonts w:cs="Times New Roman"/>
                <w:b/>
                <w:bCs/>
                <w:sz w:val="20"/>
                <w:szCs w:val="20"/>
              </w:rPr>
              <w:t>1.Rīcības virziens</w:t>
            </w:r>
          </w:p>
        </w:tc>
        <w:tc>
          <w:tcPr>
            <w:tcW w:w="1590" w:type="dxa"/>
            <w:tcBorders>
              <w:top w:val="single" w:sz="4" w:space="0" w:color="auto"/>
              <w:left w:val="single" w:sz="4" w:space="0" w:color="auto"/>
              <w:bottom w:val="single" w:sz="4" w:space="0" w:color="auto"/>
              <w:right w:val="single" w:sz="4" w:space="0" w:color="auto"/>
            </w:tcBorders>
          </w:tcPr>
          <w:p w14:paraId="6AC0285A" w14:textId="77777777" w:rsidR="00914F28" w:rsidRDefault="00914F28" w:rsidP="00710E51">
            <w:pPr>
              <w:ind w:right="-108"/>
              <w:jc w:val="both"/>
              <w:rPr>
                <w:rFonts w:cs="Times New Roman"/>
                <w:b/>
                <w:bCs/>
                <w:sz w:val="20"/>
                <w:szCs w:val="20"/>
              </w:rPr>
            </w:pPr>
          </w:p>
        </w:tc>
        <w:tc>
          <w:tcPr>
            <w:tcW w:w="8935" w:type="dxa"/>
            <w:gridSpan w:val="5"/>
            <w:tcBorders>
              <w:top w:val="single" w:sz="4" w:space="0" w:color="auto"/>
              <w:left w:val="single" w:sz="4" w:space="0" w:color="auto"/>
              <w:bottom w:val="single" w:sz="4" w:space="0" w:color="auto"/>
              <w:right w:val="single" w:sz="4" w:space="0" w:color="auto"/>
            </w:tcBorders>
            <w:hideMark/>
          </w:tcPr>
          <w:p w14:paraId="68D8FD1A" w14:textId="77777777" w:rsidR="00914F28" w:rsidRDefault="00914F28" w:rsidP="00710E51">
            <w:pPr>
              <w:jc w:val="both"/>
              <w:rPr>
                <w:rFonts w:cs="Times New Roman"/>
                <w:b/>
                <w:bCs/>
                <w:sz w:val="20"/>
                <w:szCs w:val="20"/>
              </w:rPr>
            </w:pPr>
            <w:r>
              <w:rPr>
                <w:rFonts w:cs="Times New Roman"/>
                <w:b/>
                <w:bCs/>
                <w:sz w:val="20"/>
                <w:szCs w:val="20"/>
              </w:rPr>
              <w:t>NOZIEDZĪGI IEGŪTU LIDZEKĻU LEGALIZĀCIJAS IZMEKLĒŠANA UN KRIMINĀLVAJĀŠANA</w:t>
            </w:r>
          </w:p>
        </w:tc>
      </w:tr>
      <w:tr w:rsidR="00914F28" w14:paraId="1EA737AB" w14:textId="77777777" w:rsidTr="002941FC">
        <w:tc>
          <w:tcPr>
            <w:tcW w:w="4359" w:type="dxa"/>
            <w:gridSpan w:val="2"/>
            <w:tcBorders>
              <w:top w:val="single" w:sz="4" w:space="0" w:color="auto"/>
              <w:left w:val="single" w:sz="4" w:space="0" w:color="auto"/>
              <w:bottom w:val="single" w:sz="4" w:space="0" w:color="auto"/>
              <w:right w:val="single" w:sz="4" w:space="0" w:color="auto"/>
            </w:tcBorders>
            <w:hideMark/>
          </w:tcPr>
          <w:p w14:paraId="39D62ED5" w14:textId="77777777" w:rsidR="00914F28" w:rsidRDefault="00914F28" w:rsidP="00710E51">
            <w:pPr>
              <w:rPr>
                <w:rFonts w:cs="Times New Roman"/>
                <w:b/>
                <w:bCs/>
                <w:sz w:val="20"/>
                <w:szCs w:val="20"/>
              </w:rPr>
            </w:pPr>
            <w:r>
              <w:rPr>
                <w:rFonts w:cs="Times New Roman"/>
                <w:b/>
                <w:bCs/>
                <w:sz w:val="20"/>
                <w:szCs w:val="20"/>
              </w:rPr>
              <w:t>Sasniedzamie apakšmērķi:</w:t>
            </w:r>
          </w:p>
        </w:tc>
        <w:tc>
          <w:tcPr>
            <w:tcW w:w="1590" w:type="dxa"/>
            <w:tcBorders>
              <w:top w:val="single" w:sz="4" w:space="0" w:color="auto"/>
              <w:left w:val="single" w:sz="4" w:space="0" w:color="auto"/>
              <w:bottom w:val="single" w:sz="4" w:space="0" w:color="auto"/>
              <w:right w:val="single" w:sz="4" w:space="0" w:color="auto"/>
            </w:tcBorders>
          </w:tcPr>
          <w:p w14:paraId="68CF6F01" w14:textId="77777777" w:rsidR="00914F28" w:rsidRDefault="00914F28" w:rsidP="00710E51">
            <w:pPr>
              <w:ind w:right="-108"/>
              <w:jc w:val="both"/>
              <w:rPr>
                <w:rFonts w:cs="Times New Roman"/>
                <w:b/>
                <w:bCs/>
                <w:sz w:val="20"/>
                <w:szCs w:val="20"/>
              </w:rPr>
            </w:pPr>
          </w:p>
        </w:tc>
        <w:tc>
          <w:tcPr>
            <w:tcW w:w="8935" w:type="dxa"/>
            <w:gridSpan w:val="5"/>
            <w:tcBorders>
              <w:top w:val="single" w:sz="4" w:space="0" w:color="auto"/>
              <w:left w:val="single" w:sz="4" w:space="0" w:color="auto"/>
              <w:bottom w:val="single" w:sz="4" w:space="0" w:color="auto"/>
              <w:right w:val="single" w:sz="4" w:space="0" w:color="auto"/>
            </w:tcBorders>
            <w:hideMark/>
          </w:tcPr>
          <w:p w14:paraId="78E25A18" w14:textId="77777777" w:rsidR="00914F28" w:rsidRDefault="00914F28" w:rsidP="00710E51">
            <w:pPr>
              <w:jc w:val="both"/>
              <w:rPr>
                <w:rFonts w:cs="Times New Roman"/>
                <w:b/>
                <w:bCs/>
                <w:sz w:val="20"/>
                <w:szCs w:val="20"/>
              </w:rPr>
            </w:pPr>
            <w:r>
              <w:rPr>
                <w:rFonts w:cs="Times New Roman"/>
                <w:b/>
                <w:bCs/>
                <w:sz w:val="20"/>
                <w:szCs w:val="20"/>
              </w:rPr>
              <w:t>1.Noziedzīgi iegūtu līdzekļu legalizēšanas apkarošanai un izmeklēšanai piešķirta prioritāra nozīme</w:t>
            </w:r>
          </w:p>
        </w:tc>
      </w:tr>
      <w:tr w:rsidR="00914F28" w14:paraId="48ADD7F1" w14:textId="77777777" w:rsidTr="002941FC">
        <w:tc>
          <w:tcPr>
            <w:tcW w:w="4359" w:type="dxa"/>
            <w:gridSpan w:val="2"/>
            <w:tcBorders>
              <w:top w:val="single" w:sz="4" w:space="0" w:color="auto"/>
              <w:left w:val="single" w:sz="4" w:space="0" w:color="auto"/>
              <w:bottom w:val="single" w:sz="4" w:space="0" w:color="auto"/>
              <w:right w:val="single" w:sz="4" w:space="0" w:color="auto"/>
            </w:tcBorders>
          </w:tcPr>
          <w:p w14:paraId="100F52CC" w14:textId="77777777" w:rsidR="00914F28" w:rsidRDefault="00914F28" w:rsidP="00710E51">
            <w:pPr>
              <w:rPr>
                <w:rFonts w:cs="Times New Roman"/>
                <w:b/>
                <w:bCs/>
                <w:sz w:val="20"/>
                <w:szCs w:val="20"/>
              </w:rPr>
            </w:pPr>
          </w:p>
        </w:tc>
        <w:tc>
          <w:tcPr>
            <w:tcW w:w="1590" w:type="dxa"/>
            <w:tcBorders>
              <w:top w:val="single" w:sz="4" w:space="0" w:color="auto"/>
              <w:left w:val="single" w:sz="4" w:space="0" w:color="auto"/>
              <w:bottom w:val="single" w:sz="4" w:space="0" w:color="auto"/>
              <w:right w:val="single" w:sz="4" w:space="0" w:color="auto"/>
            </w:tcBorders>
          </w:tcPr>
          <w:p w14:paraId="36E80E03" w14:textId="77777777" w:rsidR="00914F28" w:rsidRDefault="00914F28" w:rsidP="00710E51">
            <w:pPr>
              <w:ind w:right="-108"/>
              <w:jc w:val="both"/>
              <w:rPr>
                <w:rFonts w:cs="Times New Roman"/>
                <w:b/>
                <w:bCs/>
                <w:sz w:val="20"/>
                <w:szCs w:val="20"/>
              </w:rPr>
            </w:pPr>
          </w:p>
        </w:tc>
        <w:tc>
          <w:tcPr>
            <w:tcW w:w="8935" w:type="dxa"/>
            <w:gridSpan w:val="5"/>
            <w:tcBorders>
              <w:top w:val="single" w:sz="4" w:space="0" w:color="auto"/>
              <w:left w:val="single" w:sz="4" w:space="0" w:color="auto"/>
              <w:bottom w:val="single" w:sz="4" w:space="0" w:color="auto"/>
              <w:right w:val="single" w:sz="4" w:space="0" w:color="auto"/>
            </w:tcBorders>
            <w:hideMark/>
          </w:tcPr>
          <w:p w14:paraId="7F6E61E0" w14:textId="77777777" w:rsidR="00914F28" w:rsidRDefault="00914F28" w:rsidP="00710E51">
            <w:pPr>
              <w:jc w:val="both"/>
              <w:rPr>
                <w:rFonts w:cs="Times New Roman"/>
                <w:b/>
                <w:bCs/>
                <w:sz w:val="20"/>
                <w:szCs w:val="20"/>
              </w:rPr>
            </w:pPr>
            <w:r>
              <w:rPr>
                <w:rFonts w:cs="Times New Roman"/>
                <w:b/>
                <w:bCs/>
                <w:sz w:val="20"/>
                <w:szCs w:val="20"/>
              </w:rPr>
              <w:t>2. Izveidota paraugprakse atsevišķu kategoriju NILL lietu izmeklēšanā</w:t>
            </w:r>
          </w:p>
        </w:tc>
      </w:tr>
      <w:tr w:rsidR="00914F28" w14:paraId="1D60AAA7" w14:textId="77777777" w:rsidTr="002941FC">
        <w:tc>
          <w:tcPr>
            <w:tcW w:w="4359" w:type="dxa"/>
            <w:gridSpan w:val="2"/>
            <w:tcBorders>
              <w:top w:val="single" w:sz="4" w:space="0" w:color="auto"/>
              <w:left w:val="single" w:sz="4" w:space="0" w:color="auto"/>
              <w:bottom w:val="single" w:sz="4" w:space="0" w:color="auto"/>
              <w:right w:val="single" w:sz="4" w:space="0" w:color="auto"/>
            </w:tcBorders>
          </w:tcPr>
          <w:p w14:paraId="50422545" w14:textId="77777777" w:rsidR="00914F28" w:rsidRDefault="00914F28" w:rsidP="00710E51">
            <w:pPr>
              <w:rPr>
                <w:rFonts w:cs="Times New Roman"/>
                <w:b/>
                <w:bCs/>
                <w:sz w:val="20"/>
                <w:szCs w:val="20"/>
              </w:rPr>
            </w:pPr>
          </w:p>
        </w:tc>
        <w:tc>
          <w:tcPr>
            <w:tcW w:w="1590" w:type="dxa"/>
            <w:tcBorders>
              <w:top w:val="single" w:sz="4" w:space="0" w:color="auto"/>
              <w:left w:val="single" w:sz="4" w:space="0" w:color="auto"/>
              <w:bottom w:val="single" w:sz="4" w:space="0" w:color="auto"/>
              <w:right w:val="single" w:sz="4" w:space="0" w:color="auto"/>
            </w:tcBorders>
          </w:tcPr>
          <w:p w14:paraId="149CB76A" w14:textId="77777777" w:rsidR="00914F28" w:rsidRDefault="00914F28" w:rsidP="00710E51">
            <w:pPr>
              <w:ind w:right="-108"/>
              <w:jc w:val="both"/>
              <w:rPr>
                <w:rFonts w:cs="Times New Roman"/>
                <w:b/>
                <w:bCs/>
                <w:sz w:val="20"/>
                <w:szCs w:val="20"/>
              </w:rPr>
            </w:pPr>
          </w:p>
        </w:tc>
        <w:tc>
          <w:tcPr>
            <w:tcW w:w="8935" w:type="dxa"/>
            <w:gridSpan w:val="5"/>
            <w:tcBorders>
              <w:top w:val="single" w:sz="4" w:space="0" w:color="auto"/>
              <w:left w:val="single" w:sz="4" w:space="0" w:color="auto"/>
              <w:bottom w:val="single" w:sz="4" w:space="0" w:color="auto"/>
              <w:right w:val="single" w:sz="4" w:space="0" w:color="auto"/>
            </w:tcBorders>
            <w:hideMark/>
          </w:tcPr>
          <w:p w14:paraId="5B350DD6" w14:textId="77777777" w:rsidR="00914F28" w:rsidRDefault="00914F28" w:rsidP="00710E51">
            <w:pPr>
              <w:jc w:val="both"/>
              <w:rPr>
                <w:rFonts w:cs="Times New Roman"/>
                <w:b/>
                <w:bCs/>
                <w:sz w:val="20"/>
                <w:szCs w:val="20"/>
              </w:rPr>
            </w:pPr>
            <w:r>
              <w:rPr>
                <w:rFonts w:cs="Times New Roman"/>
                <w:b/>
                <w:bCs/>
                <w:sz w:val="20"/>
                <w:szCs w:val="20"/>
              </w:rPr>
              <w:t>3.Veicināta sabiedrības izpratne par NILL negatīvo ietekmi</w:t>
            </w:r>
          </w:p>
        </w:tc>
      </w:tr>
      <w:tr w:rsidR="00914F28" w14:paraId="6C76C43B" w14:textId="77777777" w:rsidTr="002941FC">
        <w:tc>
          <w:tcPr>
            <w:tcW w:w="4359" w:type="dxa"/>
            <w:gridSpan w:val="2"/>
            <w:tcBorders>
              <w:top w:val="single" w:sz="4" w:space="0" w:color="auto"/>
              <w:left w:val="single" w:sz="4" w:space="0" w:color="auto"/>
              <w:bottom w:val="single" w:sz="4" w:space="0" w:color="auto"/>
              <w:right w:val="single" w:sz="4" w:space="0" w:color="auto"/>
            </w:tcBorders>
          </w:tcPr>
          <w:p w14:paraId="207F8F54" w14:textId="77777777" w:rsidR="00914F28" w:rsidRDefault="00914F28" w:rsidP="00710E51">
            <w:pPr>
              <w:rPr>
                <w:rFonts w:cs="Times New Roman"/>
                <w:b/>
                <w:bCs/>
                <w:sz w:val="20"/>
                <w:szCs w:val="20"/>
              </w:rPr>
            </w:pPr>
          </w:p>
        </w:tc>
        <w:tc>
          <w:tcPr>
            <w:tcW w:w="1590" w:type="dxa"/>
            <w:tcBorders>
              <w:top w:val="single" w:sz="4" w:space="0" w:color="auto"/>
              <w:left w:val="single" w:sz="4" w:space="0" w:color="auto"/>
              <w:bottom w:val="single" w:sz="4" w:space="0" w:color="auto"/>
              <w:right w:val="single" w:sz="4" w:space="0" w:color="auto"/>
            </w:tcBorders>
          </w:tcPr>
          <w:p w14:paraId="58AA4801" w14:textId="77777777" w:rsidR="00914F28" w:rsidRDefault="00914F28" w:rsidP="00710E51">
            <w:pPr>
              <w:ind w:right="-108"/>
              <w:jc w:val="both"/>
              <w:rPr>
                <w:rFonts w:cs="Times New Roman"/>
                <w:b/>
                <w:bCs/>
                <w:sz w:val="20"/>
                <w:szCs w:val="20"/>
              </w:rPr>
            </w:pPr>
          </w:p>
        </w:tc>
        <w:tc>
          <w:tcPr>
            <w:tcW w:w="8935" w:type="dxa"/>
            <w:gridSpan w:val="5"/>
            <w:tcBorders>
              <w:top w:val="single" w:sz="4" w:space="0" w:color="auto"/>
              <w:left w:val="single" w:sz="4" w:space="0" w:color="auto"/>
              <w:bottom w:val="single" w:sz="4" w:space="0" w:color="auto"/>
              <w:right w:val="single" w:sz="4" w:space="0" w:color="auto"/>
            </w:tcBorders>
            <w:hideMark/>
          </w:tcPr>
          <w:p w14:paraId="17993AF0" w14:textId="77777777" w:rsidR="00914F28" w:rsidRDefault="00914F28" w:rsidP="00710E51">
            <w:pPr>
              <w:jc w:val="both"/>
              <w:rPr>
                <w:rFonts w:cs="Times New Roman"/>
                <w:b/>
                <w:bCs/>
                <w:sz w:val="20"/>
                <w:szCs w:val="20"/>
              </w:rPr>
            </w:pPr>
            <w:r>
              <w:rPr>
                <w:rFonts w:cs="Times New Roman"/>
                <w:b/>
                <w:bCs/>
                <w:sz w:val="20"/>
                <w:szCs w:val="20"/>
              </w:rPr>
              <w:t>4.Veicināta NILL apkarošanā iesaistīto amatpersonu izpratne par NILL identifikāciju, arestu un efektīvu izmeklēšanu</w:t>
            </w:r>
          </w:p>
        </w:tc>
      </w:tr>
      <w:tr w:rsidR="00914F28" w14:paraId="59281DA5" w14:textId="77777777" w:rsidTr="002941FC">
        <w:tc>
          <w:tcPr>
            <w:tcW w:w="4359" w:type="dxa"/>
            <w:gridSpan w:val="2"/>
            <w:tcBorders>
              <w:top w:val="single" w:sz="4" w:space="0" w:color="auto"/>
              <w:left w:val="single" w:sz="4" w:space="0" w:color="auto"/>
              <w:bottom w:val="single" w:sz="4" w:space="0" w:color="auto"/>
              <w:right w:val="single" w:sz="4" w:space="0" w:color="auto"/>
            </w:tcBorders>
          </w:tcPr>
          <w:p w14:paraId="2352EA5F" w14:textId="77777777" w:rsidR="00914F28" w:rsidRDefault="00914F28" w:rsidP="00710E51">
            <w:pPr>
              <w:rPr>
                <w:rFonts w:cs="Times New Roman"/>
                <w:b/>
                <w:bCs/>
                <w:sz w:val="20"/>
                <w:szCs w:val="20"/>
              </w:rPr>
            </w:pPr>
          </w:p>
        </w:tc>
        <w:tc>
          <w:tcPr>
            <w:tcW w:w="1590" w:type="dxa"/>
            <w:tcBorders>
              <w:top w:val="single" w:sz="4" w:space="0" w:color="auto"/>
              <w:left w:val="single" w:sz="4" w:space="0" w:color="auto"/>
              <w:bottom w:val="single" w:sz="4" w:space="0" w:color="auto"/>
              <w:right w:val="single" w:sz="4" w:space="0" w:color="auto"/>
            </w:tcBorders>
          </w:tcPr>
          <w:p w14:paraId="3EF5F762" w14:textId="77777777" w:rsidR="00914F28" w:rsidRDefault="00914F28" w:rsidP="00710E51">
            <w:pPr>
              <w:ind w:right="-108"/>
              <w:jc w:val="both"/>
              <w:rPr>
                <w:rFonts w:cs="Times New Roman"/>
                <w:b/>
                <w:bCs/>
                <w:sz w:val="20"/>
                <w:szCs w:val="20"/>
              </w:rPr>
            </w:pPr>
          </w:p>
        </w:tc>
        <w:tc>
          <w:tcPr>
            <w:tcW w:w="8935" w:type="dxa"/>
            <w:gridSpan w:val="5"/>
            <w:tcBorders>
              <w:top w:val="single" w:sz="4" w:space="0" w:color="auto"/>
              <w:left w:val="single" w:sz="4" w:space="0" w:color="auto"/>
              <w:bottom w:val="single" w:sz="4" w:space="0" w:color="auto"/>
              <w:right w:val="single" w:sz="4" w:space="0" w:color="auto"/>
            </w:tcBorders>
            <w:hideMark/>
          </w:tcPr>
          <w:p w14:paraId="7D203F44" w14:textId="77777777" w:rsidR="00914F28" w:rsidRDefault="00914F28" w:rsidP="00710E51">
            <w:pPr>
              <w:jc w:val="both"/>
              <w:rPr>
                <w:rFonts w:cs="Times New Roman"/>
                <w:b/>
                <w:bCs/>
                <w:sz w:val="20"/>
                <w:szCs w:val="20"/>
              </w:rPr>
            </w:pPr>
            <w:r>
              <w:rPr>
                <w:rFonts w:cs="Times New Roman"/>
                <w:b/>
                <w:bCs/>
                <w:sz w:val="20"/>
                <w:szCs w:val="20"/>
              </w:rPr>
              <w:t>5.</w:t>
            </w:r>
            <w:r>
              <w:rPr>
                <w:rFonts w:cs="Times New Roman"/>
                <w:b/>
                <w:sz w:val="20"/>
                <w:szCs w:val="20"/>
              </w:rPr>
              <w:t xml:space="preserve"> Izveidota vienota prakse noziedzīgi iegūtu līdzekļu legalizācijas izmeklēšanā kopumā</w:t>
            </w:r>
          </w:p>
        </w:tc>
      </w:tr>
      <w:tr w:rsidR="00914F28" w14:paraId="4177686E" w14:textId="77777777" w:rsidTr="002D63BE">
        <w:tc>
          <w:tcPr>
            <w:tcW w:w="673" w:type="dxa"/>
            <w:tcBorders>
              <w:top w:val="single" w:sz="4" w:space="0" w:color="auto"/>
              <w:left w:val="single" w:sz="4" w:space="0" w:color="auto"/>
              <w:bottom w:val="single" w:sz="4" w:space="0" w:color="auto"/>
              <w:right w:val="single" w:sz="4" w:space="0" w:color="auto"/>
            </w:tcBorders>
            <w:hideMark/>
          </w:tcPr>
          <w:p w14:paraId="73062C36" w14:textId="77777777" w:rsidR="00914F28" w:rsidRDefault="00914F28" w:rsidP="0041273D">
            <w:pPr>
              <w:jc w:val="center"/>
              <w:rPr>
                <w:rFonts w:cs="Times New Roman"/>
                <w:bCs/>
                <w:sz w:val="20"/>
                <w:szCs w:val="20"/>
              </w:rPr>
            </w:pPr>
            <w:r>
              <w:rPr>
                <w:rFonts w:cs="Times New Roman"/>
                <w:bCs/>
                <w:sz w:val="20"/>
                <w:szCs w:val="20"/>
              </w:rPr>
              <w:t xml:space="preserve">Nr. </w:t>
            </w:r>
            <w:r w:rsidR="0041273D">
              <w:rPr>
                <w:rFonts w:cs="Times New Roman"/>
                <w:bCs/>
                <w:sz w:val="20"/>
                <w:szCs w:val="20"/>
              </w:rPr>
              <w:t>p.</w:t>
            </w:r>
            <w:r>
              <w:rPr>
                <w:rFonts w:cs="Times New Roman"/>
                <w:bCs/>
                <w:sz w:val="20"/>
                <w:szCs w:val="20"/>
              </w:rPr>
              <w:t>k.</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EDB1BB0" w14:textId="77777777" w:rsidR="00914F28" w:rsidRDefault="00914F28" w:rsidP="00710E51">
            <w:pPr>
              <w:jc w:val="center"/>
              <w:rPr>
                <w:rFonts w:cs="Times New Roman"/>
                <w:bCs/>
                <w:i/>
                <w:sz w:val="20"/>
                <w:szCs w:val="20"/>
              </w:rPr>
            </w:pPr>
            <w:r>
              <w:rPr>
                <w:rFonts w:cs="Times New Roman"/>
                <w:b/>
                <w:bCs/>
                <w:sz w:val="20"/>
                <w:szCs w:val="20"/>
              </w:rPr>
              <w:t>Pasākums</w:t>
            </w: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14:paraId="46C20362" w14:textId="77777777" w:rsidR="00914F28" w:rsidRDefault="00914F28" w:rsidP="00710E51">
            <w:pPr>
              <w:ind w:right="-108"/>
              <w:rPr>
                <w:rFonts w:cs="Times New Roman"/>
                <w:b/>
                <w:sz w:val="20"/>
                <w:szCs w:val="20"/>
              </w:rPr>
            </w:pPr>
            <w:r>
              <w:rPr>
                <w:rFonts w:cs="Times New Roman"/>
                <w:b/>
                <w:sz w:val="20"/>
                <w:szCs w:val="20"/>
              </w:rPr>
              <w:t xml:space="preserve">Avots </w:t>
            </w: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1C089547" w14:textId="77777777" w:rsidR="00914F28" w:rsidRDefault="00914F28" w:rsidP="00710E51">
            <w:pPr>
              <w:rPr>
                <w:rFonts w:cs="Times New Roman"/>
                <w:b/>
                <w:bCs/>
                <w:i/>
                <w:sz w:val="20"/>
                <w:szCs w:val="20"/>
              </w:rPr>
            </w:pPr>
            <w:r>
              <w:rPr>
                <w:rFonts w:cs="Times New Roman"/>
                <w:b/>
                <w:sz w:val="20"/>
                <w:szCs w:val="20"/>
              </w:rPr>
              <w:t>Darbības rezultāts</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105393FF" w14:textId="77777777" w:rsidR="00914F28" w:rsidRDefault="00914F28" w:rsidP="00710E51">
            <w:pPr>
              <w:jc w:val="center"/>
              <w:rPr>
                <w:rFonts w:cs="Times New Roman"/>
                <w:bCs/>
                <w:i/>
                <w:sz w:val="20"/>
                <w:szCs w:val="20"/>
              </w:rPr>
            </w:pPr>
            <w:r>
              <w:rPr>
                <w:rFonts w:cs="Times New Roman"/>
                <w:b/>
                <w:sz w:val="20"/>
                <w:szCs w:val="20"/>
              </w:rPr>
              <w:t>Rezultatīvais rādītājs</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716150E3" w14:textId="77777777" w:rsidR="00914F28" w:rsidRDefault="00914F28" w:rsidP="00710E51">
            <w:pPr>
              <w:jc w:val="center"/>
              <w:rPr>
                <w:rFonts w:cs="Times New Roman"/>
                <w:bCs/>
                <w:i/>
                <w:sz w:val="20"/>
                <w:szCs w:val="20"/>
              </w:rPr>
            </w:pPr>
            <w:r>
              <w:rPr>
                <w:rFonts w:cs="Times New Roman"/>
                <w:b/>
                <w:bCs/>
                <w:sz w:val="20"/>
                <w:szCs w:val="20"/>
              </w:rPr>
              <w:t>Atbildīgā institūcija</w:t>
            </w:r>
          </w:p>
        </w:tc>
        <w:tc>
          <w:tcPr>
            <w:tcW w:w="1202" w:type="dxa"/>
            <w:tcBorders>
              <w:top w:val="single" w:sz="4" w:space="0" w:color="auto"/>
              <w:left w:val="single" w:sz="4" w:space="0" w:color="auto"/>
              <w:bottom w:val="single" w:sz="4" w:space="0" w:color="auto"/>
              <w:right w:val="single" w:sz="4" w:space="0" w:color="auto"/>
            </w:tcBorders>
            <w:hideMark/>
          </w:tcPr>
          <w:p w14:paraId="3D68F798" w14:textId="77777777" w:rsidR="00914F28" w:rsidRDefault="00914F28" w:rsidP="00710E51">
            <w:pPr>
              <w:jc w:val="center"/>
              <w:rPr>
                <w:rFonts w:cs="Times New Roman"/>
                <w:bCs/>
                <w:i/>
                <w:sz w:val="20"/>
                <w:szCs w:val="20"/>
              </w:rPr>
            </w:pPr>
            <w:r>
              <w:rPr>
                <w:rFonts w:cs="Times New Roman"/>
                <w:b/>
                <w:bCs/>
                <w:sz w:val="20"/>
                <w:szCs w:val="20"/>
              </w:rPr>
              <w:t>Līdzatbildīgās institūcijas</w:t>
            </w:r>
          </w:p>
        </w:tc>
        <w:tc>
          <w:tcPr>
            <w:tcW w:w="1390" w:type="dxa"/>
            <w:tcBorders>
              <w:top w:val="single" w:sz="4" w:space="0" w:color="auto"/>
              <w:left w:val="single" w:sz="4" w:space="0" w:color="auto"/>
              <w:bottom w:val="single" w:sz="4" w:space="0" w:color="auto"/>
              <w:right w:val="single" w:sz="4" w:space="0" w:color="auto"/>
            </w:tcBorders>
            <w:hideMark/>
          </w:tcPr>
          <w:p w14:paraId="7EEF680B" w14:textId="77777777" w:rsidR="00914F28" w:rsidRDefault="00914F28" w:rsidP="00710E51">
            <w:pPr>
              <w:jc w:val="center"/>
              <w:rPr>
                <w:rFonts w:cs="Times New Roman"/>
                <w:bCs/>
                <w:i/>
                <w:sz w:val="20"/>
                <w:szCs w:val="20"/>
              </w:rPr>
            </w:pPr>
            <w:r>
              <w:rPr>
                <w:rFonts w:cs="Times New Roman"/>
                <w:b/>
                <w:bCs/>
                <w:sz w:val="20"/>
                <w:szCs w:val="20"/>
              </w:rPr>
              <w:t>Izpildes termiņš</w:t>
            </w:r>
          </w:p>
        </w:tc>
      </w:tr>
      <w:tr w:rsidR="00914F28" w14:paraId="4E3E8FC8" w14:textId="77777777" w:rsidTr="002D63BE">
        <w:tc>
          <w:tcPr>
            <w:tcW w:w="673" w:type="dxa"/>
            <w:tcBorders>
              <w:top w:val="single" w:sz="4" w:space="0" w:color="auto"/>
              <w:left w:val="single" w:sz="4" w:space="0" w:color="auto"/>
              <w:bottom w:val="single" w:sz="4" w:space="0" w:color="auto"/>
              <w:right w:val="single" w:sz="4" w:space="0" w:color="auto"/>
            </w:tcBorders>
          </w:tcPr>
          <w:p w14:paraId="1CEE164F" w14:textId="77777777" w:rsidR="00914F28" w:rsidRDefault="00481AD0" w:rsidP="00710E51">
            <w:pPr>
              <w:jc w:val="center"/>
              <w:rPr>
                <w:rFonts w:cs="Times New Roman"/>
                <w:bCs/>
                <w:sz w:val="20"/>
                <w:szCs w:val="20"/>
              </w:rPr>
            </w:pPr>
            <w:r>
              <w:rPr>
                <w:rFonts w:cs="Times New Roman"/>
                <w:bCs/>
                <w:sz w:val="20"/>
                <w:szCs w:val="20"/>
              </w:rPr>
              <w:t>7.1</w:t>
            </w:r>
            <w:r w:rsidR="00914F28">
              <w:rPr>
                <w:rFonts w:cs="Times New Roman"/>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DAA013" w14:textId="77777777" w:rsidR="00914F28" w:rsidRDefault="00914F28" w:rsidP="001459F9">
            <w:pPr>
              <w:jc w:val="both"/>
              <w:rPr>
                <w:rFonts w:cs="Times New Roman"/>
                <w:bCs/>
                <w:sz w:val="20"/>
                <w:szCs w:val="20"/>
              </w:rPr>
            </w:pPr>
            <w:r>
              <w:rPr>
                <w:rFonts w:cs="Times New Roman"/>
                <w:bCs/>
                <w:sz w:val="20"/>
                <w:szCs w:val="20"/>
              </w:rPr>
              <w:t>Izstrādāt likumprojektu „Grozījumi Kredītiestāžu likumā”, lai paredzētu nosacījumu, ka klientu aizliegts informēt par izmeklēšanas iestāžu, operatīvās darbības subjektu, prokuratūras vai tiesas pieprasījumiem</w:t>
            </w:r>
            <w:r w:rsidR="001459F9">
              <w:rPr>
                <w:rFonts w:cs="Times New Roman"/>
                <w:bCs/>
                <w:sz w:val="20"/>
                <w:szCs w:val="20"/>
              </w:rPr>
              <w:t>.</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023BEEC5" w14:textId="77777777" w:rsidR="00914F28" w:rsidRDefault="00914F28" w:rsidP="00710E51">
            <w:pPr>
              <w:ind w:right="-108"/>
              <w:rPr>
                <w:rFonts w:cs="Times New Roman"/>
                <w:sz w:val="20"/>
                <w:szCs w:val="20"/>
              </w:rPr>
            </w:pPr>
            <w:r>
              <w:rPr>
                <w:rFonts w:cs="Times New Roman"/>
                <w:sz w:val="20"/>
                <w:szCs w:val="20"/>
              </w:rPr>
              <w:t>Moneyval rekomendācija 7.1.</w:t>
            </w:r>
          </w:p>
          <w:p w14:paraId="5043A467" w14:textId="77777777" w:rsidR="00914F28" w:rsidRDefault="00914F28" w:rsidP="00710E51">
            <w:pPr>
              <w:ind w:right="-108"/>
              <w:rPr>
                <w:rFonts w:cs="Times New Roman"/>
                <w:sz w:val="20"/>
                <w:szCs w:val="20"/>
              </w:rPr>
            </w:pPr>
          </w:p>
          <w:p w14:paraId="4E06DD09" w14:textId="77777777" w:rsidR="00914F28" w:rsidRDefault="00914F28" w:rsidP="00710E51">
            <w:pPr>
              <w:ind w:right="-108"/>
              <w:rPr>
                <w:rFonts w:cs="Times New Roman"/>
                <w:sz w:val="20"/>
                <w:szCs w:val="20"/>
              </w:rPr>
            </w:pPr>
            <w:r>
              <w:rPr>
                <w:rFonts w:cs="Times New Roman"/>
                <w:sz w:val="20"/>
                <w:szCs w:val="20"/>
              </w:rPr>
              <w:t xml:space="preserve">FSAP  </w:t>
            </w:r>
            <w:r w:rsidR="00632D1F">
              <w:rPr>
                <w:rFonts w:cs="Times New Roman"/>
                <w:sz w:val="20"/>
                <w:szCs w:val="20"/>
              </w:rPr>
              <w:t xml:space="preserve">2018.gada </w:t>
            </w:r>
            <w:r>
              <w:rPr>
                <w:rFonts w:cs="Times New Roman"/>
                <w:sz w:val="20"/>
                <w:szCs w:val="20"/>
              </w:rPr>
              <w:t>26.jūnija sēdes lēmums</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785A7609" w14:textId="77777777" w:rsidR="00914F28" w:rsidRDefault="00914F28" w:rsidP="00EE1B29">
            <w:pPr>
              <w:jc w:val="both"/>
              <w:rPr>
                <w:rFonts w:cs="Times New Roman"/>
                <w:sz w:val="20"/>
                <w:szCs w:val="20"/>
              </w:rPr>
            </w:pPr>
            <w:r>
              <w:rPr>
                <w:rFonts w:cs="Times New Roman"/>
                <w:sz w:val="20"/>
                <w:szCs w:val="20"/>
              </w:rPr>
              <w:t>Izstrādāts tiesiskais regulējums NILL identificēšanas un izmeklēšanas sekmēšanai.</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416F3A52" w14:textId="77777777" w:rsidR="00914F28" w:rsidRDefault="00D350E3" w:rsidP="00EE1B29">
            <w:pPr>
              <w:jc w:val="both"/>
              <w:rPr>
                <w:rFonts w:cs="Times New Roman"/>
                <w:sz w:val="20"/>
                <w:szCs w:val="20"/>
              </w:rPr>
            </w:pPr>
            <w:r>
              <w:rPr>
                <w:rFonts w:cs="Times New Roman"/>
                <w:sz w:val="20"/>
                <w:szCs w:val="20"/>
              </w:rPr>
              <w:t>Izstrādāts l</w:t>
            </w:r>
            <w:r w:rsidR="00914F28">
              <w:rPr>
                <w:rFonts w:cs="Times New Roman"/>
                <w:sz w:val="20"/>
                <w:szCs w:val="20"/>
              </w:rPr>
              <w:t>ikumprojekts</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631D29CA" w14:textId="77777777" w:rsidR="00914F28" w:rsidRDefault="00914F28" w:rsidP="002D63BE">
            <w:pPr>
              <w:jc w:val="center"/>
              <w:rPr>
                <w:rFonts w:cs="Times New Roman"/>
                <w:bCs/>
                <w:sz w:val="20"/>
                <w:szCs w:val="20"/>
              </w:rPr>
            </w:pPr>
            <w:r>
              <w:rPr>
                <w:rFonts w:cs="Times New Roman"/>
                <w:bCs/>
                <w:sz w:val="20"/>
                <w:szCs w:val="20"/>
              </w:rPr>
              <w:t>FM</w:t>
            </w:r>
          </w:p>
        </w:tc>
        <w:tc>
          <w:tcPr>
            <w:tcW w:w="1202" w:type="dxa"/>
            <w:tcBorders>
              <w:top w:val="single" w:sz="4" w:space="0" w:color="auto"/>
              <w:left w:val="single" w:sz="4" w:space="0" w:color="auto"/>
              <w:bottom w:val="single" w:sz="4" w:space="0" w:color="auto"/>
              <w:right w:val="single" w:sz="4" w:space="0" w:color="auto"/>
            </w:tcBorders>
          </w:tcPr>
          <w:p w14:paraId="70D90797" w14:textId="77777777" w:rsidR="00914F28" w:rsidRDefault="00914F28" w:rsidP="002D63BE">
            <w:pPr>
              <w:jc w:val="center"/>
              <w:rPr>
                <w:rFonts w:cs="Times New Roman"/>
                <w:bCs/>
                <w:sz w:val="20"/>
                <w:szCs w:val="20"/>
              </w:rPr>
            </w:pPr>
            <w:r>
              <w:rPr>
                <w:rFonts w:cs="Times New Roman"/>
                <w:bCs/>
                <w:sz w:val="20"/>
                <w:szCs w:val="20"/>
              </w:rPr>
              <w:t>FKTK, LFNA</w:t>
            </w:r>
          </w:p>
        </w:tc>
        <w:tc>
          <w:tcPr>
            <w:tcW w:w="1390" w:type="dxa"/>
            <w:tcBorders>
              <w:top w:val="single" w:sz="4" w:space="0" w:color="auto"/>
              <w:left w:val="single" w:sz="4" w:space="0" w:color="auto"/>
              <w:bottom w:val="single" w:sz="4" w:space="0" w:color="auto"/>
              <w:right w:val="single" w:sz="4" w:space="0" w:color="auto"/>
            </w:tcBorders>
          </w:tcPr>
          <w:p w14:paraId="51052A8F" w14:textId="77777777" w:rsidR="00914F28" w:rsidRDefault="00914F28" w:rsidP="002D63BE">
            <w:pPr>
              <w:jc w:val="center"/>
              <w:rPr>
                <w:rFonts w:cs="Times New Roman"/>
                <w:bCs/>
                <w:sz w:val="20"/>
                <w:szCs w:val="20"/>
              </w:rPr>
            </w:pPr>
            <w:r>
              <w:rPr>
                <w:rFonts w:cs="Times New Roman"/>
                <w:sz w:val="20"/>
                <w:szCs w:val="20"/>
              </w:rPr>
              <w:t>2018.gada 1.oktobris</w:t>
            </w:r>
          </w:p>
        </w:tc>
      </w:tr>
      <w:tr w:rsidR="00914F28" w14:paraId="59D38500" w14:textId="77777777" w:rsidTr="002D63BE">
        <w:tc>
          <w:tcPr>
            <w:tcW w:w="673" w:type="dxa"/>
            <w:tcBorders>
              <w:top w:val="single" w:sz="4" w:space="0" w:color="auto"/>
              <w:left w:val="single" w:sz="4" w:space="0" w:color="auto"/>
              <w:bottom w:val="single" w:sz="4" w:space="0" w:color="auto"/>
              <w:right w:val="single" w:sz="4" w:space="0" w:color="auto"/>
            </w:tcBorders>
            <w:hideMark/>
          </w:tcPr>
          <w:p w14:paraId="511ED1B5" w14:textId="77777777" w:rsidR="00914F28" w:rsidRDefault="00481AD0" w:rsidP="00EE1B29">
            <w:pPr>
              <w:jc w:val="center"/>
              <w:rPr>
                <w:rFonts w:cs="Times New Roman"/>
                <w:bCs/>
                <w:sz w:val="20"/>
                <w:szCs w:val="20"/>
              </w:rPr>
            </w:pPr>
            <w:r>
              <w:rPr>
                <w:rFonts w:cs="Times New Roman"/>
                <w:bCs/>
                <w:sz w:val="20"/>
                <w:szCs w:val="20"/>
              </w:rPr>
              <w:lastRenderedPageBreak/>
              <w:t>7.2</w:t>
            </w:r>
            <w:r w:rsidR="00914F28">
              <w:rPr>
                <w:rFonts w:cs="Times New Roman"/>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65FF5BB" w14:textId="77777777" w:rsidR="00914F28" w:rsidRDefault="00914F28" w:rsidP="001459F9">
            <w:pPr>
              <w:jc w:val="both"/>
              <w:rPr>
                <w:rFonts w:cs="Times New Roman"/>
                <w:bCs/>
                <w:sz w:val="20"/>
                <w:szCs w:val="20"/>
              </w:rPr>
            </w:pPr>
            <w:r>
              <w:rPr>
                <w:rFonts w:cs="Times New Roman"/>
                <w:bCs/>
                <w:sz w:val="20"/>
                <w:szCs w:val="20"/>
              </w:rPr>
              <w:t>NILL apkarošanā iesaistītajām institūcijām aktuālo izmeklēšanu ietvaros pēc iesaistītās institūcijas iniciatīvas sasaukt sadarbības koordinācijas grupu</w:t>
            </w:r>
            <w:r w:rsidR="001459F9">
              <w:rPr>
                <w:rFonts w:cs="Times New Roman"/>
                <w:bCs/>
                <w:sz w:val="20"/>
                <w:szCs w:val="20"/>
              </w:rPr>
              <w:t>.</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4A62CCC4" w14:textId="77777777" w:rsidR="00914F28" w:rsidRDefault="00914F28" w:rsidP="00710E51">
            <w:pPr>
              <w:ind w:right="-108"/>
              <w:rPr>
                <w:rFonts w:cs="Times New Roman"/>
                <w:sz w:val="20"/>
                <w:szCs w:val="20"/>
              </w:rPr>
            </w:pPr>
            <w:r>
              <w:rPr>
                <w:rFonts w:cs="Times New Roman"/>
                <w:sz w:val="20"/>
                <w:szCs w:val="20"/>
              </w:rPr>
              <w:t xml:space="preserve">Moneyval rekomendācija </w:t>
            </w:r>
            <w:r w:rsidR="000D6C44">
              <w:rPr>
                <w:rFonts w:cs="Times New Roman"/>
                <w:sz w:val="20"/>
                <w:szCs w:val="20"/>
              </w:rPr>
              <w:t xml:space="preserve">6.2., </w:t>
            </w:r>
            <w:r>
              <w:rPr>
                <w:rFonts w:cs="Times New Roman"/>
                <w:sz w:val="20"/>
                <w:szCs w:val="20"/>
              </w:rPr>
              <w:t>7.1.</w:t>
            </w:r>
          </w:p>
          <w:p w14:paraId="4B566022" w14:textId="77777777" w:rsidR="00914F28" w:rsidRDefault="00914F28" w:rsidP="00710E51">
            <w:pPr>
              <w:ind w:right="-108"/>
              <w:rPr>
                <w:rFonts w:cs="Times New Roman"/>
                <w:sz w:val="20"/>
                <w:szCs w:val="20"/>
              </w:rPr>
            </w:pPr>
          </w:p>
          <w:p w14:paraId="4BB2C587" w14:textId="77777777" w:rsidR="00914F28" w:rsidRDefault="00914F28" w:rsidP="00710E51">
            <w:pPr>
              <w:ind w:right="-108"/>
              <w:rPr>
                <w:rFonts w:cs="Times New Roman"/>
                <w:sz w:val="20"/>
                <w:szCs w:val="20"/>
              </w:rPr>
            </w:pPr>
            <w:r>
              <w:rPr>
                <w:rFonts w:cs="Times New Roman"/>
                <w:sz w:val="20"/>
                <w:szCs w:val="20"/>
              </w:rPr>
              <w:t>FSAP  26.jūnija sēdes lēmums</w:t>
            </w: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2450A955" w14:textId="77777777" w:rsidR="00914F28" w:rsidRDefault="00914F28" w:rsidP="0025344E">
            <w:pPr>
              <w:jc w:val="both"/>
              <w:rPr>
                <w:rFonts w:cs="Times New Roman"/>
                <w:sz w:val="20"/>
                <w:szCs w:val="20"/>
              </w:rPr>
            </w:pPr>
            <w:r>
              <w:rPr>
                <w:rFonts w:cs="Times New Roman"/>
                <w:sz w:val="20"/>
                <w:szCs w:val="20"/>
              </w:rPr>
              <w:t>Uzsākta sadarbības koordinācijas grupu praktiskā darbība.</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457CDAD3" w14:textId="77777777" w:rsidR="00914F28" w:rsidRDefault="00914F28" w:rsidP="0025344E">
            <w:pPr>
              <w:jc w:val="both"/>
              <w:rPr>
                <w:rFonts w:cs="Times New Roman"/>
                <w:sz w:val="20"/>
                <w:szCs w:val="20"/>
              </w:rPr>
            </w:pPr>
            <w:r>
              <w:rPr>
                <w:rFonts w:cs="Times New Roman"/>
                <w:sz w:val="20"/>
                <w:szCs w:val="20"/>
              </w:rPr>
              <w:t>Izveidotas sadarbības koordinācijas grupas</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61E3AC4A" w14:textId="77777777" w:rsidR="00914F28" w:rsidRDefault="00914F28" w:rsidP="002D63BE">
            <w:pPr>
              <w:jc w:val="center"/>
              <w:rPr>
                <w:rFonts w:cs="Times New Roman"/>
                <w:bCs/>
                <w:sz w:val="20"/>
                <w:szCs w:val="20"/>
              </w:rPr>
            </w:pPr>
            <w:r>
              <w:rPr>
                <w:rFonts w:cs="Times New Roman"/>
                <w:bCs/>
                <w:sz w:val="20"/>
                <w:szCs w:val="20"/>
              </w:rPr>
              <w:t>KD</w:t>
            </w:r>
          </w:p>
        </w:tc>
        <w:tc>
          <w:tcPr>
            <w:tcW w:w="1202" w:type="dxa"/>
            <w:tcBorders>
              <w:top w:val="single" w:sz="4" w:space="0" w:color="auto"/>
              <w:left w:val="single" w:sz="4" w:space="0" w:color="auto"/>
              <w:bottom w:val="single" w:sz="4" w:space="0" w:color="auto"/>
              <w:right w:val="single" w:sz="4" w:space="0" w:color="auto"/>
            </w:tcBorders>
            <w:hideMark/>
          </w:tcPr>
          <w:p w14:paraId="76557257" w14:textId="77777777" w:rsidR="00914F28" w:rsidRDefault="00914F28" w:rsidP="002D63BE">
            <w:pPr>
              <w:jc w:val="center"/>
              <w:rPr>
                <w:rFonts w:cs="Times New Roman"/>
                <w:bCs/>
                <w:sz w:val="20"/>
                <w:szCs w:val="20"/>
              </w:rPr>
            </w:pPr>
            <w:r>
              <w:rPr>
                <w:rFonts w:cs="Times New Roman"/>
                <w:bCs/>
                <w:sz w:val="20"/>
                <w:szCs w:val="20"/>
              </w:rPr>
              <w:t>VP, DP, VID, KNAB, VRS, IDB, prokuratūra un likuma subjekti</w:t>
            </w:r>
          </w:p>
        </w:tc>
        <w:tc>
          <w:tcPr>
            <w:tcW w:w="1390" w:type="dxa"/>
            <w:tcBorders>
              <w:top w:val="single" w:sz="4" w:space="0" w:color="auto"/>
              <w:left w:val="single" w:sz="4" w:space="0" w:color="auto"/>
              <w:bottom w:val="single" w:sz="4" w:space="0" w:color="auto"/>
              <w:right w:val="single" w:sz="4" w:space="0" w:color="auto"/>
            </w:tcBorders>
            <w:hideMark/>
          </w:tcPr>
          <w:p w14:paraId="47105D2E" w14:textId="77777777" w:rsidR="00914F28" w:rsidRDefault="00914F28" w:rsidP="002D63BE">
            <w:pPr>
              <w:jc w:val="center"/>
              <w:rPr>
                <w:rFonts w:cs="Times New Roman"/>
                <w:bCs/>
                <w:sz w:val="20"/>
                <w:szCs w:val="20"/>
              </w:rPr>
            </w:pPr>
            <w:r>
              <w:rPr>
                <w:rFonts w:cs="Times New Roman"/>
                <w:bCs/>
                <w:sz w:val="20"/>
                <w:szCs w:val="20"/>
              </w:rPr>
              <w:t>Pastāvīgi</w:t>
            </w:r>
          </w:p>
        </w:tc>
      </w:tr>
      <w:tr w:rsidR="00914F28" w14:paraId="7FAA1B26" w14:textId="77777777" w:rsidTr="002D63BE">
        <w:tc>
          <w:tcPr>
            <w:tcW w:w="673" w:type="dxa"/>
            <w:tcBorders>
              <w:top w:val="single" w:sz="4" w:space="0" w:color="auto"/>
              <w:left w:val="single" w:sz="4" w:space="0" w:color="auto"/>
              <w:bottom w:val="single" w:sz="4" w:space="0" w:color="auto"/>
              <w:right w:val="single" w:sz="4" w:space="0" w:color="auto"/>
            </w:tcBorders>
            <w:hideMark/>
          </w:tcPr>
          <w:p w14:paraId="22A2424B" w14:textId="77777777" w:rsidR="00914F28" w:rsidRDefault="00481AD0" w:rsidP="00710E51">
            <w:pPr>
              <w:rPr>
                <w:rFonts w:cs="Times New Roman"/>
                <w:bCs/>
                <w:sz w:val="20"/>
                <w:szCs w:val="20"/>
              </w:rPr>
            </w:pPr>
            <w:r>
              <w:rPr>
                <w:rFonts w:cs="Times New Roman"/>
                <w:bCs/>
                <w:sz w:val="20"/>
                <w:szCs w:val="20"/>
              </w:rPr>
              <w:t>7.3</w:t>
            </w:r>
            <w:r w:rsidR="00914F28">
              <w:rPr>
                <w:rFonts w:cs="Times New Roman"/>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5D6034C" w14:textId="77777777" w:rsidR="00914F28" w:rsidRDefault="00914F28" w:rsidP="007A02F5">
            <w:pPr>
              <w:jc w:val="both"/>
              <w:rPr>
                <w:rFonts w:cs="Times New Roman"/>
                <w:bCs/>
                <w:sz w:val="20"/>
                <w:szCs w:val="20"/>
              </w:rPr>
            </w:pPr>
            <w:r>
              <w:rPr>
                <w:rFonts w:cs="Times New Roman"/>
                <w:bCs/>
                <w:sz w:val="20"/>
                <w:szCs w:val="20"/>
              </w:rPr>
              <w:t>Lai nodrošinātu tiesībaizsardzības institūciju sistēmisku un vienotu  darbību  noziedzības  apkarošanas jomā, izveidot un pilnā apjomā ieviest Nacionālo kriminālizlūkošanas modeli</w:t>
            </w:r>
            <w:r w:rsidR="001459F9">
              <w:rPr>
                <w:rFonts w:cs="Times New Roman"/>
                <w:bCs/>
                <w:sz w:val="20"/>
                <w:szCs w:val="20"/>
              </w:rPr>
              <w:t>.</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3E496276" w14:textId="77777777" w:rsidR="00914F28" w:rsidRDefault="00914F28" w:rsidP="00710E51">
            <w:pPr>
              <w:ind w:right="-108"/>
              <w:rPr>
                <w:rFonts w:cs="Times New Roman"/>
                <w:sz w:val="20"/>
                <w:szCs w:val="20"/>
              </w:rPr>
            </w:pPr>
            <w:r>
              <w:rPr>
                <w:rFonts w:cs="Times New Roman"/>
                <w:sz w:val="20"/>
                <w:szCs w:val="20"/>
              </w:rPr>
              <w:t>Moneyval rekomendācija 7.1.</w:t>
            </w:r>
          </w:p>
          <w:p w14:paraId="20531944" w14:textId="77777777" w:rsidR="00914F28" w:rsidRDefault="00914F28" w:rsidP="00710E51">
            <w:pPr>
              <w:ind w:right="-108"/>
              <w:rPr>
                <w:rFonts w:cs="Times New Roman"/>
                <w:sz w:val="20"/>
                <w:szCs w:val="20"/>
              </w:rPr>
            </w:pPr>
          </w:p>
          <w:p w14:paraId="2EFD1BB9" w14:textId="77777777" w:rsidR="00914F28" w:rsidRDefault="00914F28" w:rsidP="00710E51">
            <w:pPr>
              <w:jc w:val="both"/>
              <w:rPr>
                <w:sz w:val="20"/>
                <w:szCs w:val="20"/>
              </w:rPr>
            </w:pPr>
            <w:r>
              <w:rPr>
                <w:sz w:val="20"/>
                <w:szCs w:val="20"/>
              </w:rPr>
              <w:t>Pasākumu plāns 2017.-2019.g.</w:t>
            </w:r>
          </w:p>
          <w:p w14:paraId="3F1D4FC4" w14:textId="77777777" w:rsidR="00914F28" w:rsidRDefault="00914F28" w:rsidP="00710E51">
            <w:pPr>
              <w:jc w:val="both"/>
              <w:rPr>
                <w:sz w:val="20"/>
                <w:szCs w:val="20"/>
              </w:rPr>
            </w:pPr>
            <w:r>
              <w:rPr>
                <w:sz w:val="20"/>
                <w:szCs w:val="20"/>
              </w:rPr>
              <w:t>3.9.pasākums</w:t>
            </w: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6289D796" w14:textId="77777777" w:rsidR="00914F28" w:rsidRDefault="00914F28" w:rsidP="0025344E">
            <w:pPr>
              <w:jc w:val="both"/>
              <w:rPr>
                <w:rFonts w:cs="Times New Roman"/>
                <w:sz w:val="20"/>
                <w:szCs w:val="20"/>
              </w:rPr>
            </w:pPr>
            <w:r>
              <w:rPr>
                <w:rFonts w:cs="Times New Roman"/>
                <w:sz w:val="20"/>
                <w:szCs w:val="20"/>
              </w:rPr>
              <w:t>Nodrošināta iespēja operatīvās darbības subjektiem operatīvi apmainīties ar viņu rīcībā esošo operatīvo informāciju</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5D2076F9" w14:textId="77777777" w:rsidR="00914F28" w:rsidRDefault="00914F28" w:rsidP="0025344E">
            <w:pPr>
              <w:jc w:val="both"/>
              <w:rPr>
                <w:rFonts w:cs="Times New Roman"/>
                <w:sz w:val="20"/>
                <w:szCs w:val="20"/>
              </w:rPr>
            </w:pPr>
            <w:r>
              <w:rPr>
                <w:rFonts w:cs="Times New Roman"/>
                <w:sz w:val="20"/>
                <w:szCs w:val="20"/>
              </w:rPr>
              <w:t>Izvērtētas iespējas piesaistīt ES strukturālo fondu IT sistēmas attīstības 2.kārtas finansējumu vienotas IT sistēmas izveidei</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4181145C" w14:textId="77777777" w:rsidR="00914F28" w:rsidRDefault="00914F28" w:rsidP="002D63BE">
            <w:pPr>
              <w:jc w:val="center"/>
              <w:rPr>
                <w:rFonts w:cs="Times New Roman"/>
                <w:bCs/>
                <w:sz w:val="20"/>
                <w:szCs w:val="20"/>
              </w:rPr>
            </w:pPr>
            <w:r>
              <w:rPr>
                <w:rFonts w:cs="Times New Roman"/>
                <w:bCs/>
                <w:sz w:val="20"/>
                <w:szCs w:val="20"/>
              </w:rPr>
              <w:t>IeM</w:t>
            </w:r>
          </w:p>
        </w:tc>
        <w:tc>
          <w:tcPr>
            <w:tcW w:w="1202" w:type="dxa"/>
            <w:tcBorders>
              <w:top w:val="single" w:sz="4" w:space="0" w:color="auto"/>
              <w:left w:val="single" w:sz="4" w:space="0" w:color="auto"/>
              <w:bottom w:val="single" w:sz="4" w:space="0" w:color="auto"/>
              <w:right w:val="single" w:sz="4" w:space="0" w:color="auto"/>
            </w:tcBorders>
          </w:tcPr>
          <w:p w14:paraId="0FF6E877" w14:textId="77777777" w:rsidR="00914F28" w:rsidRDefault="00914F28" w:rsidP="002D63BE">
            <w:pPr>
              <w:jc w:val="center"/>
              <w:rPr>
                <w:rFonts w:cs="Times New Roman"/>
                <w:bCs/>
                <w:sz w:val="20"/>
                <w:szCs w:val="20"/>
              </w:rPr>
            </w:pPr>
            <w:r>
              <w:rPr>
                <w:rFonts w:cs="Times New Roman"/>
                <w:bCs/>
                <w:sz w:val="20"/>
                <w:szCs w:val="20"/>
              </w:rPr>
              <w:t>FM, VID, ĢP, TM, KNAB, SAB</w:t>
            </w:r>
          </w:p>
          <w:p w14:paraId="0E40C4F2" w14:textId="77777777" w:rsidR="00914F28" w:rsidRDefault="00914F28" w:rsidP="002D63BE">
            <w:pPr>
              <w:jc w:val="center"/>
              <w:rPr>
                <w:rFonts w:cs="Times New Roman"/>
                <w:bCs/>
                <w:sz w:val="20"/>
                <w:szCs w:val="20"/>
              </w:rPr>
            </w:pPr>
          </w:p>
        </w:tc>
        <w:tc>
          <w:tcPr>
            <w:tcW w:w="1390" w:type="dxa"/>
            <w:tcBorders>
              <w:top w:val="single" w:sz="4" w:space="0" w:color="auto"/>
              <w:left w:val="single" w:sz="4" w:space="0" w:color="auto"/>
              <w:bottom w:val="single" w:sz="4" w:space="0" w:color="auto"/>
              <w:right w:val="single" w:sz="4" w:space="0" w:color="auto"/>
            </w:tcBorders>
            <w:hideMark/>
          </w:tcPr>
          <w:p w14:paraId="65D035BA" w14:textId="77777777" w:rsidR="00914F28" w:rsidRDefault="00914F28" w:rsidP="00360B12">
            <w:pPr>
              <w:jc w:val="center"/>
              <w:rPr>
                <w:rFonts w:cs="Times New Roman"/>
                <w:bCs/>
                <w:sz w:val="20"/>
                <w:szCs w:val="20"/>
              </w:rPr>
            </w:pPr>
            <w:r>
              <w:rPr>
                <w:rFonts w:cs="Times New Roman"/>
                <w:sz w:val="20"/>
                <w:szCs w:val="20"/>
              </w:rPr>
              <w:t>20</w:t>
            </w:r>
            <w:r w:rsidR="00360B12">
              <w:rPr>
                <w:rFonts w:cs="Times New Roman"/>
                <w:sz w:val="20"/>
                <w:szCs w:val="20"/>
              </w:rPr>
              <w:t>19</w:t>
            </w:r>
            <w:r>
              <w:rPr>
                <w:rFonts w:cs="Times New Roman"/>
                <w:sz w:val="20"/>
                <w:szCs w:val="20"/>
              </w:rPr>
              <w:t xml:space="preserve">.gada </w:t>
            </w:r>
            <w:r w:rsidR="00360B12">
              <w:rPr>
                <w:rFonts w:cs="Times New Roman"/>
                <w:sz w:val="20"/>
                <w:szCs w:val="20"/>
              </w:rPr>
              <w:t>28</w:t>
            </w:r>
            <w:r>
              <w:rPr>
                <w:rFonts w:cs="Times New Roman"/>
                <w:sz w:val="20"/>
                <w:szCs w:val="20"/>
              </w:rPr>
              <w:t>.</w:t>
            </w:r>
            <w:r w:rsidR="00360B12">
              <w:rPr>
                <w:rFonts w:cs="Times New Roman"/>
                <w:sz w:val="20"/>
                <w:szCs w:val="20"/>
              </w:rPr>
              <w:t>decembris</w:t>
            </w:r>
          </w:p>
        </w:tc>
        <w:bookmarkEnd w:id="14"/>
      </w:tr>
      <w:tr w:rsidR="000D6C44" w14:paraId="2826E99F" w14:textId="77777777" w:rsidTr="000D4C76">
        <w:trPr>
          <w:trHeight w:val="979"/>
        </w:trPr>
        <w:tc>
          <w:tcPr>
            <w:tcW w:w="673" w:type="dxa"/>
            <w:vMerge w:val="restart"/>
            <w:tcBorders>
              <w:top w:val="single" w:sz="4" w:space="0" w:color="auto"/>
              <w:left w:val="single" w:sz="4" w:space="0" w:color="auto"/>
              <w:right w:val="single" w:sz="4" w:space="0" w:color="auto"/>
            </w:tcBorders>
            <w:shd w:val="clear" w:color="auto" w:fill="FFFFFF" w:themeFill="background1"/>
            <w:hideMark/>
          </w:tcPr>
          <w:p w14:paraId="3BE0874D" w14:textId="77777777" w:rsidR="000D6C44" w:rsidRDefault="00481AD0" w:rsidP="00710E51">
            <w:pPr>
              <w:jc w:val="center"/>
              <w:rPr>
                <w:rFonts w:cs="Times New Roman"/>
                <w:bCs/>
                <w:sz w:val="20"/>
                <w:szCs w:val="20"/>
              </w:rPr>
            </w:pPr>
            <w:r>
              <w:rPr>
                <w:rFonts w:cs="Times New Roman"/>
                <w:bCs/>
                <w:sz w:val="20"/>
                <w:szCs w:val="20"/>
              </w:rPr>
              <w:t>7.4</w:t>
            </w:r>
            <w:r w:rsidR="000D6C44">
              <w:rPr>
                <w:rFonts w:cs="Times New Roman"/>
                <w:bCs/>
                <w:sz w:val="20"/>
                <w:szCs w:val="20"/>
              </w:rPr>
              <w:t>.</w:t>
            </w:r>
          </w:p>
        </w:tc>
        <w:tc>
          <w:tcPr>
            <w:tcW w:w="3686" w:type="dxa"/>
            <w:vMerge w:val="restart"/>
            <w:tcBorders>
              <w:top w:val="single" w:sz="4" w:space="0" w:color="auto"/>
              <w:left w:val="single" w:sz="4" w:space="0" w:color="auto"/>
              <w:right w:val="single" w:sz="4" w:space="0" w:color="auto"/>
            </w:tcBorders>
            <w:shd w:val="clear" w:color="auto" w:fill="auto"/>
            <w:hideMark/>
          </w:tcPr>
          <w:p w14:paraId="2FB3709C" w14:textId="77777777" w:rsidR="000D6C44" w:rsidRDefault="000D6C44" w:rsidP="00710E51">
            <w:pPr>
              <w:jc w:val="both"/>
              <w:rPr>
                <w:rFonts w:cs="Times New Roman"/>
                <w:bCs/>
                <w:sz w:val="20"/>
                <w:szCs w:val="20"/>
              </w:rPr>
            </w:pPr>
            <w:r>
              <w:rPr>
                <w:rFonts w:cs="Times New Roman"/>
                <w:bCs/>
                <w:sz w:val="20"/>
                <w:szCs w:val="20"/>
              </w:rPr>
              <w:t>Eiropas Komisijas Strukturālo reformu atbalsta programmas ietvaros izstrādāt tipoloģijas, kas vērstas uz paraugprakses veidošanu trešo personu veiktajās un autonomajās NILL lietās un to sekmīga piemērošana praksē.</w:t>
            </w:r>
          </w:p>
          <w:p w14:paraId="11F3F022" w14:textId="77777777" w:rsidR="000D6C44" w:rsidRDefault="000D6C44" w:rsidP="00710E51">
            <w:pPr>
              <w:jc w:val="both"/>
              <w:rPr>
                <w:rFonts w:cs="Times New Roman"/>
                <w:bCs/>
                <w:sz w:val="20"/>
                <w:szCs w:val="20"/>
              </w:rPr>
            </w:pPr>
          </w:p>
        </w:tc>
        <w:tc>
          <w:tcPr>
            <w:tcW w:w="1590" w:type="dxa"/>
            <w:vMerge w:val="restart"/>
            <w:tcBorders>
              <w:top w:val="single" w:sz="4" w:space="0" w:color="auto"/>
              <w:left w:val="single" w:sz="4" w:space="0" w:color="auto"/>
              <w:right w:val="single" w:sz="4" w:space="0" w:color="auto"/>
            </w:tcBorders>
            <w:shd w:val="clear" w:color="auto" w:fill="auto"/>
          </w:tcPr>
          <w:p w14:paraId="56500B90" w14:textId="77777777" w:rsidR="000D6C44" w:rsidRDefault="000D6C44" w:rsidP="00710E51">
            <w:pPr>
              <w:ind w:right="-108"/>
              <w:rPr>
                <w:rFonts w:cs="Times New Roman"/>
                <w:sz w:val="20"/>
                <w:szCs w:val="20"/>
              </w:rPr>
            </w:pPr>
            <w:r>
              <w:rPr>
                <w:rFonts w:cs="Times New Roman"/>
                <w:sz w:val="20"/>
                <w:szCs w:val="20"/>
              </w:rPr>
              <w:t>Moneyval rekomendācija 7.1.</w:t>
            </w:r>
          </w:p>
          <w:p w14:paraId="57D86A87" w14:textId="77777777" w:rsidR="000D6C44" w:rsidRDefault="000D6C44" w:rsidP="00710E51">
            <w:pPr>
              <w:ind w:right="-79"/>
              <w:rPr>
                <w:rFonts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247BA75E" w14:textId="77777777" w:rsidR="000D6C44" w:rsidRPr="002D63BE" w:rsidRDefault="000D6C44" w:rsidP="00EE1B29">
            <w:pPr>
              <w:jc w:val="both"/>
              <w:rPr>
                <w:rFonts w:cs="Times New Roman"/>
                <w:sz w:val="20"/>
                <w:szCs w:val="20"/>
              </w:rPr>
            </w:pPr>
            <w:r>
              <w:rPr>
                <w:rFonts w:cs="Times New Roman"/>
                <w:sz w:val="20"/>
                <w:szCs w:val="20"/>
              </w:rPr>
              <w:t xml:space="preserve">1. </w:t>
            </w:r>
            <w:r w:rsidRPr="002D63BE">
              <w:rPr>
                <w:rFonts w:cs="Times New Roman"/>
                <w:sz w:val="20"/>
                <w:szCs w:val="20"/>
              </w:rPr>
              <w:t>Izstrādātas tipoloģijas</w:t>
            </w:r>
          </w:p>
          <w:p w14:paraId="36D09153" w14:textId="77777777" w:rsidR="000D6C44" w:rsidRDefault="000D6C44" w:rsidP="00EE1B29">
            <w:pPr>
              <w:jc w:val="both"/>
              <w:rPr>
                <w:rFonts w:cs="Times New Roman"/>
                <w:sz w:val="20"/>
                <w:szCs w:val="20"/>
              </w:rPr>
            </w:pPr>
          </w:p>
          <w:p w14:paraId="7A63DE43" w14:textId="77777777" w:rsidR="000D6C44" w:rsidRDefault="000D6C44" w:rsidP="00EE1B29">
            <w:pPr>
              <w:jc w:val="both"/>
              <w:rPr>
                <w:rFonts w:cs="Times New Roman"/>
                <w:sz w:val="20"/>
                <w:szCs w:val="20"/>
              </w:rPr>
            </w:pP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6452AA9F" w14:textId="77777777" w:rsidR="000D6C44" w:rsidRDefault="00533B4B" w:rsidP="00533B4B">
            <w:pPr>
              <w:jc w:val="both"/>
              <w:rPr>
                <w:rFonts w:cs="Times New Roman"/>
                <w:sz w:val="20"/>
                <w:szCs w:val="20"/>
              </w:rPr>
            </w:pPr>
            <w:r>
              <w:rPr>
                <w:rFonts w:cs="Times New Roman"/>
                <w:sz w:val="20"/>
                <w:szCs w:val="20"/>
              </w:rPr>
              <w:t>Veicināta paraugprakses veidošana trešo personu veiktajās un autonomajās NILL lietās</w:t>
            </w:r>
          </w:p>
          <w:p w14:paraId="52688062" w14:textId="77777777" w:rsidR="000D6C44" w:rsidRDefault="000D6C44" w:rsidP="00F83ABE">
            <w:pPr>
              <w:jc w:val="both"/>
              <w:rPr>
                <w:rFonts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0E121BA7" w14:textId="77777777" w:rsidR="000D6C44" w:rsidRDefault="000D6C44" w:rsidP="002D63BE">
            <w:pPr>
              <w:jc w:val="center"/>
              <w:rPr>
                <w:rFonts w:cs="Times New Roman"/>
                <w:bCs/>
                <w:sz w:val="20"/>
                <w:szCs w:val="20"/>
              </w:rPr>
            </w:pPr>
            <w:r>
              <w:rPr>
                <w:rFonts w:cs="Times New Roman"/>
                <w:bCs/>
                <w:sz w:val="20"/>
                <w:szCs w:val="20"/>
              </w:rPr>
              <w:t>IeM (VP)</w:t>
            </w:r>
          </w:p>
          <w:p w14:paraId="67BB864B" w14:textId="77777777" w:rsidR="000D6C44" w:rsidRDefault="000D6C44" w:rsidP="002D63BE">
            <w:pPr>
              <w:jc w:val="center"/>
              <w:rPr>
                <w:rFonts w:cs="Times New Roman"/>
                <w:bCs/>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tcPr>
          <w:p w14:paraId="201BE708" w14:textId="77777777" w:rsidR="000D6C44" w:rsidRDefault="000D6C44" w:rsidP="000D6C44">
            <w:pPr>
              <w:jc w:val="center"/>
              <w:rPr>
                <w:rFonts w:cs="Times New Roman"/>
                <w:bCs/>
                <w:sz w:val="20"/>
                <w:szCs w:val="20"/>
              </w:rPr>
            </w:pPr>
            <w:r>
              <w:rPr>
                <w:rFonts w:cs="Times New Roman"/>
                <w:bCs/>
                <w:sz w:val="20"/>
                <w:szCs w:val="20"/>
              </w:rPr>
              <w:t>FM (VID, NMPP), KNAB, ĢP, KD</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AD414" w14:textId="77777777" w:rsidR="000D6C44" w:rsidRPr="00771776" w:rsidRDefault="000D6C44" w:rsidP="00360B12">
            <w:pPr>
              <w:jc w:val="center"/>
              <w:rPr>
                <w:rFonts w:cs="Times New Roman"/>
                <w:bCs/>
                <w:sz w:val="20"/>
                <w:szCs w:val="20"/>
              </w:rPr>
            </w:pPr>
            <w:r>
              <w:rPr>
                <w:rFonts w:cs="Times New Roman"/>
                <w:sz w:val="20"/>
                <w:szCs w:val="20"/>
              </w:rPr>
              <w:t xml:space="preserve">2018.gada </w:t>
            </w:r>
            <w:r w:rsidR="00360B12">
              <w:rPr>
                <w:rFonts w:cs="Times New Roman"/>
                <w:sz w:val="20"/>
                <w:szCs w:val="20"/>
              </w:rPr>
              <w:t>28</w:t>
            </w:r>
            <w:r>
              <w:rPr>
                <w:rFonts w:cs="Times New Roman"/>
                <w:sz w:val="20"/>
                <w:szCs w:val="20"/>
              </w:rPr>
              <w:t>.decembris</w:t>
            </w:r>
          </w:p>
        </w:tc>
      </w:tr>
      <w:tr w:rsidR="000D6C44" w14:paraId="5E5CBC4B" w14:textId="77777777" w:rsidTr="000D4C76">
        <w:tc>
          <w:tcPr>
            <w:tcW w:w="673" w:type="dxa"/>
            <w:vMerge/>
            <w:tcBorders>
              <w:left w:val="single" w:sz="4" w:space="0" w:color="auto"/>
              <w:bottom w:val="single" w:sz="4" w:space="0" w:color="auto"/>
              <w:right w:val="single" w:sz="4" w:space="0" w:color="auto"/>
            </w:tcBorders>
          </w:tcPr>
          <w:p w14:paraId="77DD30E1" w14:textId="77777777" w:rsidR="000D6C44" w:rsidRDefault="000D6C44" w:rsidP="00710E51">
            <w:pPr>
              <w:jc w:val="center"/>
              <w:rPr>
                <w:rFonts w:cs="Times New Roman"/>
                <w:bCs/>
                <w:sz w:val="20"/>
                <w:szCs w:val="20"/>
              </w:rPr>
            </w:pPr>
          </w:p>
        </w:tc>
        <w:tc>
          <w:tcPr>
            <w:tcW w:w="3686" w:type="dxa"/>
            <w:vMerge/>
            <w:tcBorders>
              <w:left w:val="single" w:sz="4" w:space="0" w:color="auto"/>
              <w:bottom w:val="single" w:sz="4" w:space="0" w:color="auto"/>
              <w:right w:val="single" w:sz="4" w:space="0" w:color="auto"/>
            </w:tcBorders>
            <w:shd w:val="clear" w:color="auto" w:fill="auto"/>
          </w:tcPr>
          <w:p w14:paraId="7BA929CF" w14:textId="77777777" w:rsidR="000D6C44" w:rsidRDefault="000D6C44" w:rsidP="00710E51">
            <w:pPr>
              <w:jc w:val="both"/>
              <w:rPr>
                <w:rFonts w:cs="Times New Roman"/>
                <w:bCs/>
                <w:sz w:val="20"/>
                <w:szCs w:val="20"/>
              </w:rPr>
            </w:pPr>
          </w:p>
        </w:tc>
        <w:tc>
          <w:tcPr>
            <w:tcW w:w="1590" w:type="dxa"/>
            <w:vMerge/>
            <w:tcBorders>
              <w:left w:val="single" w:sz="4" w:space="0" w:color="auto"/>
              <w:bottom w:val="single" w:sz="4" w:space="0" w:color="auto"/>
              <w:right w:val="single" w:sz="4" w:space="0" w:color="auto"/>
            </w:tcBorders>
            <w:shd w:val="clear" w:color="auto" w:fill="auto"/>
          </w:tcPr>
          <w:p w14:paraId="23B5F6FE" w14:textId="77777777" w:rsidR="000D6C44" w:rsidRDefault="000D6C44" w:rsidP="00710E51">
            <w:pPr>
              <w:ind w:right="-108"/>
              <w:rPr>
                <w:rFonts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16D12D71" w14:textId="77777777" w:rsidR="000D6C44" w:rsidRPr="002D63BE" w:rsidRDefault="000D6C44" w:rsidP="00EE1B29">
            <w:pPr>
              <w:jc w:val="both"/>
              <w:rPr>
                <w:rFonts w:cs="Times New Roman"/>
                <w:sz w:val="20"/>
                <w:szCs w:val="20"/>
              </w:rPr>
            </w:pPr>
            <w:r w:rsidRPr="002D63BE">
              <w:rPr>
                <w:rFonts w:cs="Times New Roman"/>
                <w:sz w:val="20"/>
                <w:szCs w:val="20"/>
              </w:rPr>
              <w:t>2. Tipoloģijas sekmīgi piemērotas praksē</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71C9003F" w14:textId="77777777" w:rsidR="000D6C44" w:rsidRDefault="000D6C44" w:rsidP="007A02F5">
            <w:pPr>
              <w:jc w:val="both"/>
              <w:rPr>
                <w:rFonts w:cs="Times New Roman"/>
                <w:sz w:val="20"/>
                <w:szCs w:val="20"/>
              </w:rPr>
            </w:pPr>
            <w:r w:rsidRPr="002D63BE">
              <w:rPr>
                <w:rFonts w:cs="Times New Roman"/>
                <w:sz w:val="20"/>
                <w:szCs w:val="20"/>
              </w:rPr>
              <w:t xml:space="preserve">Sekmīgi izmeklētu </w:t>
            </w:r>
            <w:r w:rsidR="007A02F5">
              <w:rPr>
                <w:rFonts w:cs="Times New Roman"/>
                <w:sz w:val="20"/>
                <w:szCs w:val="20"/>
              </w:rPr>
              <w:t>t</w:t>
            </w:r>
            <w:r w:rsidRPr="002D63BE">
              <w:rPr>
                <w:rFonts w:cs="Times New Roman"/>
                <w:sz w:val="20"/>
                <w:szCs w:val="20"/>
              </w:rPr>
              <w:t xml:space="preserve">rešo personu veikto un autonomo NILL lietu pieaugums par 20% 2019.gadā iepretim 2018.gada rādītājam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471B5391" w14:textId="77777777" w:rsidR="000D6C44" w:rsidRDefault="000D6C44" w:rsidP="002D63BE">
            <w:pPr>
              <w:jc w:val="center"/>
              <w:rPr>
                <w:rFonts w:cs="Times New Roman"/>
                <w:bCs/>
                <w:sz w:val="20"/>
                <w:szCs w:val="20"/>
              </w:rPr>
            </w:pPr>
            <w:r>
              <w:rPr>
                <w:rFonts w:cs="Times New Roman"/>
                <w:bCs/>
                <w:sz w:val="20"/>
                <w:szCs w:val="20"/>
              </w:rPr>
              <w:t>IeM (VP)</w:t>
            </w:r>
          </w:p>
          <w:p w14:paraId="7E61C40E" w14:textId="77777777" w:rsidR="000D6C44" w:rsidRDefault="000D6C44" w:rsidP="002D63BE">
            <w:pPr>
              <w:jc w:val="center"/>
              <w:rPr>
                <w:rFonts w:cs="Times New Roman"/>
                <w:bCs/>
                <w:sz w:val="20"/>
                <w:szCs w:val="20"/>
              </w:rPr>
            </w:pPr>
          </w:p>
        </w:tc>
        <w:tc>
          <w:tcPr>
            <w:tcW w:w="1202" w:type="dxa"/>
            <w:tcBorders>
              <w:top w:val="single" w:sz="4" w:space="0" w:color="auto"/>
              <w:left w:val="single" w:sz="4" w:space="0" w:color="auto"/>
              <w:bottom w:val="single" w:sz="4" w:space="0" w:color="auto"/>
              <w:right w:val="single" w:sz="4" w:space="0" w:color="auto"/>
            </w:tcBorders>
          </w:tcPr>
          <w:p w14:paraId="07AB39E3" w14:textId="77777777" w:rsidR="000D6C44" w:rsidRDefault="000D6C44" w:rsidP="000D6C44">
            <w:pPr>
              <w:jc w:val="center"/>
              <w:rPr>
                <w:rFonts w:cs="Times New Roman"/>
                <w:bCs/>
                <w:sz w:val="20"/>
                <w:szCs w:val="20"/>
              </w:rPr>
            </w:pPr>
            <w:r>
              <w:rPr>
                <w:rFonts w:cs="Times New Roman"/>
                <w:bCs/>
                <w:sz w:val="20"/>
                <w:szCs w:val="20"/>
              </w:rPr>
              <w:t>FM (VID, NMPP), KNAB, ĢP, KD</w:t>
            </w:r>
          </w:p>
        </w:tc>
        <w:tc>
          <w:tcPr>
            <w:tcW w:w="1390" w:type="dxa"/>
            <w:tcBorders>
              <w:top w:val="single" w:sz="4" w:space="0" w:color="auto"/>
              <w:left w:val="single" w:sz="4" w:space="0" w:color="auto"/>
              <w:bottom w:val="single" w:sz="4" w:space="0" w:color="auto"/>
              <w:right w:val="single" w:sz="4" w:space="0" w:color="auto"/>
            </w:tcBorders>
          </w:tcPr>
          <w:p w14:paraId="4ED8630D" w14:textId="77777777" w:rsidR="000D6C44" w:rsidRDefault="000D6C44" w:rsidP="00360B12">
            <w:pPr>
              <w:jc w:val="center"/>
              <w:rPr>
                <w:rFonts w:cs="Times New Roman"/>
                <w:sz w:val="20"/>
                <w:szCs w:val="20"/>
              </w:rPr>
            </w:pPr>
            <w:r>
              <w:rPr>
                <w:rFonts w:cs="Times New Roman"/>
                <w:sz w:val="20"/>
                <w:szCs w:val="20"/>
              </w:rPr>
              <w:t xml:space="preserve">2019.gada </w:t>
            </w:r>
            <w:r w:rsidR="00360B12">
              <w:rPr>
                <w:rFonts w:cs="Times New Roman"/>
                <w:sz w:val="20"/>
                <w:szCs w:val="20"/>
              </w:rPr>
              <w:t>28</w:t>
            </w:r>
            <w:r>
              <w:rPr>
                <w:rFonts w:cs="Times New Roman"/>
                <w:sz w:val="20"/>
                <w:szCs w:val="20"/>
              </w:rPr>
              <w:t>.decembris</w:t>
            </w:r>
          </w:p>
        </w:tc>
      </w:tr>
      <w:tr w:rsidR="00914F28" w14:paraId="3FA2E132" w14:textId="77777777" w:rsidTr="002D63BE">
        <w:tc>
          <w:tcPr>
            <w:tcW w:w="673" w:type="dxa"/>
            <w:tcBorders>
              <w:top w:val="single" w:sz="4" w:space="0" w:color="auto"/>
              <w:left w:val="single" w:sz="4" w:space="0" w:color="auto"/>
              <w:bottom w:val="single" w:sz="4" w:space="0" w:color="auto"/>
              <w:right w:val="single" w:sz="4" w:space="0" w:color="auto"/>
            </w:tcBorders>
            <w:hideMark/>
          </w:tcPr>
          <w:p w14:paraId="26B06988" w14:textId="77777777" w:rsidR="00914F28" w:rsidRDefault="00481AD0" w:rsidP="00710E51">
            <w:pPr>
              <w:jc w:val="center"/>
              <w:rPr>
                <w:rFonts w:cs="Times New Roman"/>
                <w:bCs/>
                <w:sz w:val="20"/>
                <w:szCs w:val="20"/>
              </w:rPr>
            </w:pPr>
            <w:r>
              <w:rPr>
                <w:rFonts w:cs="Times New Roman"/>
                <w:bCs/>
                <w:sz w:val="20"/>
                <w:szCs w:val="20"/>
              </w:rPr>
              <w:t>7.5</w:t>
            </w:r>
            <w:r w:rsidR="00914F28">
              <w:rPr>
                <w:rFonts w:cs="Times New Roman"/>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8CD498A" w14:textId="77777777" w:rsidR="00914F28" w:rsidRDefault="00914F28" w:rsidP="00710E51">
            <w:pPr>
              <w:jc w:val="both"/>
              <w:rPr>
                <w:rFonts w:cs="Times New Roman"/>
                <w:bCs/>
                <w:sz w:val="20"/>
                <w:szCs w:val="20"/>
              </w:rPr>
            </w:pPr>
            <w:r>
              <w:rPr>
                <w:rFonts w:cs="Times New Roman"/>
                <w:bCs/>
                <w:sz w:val="20"/>
                <w:szCs w:val="20"/>
              </w:rPr>
              <w:t xml:space="preserve">Veikt konsultācijas ar tiesu priekšsēdētājiem nolūkā prioritizēt NILL lietu iztiesāšanu. </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568B29BE" w14:textId="77777777" w:rsidR="00914F28" w:rsidRDefault="00914F28" w:rsidP="00710E51">
            <w:pPr>
              <w:ind w:right="-108"/>
              <w:rPr>
                <w:rFonts w:cs="Times New Roman"/>
                <w:sz w:val="20"/>
                <w:szCs w:val="20"/>
              </w:rPr>
            </w:pPr>
            <w:r>
              <w:rPr>
                <w:rFonts w:cs="Times New Roman"/>
                <w:sz w:val="20"/>
                <w:szCs w:val="20"/>
              </w:rPr>
              <w:t>Moneyval rekomendācija 7.1.</w:t>
            </w:r>
          </w:p>
          <w:p w14:paraId="33CD4C78" w14:textId="77777777" w:rsidR="00914F28" w:rsidRDefault="00914F28" w:rsidP="00710E51">
            <w:pPr>
              <w:ind w:right="-108"/>
              <w:rPr>
                <w:rFonts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65FB6764" w14:textId="77777777" w:rsidR="00914F28" w:rsidRDefault="00914F28" w:rsidP="00EE1B29">
            <w:pPr>
              <w:jc w:val="both"/>
              <w:rPr>
                <w:rFonts w:cs="Times New Roman"/>
                <w:sz w:val="20"/>
                <w:szCs w:val="20"/>
              </w:rPr>
            </w:pPr>
            <w:r>
              <w:rPr>
                <w:rFonts w:cs="Times New Roman"/>
                <w:sz w:val="20"/>
                <w:szCs w:val="20"/>
              </w:rPr>
              <w:t xml:space="preserve">Tiks nodrošināta NILL lietu izskatīšanu tiesā pēc iespējas īsākā laika periodā </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78BA5253" w14:textId="77777777" w:rsidR="00914F28" w:rsidRDefault="00914F28" w:rsidP="00EE1B29">
            <w:pPr>
              <w:jc w:val="both"/>
              <w:rPr>
                <w:rFonts w:cs="Times New Roman"/>
                <w:sz w:val="20"/>
                <w:szCs w:val="20"/>
              </w:rPr>
            </w:pPr>
            <w:r>
              <w:rPr>
                <w:rFonts w:cs="Times New Roman"/>
                <w:sz w:val="20"/>
                <w:szCs w:val="20"/>
              </w:rPr>
              <w:t xml:space="preserve">Vidējais lietu izskatīšanas termiņš – 12 mēneši vienā instancē </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1EF522AE" w14:textId="77777777" w:rsidR="00914F28" w:rsidRDefault="00914F28" w:rsidP="002D63BE">
            <w:pPr>
              <w:jc w:val="center"/>
              <w:rPr>
                <w:rFonts w:cs="Times New Roman"/>
                <w:bCs/>
                <w:sz w:val="20"/>
                <w:szCs w:val="20"/>
              </w:rPr>
            </w:pPr>
            <w:r>
              <w:rPr>
                <w:rFonts w:cs="Times New Roman"/>
                <w:bCs/>
                <w:sz w:val="20"/>
                <w:szCs w:val="20"/>
              </w:rPr>
              <w:t>TM (TA)</w:t>
            </w:r>
          </w:p>
        </w:tc>
        <w:tc>
          <w:tcPr>
            <w:tcW w:w="1202" w:type="dxa"/>
            <w:tcBorders>
              <w:top w:val="single" w:sz="4" w:space="0" w:color="auto"/>
              <w:left w:val="single" w:sz="4" w:space="0" w:color="auto"/>
              <w:bottom w:val="single" w:sz="4" w:space="0" w:color="auto"/>
              <w:right w:val="single" w:sz="4" w:space="0" w:color="auto"/>
            </w:tcBorders>
          </w:tcPr>
          <w:p w14:paraId="3D402FAC" w14:textId="77777777" w:rsidR="00914F28" w:rsidRDefault="00914F28" w:rsidP="002D63BE">
            <w:pPr>
              <w:jc w:val="center"/>
              <w:rPr>
                <w:rFonts w:cs="Times New Roman"/>
                <w:bCs/>
                <w:sz w:val="20"/>
                <w:szCs w:val="20"/>
              </w:rPr>
            </w:pPr>
          </w:p>
        </w:tc>
        <w:tc>
          <w:tcPr>
            <w:tcW w:w="1390" w:type="dxa"/>
            <w:tcBorders>
              <w:top w:val="single" w:sz="4" w:space="0" w:color="auto"/>
              <w:left w:val="single" w:sz="4" w:space="0" w:color="auto"/>
              <w:bottom w:val="single" w:sz="4" w:space="0" w:color="auto"/>
              <w:right w:val="single" w:sz="4" w:space="0" w:color="auto"/>
            </w:tcBorders>
            <w:hideMark/>
          </w:tcPr>
          <w:p w14:paraId="6271B7BE" w14:textId="77777777" w:rsidR="00914F28" w:rsidRDefault="00914F28" w:rsidP="002D63BE">
            <w:pPr>
              <w:jc w:val="center"/>
              <w:rPr>
                <w:rFonts w:cs="Times New Roman"/>
                <w:bCs/>
                <w:sz w:val="20"/>
                <w:szCs w:val="20"/>
              </w:rPr>
            </w:pPr>
            <w:r>
              <w:rPr>
                <w:rFonts w:cs="Times New Roman"/>
                <w:sz w:val="20"/>
                <w:szCs w:val="20"/>
              </w:rPr>
              <w:t>2018.gada 15.decembris</w:t>
            </w:r>
          </w:p>
        </w:tc>
      </w:tr>
      <w:tr w:rsidR="00914F28" w14:paraId="63629F26" w14:textId="77777777" w:rsidTr="002D63BE">
        <w:tc>
          <w:tcPr>
            <w:tcW w:w="673" w:type="dxa"/>
            <w:tcBorders>
              <w:top w:val="single" w:sz="4" w:space="0" w:color="auto"/>
              <w:left w:val="single" w:sz="4" w:space="0" w:color="auto"/>
              <w:bottom w:val="single" w:sz="4" w:space="0" w:color="auto"/>
              <w:right w:val="single" w:sz="4" w:space="0" w:color="auto"/>
            </w:tcBorders>
            <w:hideMark/>
          </w:tcPr>
          <w:p w14:paraId="66A60797" w14:textId="77777777" w:rsidR="00914F28" w:rsidRDefault="00481AD0" w:rsidP="00710E51">
            <w:pPr>
              <w:jc w:val="center"/>
              <w:rPr>
                <w:rFonts w:cs="Times New Roman"/>
                <w:bCs/>
                <w:sz w:val="20"/>
                <w:szCs w:val="20"/>
              </w:rPr>
            </w:pPr>
            <w:r>
              <w:rPr>
                <w:rFonts w:cs="Times New Roman"/>
                <w:bCs/>
                <w:sz w:val="20"/>
                <w:szCs w:val="20"/>
              </w:rPr>
              <w:t>7.6</w:t>
            </w:r>
            <w:r w:rsidR="00914F28">
              <w:rPr>
                <w:rFonts w:cs="Times New Roman"/>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A7E1030" w14:textId="77777777" w:rsidR="00914F28" w:rsidRDefault="00914F28" w:rsidP="00710E51">
            <w:pPr>
              <w:jc w:val="both"/>
              <w:rPr>
                <w:rFonts w:cs="Times New Roman"/>
                <w:bCs/>
                <w:sz w:val="20"/>
                <w:szCs w:val="20"/>
              </w:rPr>
            </w:pPr>
            <w:r>
              <w:rPr>
                <w:rFonts w:cs="Times New Roman"/>
                <w:bCs/>
                <w:sz w:val="20"/>
                <w:szCs w:val="20"/>
              </w:rPr>
              <w:t xml:space="preserve">Veikt izmeklēšanas iestāžu kapacitātes izvērtējumu par paralēlo finanšu izmeklēšanu veikšanu </w:t>
            </w:r>
            <w:r w:rsidRPr="00771776">
              <w:rPr>
                <w:rFonts w:cs="Times New Roman"/>
                <w:bCs/>
                <w:sz w:val="20"/>
                <w:szCs w:val="20"/>
              </w:rPr>
              <w:t xml:space="preserve">un izstrādāt priekšlikumus </w:t>
            </w:r>
            <w:r>
              <w:rPr>
                <w:rFonts w:cs="Times New Roman"/>
                <w:bCs/>
                <w:sz w:val="20"/>
                <w:szCs w:val="20"/>
              </w:rPr>
              <w:t xml:space="preserve">resursu pārorganizācijai, lai nodrošinātu sistemātiskas </w:t>
            </w:r>
            <w:r w:rsidRPr="00771776">
              <w:rPr>
                <w:rFonts w:cs="Times New Roman"/>
                <w:bCs/>
                <w:sz w:val="20"/>
                <w:szCs w:val="20"/>
              </w:rPr>
              <w:t>paralēl</w:t>
            </w:r>
            <w:r>
              <w:rPr>
                <w:rFonts w:cs="Times New Roman"/>
                <w:bCs/>
                <w:sz w:val="20"/>
                <w:szCs w:val="20"/>
              </w:rPr>
              <w:t>ās</w:t>
            </w:r>
            <w:r w:rsidRPr="00771776">
              <w:rPr>
                <w:rFonts w:cs="Times New Roman"/>
                <w:bCs/>
                <w:sz w:val="20"/>
                <w:szCs w:val="20"/>
              </w:rPr>
              <w:t xml:space="preserve"> finanšu izmeklēšan</w:t>
            </w:r>
            <w:r>
              <w:rPr>
                <w:rFonts w:cs="Times New Roman"/>
                <w:bCs/>
                <w:sz w:val="20"/>
                <w:szCs w:val="20"/>
              </w:rPr>
              <w:t>as</w:t>
            </w:r>
            <w:r w:rsidRPr="00771776">
              <w:rPr>
                <w:rFonts w:cs="Times New Roman"/>
                <w:bCs/>
                <w:sz w:val="20"/>
                <w:szCs w:val="20"/>
              </w:rPr>
              <w:t>.</w:t>
            </w:r>
          </w:p>
          <w:p w14:paraId="213FBD3C" w14:textId="77777777" w:rsidR="00914F28" w:rsidRDefault="00914F28" w:rsidP="00710E51">
            <w:pPr>
              <w:jc w:val="both"/>
              <w:rPr>
                <w:rFonts w:cs="Times New Roman"/>
                <w:bCs/>
                <w:sz w:val="20"/>
                <w:szCs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254B5854" w14:textId="77777777" w:rsidR="00914F28" w:rsidRDefault="00914F28" w:rsidP="00710E51">
            <w:pPr>
              <w:ind w:right="-108"/>
              <w:rPr>
                <w:rFonts w:cs="Times New Roman"/>
                <w:sz w:val="20"/>
                <w:szCs w:val="20"/>
              </w:rPr>
            </w:pPr>
            <w:r>
              <w:rPr>
                <w:rFonts w:cs="Times New Roman"/>
                <w:sz w:val="20"/>
                <w:szCs w:val="20"/>
              </w:rPr>
              <w:t>Moneyval rekomendācija 7.1.</w:t>
            </w:r>
          </w:p>
          <w:p w14:paraId="56884477" w14:textId="77777777" w:rsidR="00914F28" w:rsidRDefault="00914F28" w:rsidP="00710E51">
            <w:pPr>
              <w:ind w:right="-108"/>
              <w:rPr>
                <w:rFonts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44B75AAD" w14:textId="77777777" w:rsidR="00914F28" w:rsidRDefault="00914F28" w:rsidP="00EE1B29">
            <w:pPr>
              <w:jc w:val="both"/>
              <w:rPr>
                <w:rFonts w:cs="Times New Roman"/>
                <w:sz w:val="20"/>
                <w:szCs w:val="20"/>
              </w:rPr>
            </w:pPr>
            <w:r>
              <w:rPr>
                <w:rFonts w:cs="Times New Roman"/>
                <w:sz w:val="20"/>
                <w:szCs w:val="20"/>
              </w:rPr>
              <w:t xml:space="preserve"> Izmeklēšanas iestāžu spējas nodrošināt sistemātiskas paralēlās finanšu izmeklēšanas </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491E89B2" w14:textId="77777777" w:rsidR="00914F28" w:rsidRDefault="00914F28" w:rsidP="00EE1B29">
            <w:pPr>
              <w:jc w:val="both"/>
              <w:rPr>
                <w:rFonts w:cs="Times New Roman"/>
                <w:sz w:val="20"/>
                <w:szCs w:val="20"/>
              </w:rPr>
            </w:pPr>
            <w:r>
              <w:rPr>
                <w:rFonts w:cs="Times New Roman"/>
                <w:sz w:val="20"/>
                <w:szCs w:val="20"/>
              </w:rPr>
              <w:t xml:space="preserve">Sagatavots un iesniegts FSAP ziņojums – apkopojums par </w:t>
            </w:r>
            <w:r>
              <w:rPr>
                <w:rFonts w:cs="Times New Roman"/>
                <w:bCs/>
                <w:sz w:val="20"/>
                <w:szCs w:val="20"/>
              </w:rPr>
              <w:t xml:space="preserve">izmeklēšanas iestāžu kapacitāti veikt sistemātiskas paralēlās finanšu izmeklēšanas  ar </w:t>
            </w:r>
            <w:r>
              <w:rPr>
                <w:rFonts w:cs="Times New Roman"/>
                <w:sz w:val="20"/>
                <w:szCs w:val="20"/>
              </w:rPr>
              <w:t>izmeklēšanas iestāžu priekšlikumiem par sistemātisku paralēlo finanšu izmeklēšanu nodrošināšanu un to uzlabošanu</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33954C41" w14:textId="77777777" w:rsidR="00914F28" w:rsidRDefault="00914F28" w:rsidP="002D63BE">
            <w:pPr>
              <w:jc w:val="center"/>
              <w:rPr>
                <w:rFonts w:cs="Times New Roman"/>
                <w:bCs/>
                <w:sz w:val="20"/>
                <w:szCs w:val="20"/>
              </w:rPr>
            </w:pPr>
            <w:r>
              <w:rPr>
                <w:rFonts w:cs="Times New Roman"/>
                <w:bCs/>
                <w:sz w:val="20"/>
                <w:szCs w:val="20"/>
              </w:rPr>
              <w:t>IeM</w:t>
            </w:r>
          </w:p>
        </w:tc>
        <w:tc>
          <w:tcPr>
            <w:tcW w:w="1202" w:type="dxa"/>
            <w:tcBorders>
              <w:top w:val="single" w:sz="4" w:space="0" w:color="auto"/>
              <w:left w:val="single" w:sz="4" w:space="0" w:color="auto"/>
              <w:bottom w:val="single" w:sz="4" w:space="0" w:color="auto"/>
              <w:right w:val="single" w:sz="4" w:space="0" w:color="auto"/>
            </w:tcBorders>
          </w:tcPr>
          <w:p w14:paraId="019B243F" w14:textId="77777777" w:rsidR="00914F28" w:rsidRDefault="00914F28" w:rsidP="002D63BE">
            <w:pPr>
              <w:jc w:val="center"/>
              <w:rPr>
                <w:rFonts w:cs="Times New Roman"/>
                <w:bCs/>
                <w:sz w:val="20"/>
                <w:szCs w:val="20"/>
              </w:rPr>
            </w:pPr>
            <w:r>
              <w:rPr>
                <w:rFonts w:cs="Times New Roman"/>
                <w:bCs/>
                <w:sz w:val="20"/>
                <w:szCs w:val="20"/>
              </w:rPr>
              <w:t>VP, KNAB, NMPP, DP, IDB, VRS</w:t>
            </w:r>
          </w:p>
        </w:tc>
        <w:tc>
          <w:tcPr>
            <w:tcW w:w="1390" w:type="dxa"/>
            <w:tcBorders>
              <w:top w:val="single" w:sz="4" w:space="0" w:color="auto"/>
              <w:left w:val="single" w:sz="4" w:space="0" w:color="auto"/>
              <w:bottom w:val="single" w:sz="4" w:space="0" w:color="auto"/>
              <w:right w:val="single" w:sz="4" w:space="0" w:color="auto"/>
            </w:tcBorders>
            <w:hideMark/>
          </w:tcPr>
          <w:p w14:paraId="37CA3511" w14:textId="77777777" w:rsidR="00914F28" w:rsidRDefault="00914F28" w:rsidP="002D63BE">
            <w:pPr>
              <w:jc w:val="center"/>
              <w:rPr>
                <w:rFonts w:cs="Times New Roman"/>
                <w:bCs/>
                <w:sz w:val="20"/>
                <w:szCs w:val="20"/>
              </w:rPr>
            </w:pPr>
            <w:r>
              <w:rPr>
                <w:rFonts w:cs="Times New Roman"/>
                <w:sz w:val="20"/>
                <w:szCs w:val="20"/>
              </w:rPr>
              <w:t>2019.gada 1.februāris</w:t>
            </w:r>
          </w:p>
        </w:tc>
      </w:tr>
      <w:tr w:rsidR="00360B12" w14:paraId="65687981" w14:textId="77777777" w:rsidTr="00C84537">
        <w:tc>
          <w:tcPr>
            <w:tcW w:w="673" w:type="dxa"/>
            <w:vMerge w:val="restart"/>
            <w:tcBorders>
              <w:top w:val="single" w:sz="4" w:space="0" w:color="auto"/>
              <w:left w:val="single" w:sz="4" w:space="0" w:color="auto"/>
              <w:right w:val="single" w:sz="4" w:space="0" w:color="auto"/>
            </w:tcBorders>
            <w:hideMark/>
          </w:tcPr>
          <w:p w14:paraId="59804F2B" w14:textId="77777777" w:rsidR="00360B12" w:rsidRDefault="00481AD0" w:rsidP="00710E51">
            <w:pPr>
              <w:jc w:val="center"/>
              <w:rPr>
                <w:rFonts w:cs="Times New Roman"/>
                <w:bCs/>
                <w:sz w:val="20"/>
                <w:szCs w:val="20"/>
              </w:rPr>
            </w:pPr>
            <w:r>
              <w:rPr>
                <w:rFonts w:cs="Times New Roman"/>
                <w:bCs/>
                <w:sz w:val="20"/>
                <w:szCs w:val="20"/>
              </w:rPr>
              <w:lastRenderedPageBreak/>
              <w:t>7.7</w:t>
            </w:r>
            <w:r w:rsidR="00360B12">
              <w:rPr>
                <w:rFonts w:cs="Times New Roman"/>
                <w:bCs/>
                <w:sz w:val="20"/>
                <w:szCs w:val="20"/>
              </w:rPr>
              <w:t>.</w:t>
            </w:r>
          </w:p>
          <w:p w14:paraId="2A6A00B6" w14:textId="77777777" w:rsidR="00360B12" w:rsidRDefault="00360B12" w:rsidP="00710E51">
            <w:pPr>
              <w:jc w:val="center"/>
              <w:rPr>
                <w:rFonts w:cs="Times New Roman"/>
                <w:bCs/>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FAA02A9" w14:textId="77777777" w:rsidR="00360B12" w:rsidRPr="00EE1B29" w:rsidRDefault="00360B12" w:rsidP="00710E51">
            <w:pPr>
              <w:jc w:val="both"/>
              <w:rPr>
                <w:rFonts w:cs="Times New Roman"/>
                <w:b/>
                <w:bCs/>
                <w:sz w:val="20"/>
                <w:szCs w:val="20"/>
              </w:rPr>
            </w:pPr>
            <w:r w:rsidRPr="00EE1B29">
              <w:rPr>
                <w:rFonts w:cs="Times New Roman"/>
                <w:b/>
                <w:bCs/>
                <w:sz w:val="20"/>
                <w:szCs w:val="20"/>
              </w:rPr>
              <w:t>Apmācības noziedzīgi iegūtu līdzekļu legalizācijas apkarošanā:</w:t>
            </w:r>
          </w:p>
          <w:p w14:paraId="7834DE3D" w14:textId="77777777" w:rsidR="00360B12" w:rsidRDefault="00360B12" w:rsidP="00710E51">
            <w:pPr>
              <w:jc w:val="both"/>
              <w:rPr>
                <w:rFonts w:cs="Times New Roman"/>
                <w:bCs/>
                <w:sz w:val="20"/>
                <w:szCs w:val="20"/>
              </w:rPr>
            </w:pPr>
          </w:p>
          <w:p w14:paraId="1F3EC9FD" w14:textId="77777777" w:rsidR="00360B12" w:rsidRDefault="00360B12" w:rsidP="00710E51">
            <w:pPr>
              <w:jc w:val="both"/>
              <w:rPr>
                <w:rFonts w:cs="Times New Roman"/>
                <w:bCs/>
                <w:sz w:val="20"/>
                <w:szCs w:val="20"/>
              </w:rPr>
            </w:pPr>
            <w:r>
              <w:rPr>
                <w:rFonts w:cs="Times New Roman"/>
                <w:bCs/>
                <w:sz w:val="20"/>
                <w:szCs w:val="20"/>
              </w:rPr>
              <w:t>1. Organizēt un veikt izmeklētāju un prokuroru apmācību par kriptovalūtām un ar tām saistītiem riskiem.</w:t>
            </w:r>
          </w:p>
        </w:tc>
        <w:tc>
          <w:tcPr>
            <w:tcW w:w="1590" w:type="dxa"/>
            <w:vMerge w:val="restart"/>
            <w:tcBorders>
              <w:top w:val="single" w:sz="4" w:space="0" w:color="auto"/>
              <w:left w:val="single" w:sz="4" w:space="0" w:color="auto"/>
              <w:right w:val="single" w:sz="4" w:space="0" w:color="auto"/>
            </w:tcBorders>
            <w:shd w:val="clear" w:color="auto" w:fill="auto"/>
          </w:tcPr>
          <w:p w14:paraId="46D7C441" w14:textId="77777777" w:rsidR="00360B12" w:rsidRDefault="00360B12" w:rsidP="00710E51">
            <w:pPr>
              <w:ind w:right="-108"/>
              <w:rPr>
                <w:rFonts w:cs="Times New Roman"/>
                <w:sz w:val="20"/>
                <w:szCs w:val="20"/>
              </w:rPr>
            </w:pPr>
            <w:r>
              <w:rPr>
                <w:rFonts w:cs="Times New Roman"/>
                <w:sz w:val="20"/>
                <w:szCs w:val="20"/>
              </w:rPr>
              <w:t>Moneyval rekomendācijas 7.1., 7.3., 7.4.</w:t>
            </w:r>
          </w:p>
          <w:p w14:paraId="5E90C72E" w14:textId="77777777" w:rsidR="00360B12" w:rsidRDefault="00360B12" w:rsidP="00710E51">
            <w:pPr>
              <w:ind w:right="-108"/>
              <w:rPr>
                <w:rFonts w:cs="Times New Roman"/>
                <w:sz w:val="20"/>
                <w:szCs w:val="20"/>
              </w:rPr>
            </w:pPr>
            <w:r>
              <w:rPr>
                <w:rFonts w:cs="Times New Roman"/>
                <w:sz w:val="20"/>
                <w:szCs w:val="20"/>
              </w:rPr>
              <w:t xml:space="preserve">Pasākumu plāna 2017.-2019.gadam 3.6. </w:t>
            </w:r>
          </w:p>
          <w:p w14:paraId="73361A2E" w14:textId="77777777" w:rsidR="00360B12" w:rsidRDefault="00360B12" w:rsidP="00710E51">
            <w:pPr>
              <w:ind w:right="-108"/>
              <w:rPr>
                <w:rFonts w:cs="Times New Roman"/>
                <w:sz w:val="20"/>
                <w:szCs w:val="20"/>
              </w:rPr>
            </w:pPr>
            <w:r>
              <w:rPr>
                <w:rFonts w:cs="Times New Roman"/>
                <w:sz w:val="20"/>
                <w:szCs w:val="20"/>
              </w:rPr>
              <w:t>pasākums</w:t>
            </w: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7D975B2E" w14:textId="77777777" w:rsidR="00360B12" w:rsidRDefault="00360B12" w:rsidP="0025344E">
            <w:pPr>
              <w:jc w:val="both"/>
              <w:rPr>
                <w:rFonts w:cs="Times New Roman"/>
                <w:sz w:val="20"/>
                <w:szCs w:val="20"/>
              </w:rPr>
            </w:pPr>
            <w:r>
              <w:rPr>
                <w:rFonts w:cs="Times New Roman"/>
                <w:sz w:val="20"/>
                <w:szCs w:val="20"/>
              </w:rPr>
              <w:t>1. Veicināta izpratne par kriptovalūtu izmantošanu noziedzīgi iegūtu līdzekļu legalizācijā, iespējām tās identificēt un arestēt</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3291F94F" w14:textId="77777777" w:rsidR="00360B12" w:rsidRDefault="00CB2F44" w:rsidP="0025344E">
            <w:pPr>
              <w:jc w:val="both"/>
              <w:rPr>
                <w:rFonts w:cs="Times New Roman"/>
                <w:sz w:val="20"/>
                <w:szCs w:val="20"/>
              </w:rPr>
            </w:pPr>
            <w:r>
              <w:rPr>
                <w:rFonts w:cs="Times New Roman"/>
                <w:sz w:val="20"/>
                <w:szCs w:val="20"/>
              </w:rPr>
              <w:t>1.</w:t>
            </w:r>
            <w:r w:rsidR="00360B12">
              <w:rPr>
                <w:rFonts w:cs="Times New Roman"/>
                <w:sz w:val="20"/>
                <w:szCs w:val="20"/>
              </w:rPr>
              <w:t>Apmācīti izmeklētāji un prokurori, tiesneši, KD darbinieki – 100 personas</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25162072" w14:textId="77777777" w:rsidR="00360B12" w:rsidRDefault="00360B12" w:rsidP="002D63BE">
            <w:pPr>
              <w:jc w:val="center"/>
              <w:rPr>
                <w:rFonts w:cs="Times New Roman"/>
                <w:bCs/>
                <w:sz w:val="20"/>
                <w:szCs w:val="20"/>
              </w:rPr>
            </w:pPr>
            <w:r>
              <w:rPr>
                <w:rFonts w:cs="Times New Roman"/>
                <w:bCs/>
                <w:sz w:val="20"/>
                <w:szCs w:val="20"/>
              </w:rPr>
              <w:t>TM (TA), VAS</w:t>
            </w:r>
          </w:p>
        </w:tc>
        <w:tc>
          <w:tcPr>
            <w:tcW w:w="1202" w:type="dxa"/>
            <w:tcBorders>
              <w:top w:val="single" w:sz="4" w:space="0" w:color="auto"/>
              <w:left w:val="single" w:sz="4" w:space="0" w:color="auto"/>
              <w:bottom w:val="single" w:sz="4" w:space="0" w:color="auto"/>
              <w:right w:val="single" w:sz="4" w:space="0" w:color="auto"/>
            </w:tcBorders>
            <w:hideMark/>
          </w:tcPr>
          <w:p w14:paraId="5CE77999" w14:textId="77777777" w:rsidR="00360B12" w:rsidRDefault="00360B12" w:rsidP="002D63BE">
            <w:pPr>
              <w:jc w:val="center"/>
              <w:rPr>
                <w:sz w:val="20"/>
                <w:szCs w:val="20"/>
              </w:rPr>
            </w:pPr>
            <w:r>
              <w:rPr>
                <w:sz w:val="20"/>
                <w:szCs w:val="20"/>
              </w:rPr>
              <w:t>FKTK, VP, VID, KNAB, DP, ĢP, VRS, IDB, KD</w:t>
            </w:r>
          </w:p>
        </w:tc>
        <w:tc>
          <w:tcPr>
            <w:tcW w:w="1390" w:type="dxa"/>
            <w:tcBorders>
              <w:top w:val="single" w:sz="4" w:space="0" w:color="auto"/>
              <w:left w:val="single" w:sz="4" w:space="0" w:color="auto"/>
              <w:bottom w:val="single" w:sz="4" w:space="0" w:color="auto"/>
              <w:right w:val="single" w:sz="4" w:space="0" w:color="auto"/>
            </w:tcBorders>
            <w:hideMark/>
          </w:tcPr>
          <w:p w14:paraId="3730C7A9" w14:textId="77777777" w:rsidR="00360B12" w:rsidRDefault="00360B12" w:rsidP="00ED4ECE">
            <w:pPr>
              <w:jc w:val="center"/>
              <w:rPr>
                <w:rFonts w:cs="Times New Roman"/>
                <w:bCs/>
                <w:sz w:val="20"/>
                <w:szCs w:val="20"/>
              </w:rPr>
            </w:pPr>
            <w:r w:rsidRPr="00771776">
              <w:rPr>
                <w:rFonts w:cs="Times New Roman"/>
                <w:bCs/>
                <w:sz w:val="20"/>
                <w:szCs w:val="20"/>
              </w:rPr>
              <w:t>2019.gada 1.</w:t>
            </w:r>
            <w:r>
              <w:rPr>
                <w:rFonts w:cs="Times New Roman"/>
                <w:bCs/>
                <w:sz w:val="20"/>
                <w:szCs w:val="20"/>
              </w:rPr>
              <w:t>jūlijs</w:t>
            </w:r>
          </w:p>
        </w:tc>
      </w:tr>
      <w:tr w:rsidR="00360B12" w14:paraId="44DD9E3C" w14:textId="77777777" w:rsidTr="00C84537">
        <w:tc>
          <w:tcPr>
            <w:tcW w:w="673" w:type="dxa"/>
            <w:vMerge/>
            <w:tcBorders>
              <w:left w:val="single" w:sz="4" w:space="0" w:color="auto"/>
              <w:right w:val="single" w:sz="4" w:space="0" w:color="auto"/>
            </w:tcBorders>
            <w:hideMark/>
          </w:tcPr>
          <w:p w14:paraId="740A4544" w14:textId="77777777" w:rsidR="00360B12" w:rsidRDefault="00360B12" w:rsidP="00710E51">
            <w:pPr>
              <w:jc w:val="center"/>
              <w:rPr>
                <w:rFonts w:cs="Times New Roman"/>
                <w:bCs/>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9104820" w14:textId="77777777" w:rsidR="00360B12" w:rsidRDefault="00360B12" w:rsidP="00710E51">
            <w:pPr>
              <w:jc w:val="both"/>
              <w:rPr>
                <w:rFonts w:cs="Times New Roman"/>
                <w:bCs/>
                <w:sz w:val="20"/>
                <w:szCs w:val="20"/>
              </w:rPr>
            </w:pPr>
            <w:r>
              <w:rPr>
                <w:rFonts w:cs="Times New Roman"/>
                <w:bCs/>
                <w:sz w:val="20"/>
                <w:szCs w:val="20"/>
              </w:rPr>
              <w:t>2. Organizēt un veikt izmeklētāju un analītiķu apmācības finanšu analīzes jomā  un finanšu izmeklēšanas organizēšanā.</w:t>
            </w:r>
          </w:p>
        </w:tc>
        <w:tc>
          <w:tcPr>
            <w:tcW w:w="1590" w:type="dxa"/>
            <w:vMerge/>
            <w:tcBorders>
              <w:left w:val="single" w:sz="4" w:space="0" w:color="auto"/>
              <w:right w:val="single" w:sz="4" w:space="0" w:color="auto"/>
            </w:tcBorders>
            <w:shd w:val="clear" w:color="auto" w:fill="auto"/>
          </w:tcPr>
          <w:p w14:paraId="10ABC85F" w14:textId="77777777" w:rsidR="00360B12" w:rsidRDefault="00360B12" w:rsidP="00710E51">
            <w:pPr>
              <w:ind w:right="-108"/>
              <w:rPr>
                <w:rFonts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2932A8B3" w14:textId="77777777" w:rsidR="00360B12" w:rsidRDefault="00360B12" w:rsidP="0025344E">
            <w:pPr>
              <w:jc w:val="both"/>
              <w:rPr>
                <w:rFonts w:cs="Times New Roman"/>
                <w:sz w:val="20"/>
                <w:szCs w:val="20"/>
              </w:rPr>
            </w:pPr>
            <w:r>
              <w:rPr>
                <w:rFonts w:cs="Times New Roman"/>
                <w:sz w:val="20"/>
                <w:szCs w:val="20"/>
              </w:rPr>
              <w:t>2. Nodrošināta efektīvāka noziedzīgi iegūtu līdzekļu identifikācija.</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177E99BF" w14:textId="77777777" w:rsidR="00360B12" w:rsidRDefault="00CB2F44" w:rsidP="0025344E">
            <w:pPr>
              <w:jc w:val="both"/>
              <w:rPr>
                <w:rFonts w:cs="Times New Roman"/>
                <w:sz w:val="20"/>
                <w:szCs w:val="20"/>
              </w:rPr>
            </w:pPr>
            <w:r>
              <w:rPr>
                <w:rFonts w:cs="Times New Roman"/>
                <w:sz w:val="20"/>
                <w:szCs w:val="20"/>
              </w:rPr>
              <w:t>2.</w:t>
            </w:r>
            <w:r w:rsidR="00360B12">
              <w:rPr>
                <w:rFonts w:cs="Times New Roman"/>
                <w:sz w:val="20"/>
                <w:szCs w:val="20"/>
              </w:rPr>
              <w:t>Apmācīti izmeklētāji un analītiķi – 100 personas</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6EDCE922" w14:textId="77777777" w:rsidR="00360B12" w:rsidRDefault="00360B12" w:rsidP="002D63BE">
            <w:pPr>
              <w:jc w:val="center"/>
              <w:rPr>
                <w:rFonts w:cs="Times New Roman"/>
                <w:bCs/>
                <w:sz w:val="20"/>
                <w:szCs w:val="20"/>
              </w:rPr>
            </w:pPr>
            <w:r>
              <w:rPr>
                <w:rFonts w:cs="Times New Roman"/>
                <w:bCs/>
                <w:sz w:val="20"/>
                <w:szCs w:val="20"/>
              </w:rPr>
              <w:t>TM (TA), VAS</w:t>
            </w:r>
          </w:p>
        </w:tc>
        <w:tc>
          <w:tcPr>
            <w:tcW w:w="1202" w:type="dxa"/>
            <w:tcBorders>
              <w:top w:val="single" w:sz="4" w:space="0" w:color="auto"/>
              <w:left w:val="single" w:sz="4" w:space="0" w:color="auto"/>
              <w:bottom w:val="single" w:sz="4" w:space="0" w:color="auto"/>
              <w:right w:val="single" w:sz="4" w:space="0" w:color="auto"/>
            </w:tcBorders>
            <w:hideMark/>
          </w:tcPr>
          <w:p w14:paraId="2BE8B8C3" w14:textId="77777777" w:rsidR="00360B12" w:rsidRPr="002D63BE" w:rsidRDefault="00360B12" w:rsidP="002D63BE">
            <w:pPr>
              <w:jc w:val="center"/>
              <w:rPr>
                <w:sz w:val="20"/>
                <w:szCs w:val="20"/>
              </w:rPr>
            </w:pPr>
            <w:r w:rsidRPr="002D63BE">
              <w:rPr>
                <w:sz w:val="20"/>
                <w:szCs w:val="20"/>
              </w:rPr>
              <w:t>VP, VID, KNAB, DP, IDB, KD</w:t>
            </w:r>
          </w:p>
        </w:tc>
        <w:tc>
          <w:tcPr>
            <w:tcW w:w="1390" w:type="dxa"/>
            <w:tcBorders>
              <w:top w:val="single" w:sz="4" w:space="0" w:color="auto"/>
              <w:left w:val="single" w:sz="4" w:space="0" w:color="auto"/>
              <w:bottom w:val="single" w:sz="4" w:space="0" w:color="auto"/>
              <w:right w:val="single" w:sz="4" w:space="0" w:color="auto"/>
            </w:tcBorders>
            <w:hideMark/>
          </w:tcPr>
          <w:p w14:paraId="1A04CA9D" w14:textId="77777777" w:rsidR="00360B12" w:rsidRDefault="00360B12" w:rsidP="002D63BE">
            <w:pPr>
              <w:jc w:val="center"/>
              <w:rPr>
                <w:rFonts w:cs="Times New Roman"/>
                <w:bCs/>
                <w:sz w:val="20"/>
                <w:szCs w:val="20"/>
              </w:rPr>
            </w:pPr>
            <w:r>
              <w:rPr>
                <w:rFonts w:cs="Times New Roman"/>
                <w:bCs/>
                <w:sz w:val="20"/>
                <w:szCs w:val="20"/>
              </w:rPr>
              <w:t>2019.gada 1.jūlijs</w:t>
            </w:r>
          </w:p>
        </w:tc>
      </w:tr>
      <w:tr w:rsidR="00360B12" w14:paraId="66545FDF" w14:textId="77777777" w:rsidTr="000215A6">
        <w:tc>
          <w:tcPr>
            <w:tcW w:w="673" w:type="dxa"/>
            <w:vMerge/>
            <w:tcBorders>
              <w:left w:val="single" w:sz="4" w:space="0" w:color="auto"/>
              <w:right w:val="single" w:sz="4" w:space="0" w:color="auto"/>
            </w:tcBorders>
            <w:hideMark/>
          </w:tcPr>
          <w:p w14:paraId="050C3C4B" w14:textId="77777777" w:rsidR="00360B12" w:rsidRDefault="00360B12" w:rsidP="00710E51">
            <w:pPr>
              <w:jc w:val="center"/>
              <w:rPr>
                <w:rFonts w:cs="Times New Roman"/>
                <w:bCs/>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171AA37" w14:textId="77777777" w:rsidR="00360B12" w:rsidRDefault="00360B12" w:rsidP="00710E51">
            <w:pPr>
              <w:jc w:val="both"/>
              <w:rPr>
                <w:rFonts w:cs="Times New Roman"/>
                <w:bCs/>
                <w:sz w:val="20"/>
                <w:szCs w:val="20"/>
              </w:rPr>
            </w:pPr>
            <w:r>
              <w:rPr>
                <w:rFonts w:cs="Times New Roman"/>
                <w:bCs/>
                <w:sz w:val="20"/>
                <w:szCs w:val="20"/>
              </w:rPr>
              <w:t xml:space="preserve">3. </w:t>
            </w:r>
            <w:r w:rsidRPr="006607DC">
              <w:rPr>
                <w:rFonts w:cs="Times New Roman"/>
                <w:bCs/>
                <w:sz w:val="20"/>
                <w:szCs w:val="20"/>
              </w:rPr>
              <w:t>Izstrādāta un īstenota apmācību programma “Noziedzīgi iegūtu līdzekļu atguve (identifikācija, izsekošana, arests, konfiskācija pirmstiesas izmeklēšanas laikā)</w:t>
            </w:r>
            <w:r w:rsidR="00533B4B">
              <w:rPr>
                <w:rFonts w:cs="Times New Roman"/>
                <w:bCs/>
                <w:sz w:val="20"/>
                <w:szCs w:val="20"/>
              </w:rPr>
              <w:t>”</w:t>
            </w:r>
          </w:p>
        </w:tc>
        <w:tc>
          <w:tcPr>
            <w:tcW w:w="1590" w:type="dxa"/>
            <w:vMerge/>
            <w:tcBorders>
              <w:left w:val="single" w:sz="4" w:space="0" w:color="auto"/>
              <w:right w:val="single" w:sz="4" w:space="0" w:color="auto"/>
            </w:tcBorders>
            <w:shd w:val="clear" w:color="auto" w:fill="auto"/>
          </w:tcPr>
          <w:p w14:paraId="409BD6D3" w14:textId="77777777" w:rsidR="00360B12" w:rsidRDefault="00360B12" w:rsidP="00710E51">
            <w:pPr>
              <w:ind w:right="-108"/>
              <w:rPr>
                <w:rFonts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358D2423" w14:textId="77777777" w:rsidR="00360B12" w:rsidRDefault="00360B12" w:rsidP="0025344E">
            <w:pPr>
              <w:jc w:val="both"/>
              <w:rPr>
                <w:rFonts w:cs="Times New Roman"/>
                <w:sz w:val="20"/>
                <w:szCs w:val="20"/>
              </w:rPr>
            </w:pPr>
            <w:r>
              <w:rPr>
                <w:rFonts w:cs="Times New Roman"/>
                <w:sz w:val="20"/>
                <w:szCs w:val="20"/>
              </w:rPr>
              <w:t xml:space="preserve">3. </w:t>
            </w:r>
            <w:r w:rsidRPr="006607DC">
              <w:rPr>
                <w:rFonts w:cs="Times New Roman"/>
                <w:sz w:val="20"/>
                <w:szCs w:val="20"/>
              </w:rPr>
              <w:t>Veicināta VP izmeklētāju un citu amatpersonu izpratne par noziedzīgi iegūtu līdzekļu identifikāciju un arestu aizdomās turēto personu un personas, kas uztur pastāvīgas attiecības mantai, t.sk. ārvalstīs.</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02B01122" w14:textId="77777777" w:rsidR="00360B12" w:rsidRDefault="00CB2F44" w:rsidP="0025344E">
            <w:pPr>
              <w:jc w:val="both"/>
              <w:rPr>
                <w:rFonts w:cs="Times New Roman"/>
                <w:sz w:val="20"/>
                <w:szCs w:val="20"/>
              </w:rPr>
            </w:pPr>
            <w:r>
              <w:rPr>
                <w:rFonts w:cs="Times New Roman"/>
                <w:sz w:val="20"/>
                <w:szCs w:val="20"/>
              </w:rPr>
              <w:t>3.</w:t>
            </w:r>
            <w:r w:rsidR="00360B12" w:rsidRPr="006607DC">
              <w:rPr>
                <w:rFonts w:cs="Times New Roman"/>
                <w:sz w:val="20"/>
                <w:szCs w:val="20"/>
              </w:rPr>
              <w:t>Apmācīti VP izmeklētāji un citas amatpersonas – 100 personas</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378E0498" w14:textId="77777777" w:rsidR="00360B12" w:rsidRDefault="00360B12" w:rsidP="002D63BE">
            <w:pPr>
              <w:jc w:val="center"/>
              <w:rPr>
                <w:rFonts w:cs="Times New Roman"/>
                <w:bCs/>
                <w:sz w:val="20"/>
                <w:szCs w:val="20"/>
              </w:rPr>
            </w:pPr>
            <w:r>
              <w:rPr>
                <w:rFonts w:cs="Times New Roman"/>
                <w:bCs/>
                <w:sz w:val="20"/>
                <w:szCs w:val="20"/>
              </w:rPr>
              <w:t>Valsts policijas koledža</w:t>
            </w:r>
          </w:p>
        </w:tc>
        <w:tc>
          <w:tcPr>
            <w:tcW w:w="1202" w:type="dxa"/>
            <w:tcBorders>
              <w:top w:val="single" w:sz="4" w:space="0" w:color="auto"/>
              <w:left w:val="single" w:sz="4" w:space="0" w:color="auto"/>
              <w:bottom w:val="single" w:sz="4" w:space="0" w:color="auto"/>
              <w:right w:val="single" w:sz="4" w:space="0" w:color="auto"/>
            </w:tcBorders>
          </w:tcPr>
          <w:p w14:paraId="5E52FA62" w14:textId="77777777" w:rsidR="00360B12" w:rsidRDefault="00360B12" w:rsidP="002D63BE">
            <w:pPr>
              <w:jc w:val="center"/>
              <w:rPr>
                <w:sz w:val="16"/>
                <w:szCs w:val="16"/>
              </w:rPr>
            </w:pPr>
          </w:p>
        </w:tc>
        <w:tc>
          <w:tcPr>
            <w:tcW w:w="1390" w:type="dxa"/>
            <w:tcBorders>
              <w:top w:val="single" w:sz="4" w:space="0" w:color="auto"/>
              <w:left w:val="single" w:sz="4" w:space="0" w:color="auto"/>
              <w:bottom w:val="single" w:sz="4" w:space="0" w:color="auto"/>
              <w:right w:val="single" w:sz="4" w:space="0" w:color="auto"/>
            </w:tcBorders>
            <w:hideMark/>
          </w:tcPr>
          <w:p w14:paraId="305C772A" w14:textId="77777777" w:rsidR="00360B12" w:rsidRDefault="00360B12" w:rsidP="002D63BE">
            <w:pPr>
              <w:jc w:val="center"/>
              <w:rPr>
                <w:rFonts w:cs="Times New Roman"/>
                <w:bCs/>
                <w:sz w:val="20"/>
                <w:szCs w:val="20"/>
              </w:rPr>
            </w:pPr>
            <w:r>
              <w:rPr>
                <w:rFonts w:cs="Times New Roman"/>
                <w:sz w:val="20"/>
                <w:szCs w:val="20"/>
              </w:rPr>
              <w:t>2019.gada 15</w:t>
            </w:r>
            <w:r w:rsidRPr="006607DC">
              <w:rPr>
                <w:rFonts w:cs="Times New Roman"/>
                <w:bCs/>
                <w:sz w:val="20"/>
                <w:szCs w:val="20"/>
              </w:rPr>
              <w:t>.</w:t>
            </w:r>
            <w:r>
              <w:rPr>
                <w:rFonts w:cs="Times New Roman"/>
                <w:bCs/>
                <w:sz w:val="20"/>
                <w:szCs w:val="20"/>
              </w:rPr>
              <w:t>decembris</w:t>
            </w:r>
          </w:p>
        </w:tc>
      </w:tr>
      <w:tr w:rsidR="00360B12" w14:paraId="1AEC03BD" w14:textId="77777777" w:rsidTr="00C84537">
        <w:tc>
          <w:tcPr>
            <w:tcW w:w="673" w:type="dxa"/>
            <w:vMerge/>
            <w:tcBorders>
              <w:left w:val="single" w:sz="4" w:space="0" w:color="auto"/>
              <w:bottom w:val="single" w:sz="4" w:space="0" w:color="auto"/>
              <w:right w:val="single" w:sz="4" w:space="0" w:color="auto"/>
            </w:tcBorders>
          </w:tcPr>
          <w:p w14:paraId="4DEED124" w14:textId="77777777" w:rsidR="00360B12" w:rsidRDefault="00360B12" w:rsidP="00710E51">
            <w:pPr>
              <w:jc w:val="center"/>
              <w:rPr>
                <w:rFonts w:cs="Times New Roman"/>
                <w:bCs/>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DDA37D4" w14:textId="77777777" w:rsidR="00360B12" w:rsidRDefault="00360B12" w:rsidP="00710E51">
            <w:pPr>
              <w:jc w:val="both"/>
              <w:rPr>
                <w:rFonts w:cs="Times New Roman"/>
                <w:bCs/>
                <w:sz w:val="20"/>
                <w:szCs w:val="20"/>
              </w:rPr>
            </w:pPr>
            <w:r>
              <w:rPr>
                <w:rFonts w:cs="Times New Roman"/>
                <w:bCs/>
                <w:sz w:val="20"/>
                <w:szCs w:val="20"/>
              </w:rPr>
              <w:t>4. Īstenot tiesnešu, prokuroru un izmeklētāju apmācības par noziedzīgi iegūtu līdzekļu legalizācijas izmeklēšanai, nepieciešamā pierādījumu apjoma nodrošināšanu, tai skaitā par sodu politiku</w:t>
            </w:r>
          </w:p>
        </w:tc>
        <w:tc>
          <w:tcPr>
            <w:tcW w:w="1590" w:type="dxa"/>
            <w:vMerge/>
            <w:tcBorders>
              <w:left w:val="single" w:sz="4" w:space="0" w:color="auto"/>
              <w:bottom w:val="single" w:sz="4" w:space="0" w:color="auto"/>
              <w:right w:val="single" w:sz="4" w:space="0" w:color="auto"/>
            </w:tcBorders>
            <w:shd w:val="clear" w:color="auto" w:fill="auto"/>
          </w:tcPr>
          <w:p w14:paraId="179CB37C" w14:textId="77777777" w:rsidR="00360B12" w:rsidRDefault="00360B12" w:rsidP="00710E51">
            <w:pPr>
              <w:ind w:right="-108"/>
              <w:rPr>
                <w:rFonts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719E4C00" w14:textId="77777777" w:rsidR="00360B12" w:rsidRDefault="00360B12" w:rsidP="007A02F5">
            <w:pPr>
              <w:jc w:val="both"/>
              <w:rPr>
                <w:rFonts w:cs="Times New Roman"/>
                <w:sz w:val="20"/>
                <w:szCs w:val="20"/>
              </w:rPr>
            </w:pPr>
            <w:r>
              <w:rPr>
                <w:rFonts w:cs="Times New Roman"/>
                <w:sz w:val="20"/>
                <w:szCs w:val="20"/>
              </w:rPr>
              <w:t>4. Izveidot vienota prakse noziedzīgi iegūtu līdzekļu legalizācijas izmeklēšanā.</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0D67F6E" w14:textId="77777777" w:rsidR="00360B12" w:rsidRPr="006607DC" w:rsidRDefault="00CB2F44" w:rsidP="007A02F5">
            <w:pPr>
              <w:jc w:val="both"/>
              <w:rPr>
                <w:rFonts w:cs="Times New Roman"/>
                <w:sz w:val="20"/>
                <w:szCs w:val="20"/>
              </w:rPr>
            </w:pPr>
            <w:r>
              <w:rPr>
                <w:rFonts w:cs="Times New Roman"/>
                <w:sz w:val="20"/>
                <w:szCs w:val="20"/>
              </w:rPr>
              <w:t>4.</w:t>
            </w:r>
            <w:r w:rsidR="00360B12">
              <w:rPr>
                <w:rFonts w:cs="Times New Roman"/>
                <w:sz w:val="20"/>
                <w:szCs w:val="20"/>
              </w:rPr>
              <w:t>Apmācīti tiesneši, prokurori un izmeklētāji – 300 personas</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1FE37A4D" w14:textId="77777777" w:rsidR="00360B12" w:rsidRDefault="00360B12" w:rsidP="002D63BE">
            <w:pPr>
              <w:jc w:val="center"/>
              <w:rPr>
                <w:rFonts w:cs="Times New Roman"/>
                <w:bCs/>
                <w:sz w:val="20"/>
                <w:szCs w:val="20"/>
              </w:rPr>
            </w:pPr>
            <w:r>
              <w:rPr>
                <w:rFonts w:cs="Times New Roman"/>
                <w:bCs/>
                <w:sz w:val="20"/>
                <w:szCs w:val="20"/>
              </w:rPr>
              <w:t>TM (TA), ĢP, Tiesību mācību centrs, VAS</w:t>
            </w:r>
          </w:p>
        </w:tc>
        <w:tc>
          <w:tcPr>
            <w:tcW w:w="1202" w:type="dxa"/>
            <w:tcBorders>
              <w:top w:val="single" w:sz="4" w:space="0" w:color="auto"/>
              <w:left w:val="single" w:sz="4" w:space="0" w:color="auto"/>
              <w:bottom w:val="single" w:sz="4" w:space="0" w:color="auto"/>
              <w:right w:val="single" w:sz="4" w:space="0" w:color="auto"/>
            </w:tcBorders>
          </w:tcPr>
          <w:p w14:paraId="74D79F8E" w14:textId="77777777" w:rsidR="00360B12" w:rsidRDefault="00360B12" w:rsidP="002D63BE">
            <w:pPr>
              <w:jc w:val="center"/>
              <w:rPr>
                <w:sz w:val="16"/>
                <w:szCs w:val="16"/>
              </w:rPr>
            </w:pPr>
            <w:r>
              <w:rPr>
                <w:sz w:val="16"/>
                <w:szCs w:val="16"/>
              </w:rPr>
              <w:t>VP, VID, KNAB, DP, VRS, IDB</w:t>
            </w:r>
          </w:p>
        </w:tc>
        <w:tc>
          <w:tcPr>
            <w:tcW w:w="1390" w:type="dxa"/>
            <w:tcBorders>
              <w:top w:val="single" w:sz="4" w:space="0" w:color="auto"/>
              <w:left w:val="single" w:sz="4" w:space="0" w:color="auto"/>
              <w:bottom w:val="single" w:sz="4" w:space="0" w:color="auto"/>
              <w:right w:val="single" w:sz="4" w:space="0" w:color="auto"/>
            </w:tcBorders>
          </w:tcPr>
          <w:p w14:paraId="0F1104A6" w14:textId="77777777" w:rsidR="00360B12" w:rsidRDefault="00360B12" w:rsidP="002D63BE">
            <w:pPr>
              <w:jc w:val="center"/>
              <w:rPr>
                <w:rFonts w:cs="Times New Roman"/>
                <w:sz w:val="20"/>
                <w:szCs w:val="20"/>
              </w:rPr>
            </w:pPr>
            <w:r>
              <w:rPr>
                <w:rFonts w:cs="Times New Roman"/>
                <w:sz w:val="20"/>
                <w:szCs w:val="20"/>
              </w:rPr>
              <w:t>Pastāvīgi, sākot ar 2019.gada I pusgadu</w:t>
            </w:r>
          </w:p>
        </w:tc>
      </w:tr>
      <w:tr w:rsidR="008978FB" w14:paraId="6233C1FF" w14:textId="77777777" w:rsidTr="000D4C76">
        <w:tc>
          <w:tcPr>
            <w:tcW w:w="673" w:type="dxa"/>
            <w:vMerge w:val="restart"/>
            <w:tcBorders>
              <w:top w:val="single" w:sz="4" w:space="0" w:color="auto"/>
              <w:left w:val="single" w:sz="4" w:space="0" w:color="auto"/>
              <w:right w:val="single" w:sz="4" w:space="0" w:color="auto"/>
            </w:tcBorders>
            <w:hideMark/>
          </w:tcPr>
          <w:p w14:paraId="6B581C4F" w14:textId="77777777" w:rsidR="008978FB" w:rsidRDefault="008978FB" w:rsidP="00325E8D">
            <w:pPr>
              <w:jc w:val="center"/>
              <w:rPr>
                <w:rFonts w:cs="Times New Roman"/>
                <w:bCs/>
                <w:sz w:val="20"/>
                <w:szCs w:val="20"/>
              </w:rPr>
            </w:pPr>
            <w:r>
              <w:rPr>
                <w:rFonts w:cs="Times New Roman"/>
                <w:bCs/>
                <w:sz w:val="20"/>
                <w:szCs w:val="20"/>
              </w:rPr>
              <w:t>7.</w:t>
            </w:r>
            <w:r w:rsidR="00481AD0">
              <w:rPr>
                <w:rFonts w:cs="Times New Roman"/>
                <w:bCs/>
                <w:sz w:val="20"/>
                <w:szCs w:val="20"/>
              </w:rPr>
              <w:t>8</w:t>
            </w:r>
            <w:r w:rsidR="00AD1137">
              <w:rPr>
                <w:rFonts w:cs="Times New Roman"/>
                <w:bCs/>
                <w:sz w:val="20"/>
                <w:szCs w:val="20"/>
              </w:rPr>
              <w:t xml:space="preserve">. </w:t>
            </w:r>
          </w:p>
        </w:tc>
        <w:tc>
          <w:tcPr>
            <w:tcW w:w="3686" w:type="dxa"/>
            <w:vMerge w:val="restart"/>
            <w:tcBorders>
              <w:top w:val="single" w:sz="4" w:space="0" w:color="auto"/>
              <w:left w:val="single" w:sz="4" w:space="0" w:color="auto"/>
              <w:right w:val="single" w:sz="4" w:space="0" w:color="auto"/>
            </w:tcBorders>
            <w:shd w:val="clear" w:color="auto" w:fill="auto"/>
            <w:hideMark/>
          </w:tcPr>
          <w:p w14:paraId="2E42FAD0" w14:textId="77777777" w:rsidR="008978FB" w:rsidRDefault="008978FB" w:rsidP="00710E51">
            <w:pPr>
              <w:jc w:val="both"/>
              <w:rPr>
                <w:rFonts w:cs="Times New Roman"/>
                <w:bCs/>
                <w:sz w:val="20"/>
                <w:szCs w:val="20"/>
              </w:rPr>
            </w:pPr>
            <w:r>
              <w:rPr>
                <w:rFonts w:cs="Times New Roman"/>
                <w:bCs/>
                <w:sz w:val="20"/>
                <w:szCs w:val="20"/>
              </w:rPr>
              <w:t>Izstrādāt vadlīnijas NILL lietu prioritizēšanā (</w:t>
            </w:r>
            <w:r w:rsidRPr="0025344E">
              <w:rPr>
                <w:rFonts w:cs="Times New Roman"/>
                <w:bCs/>
                <w:i/>
                <w:sz w:val="20"/>
                <w:szCs w:val="20"/>
              </w:rPr>
              <w:t>Risk Based Aproach</w:t>
            </w:r>
            <w:r>
              <w:rPr>
                <w:rFonts w:cs="Times New Roman"/>
                <w:bCs/>
                <w:sz w:val="20"/>
                <w:szCs w:val="20"/>
              </w:rPr>
              <w:t>) nosakot kopīgus principus un kritērijus, pēc kuriem atlasāmas un prioritāri vērtējamas izskatāmās lietas un a</w:t>
            </w:r>
            <w:r w:rsidRPr="00771776">
              <w:rPr>
                <w:rFonts w:cs="Times New Roman"/>
                <w:bCs/>
                <w:sz w:val="20"/>
                <w:szCs w:val="20"/>
              </w:rPr>
              <w:t>tbilstoši vadlīnijās noteiktajiem NILL lietu prioritizēšanas principiem un kritērijiem, uzsākt un virzīt sarežģītus un apjomīgus kriminālprocesus.</w:t>
            </w:r>
          </w:p>
          <w:p w14:paraId="5A9CB7A1" w14:textId="77777777" w:rsidR="008978FB" w:rsidRPr="00771776" w:rsidRDefault="008978FB" w:rsidP="00710E51">
            <w:pPr>
              <w:jc w:val="both"/>
              <w:rPr>
                <w:rFonts w:cs="Times New Roman"/>
                <w:bCs/>
                <w:sz w:val="20"/>
                <w:szCs w:val="20"/>
              </w:rPr>
            </w:pPr>
          </w:p>
        </w:tc>
        <w:tc>
          <w:tcPr>
            <w:tcW w:w="1590" w:type="dxa"/>
            <w:vMerge w:val="restart"/>
            <w:tcBorders>
              <w:top w:val="single" w:sz="4" w:space="0" w:color="auto"/>
              <w:left w:val="single" w:sz="4" w:space="0" w:color="auto"/>
              <w:right w:val="single" w:sz="4" w:space="0" w:color="auto"/>
            </w:tcBorders>
            <w:shd w:val="clear" w:color="auto" w:fill="auto"/>
          </w:tcPr>
          <w:p w14:paraId="493D92EC" w14:textId="77777777" w:rsidR="008978FB" w:rsidRDefault="008978FB" w:rsidP="00710E51">
            <w:pPr>
              <w:ind w:right="-108"/>
              <w:rPr>
                <w:rFonts w:cs="Times New Roman"/>
                <w:sz w:val="20"/>
                <w:szCs w:val="20"/>
              </w:rPr>
            </w:pPr>
            <w:r>
              <w:rPr>
                <w:rFonts w:cs="Times New Roman"/>
                <w:sz w:val="20"/>
                <w:szCs w:val="20"/>
              </w:rPr>
              <w:t>Moneyval rekomendācija 7.2.</w:t>
            </w:r>
          </w:p>
          <w:p w14:paraId="5A3A561A" w14:textId="77777777" w:rsidR="008978FB" w:rsidRDefault="008978FB" w:rsidP="00710E51">
            <w:pPr>
              <w:ind w:right="-108"/>
              <w:rPr>
                <w:rFonts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0B0612A4" w14:textId="77777777" w:rsidR="008978FB" w:rsidRDefault="008978FB" w:rsidP="0025344E">
            <w:pPr>
              <w:jc w:val="both"/>
              <w:rPr>
                <w:rFonts w:cs="Times New Roman"/>
                <w:sz w:val="20"/>
                <w:szCs w:val="20"/>
              </w:rPr>
            </w:pPr>
            <w:r>
              <w:rPr>
                <w:rFonts w:cs="Times New Roman"/>
                <w:sz w:val="20"/>
                <w:szCs w:val="20"/>
              </w:rPr>
              <w:t>1.Izstrādātas, apstiprinātas un izplatītas vadlīnijas</w:t>
            </w:r>
            <w:r w:rsidDel="00FD6CDC">
              <w:rPr>
                <w:rFonts w:cs="Times New Roman"/>
                <w:sz w:val="20"/>
                <w:szCs w:val="20"/>
              </w:rPr>
              <w:t xml:space="preserve"> </w:t>
            </w:r>
          </w:p>
          <w:p w14:paraId="0305E656" w14:textId="77777777" w:rsidR="008978FB" w:rsidRDefault="008978FB" w:rsidP="0025344E">
            <w:pPr>
              <w:jc w:val="both"/>
              <w:rPr>
                <w:rFonts w:cs="Times New Roman"/>
                <w:sz w:val="20"/>
                <w:szCs w:val="20"/>
              </w:rPr>
            </w:pP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14623308" w14:textId="77777777" w:rsidR="008978FB" w:rsidRDefault="00AD1137" w:rsidP="0025344E">
            <w:pPr>
              <w:jc w:val="both"/>
              <w:rPr>
                <w:rFonts w:cs="Times New Roman"/>
                <w:sz w:val="20"/>
                <w:szCs w:val="20"/>
              </w:rPr>
            </w:pPr>
            <w:r>
              <w:rPr>
                <w:rFonts w:cs="Times New Roman"/>
                <w:sz w:val="20"/>
                <w:szCs w:val="20"/>
              </w:rPr>
              <w:t>1.</w:t>
            </w:r>
            <w:r w:rsidR="008978FB">
              <w:rPr>
                <w:rFonts w:cs="Times New Roman"/>
                <w:sz w:val="20"/>
                <w:szCs w:val="20"/>
              </w:rPr>
              <w:t>Vadlīnijas</w:t>
            </w:r>
          </w:p>
          <w:p w14:paraId="164C7FD2" w14:textId="77777777" w:rsidR="008978FB" w:rsidRDefault="008978FB" w:rsidP="008978FB">
            <w:pPr>
              <w:jc w:val="center"/>
              <w:rPr>
                <w:rFonts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0FD05177" w14:textId="77777777" w:rsidR="008978FB" w:rsidRDefault="008978FB" w:rsidP="008978FB">
            <w:pPr>
              <w:jc w:val="center"/>
              <w:rPr>
                <w:rFonts w:cs="Times New Roman"/>
                <w:bCs/>
                <w:sz w:val="20"/>
                <w:szCs w:val="20"/>
              </w:rPr>
            </w:pPr>
            <w:r>
              <w:rPr>
                <w:rFonts w:cs="Times New Roman"/>
                <w:bCs/>
                <w:sz w:val="20"/>
                <w:szCs w:val="20"/>
              </w:rPr>
              <w:t>KD</w:t>
            </w:r>
          </w:p>
        </w:tc>
        <w:tc>
          <w:tcPr>
            <w:tcW w:w="1202" w:type="dxa"/>
            <w:tcBorders>
              <w:top w:val="single" w:sz="4" w:space="0" w:color="auto"/>
              <w:left w:val="single" w:sz="4" w:space="0" w:color="auto"/>
              <w:bottom w:val="single" w:sz="4" w:space="0" w:color="auto"/>
              <w:right w:val="single" w:sz="4" w:space="0" w:color="auto"/>
            </w:tcBorders>
          </w:tcPr>
          <w:p w14:paraId="45D20238" w14:textId="77777777" w:rsidR="008978FB" w:rsidRPr="00F028A9" w:rsidRDefault="00017934" w:rsidP="002D63BE">
            <w:pPr>
              <w:jc w:val="center"/>
              <w:rPr>
                <w:sz w:val="16"/>
                <w:szCs w:val="16"/>
              </w:rPr>
            </w:pPr>
            <w:r w:rsidRPr="00017934">
              <w:rPr>
                <w:sz w:val="16"/>
                <w:szCs w:val="16"/>
              </w:rPr>
              <w:t>VP, NMPP, KNAB, ĢP</w:t>
            </w:r>
          </w:p>
        </w:tc>
        <w:tc>
          <w:tcPr>
            <w:tcW w:w="1390" w:type="dxa"/>
            <w:tcBorders>
              <w:top w:val="single" w:sz="4" w:space="0" w:color="auto"/>
              <w:left w:val="single" w:sz="4" w:space="0" w:color="auto"/>
              <w:bottom w:val="single" w:sz="4" w:space="0" w:color="auto"/>
              <w:right w:val="single" w:sz="4" w:space="0" w:color="auto"/>
            </w:tcBorders>
            <w:hideMark/>
          </w:tcPr>
          <w:p w14:paraId="24ABFCD5" w14:textId="77777777" w:rsidR="008978FB" w:rsidRDefault="008978FB" w:rsidP="002D63BE">
            <w:pPr>
              <w:jc w:val="center"/>
              <w:rPr>
                <w:rFonts w:cs="Times New Roman"/>
                <w:bCs/>
                <w:sz w:val="20"/>
                <w:szCs w:val="20"/>
              </w:rPr>
            </w:pPr>
            <w:r>
              <w:rPr>
                <w:rFonts w:cs="Times New Roman"/>
                <w:sz w:val="20"/>
                <w:szCs w:val="20"/>
              </w:rPr>
              <w:t>2018.gada 15.novembris</w:t>
            </w:r>
          </w:p>
          <w:p w14:paraId="750F2CBA" w14:textId="77777777" w:rsidR="008978FB" w:rsidRDefault="008978FB" w:rsidP="002D63BE">
            <w:pPr>
              <w:jc w:val="center"/>
              <w:rPr>
                <w:rFonts w:cs="Times New Roman"/>
                <w:bCs/>
                <w:sz w:val="20"/>
                <w:szCs w:val="20"/>
              </w:rPr>
            </w:pPr>
          </w:p>
        </w:tc>
      </w:tr>
      <w:tr w:rsidR="008978FB" w14:paraId="7210ED54" w14:textId="77777777" w:rsidTr="000D4C76">
        <w:tc>
          <w:tcPr>
            <w:tcW w:w="673" w:type="dxa"/>
            <w:vMerge/>
            <w:tcBorders>
              <w:left w:val="single" w:sz="4" w:space="0" w:color="auto"/>
              <w:bottom w:val="single" w:sz="4" w:space="0" w:color="auto"/>
              <w:right w:val="single" w:sz="4" w:space="0" w:color="auto"/>
            </w:tcBorders>
          </w:tcPr>
          <w:p w14:paraId="76A63929" w14:textId="77777777" w:rsidR="008978FB" w:rsidRDefault="008978FB" w:rsidP="00710E51">
            <w:pPr>
              <w:jc w:val="center"/>
              <w:rPr>
                <w:rFonts w:cs="Times New Roman"/>
                <w:bCs/>
                <w:sz w:val="20"/>
                <w:szCs w:val="20"/>
              </w:rPr>
            </w:pPr>
          </w:p>
        </w:tc>
        <w:tc>
          <w:tcPr>
            <w:tcW w:w="3686" w:type="dxa"/>
            <w:vMerge/>
            <w:tcBorders>
              <w:left w:val="single" w:sz="4" w:space="0" w:color="auto"/>
              <w:bottom w:val="single" w:sz="4" w:space="0" w:color="auto"/>
              <w:right w:val="single" w:sz="4" w:space="0" w:color="auto"/>
            </w:tcBorders>
            <w:shd w:val="clear" w:color="auto" w:fill="auto"/>
          </w:tcPr>
          <w:p w14:paraId="61EBDED1" w14:textId="77777777" w:rsidR="008978FB" w:rsidRPr="0061338D" w:rsidRDefault="008978FB" w:rsidP="00710E51">
            <w:pPr>
              <w:spacing w:after="160" w:line="256" w:lineRule="auto"/>
              <w:ind w:right="34"/>
              <w:jc w:val="both"/>
              <w:rPr>
                <w:rFonts w:cs="Times New Roman"/>
                <w:bCs/>
                <w:sz w:val="20"/>
                <w:szCs w:val="20"/>
              </w:rPr>
            </w:pPr>
          </w:p>
        </w:tc>
        <w:tc>
          <w:tcPr>
            <w:tcW w:w="1590" w:type="dxa"/>
            <w:vMerge/>
            <w:tcBorders>
              <w:left w:val="single" w:sz="4" w:space="0" w:color="auto"/>
              <w:bottom w:val="single" w:sz="4" w:space="0" w:color="auto"/>
              <w:right w:val="single" w:sz="4" w:space="0" w:color="auto"/>
            </w:tcBorders>
            <w:shd w:val="clear" w:color="auto" w:fill="auto"/>
          </w:tcPr>
          <w:p w14:paraId="30CFDAC2" w14:textId="77777777" w:rsidR="008978FB" w:rsidRDefault="008978FB" w:rsidP="00710E51">
            <w:pPr>
              <w:ind w:right="-108"/>
              <w:rPr>
                <w:rFonts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31080E5B" w14:textId="77777777" w:rsidR="008978FB" w:rsidRDefault="008978FB" w:rsidP="0025344E">
            <w:pPr>
              <w:jc w:val="both"/>
              <w:rPr>
                <w:rFonts w:cs="Times New Roman"/>
                <w:sz w:val="20"/>
                <w:szCs w:val="20"/>
              </w:rPr>
            </w:pPr>
            <w:r>
              <w:rPr>
                <w:rFonts w:cs="Times New Roman"/>
                <w:sz w:val="20"/>
                <w:szCs w:val="20"/>
              </w:rPr>
              <w:t>2.</w:t>
            </w:r>
            <w:r>
              <w:t xml:space="preserve"> </w:t>
            </w:r>
            <w:r>
              <w:rPr>
                <w:rFonts w:cs="Times New Roman"/>
                <w:sz w:val="20"/>
                <w:szCs w:val="20"/>
              </w:rPr>
              <w:t>P</w:t>
            </w:r>
            <w:r w:rsidRPr="00625F6B">
              <w:rPr>
                <w:rFonts w:cs="Times New Roman"/>
                <w:sz w:val="20"/>
                <w:szCs w:val="20"/>
              </w:rPr>
              <w:t xml:space="preserve">alielinātas spējas un prasmes sarežģītu un apjomīgu NILL lietu izmeklēšanā </w:t>
            </w:r>
          </w:p>
          <w:p w14:paraId="1D1B96A6" w14:textId="77777777" w:rsidR="008978FB" w:rsidRDefault="008978FB" w:rsidP="0025344E">
            <w:pPr>
              <w:jc w:val="both"/>
              <w:rPr>
                <w:rFonts w:cs="Times New Roman"/>
                <w:sz w:val="20"/>
                <w:szCs w:val="20"/>
              </w:rPr>
            </w:pP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466F0CC3" w14:textId="77777777" w:rsidR="008978FB" w:rsidRPr="0061338D" w:rsidRDefault="00AD1137" w:rsidP="0025344E">
            <w:pPr>
              <w:jc w:val="both"/>
              <w:rPr>
                <w:rFonts w:cs="Times New Roman"/>
                <w:sz w:val="20"/>
                <w:szCs w:val="20"/>
              </w:rPr>
            </w:pPr>
            <w:r>
              <w:rPr>
                <w:rFonts w:cs="Times New Roman"/>
                <w:sz w:val="20"/>
                <w:szCs w:val="20"/>
              </w:rPr>
              <w:t xml:space="preserve">2. </w:t>
            </w:r>
            <w:r w:rsidR="008978FB">
              <w:rPr>
                <w:rFonts w:cs="Times New Roman"/>
                <w:sz w:val="20"/>
                <w:szCs w:val="20"/>
              </w:rPr>
              <w:t>Uzsākti vismaz 10 kriminālprocesi par sarežģītu, apjomīgu NILL gada laikā</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2D495FFF" w14:textId="77777777" w:rsidR="008978FB" w:rsidRDefault="008978FB" w:rsidP="002D63BE">
            <w:pPr>
              <w:jc w:val="center"/>
              <w:rPr>
                <w:rFonts w:cs="Times New Roman"/>
                <w:bCs/>
                <w:sz w:val="20"/>
                <w:szCs w:val="20"/>
              </w:rPr>
            </w:pPr>
            <w:r w:rsidRPr="00625F6B">
              <w:rPr>
                <w:rFonts w:cs="Times New Roman"/>
                <w:bCs/>
                <w:sz w:val="20"/>
                <w:szCs w:val="20"/>
              </w:rPr>
              <w:t>VP, NMPP, KNAB</w:t>
            </w:r>
            <w:r>
              <w:rPr>
                <w:rFonts w:cs="Times New Roman"/>
                <w:bCs/>
                <w:sz w:val="20"/>
                <w:szCs w:val="20"/>
              </w:rPr>
              <w:t>, ĢP</w:t>
            </w:r>
          </w:p>
        </w:tc>
        <w:tc>
          <w:tcPr>
            <w:tcW w:w="1202" w:type="dxa"/>
            <w:tcBorders>
              <w:top w:val="single" w:sz="4" w:space="0" w:color="auto"/>
              <w:left w:val="single" w:sz="4" w:space="0" w:color="auto"/>
              <w:bottom w:val="single" w:sz="4" w:space="0" w:color="auto"/>
              <w:right w:val="single" w:sz="4" w:space="0" w:color="auto"/>
            </w:tcBorders>
          </w:tcPr>
          <w:p w14:paraId="72F4743A" w14:textId="77777777" w:rsidR="008978FB" w:rsidRDefault="008978FB" w:rsidP="002D63BE">
            <w:pPr>
              <w:jc w:val="center"/>
              <w:rPr>
                <w:rFonts w:cs="Times New Roman"/>
                <w:bCs/>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71BD6EC" w14:textId="77777777" w:rsidR="008978FB" w:rsidRDefault="008978FB" w:rsidP="00246A4B">
            <w:pPr>
              <w:jc w:val="center"/>
              <w:rPr>
                <w:rFonts w:cs="Times New Roman"/>
                <w:sz w:val="20"/>
                <w:szCs w:val="20"/>
              </w:rPr>
            </w:pPr>
            <w:r>
              <w:rPr>
                <w:rFonts w:cs="Times New Roman"/>
                <w:sz w:val="20"/>
                <w:szCs w:val="20"/>
              </w:rPr>
              <w:t xml:space="preserve">2019.gada </w:t>
            </w:r>
            <w:r w:rsidR="00246A4B">
              <w:rPr>
                <w:rFonts w:cs="Times New Roman"/>
                <w:sz w:val="20"/>
                <w:szCs w:val="20"/>
              </w:rPr>
              <w:t>28</w:t>
            </w:r>
            <w:r>
              <w:rPr>
                <w:rFonts w:cs="Times New Roman"/>
                <w:sz w:val="20"/>
                <w:szCs w:val="20"/>
              </w:rPr>
              <w:t>.decembris</w:t>
            </w:r>
          </w:p>
        </w:tc>
      </w:tr>
      <w:tr w:rsidR="00914F28" w14:paraId="58EB81AB" w14:textId="77777777" w:rsidTr="002D63BE">
        <w:tc>
          <w:tcPr>
            <w:tcW w:w="673" w:type="dxa"/>
            <w:tcBorders>
              <w:top w:val="single" w:sz="4" w:space="0" w:color="auto"/>
              <w:left w:val="single" w:sz="4" w:space="0" w:color="auto"/>
              <w:bottom w:val="single" w:sz="4" w:space="0" w:color="auto"/>
              <w:right w:val="single" w:sz="4" w:space="0" w:color="auto"/>
            </w:tcBorders>
            <w:hideMark/>
          </w:tcPr>
          <w:p w14:paraId="0E6DA84E" w14:textId="77777777" w:rsidR="00914F28" w:rsidRDefault="00481AD0" w:rsidP="008978FB">
            <w:pPr>
              <w:jc w:val="center"/>
              <w:rPr>
                <w:rFonts w:cs="Times New Roman"/>
                <w:bCs/>
                <w:sz w:val="20"/>
                <w:szCs w:val="20"/>
              </w:rPr>
            </w:pPr>
            <w:r>
              <w:rPr>
                <w:rFonts w:cs="Times New Roman"/>
                <w:bCs/>
                <w:sz w:val="20"/>
                <w:szCs w:val="20"/>
              </w:rPr>
              <w:t>7.9</w:t>
            </w:r>
            <w:r w:rsidR="00914F28">
              <w:rPr>
                <w:rFonts w:cs="Times New Roman"/>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FDE6452" w14:textId="77777777" w:rsidR="00914F28" w:rsidRPr="00771776" w:rsidRDefault="00914F28" w:rsidP="00710E51">
            <w:pPr>
              <w:spacing w:after="160" w:line="256" w:lineRule="auto"/>
              <w:ind w:right="34"/>
              <w:jc w:val="both"/>
              <w:rPr>
                <w:rFonts w:cs="Times New Roman"/>
                <w:sz w:val="20"/>
                <w:szCs w:val="20"/>
              </w:rPr>
            </w:pPr>
            <w:r w:rsidRPr="0061338D">
              <w:rPr>
                <w:rFonts w:cs="Times New Roman"/>
                <w:bCs/>
                <w:sz w:val="20"/>
                <w:szCs w:val="20"/>
              </w:rPr>
              <w:t>Sagatavot analītisku apkopojumu par jauno (AML) tiesību normu piemērošanas praksi</w:t>
            </w:r>
            <w:r>
              <w:rPr>
                <w:rFonts w:cs="Times New Roman"/>
                <w:sz w:val="20"/>
                <w:szCs w:val="20"/>
              </w:rPr>
              <w:t xml:space="preserve">, </w:t>
            </w:r>
            <w:r w:rsidRPr="0061338D">
              <w:rPr>
                <w:rFonts w:cs="Times New Roman"/>
                <w:sz w:val="20"/>
                <w:szCs w:val="20"/>
              </w:rPr>
              <w:t>ietver</w:t>
            </w:r>
            <w:r>
              <w:rPr>
                <w:rFonts w:cs="Times New Roman"/>
                <w:sz w:val="20"/>
                <w:szCs w:val="20"/>
              </w:rPr>
              <w:t>ot</w:t>
            </w:r>
            <w:r w:rsidRPr="0061338D">
              <w:rPr>
                <w:rFonts w:cs="Times New Roman"/>
                <w:sz w:val="20"/>
                <w:szCs w:val="20"/>
              </w:rPr>
              <w:t xml:space="preserve"> jauno tiesību normu piemērošanas prakses analīz</w:t>
            </w:r>
            <w:r>
              <w:rPr>
                <w:rFonts w:cs="Times New Roman"/>
                <w:sz w:val="20"/>
                <w:szCs w:val="20"/>
              </w:rPr>
              <w:t>i</w:t>
            </w:r>
            <w:r w:rsidRPr="0061338D">
              <w:rPr>
                <w:rFonts w:cs="Times New Roman"/>
                <w:sz w:val="20"/>
                <w:szCs w:val="20"/>
              </w:rPr>
              <w:t>, secinājum</w:t>
            </w:r>
            <w:r>
              <w:rPr>
                <w:rFonts w:cs="Times New Roman"/>
                <w:sz w:val="20"/>
                <w:szCs w:val="20"/>
              </w:rPr>
              <w:t>us</w:t>
            </w:r>
            <w:r w:rsidRPr="0061338D">
              <w:rPr>
                <w:rFonts w:cs="Times New Roman"/>
                <w:sz w:val="20"/>
                <w:szCs w:val="20"/>
              </w:rPr>
              <w:t xml:space="preserve"> un rekomendācijas kriminālvajāšanas efektivitātes uzlabošanai NILL lietās</w:t>
            </w:r>
            <w:r>
              <w:rPr>
                <w:rFonts w:cs="Times New Roman"/>
                <w:sz w:val="20"/>
                <w:szCs w:val="20"/>
              </w:rPr>
              <w:t xml:space="preserve">, kā </w:t>
            </w:r>
            <w:r>
              <w:rPr>
                <w:rFonts w:cs="Times New Roman"/>
                <w:sz w:val="20"/>
                <w:szCs w:val="20"/>
              </w:rPr>
              <w:lastRenderedPageBreak/>
              <w:t>arī ietverot analīzi par prokuroru motivāciju un spēju testēt praksē nesen ieviestās tiesību normas.</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31BB692B" w14:textId="77777777" w:rsidR="00914F28" w:rsidRDefault="00914F28" w:rsidP="00710E51">
            <w:pPr>
              <w:ind w:right="-108"/>
              <w:rPr>
                <w:rFonts w:cs="Times New Roman"/>
                <w:sz w:val="20"/>
                <w:szCs w:val="20"/>
              </w:rPr>
            </w:pPr>
            <w:r>
              <w:rPr>
                <w:rFonts w:cs="Times New Roman"/>
                <w:sz w:val="20"/>
                <w:szCs w:val="20"/>
              </w:rPr>
              <w:lastRenderedPageBreak/>
              <w:t>Moneyval rekomendācija 7.3.</w:t>
            </w:r>
          </w:p>
          <w:p w14:paraId="7DBE661E" w14:textId="77777777" w:rsidR="00914F28" w:rsidRDefault="00914F28" w:rsidP="00710E51">
            <w:pPr>
              <w:ind w:right="-108"/>
              <w:rPr>
                <w:rFonts w:cs="Times New Roman"/>
                <w:i/>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0C608264" w14:textId="77777777" w:rsidR="00914F28" w:rsidRDefault="00914F28" w:rsidP="0025344E">
            <w:pPr>
              <w:jc w:val="both"/>
              <w:rPr>
                <w:rFonts w:cs="Times New Roman"/>
                <w:sz w:val="20"/>
                <w:szCs w:val="20"/>
              </w:rPr>
            </w:pPr>
            <w:r>
              <w:rPr>
                <w:rFonts w:cs="Times New Roman"/>
                <w:sz w:val="20"/>
                <w:szCs w:val="20"/>
              </w:rPr>
              <w:t>Efektivitātes paaugstināšana jauno tiesību normu piemērošanā</w:t>
            </w:r>
          </w:p>
          <w:p w14:paraId="6D76E29C" w14:textId="77777777" w:rsidR="00914F28" w:rsidRDefault="00914F28" w:rsidP="00710E51">
            <w:pPr>
              <w:rPr>
                <w:rFonts w:cs="Times New Roman"/>
                <w:sz w:val="20"/>
                <w:szCs w:val="20"/>
              </w:rPr>
            </w:pP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04E061ED" w14:textId="77777777" w:rsidR="00914F28" w:rsidRDefault="00914F28" w:rsidP="0025344E">
            <w:pPr>
              <w:jc w:val="both"/>
              <w:rPr>
                <w:rFonts w:cs="Times New Roman"/>
                <w:sz w:val="20"/>
                <w:szCs w:val="20"/>
              </w:rPr>
            </w:pPr>
            <w:r w:rsidRPr="0061338D">
              <w:rPr>
                <w:rFonts w:cs="Times New Roman"/>
                <w:sz w:val="20"/>
                <w:szCs w:val="20"/>
              </w:rPr>
              <w:t xml:space="preserve">Sagatavots analītisks apkopojums </w:t>
            </w:r>
          </w:p>
          <w:p w14:paraId="2F198043" w14:textId="77777777" w:rsidR="00914F28" w:rsidRDefault="00914F28" w:rsidP="00710E51">
            <w:pPr>
              <w:rPr>
                <w:rFonts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005A68E7" w14:textId="77777777" w:rsidR="00914F28" w:rsidRDefault="00914F28" w:rsidP="002D63BE">
            <w:pPr>
              <w:jc w:val="center"/>
              <w:rPr>
                <w:rFonts w:cs="Times New Roman"/>
                <w:bCs/>
                <w:sz w:val="20"/>
                <w:szCs w:val="20"/>
              </w:rPr>
            </w:pPr>
            <w:r>
              <w:rPr>
                <w:rFonts w:cs="Times New Roman"/>
                <w:bCs/>
                <w:sz w:val="20"/>
                <w:szCs w:val="20"/>
              </w:rPr>
              <w:t>ĢP</w:t>
            </w:r>
          </w:p>
        </w:tc>
        <w:tc>
          <w:tcPr>
            <w:tcW w:w="1202" w:type="dxa"/>
            <w:tcBorders>
              <w:top w:val="single" w:sz="4" w:space="0" w:color="auto"/>
              <w:left w:val="single" w:sz="4" w:space="0" w:color="auto"/>
              <w:bottom w:val="single" w:sz="4" w:space="0" w:color="auto"/>
              <w:right w:val="single" w:sz="4" w:space="0" w:color="auto"/>
            </w:tcBorders>
          </w:tcPr>
          <w:p w14:paraId="2777223D" w14:textId="77777777" w:rsidR="00914F28" w:rsidRDefault="00914F28" w:rsidP="002D63BE">
            <w:pPr>
              <w:jc w:val="center"/>
              <w:rPr>
                <w:rFonts w:cs="Times New Roman"/>
                <w:bCs/>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0693A1B" w14:textId="77777777" w:rsidR="00914F28" w:rsidRDefault="00914F28" w:rsidP="002D63BE">
            <w:pPr>
              <w:jc w:val="center"/>
              <w:rPr>
                <w:rFonts w:cs="Times New Roman"/>
                <w:bCs/>
                <w:sz w:val="20"/>
                <w:szCs w:val="20"/>
              </w:rPr>
            </w:pPr>
            <w:r>
              <w:rPr>
                <w:rFonts w:cs="Times New Roman"/>
                <w:sz w:val="20"/>
                <w:szCs w:val="20"/>
              </w:rPr>
              <w:t>2019.gada 31.jūlijs</w:t>
            </w:r>
          </w:p>
          <w:p w14:paraId="7FE6EBA8" w14:textId="77777777" w:rsidR="00914F28" w:rsidRDefault="00914F28" w:rsidP="002D63BE">
            <w:pPr>
              <w:jc w:val="center"/>
              <w:rPr>
                <w:rFonts w:cs="Times New Roman"/>
                <w:bCs/>
                <w:sz w:val="20"/>
                <w:szCs w:val="20"/>
              </w:rPr>
            </w:pPr>
          </w:p>
        </w:tc>
      </w:tr>
      <w:tr w:rsidR="00914F28" w14:paraId="2E407474" w14:textId="77777777" w:rsidTr="002D63BE">
        <w:tc>
          <w:tcPr>
            <w:tcW w:w="673" w:type="dxa"/>
            <w:tcBorders>
              <w:top w:val="single" w:sz="4" w:space="0" w:color="auto"/>
              <w:left w:val="single" w:sz="4" w:space="0" w:color="auto"/>
              <w:bottom w:val="single" w:sz="4" w:space="0" w:color="auto"/>
              <w:right w:val="single" w:sz="4" w:space="0" w:color="auto"/>
            </w:tcBorders>
            <w:hideMark/>
          </w:tcPr>
          <w:p w14:paraId="5DDA5DDA" w14:textId="77777777" w:rsidR="00914F28" w:rsidRDefault="00914F28" w:rsidP="008978FB">
            <w:pPr>
              <w:jc w:val="center"/>
              <w:rPr>
                <w:rFonts w:cs="Times New Roman"/>
                <w:bCs/>
                <w:sz w:val="20"/>
                <w:szCs w:val="20"/>
              </w:rPr>
            </w:pPr>
            <w:r>
              <w:rPr>
                <w:rFonts w:cs="Times New Roman"/>
                <w:bCs/>
                <w:sz w:val="20"/>
                <w:szCs w:val="20"/>
              </w:rPr>
              <w:t>7.1</w:t>
            </w:r>
            <w:r w:rsidR="00481AD0">
              <w:rPr>
                <w:rFonts w:cs="Times New Roman"/>
                <w:bCs/>
                <w:sz w:val="20"/>
                <w:szCs w:val="20"/>
              </w:rPr>
              <w:t>0</w:t>
            </w:r>
            <w:r>
              <w:rPr>
                <w:rFonts w:cs="Times New Roman"/>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4F6125" w14:textId="77777777" w:rsidR="00914F28" w:rsidRDefault="00914F28" w:rsidP="00710E51">
            <w:pPr>
              <w:jc w:val="both"/>
              <w:rPr>
                <w:rFonts w:cs="Times New Roman"/>
                <w:sz w:val="20"/>
                <w:szCs w:val="20"/>
              </w:rPr>
            </w:pPr>
            <w:r>
              <w:rPr>
                <w:rFonts w:cs="Times New Roman"/>
                <w:sz w:val="20"/>
                <w:szCs w:val="20"/>
              </w:rPr>
              <w:t>Sagatavot tiesu prakses apkopojumu (esošās prakses analīze, secinājumu un rekomendāciju izteikšana nolūkā veicināt vienveidīgu normu piemērošanu NILL jomā)</w:t>
            </w:r>
          </w:p>
          <w:p w14:paraId="094E7FF8" w14:textId="77777777" w:rsidR="00914F28" w:rsidRDefault="00914F28" w:rsidP="00710E51">
            <w:pPr>
              <w:jc w:val="both"/>
              <w:rPr>
                <w:rFonts w:cs="Times New Roman"/>
                <w:bCs/>
                <w:sz w:val="20"/>
                <w:szCs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238FF110" w14:textId="77777777" w:rsidR="00914F28" w:rsidRDefault="00914F28" w:rsidP="00710E51">
            <w:pPr>
              <w:ind w:right="-108"/>
              <w:rPr>
                <w:rFonts w:cs="Times New Roman"/>
                <w:sz w:val="20"/>
                <w:szCs w:val="20"/>
              </w:rPr>
            </w:pPr>
            <w:r>
              <w:rPr>
                <w:rFonts w:cs="Times New Roman"/>
                <w:sz w:val="20"/>
                <w:szCs w:val="20"/>
              </w:rPr>
              <w:t>Moneyval rekomendācija 7.3.</w:t>
            </w:r>
          </w:p>
          <w:p w14:paraId="641FAD7B" w14:textId="77777777" w:rsidR="00914F28" w:rsidRDefault="00914F28" w:rsidP="00710E51">
            <w:pPr>
              <w:ind w:right="-108"/>
              <w:rPr>
                <w:rFonts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2E4F2A24" w14:textId="77777777" w:rsidR="00914F28" w:rsidRDefault="00914F28" w:rsidP="00710E51">
            <w:pPr>
              <w:rPr>
                <w:rFonts w:cs="Times New Roman"/>
                <w:sz w:val="20"/>
                <w:szCs w:val="20"/>
              </w:rPr>
            </w:pPr>
            <w:r>
              <w:rPr>
                <w:rFonts w:cs="Times New Roman"/>
                <w:sz w:val="20"/>
                <w:szCs w:val="20"/>
              </w:rPr>
              <w:t xml:space="preserve">Vienota izpratne par NILL izmeklēšanu, pierādīšanu. </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2E10747B" w14:textId="77777777" w:rsidR="00914F28" w:rsidRDefault="00914F28" w:rsidP="0025344E">
            <w:pPr>
              <w:jc w:val="both"/>
              <w:rPr>
                <w:rFonts w:cs="Times New Roman"/>
                <w:sz w:val="20"/>
                <w:szCs w:val="20"/>
              </w:rPr>
            </w:pPr>
            <w:r>
              <w:rPr>
                <w:rFonts w:cs="Times New Roman"/>
                <w:sz w:val="20"/>
                <w:szCs w:val="20"/>
              </w:rPr>
              <w:t>Sagatavots tiesu prakses apkopojums</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48515E83" w14:textId="77777777" w:rsidR="00914F28" w:rsidRDefault="00914F28" w:rsidP="002D63BE">
            <w:pPr>
              <w:jc w:val="center"/>
              <w:rPr>
                <w:rFonts w:cs="Times New Roman"/>
                <w:bCs/>
                <w:sz w:val="20"/>
                <w:szCs w:val="20"/>
              </w:rPr>
            </w:pPr>
            <w:r>
              <w:rPr>
                <w:rFonts w:cs="Times New Roman"/>
                <w:bCs/>
                <w:sz w:val="20"/>
                <w:szCs w:val="20"/>
              </w:rPr>
              <w:t>TM sadarbībā ar Augstāko tiesu</w:t>
            </w:r>
          </w:p>
        </w:tc>
        <w:tc>
          <w:tcPr>
            <w:tcW w:w="1202" w:type="dxa"/>
            <w:tcBorders>
              <w:top w:val="single" w:sz="4" w:space="0" w:color="auto"/>
              <w:left w:val="single" w:sz="4" w:space="0" w:color="auto"/>
              <w:bottom w:val="single" w:sz="4" w:space="0" w:color="auto"/>
              <w:right w:val="single" w:sz="4" w:space="0" w:color="auto"/>
            </w:tcBorders>
            <w:hideMark/>
          </w:tcPr>
          <w:p w14:paraId="74A39A88" w14:textId="77777777" w:rsidR="00914F28" w:rsidRPr="00B36912" w:rsidRDefault="00914F28" w:rsidP="002D63BE">
            <w:pPr>
              <w:jc w:val="center"/>
              <w:rPr>
                <w:rFonts w:cs="Times New Roman"/>
                <w:bCs/>
                <w:sz w:val="20"/>
                <w:szCs w:val="20"/>
              </w:rPr>
            </w:pPr>
            <w:r w:rsidRPr="00B36912">
              <w:rPr>
                <w:rFonts w:cs="Times New Roman"/>
                <w:bCs/>
                <w:sz w:val="20"/>
                <w:szCs w:val="20"/>
              </w:rPr>
              <w:t>TA</w:t>
            </w:r>
          </w:p>
        </w:tc>
        <w:tc>
          <w:tcPr>
            <w:tcW w:w="1390" w:type="dxa"/>
            <w:tcBorders>
              <w:top w:val="single" w:sz="4" w:space="0" w:color="auto"/>
              <w:left w:val="single" w:sz="4" w:space="0" w:color="auto"/>
              <w:bottom w:val="single" w:sz="4" w:space="0" w:color="auto"/>
              <w:right w:val="single" w:sz="4" w:space="0" w:color="auto"/>
            </w:tcBorders>
            <w:hideMark/>
          </w:tcPr>
          <w:p w14:paraId="436C5688" w14:textId="77777777" w:rsidR="00914F28" w:rsidRDefault="00914F28" w:rsidP="00246A4B">
            <w:pPr>
              <w:jc w:val="center"/>
              <w:rPr>
                <w:rFonts w:cs="Times New Roman"/>
                <w:bCs/>
                <w:sz w:val="20"/>
                <w:szCs w:val="20"/>
              </w:rPr>
            </w:pPr>
            <w:r>
              <w:rPr>
                <w:rFonts w:cs="Times New Roman"/>
                <w:sz w:val="20"/>
                <w:szCs w:val="20"/>
              </w:rPr>
              <w:t xml:space="preserve">2019.gada </w:t>
            </w:r>
            <w:r w:rsidR="00246A4B">
              <w:rPr>
                <w:rFonts w:cs="Times New Roman"/>
                <w:sz w:val="20"/>
                <w:szCs w:val="20"/>
              </w:rPr>
              <w:t>28</w:t>
            </w:r>
            <w:r>
              <w:rPr>
                <w:rFonts w:cs="Times New Roman"/>
                <w:sz w:val="20"/>
                <w:szCs w:val="20"/>
              </w:rPr>
              <w:t>.decembris</w:t>
            </w:r>
          </w:p>
        </w:tc>
      </w:tr>
      <w:tr w:rsidR="00914F28" w14:paraId="0198D499" w14:textId="77777777" w:rsidTr="002D63BE">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03FD5" w14:textId="77777777" w:rsidR="00914F28" w:rsidRDefault="00914F28" w:rsidP="00F31326">
            <w:pPr>
              <w:jc w:val="center"/>
              <w:rPr>
                <w:rFonts w:cs="Times New Roman"/>
                <w:bCs/>
                <w:sz w:val="20"/>
                <w:szCs w:val="20"/>
              </w:rPr>
            </w:pPr>
            <w:r>
              <w:rPr>
                <w:rFonts w:cs="Times New Roman"/>
                <w:bCs/>
                <w:sz w:val="20"/>
                <w:szCs w:val="20"/>
              </w:rPr>
              <w:t>7.</w:t>
            </w:r>
            <w:r w:rsidR="008978FB">
              <w:rPr>
                <w:rFonts w:cs="Times New Roman"/>
                <w:bCs/>
                <w:sz w:val="20"/>
                <w:szCs w:val="20"/>
              </w:rPr>
              <w:t>1</w:t>
            </w:r>
            <w:r w:rsidR="00341282">
              <w:rPr>
                <w:rFonts w:cs="Times New Roman"/>
                <w:bCs/>
                <w:sz w:val="20"/>
                <w:szCs w:val="20"/>
              </w:rPr>
              <w:t>1</w:t>
            </w:r>
            <w:r>
              <w:rPr>
                <w:rFonts w:cs="Times New Roman"/>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F5DC956" w14:textId="77777777" w:rsidR="00914F28" w:rsidRDefault="00914F28" w:rsidP="00710E51">
            <w:pPr>
              <w:spacing w:after="160" w:line="256" w:lineRule="auto"/>
              <w:ind w:right="34"/>
              <w:jc w:val="both"/>
              <w:rPr>
                <w:rFonts w:cs="Times New Roman"/>
                <w:sz w:val="20"/>
                <w:szCs w:val="20"/>
              </w:rPr>
            </w:pPr>
            <w:r>
              <w:rPr>
                <w:rFonts w:cs="Times New Roman"/>
                <w:sz w:val="20"/>
                <w:szCs w:val="20"/>
              </w:rPr>
              <w:t>Kontroles pastiprināšana pār prokuroru rīcību saistībā ar viedokļa izteikšanu (protests) par nosakāmo soda veidu un apmēru krimināllietās par NILL.</w:t>
            </w:r>
          </w:p>
          <w:p w14:paraId="2C01C4EE" w14:textId="77777777" w:rsidR="00914F28" w:rsidRDefault="00914F28" w:rsidP="00710E51">
            <w:pPr>
              <w:spacing w:after="160" w:line="256" w:lineRule="auto"/>
              <w:ind w:right="34"/>
              <w:jc w:val="both"/>
              <w:rPr>
                <w:rFonts w:cs="Times New Roman"/>
                <w:sz w:val="20"/>
                <w:szCs w:val="20"/>
              </w:rPr>
            </w:pPr>
          </w:p>
          <w:p w14:paraId="5AECAC63" w14:textId="77777777" w:rsidR="00914F28" w:rsidRDefault="00914F28" w:rsidP="00710E51">
            <w:pPr>
              <w:spacing w:after="160" w:line="256" w:lineRule="auto"/>
              <w:ind w:right="34"/>
              <w:jc w:val="both"/>
              <w:rPr>
                <w:rFonts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449E2835" w14:textId="77777777" w:rsidR="00914F28" w:rsidRDefault="00914F28" w:rsidP="00710E51">
            <w:pPr>
              <w:ind w:right="-108"/>
              <w:rPr>
                <w:rFonts w:cs="Times New Roman"/>
                <w:sz w:val="20"/>
                <w:szCs w:val="20"/>
              </w:rPr>
            </w:pPr>
            <w:r>
              <w:rPr>
                <w:rFonts w:cs="Times New Roman"/>
                <w:sz w:val="20"/>
                <w:szCs w:val="20"/>
              </w:rPr>
              <w:t>Moneyval rekomendācija 7.4.</w:t>
            </w:r>
          </w:p>
          <w:p w14:paraId="027955B8" w14:textId="77777777" w:rsidR="00914F28" w:rsidRDefault="00914F28" w:rsidP="00710E51">
            <w:pPr>
              <w:ind w:right="-108"/>
              <w:rPr>
                <w:rFonts w:cs="Times New Roman"/>
                <w:i/>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03DA2CDE" w14:textId="77777777" w:rsidR="00914F28" w:rsidRDefault="00914F28" w:rsidP="0025344E">
            <w:pPr>
              <w:jc w:val="both"/>
              <w:rPr>
                <w:rFonts w:cs="Times New Roman"/>
                <w:sz w:val="20"/>
                <w:szCs w:val="20"/>
              </w:rPr>
            </w:pPr>
            <w:r>
              <w:rPr>
                <w:rFonts w:cs="Times New Roman"/>
                <w:sz w:val="20"/>
                <w:szCs w:val="20"/>
              </w:rPr>
              <w:t xml:space="preserve">Veicināta adekvāta un konsekventa valsts reakcija (sodu politika) NILL lietās </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63F7FCE4" w14:textId="77777777" w:rsidR="00914F28" w:rsidRDefault="00914F28" w:rsidP="0025344E">
            <w:pPr>
              <w:jc w:val="both"/>
              <w:rPr>
                <w:rFonts w:cs="Times New Roman"/>
                <w:sz w:val="20"/>
                <w:szCs w:val="20"/>
              </w:rPr>
            </w:pPr>
            <w:r>
              <w:rPr>
                <w:rFonts w:cs="Times New Roman"/>
                <w:sz w:val="20"/>
                <w:szCs w:val="20"/>
              </w:rPr>
              <w:t xml:space="preserve">Reizi pusgadā veikts pārskats par prokuroru protestu rezultātiem un apspriests </w:t>
            </w:r>
            <w:r w:rsidRPr="006928FF">
              <w:rPr>
                <w:rFonts w:cs="Times New Roman"/>
                <w:sz w:val="20"/>
                <w:szCs w:val="20"/>
              </w:rPr>
              <w:t>Kontroles dienesta Konsultatīvajā padomē</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3BADA929" w14:textId="77777777" w:rsidR="00914F28" w:rsidRDefault="00914F28" w:rsidP="002D63BE">
            <w:pPr>
              <w:jc w:val="center"/>
              <w:rPr>
                <w:rFonts w:cs="Times New Roman"/>
                <w:sz w:val="20"/>
                <w:szCs w:val="20"/>
              </w:rPr>
            </w:pPr>
            <w:r>
              <w:rPr>
                <w:rFonts w:cs="Times New Roman"/>
                <w:sz w:val="20"/>
                <w:szCs w:val="20"/>
              </w:rPr>
              <w:t>ĢP</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tcPr>
          <w:p w14:paraId="103F5B7F" w14:textId="77777777" w:rsidR="00914F28" w:rsidRDefault="00914F28" w:rsidP="002D63BE">
            <w:pPr>
              <w:jc w:val="center"/>
              <w:rPr>
                <w:rFonts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5C331" w14:textId="77777777" w:rsidR="00914F28" w:rsidRDefault="00914F28" w:rsidP="002D63BE">
            <w:pPr>
              <w:jc w:val="center"/>
              <w:rPr>
                <w:rFonts w:cs="Times New Roman"/>
                <w:sz w:val="20"/>
                <w:szCs w:val="20"/>
              </w:rPr>
            </w:pPr>
            <w:r>
              <w:rPr>
                <w:rFonts w:cs="Times New Roman"/>
                <w:sz w:val="20"/>
                <w:szCs w:val="20"/>
              </w:rPr>
              <w:t>Pastāvīgi</w:t>
            </w:r>
          </w:p>
          <w:p w14:paraId="173E2783" w14:textId="77777777" w:rsidR="00914F28" w:rsidRDefault="00914F28" w:rsidP="002D63BE">
            <w:pPr>
              <w:jc w:val="center"/>
              <w:rPr>
                <w:rFonts w:cs="Times New Roman"/>
                <w:i/>
                <w:sz w:val="20"/>
                <w:szCs w:val="20"/>
              </w:rPr>
            </w:pPr>
          </w:p>
          <w:p w14:paraId="467E97F8" w14:textId="77777777" w:rsidR="00914F28" w:rsidRDefault="00914F28" w:rsidP="002D63BE">
            <w:pPr>
              <w:jc w:val="center"/>
              <w:rPr>
                <w:rFonts w:cs="Times New Roman"/>
                <w:sz w:val="20"/>
                <w:szCs w:val="20"/>
              </w:rPr>
            </w:pPr>
          </w:p>
        </w:tc>
      </w:tr>
      <w:tr w:rsidR="00914F28" w14:paraId="1C3AA14A" w14:textId="77777777" w:rsidTr="0025344E">
        <w:trPr>
          <w:trHeight w:val="1164"/>
        </w:trPr>
        <w:tc>
          <w:tcPr>
            <w:tcW w:w="673" w:type="dxa"/>
            <w:tcBorders>
              <w:top w:val="single" w:sz="4" w:space="0" w:color="auto"/>
              <w:left w:val="single" w:sz="4" w:space="0" w:color="auto"/>
              <w:bottom w:val="single" w:sz="4" w:space="0" w:color="auto"/>
              <w:right w:val="single" w:sz="4" w:space="0" w:color="auto"/>
            </w:tcBorders>
            <w:hideMark/>
          </w:tcPr>
          <w:p w14:paraId="5F209A57" w14:textId="77777777" w:rsidR="00914F28" w:rsidRDefault="00914F28" w:rsidP="00F31326">
            <w:pPr>
              <w:jc w:val="center"/>
              <w:rPr>
                <w:rFonts w:cs="Times New Roman"/>
                <w:bCs/>
                <w:sz w:val="20"/>
                <w:szCs w:val="20"/>
              </w:rPr>
            </w:pPr>
            <w:r>
              <w:rPr>
                <w:rFonts w:cs="Times New Roman"/>
                <w:bCs/>
                <w:sz w:val="20"/>
                <w:szCs w:val="20"/>
              </w:rPr>
              <w:t>7.</w:t>
            </w:r>
            <w:r w:rsidR="008978FB">
              <w:rPr>
                <w:rFonts w:cs="Times New Roman"/>
                <w:bCs/>
                <w:sz w:val="20"/>
                <w:szCs w:val="20"/>
              </w:rPr>
              <w:t>1</w:t>
            </w:r>
            <w:r w:rsidR="00341282">
              <w:rPr>
                <w:rFonts w:cs="Times New Roman"/>
                <w:bCs/>
                <w:sz w:val="20"/>
                <w:szCs w:val="20"/>
              </w:rPr>
              <w:t>2</w:t>
            </w:r>
            <w:r>
              <w:rPr>
                <w:rFonts w:cs="Times New Roman"/>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0CDF49F" w14:textId="77777777" w:rsidR="00914F28" w:rsidRDefault="00914F28" w:rsidP="00710E51">
            <w:pPr>
              <w:spacing w:after="160" w:line="256" w:lineRule="auto"/>
              <w:ind w:right="34"/>
              <w:jc w:val="both"/>
              <w:rPr>
                <w:rFonts w:cs="Times New Roman"/>
                <w:sz w:val="20"/>
                <w:szCs w:val="20"/>
              </w:rPr>
            </w:pPr>
            <w:r>
              <w:rPr>
                <w:rFonts w:cs="Times New Roman"/>
                <w:sz w:val="20"/>
                <w:szCs w:val="20"/>
              </w:rPr>
              <w:t>Sagatavots apkopojums no Tiesu informācijas sistēmas par NILLTF piespriestajiem kriminālsodiem.</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782E1DBF" w14:textId="77777777" w:rsidR="00914F28" w:rsidRDefault="00914F28" w:rsidP="00710E51">
            <w:pPr>
              <w:jc w:val="both"/>
              <w:rPr>
                <w:sz w:val="20"/>
                <w:szCs w:val="20"/>
              </w:rPr>
            </w:pPr>
            <w:r>
              <w:rPr>
                <w:sz w:val="20"/>
                <w:szCs w:val="20"/>
              </w:rPr>
              <w:t>Pasākumu plāns 2017.-2019.g. 3.4. pasākums</w:t>
            </w:r>
          </w:p>
          <w:p w14:paraId="1C382C1D" w14:textId="77777777" w:rsidR="00914F28" w:rsidRDefault="00914F28" w:rsidP="00710E51">
            <w:pPr>
              <w:ind w:right="-108"/>
              <w:rPr>
                <w:rFonts w:cs="Times New Roman"/>
                <w:i/>
                <w:sz w:val="20"/>
                <w:szCs w:val="20"/>
              </w:rPr>
            </w:pPr>
          </w:p>
          <w:p w14:paraId="32011FFD" w14:textId="77777777" w:rsidR="00914F28" w:rsidRDefault="00914F28" w:rsidP="00710E51">
            <w:pPr>
              <w:ind w:right="-108"/>
              <w:rPr>
                <w:rFonts w:cs="Times New Roman"/>
                <w:sz w:val="20"/>
                <w:szCs w:val="20"/>
              </w:rPr>
            </w:pPr>
            <w:r>
              <w:rPr>
                <w:rFonts w:cs="Times New Roman"/>
                <w:sz w:val="20"/>
                <w:szCs w:val="20"/>
              </w:rPr>
              <w:t>Moneyval rekomendācija 7.4.</w:t>
            </w:r>
          </w:p>
          <w:p w14:paraId="70350360" w14:textId="77777777" w:rsidR="00914F28" w:rsidRDefault="00914F28" w:rsidP="00710E51">
            <w:pPr>
              <w:ind w:right="-108"/>
              <w:rPr>
                <w:rFonts w:cs="Times New Roman"/>
                <w:i/>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3CCF6B3E" w14:textId="77777777" w:rsidR="00914F28" w:rsidRDefault="00914F28" w:rsidP="0025344E">
            <w:pPr>
              <w:jc w:val="both"/>
              <w:rPr>
                <w:rFonts w:cs="Times New Roman"/>
                <w:sz w:val="20"/>
                <w:szCs w:val="20"/>
              </w:rPr>
            </w:pPr>
            <w:r>
              <w:rPr>
                <w:rFonts w:cs="Times New Roman"/>
                <w:sz w:val="20"/>
                <w:szCs w:val="20"/>
              </w:rPr>
              <w:t>Sagatavoti un iesniegti statistikas dati par NILLTF, kas pieejami Tiesu informācijas sistēmā, tādējādi parādot kādi kriminālsodi tiek piespriesti praksē</w:t>
            </w:r>
            <w:r w:rsidR="00E508C0">
              <w:rPr>
                <w:rFonts w:cs="Times New Roman"/>
                <w:sz w:val="20"/>
                <w:szCs w:val="20"/>
              </w:rPr>
              <w:t>.</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7C51FC9E" w14:textId="77777777" w:rsidR="00914F28" w:rsidRDefault="00914F28" w:rsidP="0025344E">
            <w:pPr>
              <w:jc w:val="both"/>
              <w:rPr>
                <w:rFonts w:cs="Times New Roman"/>
                <w:sz w:val="20"/>
                <w:szCs w:val="20"/>
              </w:rPr>
            </w:pPr>
            <w:r>
              <w:rPr>
                <w:rFonts w:cs="Times New Roman"/>
                <w:sz w:val="20"/>
                <w:szCs w:val="20"/>
              </w:rPr>
              <w:t>Sagatavota un reizi gadā Kontroles dienesta Konsultatīvajā padomē izskatīta informācija par kriminālsodu piemērošanas praksi</w:t>
            </w:r>
            <w:r w:rsidR="004D6636">
              <w:rPr>
                <w:rFonts w:cs="Times New Roman"/>
                <w:sz w:val="20"/>
                <w:szCs w:val="20"/>
              </w:rPr>
              <w:t xml:space="preserve"> </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70552418" w14:textId="77777777" w:rsidR="00914F28" w:rsidRDefault="00914F28" w:rsidP="002D63BE">
            <w:pPr>
              <w:jc w:val="center"/>
              <w:rPr>
                <w:rFonts w:cs="Times New Roman"/>
                <w:sz w:val="20"/>
                <w:szCs w:val="20"/>
              </w:rPr>
            </w:pPr>
            <w:r>
              <w:rPr>
                <w:rFonts w:cs="Times New Roman"/>
                <w:sz w:val="20"/>
                <w:szCs w:val="20"/>
              </w:rPr>
              <w:t>TM (TA)</w:t>
            </w:r>
          </w:p>
        </w:tc>
        <w:tc>
          <w:tcPr>
            <w:tcW w:w="1202" w:type="dxa"/>
            <w:tcBorders>
              <w:top w:val="single" w:sz="4" w:space="0" w:color="auto"/>
              <w:left w:val="single" w:sz="4" w:space="0" w:color="auto"/>
              <w:bottom w:val="single" w:sz="4" w:space="0" w:color="auto"/>
              <w:right w:val="single" w:sz="4" w:space="0" w:color="auto"/>
            </w:tcBorders>
            <w:hideMark/>
          </w:tcPr>
          <w:p w14:paraId="0D569FBD" w14:textId="77777777" w:rsidR="00914F28" w:rsidRDefault="00914F28" w:rsidP="002D63BE">
            <w:pPr>
              <w:jc w:val="center"/>
              <w:rPr>
                <w:rFonts w:cs="Times New Roman"/>
                <w:sz w:val="20"/>
                <w:szCs w:val="20"/>
              </w:rPr>
            </w:pPr>
            <w:r>
              <w:rPr>
                <w:rFonts w:cs="Times New Roman"/>
                <w:sz w:val="20"/>
                <w:szCs w:val="20"/>
              </w:rPr>
              <w:t>KDKP sastāvā esošās institūcijas</w:t>
            </w:r>
          </w:p>
        </w:tc>
        <w:tc>
          <w:tcPr>
            <w:tcW w:w="1390" w:type="dxa"/>
            <w:tcBorders>
              <w:top w:val="single" w:sz="4" w:space="0" w:color="auto"/>
              <w:left w:val="single" w:sz="4" w:space="0" w:color="auto"/>
              <w:bottom w:val="single" w:sz="4" w:space="0" w:color="auto"/>
              <w:right w:val="single" w:sz="4" w:space="0" w:color="auto"/>
            </w:tcBorders>
            <w:hideMark/>
          </w:tcPr>
          <w:p w14:paraId="4F3AC23E" w14:textId="77777777" w:rsidR="00914F28" w:rsidRDefault="00914F28" w:rsidP="002D63BE">
            <w:pPr>
              <w:jc w:val="center"/>
              <w:rPr>
                <w:rFonts w:cs="Times New Roman"/>
                <w:sz w:val="20"/>
                <w:szCs w:val="20"/>
              </w:rPr>
            </w:pPr>
            <w:r>
              <w:rPr>
                <w:rFonts w:cs="Times New Roman"/>
                <w:sz w:val="20"/>
                <w:szCs w:val="20"/>
              </w:rPr>
              <w:t>Pastāvīgi</w:t>
            </w:r>
          </w:p>
        </w:tc>
      </w:tr>
      <w:tr w:rsidR="004F6B83" w:rsidRPr="00847244" w14:paraId="074C56D5" w14:textId="77777777" w:rsidTr="000215A6">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A426B" w14:textId="77777777" w:rsidR="004F6B83" w:rsidRDefault="00341282" w:rsidP="000215A6">
            <w:pPr>
              <w:jc w:val="center"/>
              <w:rPr>
                <w:rFonts w:cs="Times New Roman"/>
                <w:bCs/>
                <w:sz w:val="20"/>
                <w:szCs w:val="20"/>
              </w:rPr>
            </w:pPr>
            <w:r>
              <w:rPr>
                <w:rFonts w:cs="Times New Roman"/>
                <w:bCs/>
                <w:sz w:val="20"/>
                <w:szCs w:val="20"/>
              </w:rPr>
              <w:t>7.13</w:t>
            </w:r>
            <w:r w:rsidR="004F6B83">
              <w:rPr>
                <w:rFonts w:cs="Times New Roman"/>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BE2AEA2" w14:textId="77777777" w:rsidR="004F6B83" w:rsidRPr="00847244" w:rsidRDefault="004F6B83" w:rsidP="000215A6">
            <w:pPr>
              <w:spacing w:after="160" w:line="256" w:lineRule="auto"/>
              <w:ind w:right="34"/>
              <w:jc w:val="both"/>
              <w:rPr>
                <w:rFonts w:cs="Times New Roman"/>
                <w:sz w:val="20"/>
                <w:szCs w:val="20"/>
              </w:rPr>
            </w:pPr>
            <w:r>
              <w:rPr>
                <w:rFonts w:cs="Times New Roman"/>
                <w:sz w:val="20"/>
                <w:szCs w:val="20"/>
              </w:rPr>
              <w:t xml:space="preserve">Pārskatīt Valsts policijas Galvenās Kriminālpolicijas pārvaldes </w:t>
            </w:r>
            <w:r w:rsidR="00D803F7">
              <w:rPr>
                <w:rFonts w:cs="Times New Roman"/>
                <w:sz w:val="20"/>
                <w:szCs w:val="20"/>
              </w:rPr>
              <w:t>Ekonomisko nozie</w:t>
            </w:r>
            <w:r>
              <w:rPr>
                <w:rFonts w:cs="Times New Roman"/>
                <w:sz w:val="20"/>
                <w:szCs w:val="20"/>
              </w:rPr>
              <w:t>gumu apkarošanas pārvaldes darbinieku skaitu un resursus, lai nodrošinātu, ka tie spēj adekvāti akumulēt rīcības plāna attiecīgo aktivitāšu rezultātā paredzēto pārbaudāmās informācijas un kriminālprocesu pieaugumu</w:t>
            </w:r>
            <w:r w:rsidR="00877487">
              <w:rPr>
                <w:rFonts w:cs="Times New Roman"/>
                <w:sz w:val="20"/>
                <w:szCs w:val="20"/>
              </w:rPr>
              <w:t>.</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12523354" w14:textId="77777777" w:rsidR="004F6B83" w:rsidRPr="00847244" w:rsidRDefault="004F6B83" w:rsidP="000215A6">
            <w:pPr>
              <w:jc w:val="both"/>
              <w:rPr>
                <w:sz w:val="20"/>
                <w:szCs w:val="20"/>
              </w:rPr>
            </w:pPr>
            <w:r>
              <w:rPr>
                <w:sz w:val="20"/>
                <w:szCs w:val="20"/>
              </w:rPr>
              <w:t>Moneyval rekomendācija 7.1. un 7.2.</w:t>
            </w: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14:paraId="7687D303" w14:textId="77777777" w:rsidR="004F6B83" w:rsidRDefault="004F6B83" w:rsidP="00505985">
            <w:pPr>
              <w:jc w:val="both"/>
              <w:rPr>
                <w:rFonts w:cs="Times New Roman"/>
                <w:sz w:val="20"/>
                <w:szCs w:val="20"/>
              </w:rPr>
            </w:pPr>
            <w:r>
              <w:rPr>
                <w:rFonts w:cs="Times New Roman"/>
                <w:sz w:val="20"/>
                <w:szCs w:val="20"/>
              </w:rPr>
              <w:t>Stiprināta NILLTF kriminālprocesu izmeklēšanas kapacitāte</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53B70E74" w14:textId="77777777" w:rsidR="004F6B83" w:rsidRDefault="004F6B83" w:rsidP="00877487">
            <w:pPr>
              <w:jc w:val="both"/>
              <w:rPr>
                <w:rFonts w:cs="Times New Roman"/>
                <w:sz w:val="20"/>
                <w:szCs w:val="20"/>
              </w:rPr>
            </w:pPr>
            <w:r>
              <w:rPr>
                <w:rFonts w:cs="Times New Roman"/>
                <w:sz w:val="20"/>
                <w:szCs w:val="20"/>
              </w:rPr>
              <w:t xml:space="preserve">Piešķirts finansējums 5 jaunu amata vietu </w:t>
            </w:r>
            <w:r w:rsidRPr="00E142B3">
              <w:rPr>
                <w:rFonts w:cs="Times New Roman"/>
                <w:sz w:val="20"/>
                <w:szCs w:val="20"/>
              </w:rPr>
              <w:t>Valsts policijas Galvenās Kriminālpolicij</w:t>
            </w:r>
            <w:r w:rsidR="00D803F7">
              <w:rPr>
                <w:rFonts w:cs="Times New Roman"/>
                <w:sz w:val="20"/>
                <w:szCs w:val="20"/>
              </w:rPr>
              <w:t>as pārvaldes Ekonomisko nozie</w:t>
            </w:r>
            <w:r w:rsidRPr="00E142B3">
              <w:rPr>
                <w:rFonts w:cs="Times New Roman"/>
                <w:sz w:val="20"/>
                <w:szCs w:val="20"/>
              </w:rPr>
              <w:t>gumu apkarošanas pārvald</w:t>
            </w:r>
            <w:r>
              <w:rPr>
                <w:rFonts w:cs="Times New Roman"/>
                <w:sz w:val="20"/>
                <w:szCs w:val="20"/>
              </w:rPr>
              <w:t>ē finansēšanai</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30B2556D" w14:textId="77777777" w:rsidR="004F6B83" w:rsidRPr="00847244" w:rsidRDefault="004F6B83" w:rsidP="000215A6">
            <w:pPr>
              <w:jc w:val="center"/>
              <w:rPr>
                <w:rFonts w:cs="Times New Roman"/>
                <w:sz w:val="20"/>
                <w:szCs w:val="20"/>
              </w:rPr>
            </w:pPr>
            <w:r>
              <w:rPr>
                <w:rFonts w:cs="Times New Roman"/>
                <w:sz w:val="20"/>
                <w:szCs w:val="20"/>
              </w:rPr>
              <w:t>IeM (VP)</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415E8" w14:textId="77777777" w:rsidR="004F6B83" w:rsidRPr="00847244" w:rsidRDefault="004F6B83" w:rsidP="000215A6">
            <w:pPr>
              <w:jc w:val="center"/>
              <w:rPr>
                <w:rFonts w:cs="Times New Roman"/>
                <w:sz w:val="20"/>
                <w:szCs w:val="20"/>
              </w:rPr>
            </w:pPr>
            <w:r>
              <w:rPr>
                <w:rFonts w:cs="Times New Roman"/>
                <w:sz w:val="20"/>
                <w:szCs w:val="20"/>
              </w:rPr>
              <w:t>FM</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940EC" w14:textId="77777777" w:rsidR="004F6B83" w:rsidRPr="00847244" w:rsidRDefault="004F6B83" w:rsidP="000215A6">
            <w:pPr>
              <w:jc w:val="center"/>
              <w:rPr>
                <w:rFonts w:cs="Times New Roman"/>
                <w:sz w:val="20"/>
                <w:szCs w:val="20"/>
              </w:rPr>
            </w:pPr>
            <w:r>
              <w:rPr>
                <w:rFonts w:cs="Times New Roman"/>
                <w:sz w:val="20"/>
                <w:szCs w:val="20"/>
              </w:rPr>
              <w:t>Sākot ar 2019.gada 1.janvāri</w:t>
            </w:r>
          </w:p>
        </w:tc>
      </w:tr>
      <w:tr w:rsidR="00E0534B" w:rsidRPr="00847244" w14:paraId="22EBC4F4" w14:textId="77777777" w:rsidTr="00887824">
        <w:trPr>
          <w:trHeight w:val="1791"/>
        </w:trPr>
        <w:tc>
          <w:tcPr>
            <w:tcW w:w="673" w:type="dxa"/>
            <w:vMerge w:val="restart"/>
            <w:tcBorders>
              <w:top w:val="single" w:sz="4" w:space="0" w:color="auto"/>
              <w:left w:val="single" w:sz="4" w:space="0" w:color="auto"/>
              <w:right w:val="single" w:sz="4" w:space="0" w:color="auto"/>
            </w:tcBorders>
            <w:shd w:val="clear" w:color="auto" w:fill="FFFFFF" w:themeFill="background1"/>
          </w:tcPr>
          <w:p w14:paraId="16ABEC98" w14:textId="77777777" w:rsidR="00E0534B" w:rsidRDefault="00E0534B" w:rsidP="000215A6">
            <w:pPr>
              <w:jc w:val="center"/>
              <w:rPr>
                <w:rFonts w:cs="Times New Roman"/>
                <w:bCs/>
                <w:sz w:val="20"/>
                <w:szCs w:val="20"/>
              </w:rPr>
            </w:pPr>
            <w:r>
              <w:rPr>
                <w:rFonts w:cs="Times New Roman"/>
                <w:bCs/>
                <w:sz w:val="20"/>
                <w:szCs w:val="20"/>
              </w:rPr>
              <w:lastRenderedPageBreak/>
              <w:t>7.14.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A03412" w14:textId="77777777" w:rsidR="00E0534B" w:rsidRDefault="00E0534B" w:rsidP="00C17D35">
            <w:pPr>
              <w:spacing w:after="160" w:line="256" w:lineRule="auto"/>
              <w:ind w:right="34"/>
              <w:jc w:val="both"/>
              <w:rPr>
                <w:rFonts w:cs="Times New Roman"/>
                <w:sz w:val="20"/>
                <w:szCs w:val="20"/>
              </w:rPr>
            </w:pPr>
            <w:r>
              <w:rPr>
                <w:rFonts w:cs="Times New Roman"/>
                <w:sz w:val="20"/>
                <w:szCs w:val="20"/>
              </w:rPr>
              <w:t>1.</w:t>
            </w:r>
            <w:r w:rsidR="00C17D35">
              <w:rPr>
                <w:rFonts w:cs="Times New Roman"/>
                <w:sz w:val="20"/>
                <w:szCs w:val="20"/>
              </w:rPr>
              <w:t xml:space="preserve">Tieslietu ministrijas vadībā pārrunāt vadlīniju saturu vienotas pieejas nodrošināšanai noziedzīgi iegūtu līdzekļu legalizācijas izmeklēšanā, </w:t>
            </w:r>
            <w:r w:rsidR="00D1378F">
              <w:rPr>
                <w:rFonts w:cs="Times New Roman"/>
                <w:sz w:val="20"/>
                <w:szCs w:val="20"/>
              </w:rPr>
              <w:t xml:space="preserve"> </w:t>
            </w:r>
            <w:r w:rsidR="00E668F4">
              <w:rPr>
                <w:rFonts w:cs="Times New Roman"/>
                <w:sz w:val="20"/>
                <w:szCs w:val="20"/>
              </w:rPr>
              <w:t>pierādījumu minimālā apjoma nodrošināšanai, diskusijā iesaistot tiesas.</w:t>
            </w:r>
          </w:p>
        </w:tc>
        <w:tc>
          <w:tcPr>
            <w:tcW w:w="1590" w:type="dxa"/>
            <w:vMerge w:val="restart"/>
            <w:tcBorders>
              <w:top w:val="single" w:sz="4" w:space="0" w:color="auto"/>
              <w:left w:val="single" w:sz="4" w:space="0" w:color="auto"/>
              <w:right w:val="single" w:sz="4" w:space="0" w:color="auto"/>
            </w:tcBorders>
            <w:shd w:val="clear" w:color="auto" w:fill="auto"/>
          </w:tcPr>
          <w:p w14:paraId="08FA80DE" w14:textId="77777777" w:rsidR="00E0534B" w:rsidRDefault="00E0534B" w:rsidP="000215A6">
            <w:pPr>
              <w:jc w:val="both"/>
              <w:rPr>
                <w:sz w:val="20"/>
                <w:szCs w:val="20"/>
              </w:rPr>
            </w:pPr>
            <w:r>
              <w:rPr>
                <w:sz w:val="20"/>
                <w:szCs w:val="20"/>
              </w:rPr>
              <w:t>Moneyval rekomendācija 7.3.</w:t>
            </w:r>
          </w:p>
          <w:p w14:paraId="0D2E6E76" w14:textId="77777777" w:rsidR="00E0534B" w:rsidRDefault="00E0534B" w:rsidP="000215A6">
            <w:pPr>
              <w:jc w:val="both"/>
              <w:rPr>
                <w:sz w:val="20"/>
                <w:szCs w:val="20"/>
              </w:rPr>
            </w:pPr>
          </w:p>
          <w:p w14:paraId="495065FB" w14:textId="77777777" w:rsidR="00E0534B" w:rsidRPr="00466A18" w:rsidRDefault="00E0534B" w:rsidP="000215A6">
            <w:pPr>
              <w:jc w:val="both"/>
              <w:rPr>
                <w:sz w:val="20"/>
                <w:szCs w:val="20"/>
              </w:rPr>
            </w:pPr>
            <w:r>
              <w:rPr>
                <w:sz w:val="20"/>
                <w:szCs w:val="20"/>
              </w:rPr>
              <w:t>FSAP 2018.gada 26.jūnija sēdes lēmums</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2C65221B" w14:textId="77777777" w:rsidR="00E0534B" w:rsidRDefault="00E668F4" w:rsidP="000215A6">
            <w:pPr>
              <w:rPr>
                <w:rFonts w:cs="Times New Roman"/>
                <w:sz w:val="20"/>
                <w:szCs w:val="20"/>
              </w:rPr>
            </w:pPr>
            <w:r>
              <w:rPr>
                <w:rFonts w:cs="Times New Roman"/>
                <w:sz w:val="20"/>
                <w:szCs w:val="20"/>
              </w:rPr>
              <w:t>1.Organizēta diskusija par vadlīnijām vienotas pieejas nodrošināšanai noziedzīgi iegūtu līdzekļu legalizācijas izmeklēšanā, pierādījumu minimālā apjoma nodrošināšanai.</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3EDA2A12" w14:textId="77777777" w:rsidR="00E0534B" w:rsidRDefault="00E668F4" w:rsidP="00E668F4">
            <w:pPr>
              <w:jc w:val="both"/>
              <w:rPr>
                <w:rFonts w:cs="Times New Roman"/>
                <w:sz w:val="20"/>
                <w:szCs w:val="20"/>
              </w:rPr>
            </w:pPr>
            <w:r>
              <w:rPr>
                <w:rFonts w:cs="Times New Roman"/>
                <w:sz w:val="20"/>
                <w:szCs w:val="20"/>
              </w:rPr>
              <w:t>1.Apzināts pierādījumu minimālais apjoms attiecībā uz predikatīvo noziedzīgo nodarījumu, lai pierādītu līdzekļu noziedzīgo izcelsmi.</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528CBA39" w14:textId="77777777" w:rsidR="00E0534B" w:rsidRDefault="00E668F4" w:rsidP="000215A6">
            <w:pPr>
              <w:jc w:val="center"/>
              <w:rPr>
                <w:rFonts w:cs="Times New Roman"/>
                <w:sz w:val="20"/>
                <w:szCs w:val="20"/>
              </w:rPr>
            </w:pPr>
            <w:r>
              <w:rPr>
                <w:rFonts w:cs="Times New Roman"/>
                <w:sz w:val="20"/>
                <w:szCs w:val="20"/>
              </w:rPr>
              <w:t>TM</w:t>
            </w:r>
            <w:r w:rsidR="00E0534B">
              <w:rPr>
                <w:rFonts w:cs="Times New Roman"/>
                <w:sz w:val="20"/>
                <w:szCs w:val="20"/>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tcPr>
          <w:p w14:paraId="7BD0F3B2" w14:textId="77777777" w:rsidR="00E0534B" w:rsidRDefault="00E0534B" w:rsidP="000215A6">
            <w:pPr>
              <w:jc w:val="center"/>
              <w:rPr>
                <w:rFonts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A21EF73" w14:textId="77777777" w:rsidR="00E0534B" w:rsidRDefault="00E0534B" w:rsidP="00E668F4">
            <w:pPr>
              <w:jc w:val="center"/>
              <w:rPr>
                <w:rFonts w:cs="Times New Roman"/>
                <w:sz w:val="20"/>
                <w:szCs w:val="20"/>
              </w:rPr>
            </w:pPr>
            <w:r>
              <w:rPr>
                <w:rFonts w:cs="Times New Roman"/>
                <w:sz w:val="20"/>
                <w:szCs w:val="20"/>
              </w:rPr>
              <w:t xml:space="preserve">2018.gada </w:t>
            </w:r>
            <w:r w:rsidR="00E668F4">
              <w:rPr>
                <w:rFonts w:cs="Times New Roman"/>
                <w:sz w:val="20"/>
                <w:szCs w:val="20"/>
              </w:rPr>
              <w:t>30</w:t>
            </w:r>
            <w:r>
              <w:rPr>
                <w:rFonts w:cs="Times New Roman"/>
                <w:sz w:val="20"/>
                <w:szCs w:val="20"/>
              </w:rPr>
              <w:t>.</w:t>
            </w:r>
            <w:r w:rsidR="00E668F4">
              <w:rPr>
                <w:rFonts w:cs="Times New Roman"/>
                <w:sz w:val="20"/>
                <w:szCs w:val="20"/>
              </w:rPr>
              <w:t>oktobris</w:t>
            </w:r>
          </w:p>
        </w:tc>
      </w:tr>
      <w:tr w:rsidR="00E0534B" w14:paraId="65FBAA71" w14:textId="77777777" w:rsidTr="00E42972">
        <w:tc>
          <w:tcPr>
            <w:tcW w:w="673" w:type="dxa"/>
            <w:vMerge/>
            <w:tcBorders>
              <w:left w:val="single" w:sz="4" w:space="0" w:color="auto"/>
              <w:bottom w:val="single" w:sz="4" w:space="0" w:color="auto"/>
              <w:right w:val="single" w:sz="4" w:space="0" w:color="auto"/>
            </w:tcBorders>
            <w:shd w:val="clear" w:color="auto" w:fill="FFFFFF" w:themeFill="background1"/>
          </w:tcPr>
          <w:p w14:paraId="49EF84A1" w14:textId="77777777" w:rsidR="00E0534B" w:rsidRDefault="00E0534B" w:rsidP="00E42972">
            <w:pPr>
              <w:jc w:val="center"/>
              <w:rPr>
                <w:rFonts w:cs="Times New Roman"/>
                <w:bCs/>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BFF2FA" w14:textId="77777777" w:rsidR="00E0534B" w:rsidRDefault="00E0534B" w:rsidP="003E5ED0">
            <w:pPr>
              <w:spacing w:after="160" w:line="256" w:lineRule="auto"/>
              <w:ind w:right="34"/>
              <w:jc w:val="both"/>
              <w:rPr>
                <w:rFonts w:cs="Times New Roman"/>
                <w:sz w:val="20"/>
                <w:szCs w:val="20"/>
              </w:rPr>
            </w:pPr>
            <w:r>
              <w:rPr>
                <w:rFonts w:cs="Times New Roman"/>
                <w:sz w:val="20"/>
                <w:szCs w:val="20"/>
              </w:rPr>
              <w:t xml:space="preserve">                                                                                                                                                                                                                                                                                                                                                                                                                                                                               </w:t>
            </w:r>
            <w:r w:rsidR="00887824">
              <w:rPr>
                <w:rFonts w:cs="Times New Roman"/>
                <w:sz w:val="20"/>
                <w:szCs w:val="20"/>
              </w:rPr>
              <w:t xml:space="preserve">                 2.</w:t>
            </w:r>
            <w:r>
              <w:rPr>
                <w:rFonts w:cs="Times New Roman"/>
                <w:sz w:val="20"/>
                <w:szCs w:val="20"/>
              </w:rPr>
              <w:t>Izstrādāt prakses vadlīnijas vienotas pieejas nodrošināšanai noziedzīgi iegūtu līdzekļu legalizācijas izmeklēšanā, pierādījumu minimālā apjoma nodrošināšanai</w:t>
            </w:r>
            <w:r w:rsidR="003E5ED0">
              <w:rPr>
                <w:rFonts w:cs="Times New Roman"/>
                <w:sz w:val="20"/>
                <w:szCs w:val="20"/>
              </w:rPr>
              <w:t>.</w:t>
            </w:r>
          </w:p>
        </w:tc>
        <w:tc>
          <w:tcPr>
            <w:tcW w:w="1590" w:type="dxa"/>
            <w:vMerge/>
            <w:tcBorders>
              <w:left w:val="single" w:sz="4" w:space="0" w:color="auto"/>
              <w:bottom w:val="single" w:sz="4" w:space="0" w:color="auto"/>
              <w:right w:val="single" w:sz="4" w:space="0" w:color="auto"/>
            </w:tcBorders>
            <w:shd w:val="clear" w:color="auto" w:fill="auto"/>
          </w:tcPr>
          <w:p w14:paraId="52D9162B" w14:textId="77777777" w:rsidR="00E0534B" w:rsidRPr="00466A18" w:rsidRDefault="00E0534B" w:rsidP="00E42972">
            <w:pPr>
              <w:jc w:val="both"/>
              <w:rPr>
                <w:sz w:val="20"/>
                <w:szCs w:val="20"/>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6D34560C" w14:textId="77777777" w:rsidR="00E0534B" w:rsidRDefault="00E668F4" w:rsidP="00E42972">
            <w:pPr>
              <w:rPr>
                <w:rFonts w:cs="Times New Roman"/>
                <w:sz w:val="20"/>
                <w:szCs w:val="20"/>
              </w:rPr>
            </w:pPr>
            <w:r>
              <w:rPr>
                <w:rFonts w:cs="Times New Roman"/>
                <w:sz w:val="20"/>
                <w:szCs w:val="20"/>
              </w:rPr>
              <w:t xml:space="preserve">2. </w:t>
            </w:r>
            <w:r w:rsidR="00E0534B">
              <w:rPr>
                <w:rFonts w:cs="Times New Roman"/>
                <w:sz w:val="20"/>
                <w:szCs w:val="20"/>
              </w:rPr>
              <w:t>Izstrādātas, apstiprinātas un izplatītas vadlīnijas</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0BD5EFD1" w14:textId="77777777" w:rsidR="00E0534B" w:rsidRDefault="00E668F4" w:rsidP="00E42972">
            <w:pPr>
              <w:jc w:val="both"/>
              <w:rPr>
                <w:rFonts w:cs="Times New Roman"/>
                <w:sz w:val="20"/>
                <w:szCs w:val="20"/>
              </w:rPr>
            </w:pPr>
            <w:r>
              <w:rPr>
                <w:rFonts w:cs="Times New Roman"/>
                <w:sz w:val="20"/>
                <w:szCs w:val="20"/>
              </w:rPr>
              <w:t>2.</w:t>
            </w:r>
            <w:r w:rsidR="00E0534B">
              <w:rPr>
                <w:rFonts w:cs="Times New Roman"/>
                <w:sz w:val="20"/>
                <w:szCs w:val="20"/>
              </w:rPr>
              <w:t>Izveidota vienota prakse noziedzīgi iegūtu līdzekļu legalizācijas izmeklēšanā</w:t>
            </w:r>
            <w:r>
              <w:rPr>
                <w:rFonts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295DD64E" w14:textId="77777777" w:rsidR="00E0534B" w:rsidRDefault="00E0534B" w:rsidP="00E42972">
            <w:pPr>
              <w:jc w:val="center"/>
              <w:rPr>
                <w:rFonts w:cs="Times New Roman"/>
                <w:sz w:val="20"/>
                <w:szCs w:val="20"/>
              </w:rPr>
            </w:pPr>
            <w:r>
              <w:rPr>
                <w:rFonts w:cs="Times New Roman"/>
                <w:sz w:val="20"/>
                <w:szCs w:val="20"/>
              </w:rPr>
              <w:t>VP, KNAB,</w:t>
            </w:r>
          </w:p>
          <w:p w14:paraId="0FF33CB7" w14:textId="77777777" w:rsidR="00E0534B" w:rsidRDefault="00E0534B" w:rsidP="00E42972">
            <w:pPr>
              <w:jc w:val="center"/>
              <w:rPr>
                <w:rFonts w:cs="Times New Roman"/>
                <w:sz w:val="20"/>
                <w:szCs w:val="20"/>
              </w:rPr>
            </w:pPr>
            <w:r>
              <w:rPr>
                <w:rFonts w:cs="Times New Roman"/>
                <w:sz w:val="20"/>
                <w:szCs w:val="20"/>
              </w:rPr>
              <w:t xml:space="preserve">NMPP </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tcPr>
          <w:p w14:paraId="016CEBCF" w14:textId="77777777" w:rsidR="00E0534B" w:rsidRDefault="00E0534B" w:rsidP="00E42972">
            <w:pPr>
              <w:jc w:val="center"/>
              <w:rPr>
                <w:rFonts w:cs="Times New Roman"/>
                <w:sz w:val="20"/>
                <w:szCs w:val="20"/>
              </w:rPr>
            </w:pPr>
            <w:r>
              <w:rPr>
                <w:rFonts w:cs="Times New Roman"/>
                <w:sz w:val="20"/>
                <w:szCs w:val="20"/>
              </w:rPr>
              <w:t>TM., IeM</w:t>
            </w:r>
            <w:r w:rsidR="00887824">
              <w:rPr>
                <w:rFonts w:cs="Times New Roman"/>
                <w:sz w:val="20"/>
                <w:szCs w:val="20"/>
              </w:rPr>
              <w:t>,</w:t>
            </w:r>
          </w:p>
          <w:p w14:paraId="4A9F27EF" w14:textId="77777777" w:rsidR="00887824" w:rsidRDefault="00887824" w:rsidP="00E42972">
            <w:pPr>
              <w:jc w:val="center"/>
              <w:rPr>
                <w:rFonts w:cs="Times New Roman"/>
                <w:sz w:val="20"/>
                <w:szCs w:val="20"/>
              </w:rPr>
            </w:pPr>
            <w:r>
              <w:rPr>
                <w:rFonts w:cs="Times New Roman"/>
                <w:sz w:val="20"/>
                <w:szCs w:val="20"/>
              </w:rPr>
              <w:t>ĢP</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CBDD75" w14:textId="77777777" w:rsidR="00E0534B" w:rsidRDefault="00E0534B" w:rsidP="00E42972">
            <w:pPr>
              <w:jc w:val="center"/>
              <w:rPr>
                <w:rFonts w:cs="Times New Roman"/>
                <w:sz w:val="20"/>
                <w:szCs w:val="20"/>
              </w:rPr>
            </w:pPr>
            <w:r>
              <w:rPr>
                <w:rFonts w:cs="Times New Roman"/>
                <w:sz w:val="20"/>
                <w:szCs w:val="20"/>
              </w:rPr>
              <w:t>2018.gada 28.decembris</w:t>
            </w:r>
          </w:p>
        </w:tc>
      </w:tr>
    </w:tbl>
    <w:p w14:paraId="02C6A232" w14:textId="77777777" w:rsidR="0049399E" w:rsidRPr="00FC0326" w:rsidRDefault="00FF0BBA" w:rsidP="00FF0BBA">
      <w:pPr>
        <w:jc w:val="both"/>
        <w:rPr>
          <w:b/>
          <w:sz w:val="28"/>
          <w:szCs w:val="28"/>
        </w:rPr>
      </w:pPr>
      <w:r w:rsidRPr="00FC0326">
        <w:rPr>
          <w:b/>
          <w:sz w:val="28"/>
          <w:szCs w:val="28"/>
        </w:rPr>
        <w:tab/>
      </w:r>
    </w:p>
    <w:p w14:paraId="19491648" w14:textId="77777777" w:rsidR="00FF0BBA" w:rsidRPr="00E24F37" w:rsidRDefault="00FC14D0" w:rsidP="00E24F37">
      <w:pPr>
        <w:pStyle w:val="Heading2"/>
        <w:rPr>
          <w:rFonts w:ascii="Times New Roman" w:hAnsi="Times New Roman" w:cs="Times New Roman"/>
          <w:b/>
          <w:color w:val="auto"/>
          <w:sz w:val="28"/>
          <w:szCs w:val="28"/>
        </w:rPr>
      </w:pPr>
      <w:bookmarkStart w:id="15" w:name="_Toc524977656"/>
      <w:r w:rsidRPr="00E24F37">
        <w:rPr>
          <w:rFonts w:ascii="Times New Roman" w:hAnsi="Times New Roman" w:cs="Times New Roman"/>
          <w:b/>
          <w:color w:val="auto"/>
          <w:sz w:val="28"/>
          <w:szCs w:val="28"/>
        </w:rPr>
        <w:t>8</w:t>
      </w:r>
      <w:r w:rsidR="00FF0BBA" w:rsidRPr="00E24F37">
        <w:rPr>
          <w:rFonts w:ascii="Times New Roman" w:hAnsi="Times New Roman" w:cs="Times New Roman"/>
          <w:b/>
          <w:color w:val="auto"/>
          <w:sz w:val="28"/>
          <w:szCs w:val="28"/>
        </w:rPr>
        <w:t xml:space="preserve">.rīcības virziens – </w:t>
      </w:r>
      <w:r w:rsidR="001C2B0B" w:rsidRPr="00E24F37">
        <w:rPr>
          <w:rFonts w:ascii="Times New Roman" w:hAnsi="Times New Roman" w:cs="Times New Roman"/>
          <w:b/>
          <w:color w:val="auto"/>
          <w:sz w:val="28"/>
          <w:szCs w:val="28"/>
        </w:rPr>
        <w:t>Konfiskācija</w:t>
      </w:r>
      <w:bookmarkEnd w:id="15"/>
      <w:r w:rsidR="001C2B0B" w:rsidRPr="00E24F37">
        <w:rPr>
          <w:rFonts w:ascii="Times New Roman" w:hAnsi="Times New Roman" w:cs="Times New Roman"/>
          <w:b/>
          <w:color w:val="auto"/>
          <w:sz w:val="28"/>
          <w:szCs w:val="28"/>
        </w:rPr>
        <w:t xml:space="preserve"> </w:t>
      </w:r>
    </w:p>
    <w:p w14:paraId="23E891E4" w14:textId="77777777" w:rsidR="00FF0BBA" w:rsidRPr="00FC0326" w:rsidRDefault="00FF0BBA" w:rsidP="00FF0BBA">
      <w:pPr>
        <w:jc w:val="both"/>
        <w:rPr>
          <w:sz w:val="28"/>
          <w:szCs w:val="28"/>
        </w:rPr>
      </w:pPr>
    </w:p>
    <w:p w14:paraId="2C31981E" w14:textId="77777777" w:rsidR="00FF0BBA" w:rsidRPr="00FC0326" w:rsidRDefault="00FF0BBA" w:rsidP="00FF0BBA">
      <w:pPr>
        <w:jc w:val="both"/>
        <w:rPr>
          <w:szCs w:val="24"/>
        </w:rPr>
      </w:pPr>
      <w:r w:rsidRPr="00FC0326">
        <w:rPr>
          <w:szCs w:val="24"/>
        </w:rPr>
        <w:t xml:space="preserve">Par rīcības virzienu atbildīgā iestāde: </w:t>
      </w:r>
      <w:r w:rsidR="001C2B0B" w:rsidRPr="00FC0326">
        <w:rPr>
          <w:szCs w:val="24"/>
        </w:rPr>
        <w:t>TM</w:t>
      </w:r>
    </w:p>
    <w:p w14:paraId="05A58AE6" w14:textId="77777777" w:rsidR="00FF0BBA" w:rsidRDefault="00FF0BBA" w:rsidP="00FF0BBA">
      <w:pPr>
        <w:jc w:val="both"/>
        <w:rPr>
          <w:szCs w:val="24"/>
        </w:rPr>
      </w:pPr>
      <w:r w:rsidRPr="00FC0326">
        <w:rPr>
          <w:szCs w:val="24"/>
        </w:rPr>
        <w:t xml:space="preserve">Līdzatbildīgās iestādes: </w:t>
      </w:r>
      <w:r w:rsidR="000824DA" w:rsidRPr="00FC0326">
        <w:rPr>
          <w:szCs w:val="24"/>
        </w:rPr>
        <w:t xml:space="preserve">IeM, </w:t>
      </w:r>
      <w:r w:rsidR="001C2B0B" w:rsidRPr="00FC0326">
        <w:rPr>
          <w:szCs w:val="24"/>
        </w:rPr>
        <w:t>KD, VP, VID, KNAB, ĢP</w:t>
      </w:r>
    </w:p>
    <w:p w14:paraId="3ACE3E6C" w14:textId="77777777" w:rsidR="005C7CFF" w:rsidRPr="00FC0326" w:rsidRDefault="005C7CFF" w:rsidP="00FF0BBA">
      <w:pPr>
        <w:jc w:val="both"/>
        <w:rPr>
          <w:szCs w:val="24"/>
        </w:rPr>
      </w:pPr>
    </w:p>
    <w:tbl>
      <w:tblPr>
        <w:tblW w:w="153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86"/>
        <w:gridCol w:w="1417"/>
        <w:gridCol w:w="2694"/>
        <w:gridCol w:w="1984"/>
        <w:gridCol w:w="1418"/>
        <w:gridCol w:w="1559"/>
        <w:gridCol w:w="1412"/>
      </w:tblGrid>
      <w:tr w:rsidR="00E73D3E" w:rsidRPr="00FC0326" w14:paraId="02D9E539" w14:textId="77777777" w:rsidTr="008978FB">
        <w:tc>
          <w:tcPr>
            <w:tcW w:w="4820" w:type="dxa"/>
            <w:gridSpan w:val="2"/>
          </w:tcPr>
          <w:p w14:paraId="153D76CD" w14:textId="77777777" w:rsidR="00E73D3E" w:rsidRPr="00FC0326" w:rsidRDefault="00E73D3E" w:rsidP="006C08DD">
            <w:pPr>
              <w:rPr>
                <w:rFonts w:cs="Times New Roman"/>
                <w:b/>
                <w:bCs/>
                <w:sz w:val="20"/>
                <w:szCs w:val="20"/>
              </w:rPr>
            </w:pPr>
            <w:r w:rsidRPr="00FC0326">
              <w:rPr>
                <w:rFonts w:cs="Times New Roman"/>
                <w:b/>
                <w:bCs/>
                <w:sz w:val="20"/>
                <w:szCs w:val="20"/>
              </w:rPr>
              <w:t>1.Rīcības virziens</w:t>
            </w:r>
          </w:p>
        </w:tc>
        <w:tc>
          <w:tcPr>
            <w:tcW w:w="10484" w:type="dxa"/>
            <w:gridSpan w:val="6"/>
          </w:tcPr>
          <w:p w14:paraId="72034779" w14:textId="77777777" w:rsidR="00E73D3E" w:rsidRPr="00FC0326" w:rsidRDefault="00E73D3E" w:rsidP="006C08DD">
            <w:pPr>
              <w:jc w:val="both"/>
              <w:rPr>
                <w:rFonts w:cs="Times New Roman"/>
                <w:b/>
                <w:bCs/>
                <w:sz w:val="20"/>
                <w:szCs w:val="20"/>
              </w:rPr>
            </w:pPr>
            <w:r>
              <w:rPr>
                <w:rFonts w:cs="Times New Roman"/>
                <w:b/>
                <w:bCs/>
                <w:sz w:val="20"/>
                <w:szCs w:val="20"/>
              </w:rPr>
              <w:t>KONFISKĀCIJA</w:t>
            </w:r>
          </w:p>
        </w:tc>
      </w:tr>
      <w:tr w:rsidR="00E73D3E" w:rsidRPr="00FC0326" w14:paraId="1B2F30E1" w14:textId="77777777" w:rsidTr="008978FB">
        <w:tc>
          <w:tcPr>
            <w:tcW w:w="4820" w:type="dxa"/>
            <w:gridSpan w:val="2"/>
          </w:tcPr>
          <w:p w14:paraId="7C3B5D59" w14:textId="77777777" w:rsidR="00E73D3E" w:rsidRPr="00FC0326" w:rsidRDefault="00E73D3E" w:rsidP="006C08DD">
            <w:pPr>
              <w:rPr>
                <w:rFonts w:cs="Times New Roman"/>
                <w:b/>
                <w:bCs/>
                <w:sz w:val="20"/>
                <w:szCs w:val="20"/>
              </w:rPr>
            </w:pPr>
            <w:r w:rsidRPr="00FC0326">
              <w:rPr>
                <w:rFonts w:cs="Times New Roman"/>
                <w:b/>
                <w:bCs/>
                <w:sz w:val="20"/>
                <w:szCs w:val="20"/>
              </w:rPr>
              <w:t>Sasniedzamie apakšmērķi:</w:t>
            </w:r>
          </w:p>
        </w:tc>
        <w:tc>
          <w:tcPr>
            <w:tcW w:w="10484" w:type="dxa"/>
            <w:gridSpan w:val="6"/>
          </w:tcPr>
          <w:p w14:paraId="0C790E88" w14:textId="77777777" w:rsidR="00E73D3E" w:rsidRPr="00FC0326" w:rsidRDefault="00E73D3E" w:rsidP="006C08DD">
            <w:pPr>
              <w:jc w:val="both"/>
              <w:rPr>
                <w:rFonts w:cs="Times New Roman"/>
                <w:b/>
                <w:bCs/>
                <w:sz w:val="20"/>
                <w:szCs w:val="20"/>
              </w:rPr>
            </w:pPr>
            <w:r w:rsidRPr="00FC0326">
              <w:rPr>
                <w:rFonts w:cs="Times New Roman"/>
                <w:b/>
                <w:sz w:val="20"/>
                <w:szCs w:val="20"/>
              </w:rPr>
              <w:t xml:space="preserve">1.Izstrādāta un ieviesta </w:t>
            </w:r>
            <w:r w:rsidR="007129BF">
              <w:rPr>
                <w:rFonts w:cs="Times New Roman"/>
                <w:b/>
                <w:sz w:val="20"/>
                <w:szCs w:val="20"/>
              </w:rPr>
              <w:t>vienotā pieeja “apgrieztās pierā</w:t>
            </w:r>
            <w:r w:rsidRPr="00FC0326">
              <w:rPr>
                <w:rFonts w:cs="Times New Roman"/>
                <w:b/>
                <w:sz w:val="20"/>
                <w:szCs w:val="20"/>
              </w:rPr>
              <w:t>dīšanas nastas” pielietošanā mantas konfiskācijas jautājumos.</w:t>
            </w:r>
          </w:p>
        </w:tc>
      </w:tr>
      <w:tr w:rsidR="005B2582" w:rsidRPr="00FC0326" w14:paraId="7899FB15" w14:textId="77777777" w:rsidTr="008978FB">
        <w:tc>
          <w:tcPr>
            <w:tcW w:w="534" w:type="dxa"/>
          </w:tcPr>
          <w:p w14:paraId="7C72E76D" w14:textId="77777777" w:rsidR="005B2582" w:rsidRPr="00FC0326" w:rsidRDefault="005B2582" w:rsidP="006C08DD">
            <w:pPr>
              <w:jc w:val="center"/>
              <w:rPr>
                <w:rFonts w:cs="Times New Roman"/>
                <w:bCs/>
                <w:sz w:val="20"/>
                <w:szCs w:val="20"/>
              </w:rPr>
            </w:pPr>
            <w:r w:rsidRPr="00FC0326">
              <w:rPr>
                <w:rFonts w:cs="Times New Roman"/>
                <w:bCs/>
                <w:sz w:val="20"/>
                <w:szCs w:val="20"/>
              </w:rPr>
              <w:t>Nr. P.k.</w:t>
            </w:r>
          </w:p>
        </w:tc>
        <w:tc>
          <w:tcPr>
            <w:tcW w:w="4286" w:type="dxa"/>
            <w:shd w:val="clear" w:color="auto" w:fill="auto"/>
          </w:tcPr>
          <w:p w14:paraId="5F252992" w14:textId="77777777" w:rsidR="005B2582" w:rsidRPr="00FC0326" w:rsidRDefault="005B2582" w:rsidP="008978FB">
            <w:pPr>
              <w:jc w:val="center"/>
              <w:rPr>
                <w:rFonts w:cs="Times New Roman"/>
                <w:bCs/>
                <w:i/>
                <w:sz w:val="20"/>
                <w:szCs w:val="20"/>
              </w:rPr>
            </w:pPr>
            <w:r w:rsidRPr="00FC0326">
              <w:rPr>
                <w:rFonts w:cs="Times New Roman"/>
                <w:b/>
                <w:bCs/>
                <w:sz w:val="20"/>
                <w:szCs w:val="20"/>
              </w:rPr>
              <w:t>Pasākums</w:t>
            </w:r>
          </w:p>
        </w:tc>
        <w:tc>
          <w:tcPr>
            <w:tcW w:w="1417" w:type="dxa"/>
          </w:tcPr>
          <w:p w14:paraId="2FB8B250" w14:textId="77777777" w:rsidR="005B2582" w:rsidRPr="00FC0326" w:rsidRDefault="005B2582" w:rsidP="008978FB">
            <w:pPr>
              <w:ind w:right="-108"/>
              <w:jc w:val="center"/>
              <w:rPr>
                <w:rFonts w:cs="Times New Roman"/>
                <w:b/>
                <w:sz w:val="20"/>
                <w:szCs w:val="20"/>
              </w:rPr>
            </w:pPr>
            <w:r w:rsidRPr="00FC0326">
              <w:rPr>
                <w:rFonts w:cs="Times New Roman"/>
                <w:b/>
                <w:sz w:val="20"/>
                <w:szCs w:val="20"/>
              </w:rPr>
              <w:t>Avots</w:t>
            </w:r>
          </w:p>
        </w:tc>
        <w:tc>
          <w:tcPr>
            <w:tcW w:w="2694" w:type="dxa"/>
            <w:shd w:val="clear" w:color="auto" w:fill="auto"/>
          </w:tcPr>
          <w:p w14:paraId="5B9D6C98" w14:textId="77777777" w:rsidR="005B2582" w:rsidRPr="00FC0326" w:rsidRDefault="005B2582" w:rsidP="008978FB">
            <w:pPr>
              <w:jc w:val="center"/>
              <w:rPr>
                <w:rFonts w:cs="Times New Roman"/>
                <w:b/>
                <w:bCs/>
                <w:i/>
                <w:sz w:val="20"/>
                <w:szCs w:val="20"/>
              </w:rPr>
            </w:pPr>
            <w:r w:rsidRPr="00FC0326">
              <w:rPr>
                <w:rFonts w:cs="Times New Roman"/>
                <w:b/>
                <w:sz w:val="20"/>
                <w:szCs w:val="20"/>
              </w:rPr>
              <w:t>Darbības rezultāts</w:t>
            </w:r>
          </w:p>
        </w:tc>
        <w:tc>
          <w:tcPr>
            <w:tcW w:w="1984" w:type="dxa"/>
          </w:tcPr>
          <w:p w14:paraId="415BF2A3" w14:textId="77777777" w:rsidR="005B2582" w:rsidRPr="00FC0326" w:rsidRDefault="005B2582" w:rsidP="008978FB">
            <w:pPr>
              <w:jc w:val="center"/>
              <w:rPr>
                <w:rFonts w:cs="Times New Roman"/>
                <w:bCs/>
                <w:i/>
                <w:sz w:val="20"/>
                <w:szCs w:val="20"/>
              </w:rPr>
            </w:pPr>
            <w:r w:rsidRPr="00FC0326">
              <w:rPr>
                <w:rFonts w:cs="Times New Roman"/>
                <w:b/>
                <w:sz w:val="20"/>
                <w:szCs w:val="20"/>
              </w:rPr>
              <w:t>Rezultatīvais rādītājs</w:t>
            </w:r>
          </w:p>
        </w:tc>
        <w:tc>
          <w:tcPr>
            <w:tcW w:w="1418" w:type="dxa"/>
            <w:shd w:val="clear" w:color="auto" w:fill="auto"/>
          </w:tcPr>
          <w:p w14:paraId="7F7834DF" w14:textId="77777777" w:rsidR="005B2582" w:rsidRPr="00FC0326" w:rsidRDefault="005B2582" w:rsidP="008978FB">
            <w:pPr>
              <w:jc w:val="center"/>
              <w:rPr>
                <w:rFonts w:cs="Times New Roman"/>
                <w:bCs/>
                <w:i/>
                <w:sz w:val="20"/>
                <w:szCs w:val="20"/>
              </w:rPr>
            </w:pPr>
            <w:r w:rsidRPr="00FC0326">
              <w:rPr>
                <w:rFonts w:cs="Times New Roman"/>
                <w:b/>
                <w:bCs/>
                <w:sz w:val="20"/>
                <w:szCs w:val="20"/>
              </w:rPr>
              <w:t>Atbildīgā institūcija</w:t>
            </w:r>
          </w:p>
        </w:tc>
        <w:tc>
          <w:tcPr>
            <w:tcW w:w="1559" w:type="dxa"/>
            <w:shd w:val="clear" w:color="auto" w:fill="auto"/>
          </w:tcPr>
          <w:p w14:paraId="4191512A" w14:textId="77777777" w:rsidR="005B2582" w:rsidRPr="00FC0326" w:rsidRDefault="005B2582" w:rsidP="008978FB">
            <w:pPr>
              <w:jc w:val="center"/>
              <w:rPr>
                <w:rFonts w:cs="Times New Roman"/>
                <w:bCs/>
                <w:i/>
                <w:sz w:val="20"/>
                <w:szCs w:val="20"/>
              </w:rPr>
            </w:pPr>
            <w:r w:rsidRPr="00FC0326">
              <w:rPr>
                <w:rFonts w:cs="Times New Roman"/>
                <w:b/>
                <w:bCs/>
                <w:sz w:val="20"/>
                <w:szCs w:val="20"/>
              </w:rPr>
              <w:t>Līdzatbildīgās institūcijas</w:t>
            </w:r>
          </w:p>
        </w:tc>
        <w:tc>
          <w:tcPr>
            <w:tcW w:w="1412" w:type="dxa"/>
            <w:shd w:val="clear" w:color="auto" w:fill="auto"/>
          </w:tcPr>
          <w:p w14:paraId="7EE37F5C" w14:textId="77777777" w:rsidR="005B2582" w:rsidRPr="00FC0326" w:rsidRDefault="005B2582" w:rsidP="008978FB">
            <w:pPr>
              <w:jc w:val="center"/>
              <w:rPr>
                <w:rFonts w:cs="Times New Roman"/>
                <w:bCs/>
                <w:i/>
                <w:sz w:val="20"/>
                <w:szCs w:val="20"/>
              </w:rPr>
            </w:pPr>
            <w:r w:rsidRPr="00FC0326">
              <w:rPr>
                <w:rFonts w:cs="Times New Roman"/>
                <w:b/>
                <w:bCs/>
                <w:sz w:val="20"/>
                <w:szCs w:val="20"/>
              </w:rPr>
              <w:t>Izpildes termiņš</w:t>
            </w:r>
          </w:p>
        </w:tc>
      </w:tr>
      <w:tr w:rsidR="005B2582" w:rsidRPr="00FC0326" w14:paraId="23D810AA" w14:textId="77777777" w:rsidTr="008978FB">
        <w:trPr>
          <w:trHeight w:val="922"/>
        </w:trPr>
        <w:tc>
          <w:tcPr>
            <w:tcW w:w="534" w:type="dxa"/>
            <w:shd w:val="clear" w:color="auto" w:fill="FFFFFF" w:themeFill="background1"/>
          </w:tcPr>
          <w:p w14:paraId="46424ED6" w14:textId="77777777" w:rsidR="005B2582" w:rsidRPr="00FC0326" w:rsidRDefault="00E73D3E" w:rsidP="006C08DD">
            <w:pPr>
              <w:rPr>
                <w:rFonts w:cs="Times New Roman"/>
                <w:sz w:val="20"/>
                <w:szCs w:val="20"/>
              </w:rPr>
            </w:pPr>
            <w:r>
              <w:rPr>
                <w:rFonts w:cs="Times New Roman"/>
                <w:sz w:val="20"/>
                <w:szCs w:val="20"/>
              </w:rPr>
              <w:t>8.1.</w:t>
            </w:r>
          </w:p>
        </w:tc>
        <w:tc>
          <w:tcPr>
            <w:tcW w:w="4286" w:type="dxa"/>
            <w:shd w:val="clear" w:color="auto" w:fill="FFFFFF" w:themeFill="background1"/>
          </w:tcPr>
          <w:p w14:paraId="78D74B78" w14:textId="77777777" w:rsidR="005B2582" w:rsidRPr="00FC0326" w:rsidRDefault="004D6636" w:rsidP="0025344E">
            <w:pPr>
              <w:spacing w:after="160" w:line="259" w:lineRule="auto"/>
              <w:ind w:right="34"/>
              <w:jc w:val="both"/>
              <w:rPr>
                <w:rFonts w:cs="Times New Roman"/>
                <w:sz w:val="20"/>
                <w:szCs w:val="20"/>
              </w:rPr>
            </w:pPr>
            <w:r>
              <w:rPr>
                <w:rFonts w:cs="Times New Roman"/>
                <w:sz w:val="20"/>
                <w:szCs w:val="20"/>
              </w:rPr>
              <w:t>Īstenot a</w:t>
            </w:r>
            <w:r w:rsidR="005B2582" w:rsidRPr="00FC0326">
              <w:rPr>
                <w:rFonts w:cs="Times New Roman"/>
                <w:sz w:val="20"/>
                <w:szCs w:val="20"/>
              </w:rPr>
              <w:t xml:space="preserve">pmācības </w:t>
            </w:r>
            <w:r>
              <w:rPr>
                <w:rFonts w:cs="Times New Roman"/>
                <w:sz w:val="20"/>
                <w:szCs w:val="20"/>
              </w:rPr>
              <w:t>par n</w:t>
            </w:r>
            <w:r w:rsidR="005B2582" w:rsidRPr="00FC0326">
              <w:rPr>
                <w:rFonts w:cs="Times New Roman"/>
                <w:sz w:val="20"/>
                <w:szCs w:val="20"/>
              </w:rPr>
              <w:t>oziedzīgi iegūt</w:t>
            </w:r>
            <w:r>
              <w:rPr>
                <w:rFonts w:cs="Times New Roman"/>
                <w:sz w:val="20"/>
                <w:szCs w:val="20"/>
              </w:rPr>
              <w:t>u</w:t>
            </w:r>
            <w:r w:rsidR="005B2582" w:rsidRPr="00FC0326">
              <w:rPr>
                <w:rFonts w:cs="Times New Roman"/>
                <w:sz w:val="20"/>
                <w:szCs w:val="20"/>
              </w:rPr>
              <w:t xml:space="preserve"> </w:t>
            </w:r>
            <w:r>
              <w:rPr>
                <w:rFonts w:cs="Times New Roman"/>
                <w:sz w:val="20"/>
                <w:szCs w:val="20"/>
              </w:rPr>
              <w:t>līdzekļu</w:t>
            </w:r>
            <w:r w:rsidRPr="00FC0326">
              <w:rPr>
                <w:rFonts w:cs="Times New Roman"/>
                <w:sz w:val="20"/>
                <w:szCs w:val="20"/>
              </w:rPr>
              <w:t xml:space="preserve"> </w:t>
            </w:r>
            <w:r w:rsidR="005B2582" w:rsidRPr="00FC0326">
              <w:rPr>
                <w:rFonts w:cs="Times New Roman"/>
                <w:sz w:val="20"/>
                <w:szCs w:val="20"/>
              </w:rPr>
              <w:t>konfiskācij</w:t>
            </w:r>
            <w:r>
              <w:rPr>
                <w:rFonts w:cs="Times New Roman"/>
                <w:sz w:val="20"/>
                <w:szCs w:val="20"/>
              </w:rPr>
              <w:t>u</w:t>
            </w:r>
            <w:r w:rsidR="005B2582" w:rsidRPr="00FC0326">
              <w:rPr>
                <w:rFonts w:cs="Times New Roman"/>
                <w:sz w:val="20"/>
                <w:szCs w:val="20"/>
              </w:rPr>
              <w:t xml:space="preserve"> (t.sk. apzināšana, līdzekļu iesaldēšana, aresta uzlikšana, konfiscēšana un lēmuma/ sprieduma izpilde, ievērojot normatīvo regulējumu, kas stājās spēkā 2017.gada 1.augustā)”. </w:t>
            </w:r>
          </w:p>
        </w:tc>
        <w:tc>
          <w:tcPr>
            <w:tcW w:w="1417" w:type="dxa"/>
            <w:shd w:val="clear" w:color="auto" w:fill="FFFFFF" w:themeFill="background1"/>
          </w:tcPr>
          <w:p w14:paraId="767731BA" w14:textId="77777777" w:rsidR="005B2582" w:rsidRPr="00FC0326" w:rsidRDefault="00004BA0" w:rsidP="0025344E">
            <w:pPr>
              <w:ind w:left="-108" w:right="-108"/>
              <w:rPr>
                <w:rFonts w:cs="Times New Roman"/>
                <w:sz w:val="20"/>
                <w:szCs w:val="20"/>
              </w:rPr>
            </w:pPr>
            <w:r w:rsidRPr="00FC0326">
              <w:rPr>
                <w:rFonts w:cs="Times New Roman"/>
                <w:sz w:val="20"/>
                <w:szCs w:val="20"/>
              </w:rPr>
              <w:t>Moneyval rekomendācija 8.1.</w:t>
            </w:r>
          </w:p>
        </w:tc>
        <w:tc>
          <w:tcPr>
            <w:tcW w:w="2694" w:type="dxa"/>
            <w:shd w:val="clear" w:color="auto" w:fill="FFFFFF" w:themeFill="background1"/>
          </w:tcPr>
          <w:p w14:paraId="55BBA594" w14:textId="77777777" w:rsidR="005B2582" w:rsidRPr="00FC0326" w:rsidRDefault="005B2582" w:rsidP="0025344E">
            <w:pPr>
              <w:jc w:val="both"/>
              <w:rPr>
                <w:rFonts w:cs="Times New Roman"/>
                <w:sz w:val="20"/>
                <w:szCs w:val="20"/>
              </w:rPr>
            </w:pPr>
            <w:r w:rsidRPr="00FC0326">
              <w:rPr>
                <w:rFonts w:cs="Times New Roman"/>
                <w:sz w:val="20"/>
                <w:szCs w:val="20"/>
              </w:rPr>
              <w:t xml:space="preserve">Vienota izpratne par </w:t>
            </w:r>
            <w:r w:rsidR="004D6636">
              <w:rPr>
                <w:rFonts w:cs="Times New Roman"/>
                <w:sz w:val="20"/>
                <w:szCs w:val="20"/>
              </w:rPr>
              <w:t>noziedzīgi iegūtu līdzekļu</w:t>
            </w:r>
            <w:r w:rsidR="004D6636" w:rsidRPr="00FC0326">
              <w:rPr>
                <w:rFonts w:cs="Times New Roman"/>
                <w:sz w:val="20"/>
                <w:szCs w:val="20"/>
              </w:rPr>
              <w:t xml:space="preserve"> </w:t>
            </w:r>
            <w:r w:rsidRPr="00FC0326">
              <w:rPr>
                <w:rFonts w:cs="Times New Roman"/>
                <w:sz w:val="20"/>
                <w:szCs w:val="20"/>
              </w:rPr>
              <w:t>arestu un konfiskāciju.</w:t>
            </w:r>
          </w:p>
        </w:tc>
        <w:tc>
          <w:tcPr>
            <w:tcW w:w="1984" w:type="dxa"/>
            <w:shd w:val="clear" w:color="auto" w:fill="FFFFFF" w:themeFill="background1"/>
          </w:tcPr>
          <w:p w14:paraId="1ACC0618" w14:textId="77777777" w:rsidR="005B2582" w:rsidRPr="00FC0326" w:rsidDel="002D7277" w:rsidRDefault="005B2582" w:rsidP="0025344E">
            <w:pPr>
              <w:jc w:val="both"/>
              <w:rPr>
                <w:rFonts w:cs="Times New Roman"/>
                <w:sz w:val="20"/>
                <w:szCs w:val="20"/>
              </w:rPr>
            </w:pPr>
            <w:r w:rsidRPr="00FC0326">
              <w:rPr>
                <w:rFonts w:cs="Times New Roman"/>
                <w:sz w:val="20"/>
                <w:szCs w:val="20"/>
              </w:rPr>
              <w:t>Apmācīti izmeklētāji</w:t>
            </w:r>
            <w:r w:rsidR="004D6636">
              <w:rPr>
                <w:rFonts w:cs="Times New Roman"/>
                <w:sz w:val="20"/>
                <w:szCs w:val="20"/>
              </w:rPr>
              <w:t xml:space="preserve">, </w:t>
            </w:r>
            <w:r w:rsidRPr="00FC0326">
              <w:rPr>
                <w:rFonts w:cs="Times New Roman"/>
                <w:sz w:val="20"/>
                <w:szCs w:val="20"/>
              </w:rPr>
              <w:t>prokurori</w:t>
            </w:r>
            <w:r w:rsidR="004D6636">
              <w:rPr>
                <w:rFonts w:cs="Times New Roman"/>
                <w:sz w:val="20"/>
                <w:szCs w:val="20"/>
              </w:rPr>
              <w:t xml:space="preserve"> n tiesneši</w:t>
            </w:r>
            <w:r w:rsidRPr="00FC0326">
              <w:rPr>
                <w:rFonts w:cs="Times New Roman"/>
                <w:sz w:val="20"/>
                <w:szCs w:val="20"/>
              </w:rPr>
              <w:t xml:space="preserve"> – </w:t>
            </w:r>
            <w:r w:rsidR="004D6636">
              <w:rPr>
                <w:rFonts w:cs="Times New Roman"/>
                <w:sz w:val="20"/>
                <w:szCs w:val="20"/>
              </w:rPr>
              <w:t>3</w:t>
            </w:r>
            <w:r w:rsidRPr="00FC0326">
              <w:rPr>
                <w:rFonts w:cs="Times New Roman"/>
                <w:sz w:val="20"/>
                <w:szCs w:val="20"/>
              </w:rPr>
              <w:t>00 personas</w:t>
            </w:r>
          </w:p>
        </w:tc>
        <w:tc>
          <w:tcPr>
            <w:tcW w:w="1418" w:type="dxa"/>
            <w:shd w:val="clear" w:color="auto" w:fill="FFFFFF" w:themeFill="background1"/>
          </w:tcPr>
          <w:p w14:paraId="20128CB4" w14:textId="77777777" w:rsidR="005B2582" w:rsidRPr="00FC0326" w:rsidDel="002D7277" w:rsidRDefault="005B2582" w:rsidP="008978FB">
            <w:pPr>
              <w:jc w:val="center"/>
              <w:rPr>
                <w:rFonts w:cs="Times New Roman"/>
                <w:sz w:val="20"/>
                <w:szCs w:val="20"/>
              </w:rPr>
            </w:pPr>
            <w:r w:rsidRPr="00FC0326">
              <w:rPr>
                <w:rFonts w:cs="Times New Roman"/>
                <w:sz w:val="20"/>
                <w:szCs w:val="20"/>
              </w:rPr>
              <w:t>VAS</w:t>
            </w:r>
            <w:r w:rsidR="004D6636">
              <w:rPr>
                <w:rFonts w:cs="Times New Roman"/>
                <w:sz w:val="20"/>
                <w:szCs w:val="20"/>
              </w:rPr>
              <w:t>, TM (TA)</w:t>
            </w:r>
          </w:p>
        </w:tc>
        <w:tc>
          <w:tcPr>
            <w:tcW w:w="1559" w:type="dxa"/>
            <w:shd w:val="clear" w:color="auto" w:fill="FFFFFF" w:themeFill="background1"/>
          </w:tcPr>
          <w:p w14:paraId="02ACA1E5" w14:textId="77777777" w:rsidR="005B2582" w:rsidRPr="00FC0326" w:rsidDel="002D7277" w:rsidRDefault="005B2582" w:rsidP="008978FB">
            <w:pPr>
              <w:jc w:val="center"/>
              <w:rPr>
                <w:sz w:val="20"/>
                <w:szCs w:val="20"/>
              </w:rPr>
            </w:pPr>
            <w:r w:rsidRPr="00FC0326">
              <w:rPr>
                <w:sz w:val="20"/>
                <w:szCs w:val="20"/>
              </w:rPr>
              <w:t>IeM (VP</w:t>
            </w:r>
            <w:r w:rsidR="009918C6">
              <w:rPr>
                <w:sz w:val="20"/>
                <w:szCs w:val="20"/>
              </w:rPr>
              <w:t>, VRS</w:t>
            </w:r>
            <w:r w:rsidRPr="00FC0326">
              <w:rPr>
                <w:sz w:val="20"/>
                <w:szCs w:val="20"/>
              </w:rPr>
              <w:t>), KNAB, FM (VID NMPP), KD</w:t>
            </w:r>
          </w:p>
        </w:tc>
        <w:tc>
          <w:tcPr>
            <w:tcW w:w="1412" w:type="dxa"/>
            <w:shd w:val="clear" w:color="auto" w:fill="FFFFFF" w:themeFill="background1"/>
          </w:tcPr>
          <w:p w14:paraId="33CB9320" w14:textId="77777777" w:rsidR="005B2582" w:rsidRPr="00FC0326" w:rsidDel="002D7277" w:rsidRDefault="00781568" w:rsidP="00632D1F">
            <w:pPr>
              <w:jc w:val="center"/>
              <w:rPr>
                <w:rFonts w:cs="Times New Roman"/>
                <w:sz w:val="20"/>
                <w:szCs w:val="20"/>
              </w:rPr>
            </w:pPr>
            <w:r w:rsidRPr="00FC0326">
              <w:rPr>
                <w:rFonts w:cs="Times New Roman"/>
                <w:sz w:val="20"/>
                <w:szCs w:val="20"/>
              </w:rPr>
              <w:t xml:space="preserve">2019.gada </w:t>
            </w:r>
            <w:r w:rsidR="00632D1F">
              <w:rPr>
                <w:rFonts w:cs="Times New Roman"/>
                <w:sz w:val="20"/>
                <w:szCs w:val="20"/>
              </w:rPr>
              <w:t>28</w:t>
            </w:r>
            <w:r w:rsidRPr="00FC0326">
              <w:rPr>
                <w:rFonts w:cs="Times New Roman"/>
                <w:sz w:val="20"/>
                <w:szCs w:val="20"/>
              </w:rPr>
              <w:t>.decembris</w:t>
            </w:r>
          </w:p>
        </w:tc>
      </w:tr>
      <w:tr w:rsidR="0043626E" w:rsidRPr="00FC0326" w14:paraId="5220670C" w14:textId="77777777" w:rsidTr="000D4C76">
        <w:trPr>
          <w:trHeight w:val="922"/>
        </w:trPr>
        <w:tc>
          <w:tcPr>
            <w:tcW w:w="534" w:type="dxa"/>
            <w:shd w:val="clear" w:color="auto" w:fill="FFFFFF" w:themeFill="background1"/>
          </w:tcPr>
          <w:p w14:paraId="330412AA" w14:textId="77777777" w:rsidR="0043626E" w:rsidRDefault="0043626E" w:rsidP="0043626E">
            <w:pPr>
              <w:rPr>
                <w:rFonts w:cs="Times New Roman"/>
                <w:sz w:val="20"/>
                <w:szCs w:val="20"/>
              </w:rPr>
            </w:pPr>
            <w:r>
              <w:rPr>
                <w:rFonts w:cs="Times New Roman"/>
                <w:sz w:val="20"/>
                <w:szCs w:val="20"/>
              </w:rPr>
              <w:lastRenderedPageBreak/>
              <w:t>8.</w:t>
            </w:r>
            <w:r w:rsidR="00A07B3C">
              <w:rPr>
                <w:rFonts w:cs="Times New Roman"/>
                <w:sz w:val="20"/>
                <w:szCs w:val="20"/>
              </w:rPr>
              <w:t>2</w:t>
            </w:r>
            <w:r>
              <w:rPr>
                <w:rFonts w:cs="Times New Roman"/>
                <w:sz w:val="20"/>
                <w:szCs w:val="20"/>
              </w:rPr>
              <w:t>.</w:t>
            </w:r>
          </w:p>
        </w:tc>
        <w:tc>
          <w:tcPr>
            <w:tcW w:w="4286" w:type="dxa"/>
            <w:tcBorders>
              <w:top w:val="single" w:sz="4" w:space="0" w:color="auto"/>
              <w:left w:val="single" w:sz="4" w:space="0" w:color="auto"/>
              <w:bottom w:val="single" w:sz="4" w:space="0" w:color="auto"/>
              <w:right w:val="single" w:sz="4" w:space="0" w:color="auto"/>
            </w:tcBorders>
            <w:shd w:val="clear" w:color="auto" w:fill="FFFFFF" w:themeFill="background1"/>
          </w:tcPr>
          <w:p w14:paraId="3E4CD37B" w14:textId="77777777" w:rsidR="0043626E" w:rsidRDefault="00A07B3C" w:rsidP="0025344E">
            <w:pPr>
              <w:spacing w:line="256" w:lineRule="auto"/>
              <w:ind w:right="34"/>
              <w:jc w:val="both"/>
              <w:rPr>
                <w:rFonts w:cs="Times New Roman"/>
                <w:sz w:val="20"/>
                <w:szCs w:val="20"/>
              </w:rPr>
            </w:pPr>
            <w:r>
              <w:rPr>
                <w:rFonts w:cs="Times New Roman"/>
                <w:sz w:val="20"/>
                <w:szCs w:val="20"/>
              </w:rPr>
              <w:t>Pilnveidot</w:t>
            </w:r>
            <w:r w:rsidR="0043626E">
              <w:rPr>
                <w:rFonts w:cs="Times New Roman"/>
                <w:sz w:val="20"/>
                <w:szCs w:val="20"/>
              </w:rPr>
              <w:t xml:space="preserve"> vadlīnij</w:t>
            </w:r>
            <w:r>
              <w:rPr>
                <w:rFonts w:cs="Times New Roman"/>
                <w:sz w:val="20"/>
                <w:szCs w:val="20"/>
              </w:rPr>
              <w:t>as</w:t>
            </w:r>
            <w:r w:rsidR="0043626E">
              <w:rPr>
                <w:rFonts w:cs="Times New Roman"/>
                <w:sz w:val="20"/>
                <w:szCs w:val="20"/>
              </w:rPr>
              <w:t xml:space="preserve"> noziedzīgi iegūtas mantas konfiskācijas nodrošināšanai pirmstiesas izmeklēšanas stadijā, kas ietver metodiku prezumētās noziedzīgi iegūtās mantas atguvei, efektivitāti un sniegt priekšlikumus par to pilnveidei.</w:t>
            </w:r>
            <w:r w:rsidR="0043626E">
              <w:t xml:space="preserve"> </w:t>
            </w:r>
          </w:p>
          <w:p w14:paraId="2459F9B7" w14:textId="77777777" w:rsidR="0043626E" w:rsidRPr="00FC0326" w:rsidRDefault="0043626E" w:rsidP="00A07B3C">
            <w:pPr>
              <w:spacing w:after="160" w:line="259" w:lineRule="auto"/>
              <w:ind w:right="34"/>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CDA7C4" w14:textId="77777777" w:rsidR="0043626E" w:rsidRPr="00E73D3E" w:rsidRDefault="0043626E" w:rsidP="0025344E">
            <w:pPr>
              <w:ind w:left="-108" w:right="-108"/>
              <w:jc w:val="both"/>
              <w:rPr>
                <w:rFonts w:cs="Times New Roman"/>
                <w:sz w:val="20"/>
                <w:szCs w:val="20"/>
              </w:rPr>
            </w:pPr>
            <w:r>
              <w:rPr>
                <w:rFonts w:cs="Times New Roman"/>
                <w:sz w:val="20"/>
                <w:szCs w:val="20"/>
              </w:rPr>
              <w:t>Moneyval rekomendācija 8.1.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EA9CC37" w14:textId="77777777" w:rsidR="0043626E" w:rsidRPr="00FC0326" w:rsidRDefault="00A07B3C" w:rsidP="00A07B3C">
            <w:pPr>
              <w:rPr>
                <w:rFonts w:cs="Times New Roman"/>
                <w:sz w:val="20"/>
                <w:szCs w:val="20"/>
              </w:rPr>
            </w:pPr>
            <w:r>
              <w:rPr>
                <w:rFonts w:cs="Times New Roman"/>
                <w:sz w:val="20"/>
                <w:szCs w:val="20"/>
              </w:rPr>
              <w:t>Pilnveidotas</w:t>
            </w:r>
            <w:r w:rsidR="00E508C0">
              <w:rPr>
                <w:rFonts w:cs="Times New Roman"/>
                <w:sz w:val="20"/>
                <w:szCs w:val="20"/>
              </w:rPr>
              <w:t xml:space="preserve"> </w:t>
            </w:r>
            <w:r w:rsidR="0043626E" w:rsidRPr="003404F2">
              <w:rPr>
                <w:rFonts w:cs="Times New Roman"/>
                <w:sz w:val="20"/>
                <w:szCs w:val="20"/>
              </w:rPr>
              <w:t>vadlīnij</w:t>
            </w:r>
            <w:r>
              <w:rPr>
                <w:rFonts w:cs="Times New Roman"/>
                <w:sz w:val="20"/>
                <w:szCs w:val="20"/>
              </w:rPr>
              <w:t xml:space="preserve">as. </w:t>
            </w:r>
            <w:r w:rsidR="0043626E" w:rsidRPr="003404F2">
              <w:rPr>
                <w:rFonts w:cs="Times New Roman"/>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30C34CB" w14:textId="77777777" w:rsidR="0043626E" w:rsidRDefault="00A07B3C" w:rsidP="0025344E">
            <w:pPr>
              <w:jc w:val="both"/>
              <w:rPr>
                <w:rFonts w:cs="Times New Roman"/>
                <w:sz w:val="20"/>
                <w:szCs w:val="20"/>
              </w:rPr>
            </w:pPr>
            <w:r>
              <w:rPr>
                <w:rFonts w:cs="Times New Roman"/>
                <w:sz w:val="20"/>
                <w:szCs w:val="20"/>
              </w:rPr>
              <w:t>N</w:t>
            </w:r>
            <w:r w:rsidR="0043626E">
              <w:rPr>
                <w:rFonts w:cs="Times New Roman"/>
                <w:sz w:val="20"/>
                <w:szCs w:val="20"/>
              </w:rPr>
              <w:t xml:space="preserve">oziedzīgi iegūtās mantas, </w:t>
            </w:r>
            <w:r>
              <w:rPr>
                <w:rFonts w:cs="Times New Roman"/>
                <w:sz w:val="20"/>
                <w:szCs w:val="20"/>
              </w:rPr>
              <w:t xml:space="preserve">tajā skaitā, prezumētās mantas, </w:t>
            </w:r>
            <w:r w:rsidR="0043626E">
              <w:rPr>
                <w:rFonts w:cs="Times New Roman"/>
                <w:sz w:val="20"/>
                <w:szCs w:val="20"/>
              </w:rPr>
              <w:t>identifikācijas un aresta piemērošanas pieaugums pret iepriekšējo gadu 20 %</w:t>
            </w:r>
            <w:r>
              <w:rPr>
                <w:rFonts w:cs="Times New Roman"/>
                <w:sz w:val="20"/>
                <w:szCs w:val="20"/>
              </w:rPr>
              <w:t>.</w:t>
            </w:r>
          </w:p>
          <w:p w14:paraId="46522F48" w14:textId="77777777" w:rsidR="0043626E" w:rsidRPr="00FC0326" w:rsidRDefault="0043626E" w:rsidP="0025344E">
            <w:pPr>
              <w:jc w:val="both"/>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9ECA756" w14:textId="77777777" w:rsidR="0043626E" w:rsidRPr="00FC0326" w:rsidRDefault="0043626E" w:rsidP="0043626E">
            <w:pPr>
              <w:jc w:val="center"/>
              <w:rPr>
                <w:rFonts w:cs="Times New Roman"/>
                <w:sz w:val="20"/>
                <w:szCs w:val="20"/>
              </w:rPr>
            </w:pPr>
            <w:r>
              <w:rPr>
                <w:rFonts w:cs="Times New Roman"/>
                <w:sz w:val="20"/>
                <w:szCs w:val="20"/>
              </w:rPr>
              <w:t>IeM (VP)</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6DC6156" w14:textId="77777777" w:rsidR="0043626E" w:rsidRPr="00FC0326" w:rsidRDefault="0043626E" w:rsidP="0043626E">
            <w:pPr>
              <w:jc w:val="center"/>
              <w:rPr>
                <w:sz w:val="20"/>
                <w:szCs w:val="20"/>
              </w:rPr>
            </w:pPr>
            <w:r>
              <w:rPr>
                <w:sz w:val="20"/>
                <w:szCs w:val="20"/>
              </w:rPr>
              <w:t>ĢP, KNAB, NMPP, VRS, IDB</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Pr>
          <w:p w14:paraId="2F8F0AF1" w14:textId="77777777" w:rsidR="0043626E" w:rsidRDefault="0043626E" w:rsidP="0043626E">
            <w:pPr>
              <w:jc w:val="both"/>
              <w:rPr>
                <w:rFonts w:cs="Times New Roman"/>
                <w:sz w:val="20"/>
                <w:szCs w:val="20"/>
              </w:rPr>
            </w:pPr>
            <w:r>
              <w:rPr>
                <w:rFonts w:cs="Times New Roman"/>
                <w:sz w:val="20"/>
                <w:szCs w:val="20"/>
              </w:rPr>
              <w:t xml:space="preserve"> 2018.gada </w:t>
            </w:r>
            <w:r w:rsidR="00A07B3C">
              <w:rPr>
                <w:rFonts w:cs="Times New Roman"/>
                <w:sz w:val="20"/>
                <w:szCs w:val="20"/>
              </w:rPr>
              <w:t>28</w:t>
            </w:r>
            <w:r>
              <w:rPr>
                <w:rFonts w:cs="Times New Roman"/>
                <w:sz w:val="20"/>
                <w:szCs w:val="20"/>
              </w:rPr>
              <w:t>.decembris</w:t>
            </w:r>
          </w:p>
          <w:p w14:paraId="1DA38C34" w14:textId="77777777" w:rsidR="0043626E" w:rsidRDefault="0043626E" w:rsidP="0043626E">
            <w:pPr>
              <w:jc w:val="both"/>
              <w:rPr>
                <w:rFonts w:cs="Times New Roman"/>
                <w:sz w:val="20"/>
                <w:szCs w:val="20"/>
              </w:rPr>
            </w:pPr>
          </w:p>
          <w:p w14:paraId="264679C3" w14:textId="77777777" w:rsidR="0043626E" w:rsidRDefault="0043626E" w:rsidP="0043626E">
            <w:pPr>
              <w:jc w:val="both"/>
              <w:rPr>
                <w:rFonts w:cs="Times New Roman"/>
                <w:sz w:val="20"/>
                <w:szCs w:val="20"/>
              </w:rPr>
            </w:pPr>
          </w:p>
          <w:p w14:paraId="78BA03A1" w14:textId="77777777" w:rsidR="0043626E" w:rsidRDefault="0043626E" w:rsidP="0043626E">
            <w:pPr>
              <w:jc w:val="both"/>
              <w:rPr>
                <w:rFonts w:cs="Times New Roman"/>
                <w:sz w:val="20"/>
                <w:szCs w:val="20"/>
              </w:rPr>
            </w:pPr>
          </w:p>
          <w:p w14:paraId="132A36DF" w14:textId="77777777" w:rsidR="0043626E" w:rsidRDefault="0043626E" w:rsidP="0043626E">
            <w:pPr>
              <w:jc w:val="both"/>
              <w:rPr>
                <w:rFonts w:cs="Times New Roman"/>
                <w:sz w:val="20"/>
                <w:szCs w:val="20"/>
              </w:rPr>
            </w:pPr>
          </w:p>
          <w:p w14:paraId="5587B465" w14:textId="77777777" w:rsidR="0043626E" w:rsidRPr="00FC0326" w:rsidRDefault="0043626E" w:rsidP="0043626E">
            <w:pPr>
              <w:jc w:val="center"/>
              <w:rPr>
                <w:rFonts w:cs="Times New Roman"/>
                <w:sz w:val="20"/>
                <w:szCs w:val="20"/>
              </w:rPr>
            </w:pPr>
          </w:p>
        </w:tc>
      </w:tr>
      <w:tr w:rsidR="000D6C44" w:rsidRPr="00FC0326" w14:paraId="56AAAFF1" w14:textId="77777777" w:rsidTr="000D4C76">
        <w:trPr>
          <w:trHeight w:val="922"/>
        </w:trPr>
        <w:tc>
          <w:tcPr>
            <w:tcW w:w="534" w:type="dxa"/>
            <w:tcBorders>
              <w:top w:val="single" w:sz="4" w:space="0" w:color="auto"/>
              <w:left w:val="single" w:sz="4" w:space="0" w:color="auto"/>
              <w:right w:val="single" w:sz="4" w:space="0" w:color="auto"/>
            </w:tcBorders>
            <w:shd w:val="clear" w:color="auto" w:fill="FFFFFF" w:themeFill="background1"/>
          </w:tcPr>
          <w:p w14:paraId="401E27D4" w14:textId="77777777" w:rsidR="000D6C44" w:rsidRPr="00FC0326" w:rsidRDefault="000D6C44" w:rsidP="00004BA0">
            <w:pPr>
              <w:rPr>
                <w:rFonts w:cs="Times New Roman"/>
                <w:sz w:val="20"/>
                <w:szCs w:val="20"/>
              </w:rPr>
            </w:pPr>
            <w:bookmarkStart w:id="16" w:name="_Hlk522539006"/>
            <w:r>
              <w:rPr>
                <w:rFonts w:cs="Times New Roman"/>
                <w:sz w:val="20"/>
                <w:szCs w:val="20"/>
              </w:rPr>
              <w:t>8.</w:t>
            </w:r>
            <w:r w:rsidR="00473DE1">
              <w:rPr>
                <w:rFonts w:cs="Times New Roman"/>
                <w:sz w:val="20"/>
                <w:szCs w:val="20"/>
              </w:rPr>
              <w:t>3</w:t>
            </w:r>
            <w:r>
              <w:rPr>
                <w:rFonts w:cs="Times New Roman"/>
                <w:sz w:val="20"/>
                <w:szCs w:val="20"/>
              </w:rPr>
              <w:t>.</w:t>
            </w:r>
          </w:p>
        </w:tc>
        <w:tc>
          <w:tcPr>
            <w:tcW w:w="4286" w:type="dxa"/>
            <w:tcBorders>
              <w:top w:val="single" w:sz="4" w:space="0" w:color="auto"/>
              <w:left w:val="single" w:sz="4" w:space="0" w:color="auto"/>
              <w:right w:val="single" w:sz="4" w:space="0" w:color="auto"/>
            </w:tcBorders>
            <w:shd w:val="clear" w:color="auto" w:fill="FFFFFF" w:themeFill="background1"/>
          </w:tcPr>
          <w:p w14:paraId="5FEABC24" w14:textId="77777777" w:rsidR="000D6C44" w:rsidRPr="003923D2" w:rsidRDefault="000D6C44" w:rsidP="009E1CD8">
            <w:pPr>
              <w:spacing w:after="160" w:line="252" w:lineRule="auto"/>
              <w:ind w:right="34"/>
              <w:jc w:val="both"/>
              <w:rPr>
                <w:sz w:val="20"/>
                <w:szCs w:val="20"/>
              </w:rPr>
            </w:pPr>
            <w:r>
              <w:rPr>
                <w:sz w:val="20"/>
                <w:szCs w:val="20"/>
              </w:rPr>
              <w:t xml:space="preserve"> </w:t>
            </w:r>
            <w:r w:rsidR="00FE4A2E">
              <w:rPr>
                <w:sz w:val="20"/>
                <w:szCs w:val="20"/>
              </w:rPr>
              <w:t xml:space="preserve">Papildināt Statistikas darba grupas </w:t>
            </w:r>
            <w:r>
              <w:rPr>
                <w:sz w:val="20"/>
                <w:szCs w:val="20"/>
              </w:rPr>
              <w:t>ziņojumu, definējot valsts informācijas sistēmās (eventuāli - TIS (Tiesu informācijas sistēmā) un KRASS (Kriminālprocesa informācijas sistēmā)) iestrādājamos laukus statistisko datu uzskaites vajadzībām</w:t>
            </w:r>
            <w:r w:rsidR="00FE4A2E">
              <w:rPr>
                <w:sz w:val="20"/>
                <w:szCs w:val="20"/>
              </w:rPr>
              <w:t>, lai nodrošinātu pilnvērtīgu FATF 33 rekomendācijas izpildi.</w:t>
            </w:r>
          </w:p>
        </w:tc>
        <w:tc>
          <w:tcPr>
            <w:tcW w:w="1417" w:type="dxa"/>
            <w:tcBorders>
              <w:top w:val="single" w:sz="4" w:space="0" w:color="auto"/>
              <w:left w:val="single" w:sz="4" w:space="0" w:color="auto"/>
              <w:right w:val="single" w:sz="4" w:space="0" w:color="auto"/>
            </w:tcBorders>
            <w:shd w:val="clear" w:color="auto" w:fill="FFFFFF" w:themeFill="background1"/>
          </w:tcPr>
          <w:p w14:paraId="4B409FE6" w14:textId="77777777" w:rsidR="000D6C44" w:rsidRPr="00E73D3E" w:rsidRDefault="000D6C44" w:rsidP="0025344E">
            <w:pPr>
              <w:ind w:left="-108" w:right="-108"/>
              <w:rPr>
                <w:rFonts w:cs="Times New Roman"/>
                <w:sz w:val="20"/>
                <w:szCs w:val="20"/>
              </w:rPr>
            </w:pPr>
            <w:r w:rsidRPr="00E73D3E">
              <w:rPr>
                <w:rFonts w:cs="Times New Roman"/>
                <w:sz w:val="20"/>
                <w:szCs w:val="20"/>
              </w:rPr>
              <w:t>Moneyval rekomendācija 8.2.</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94306D6" w14:textId="77777777" w:rsidR="000D6C44" w:rsidRDefault="00322151" w:rsidP="0025344E">
            <w:pPr>
              <w:spacing w:line="252" w:lineRule="auto"/>
              <w:jc w:val="both"/>
              <w:rPr>
                <w:sz w:val="20"/>
                <w:szCs w:val="20"/>
              </w:rPr>
            </w:pPr>
            <w:r>
              <w:rPr>
                <w:sz w:val="20"/>
                <w:szCs w:val="20"/>
              </w:rPr>
              <w:t>Nodrošināta FATF 33.rekoemndācijas izpilde</w:t>
            </w:r>
          </w:p>
          <w:p w14:paraId="6B69EFC5" w14:textId="77777777" w:rsidR="000D6C44" w:rsidRPr="00FC0326" w:rsidRDefault="000D6C44" w:rsidP="003923D2">
            <w:pPr>
              <w:rPr>
                <w:rFonts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A2042F7" w14:textId="77777777" w:rsidR="000D6C44" w:rsidRDefault="00322151" w:rsidP="0025344E">
            <w:pPr>
              <w:spacing w:line="252" w:lineRule="auto"/>
              <w:jc w:val="both"/>
              <w:rPr>
                <w:sz w:val="20"/>
                <w:szCs w:val="20"/>
              </w:rPr>
            </w:pPr>
            <w:r>
              <w:rPr>
                <w:sz w:val="20"/>
                <w:szCs w:val="20"/>
              </w:rPr>
              <w:t>Pilnveidots Statistikas darba grupas ziņojums un iesniegts FSAP.</w:t>
            </w:r>
          </w:p>
          <w:p w14:paraId="22B5D4E0" w14:textId="77777777" w:rsidR="000D6C44" w:rsidRPr="00FC0326" w:rsidRDefault="000D6C44" w:rsidP="0025344E">
            <w:pPr>
              <w:spacing w:line="252" w:lineRule="auto"/>
              <w:jc w:val="both"/>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4B4525E" w14:textId="77777777" w:rsidR="000D6C44" w:rsidRDefault="000D6C44" w:rsidP="008978FB">
            <w:pPr>
              <w:spacing w:line="252" w:lineRule="auto"/>
              <w:jc w:val="center"/>
              <w:rPr>
                <w:sz w:val="20"/>
                <w:szCs w:val="20"/>
              </w:rPr>
            </w:pPr>
            <w:r>
              <w:rPr>
                <w:sz w:val="20"/>
                <w:szCs w:val="20"/>
              </w:rPr>
              <w:t>KD</w:t>
            </w:r>
          </w:p>
          <w:p w14:paraId="04C8B472" w14:textId="77777777" w:rsidR="000D6C44" w:rsidRPr="00FC0326" w:rsidRDefault="000D6C44" w:rsidP="008978FB">
            <w:pPr>
              <w:jc w:val="center"/>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BF3A27" w14:textId="77777777" w:rsidR="000D6C44" w:rsidRPr="00FC0326" w:rsidRDefault="000D6C44" w:rsidP="008978FB">
            <w:pPr>
              <w:jc w:val="center"/>
              <w:rPr>
                <w:sz w:val="20"/>
                <w:szCs w:val="20"/>
              </w:rPr>
            </w:pPr>
            <w:r>
              <w:rPr>
                <w:sz w:val="20"/>
                <w:szCs w:val="20"/>
              </w:rPr>
              <w:t>VP, VID, DP, KNAB, ĢP, TM (kā TA uzraudzības iestāde), IeM (kā IC uzraudzības iestāde).</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Pr>
          <w:p w14:paraId="1D26C19D" w14:textId="77777777" w:rsidR="000D6C44" w:rsidRDefault="000D6C44" w:rsidP="008978FB">
            <w:pPr>
              <w:spacing w:line="252" w:lineRule="auto"/>
              <w:jc w:val="center"/>
              <w:rPr>
                <w:sz w:val="20"/>
                <w:szCs w:val="20"/>
              </w:rPr>
            </w:pPr>
            <w:r>
              <w:rPr>
                <w:sz w:val="20"/>
                <w:szCs w:val="20"/>
              </w:rPr>
              <w:t>2019.gada 1.februāris</w:t>
            </w:r>
          </w:p>
          <w:p w14:paraId="72DE5689" w14:textId="77777777" w:rsidR="000D6C44" w:rsidRPr="00FC0326" w:rsidRDefault="000D6C44" w:rsidP="008978FB">
            <w:pPr>
              <w:jc w:val="center"/>
              <w:rPr>
                <w:rFonts w:cs="Times New Roman"/>
                <w:sz w:val="20"/>
                <w:szCs w:val="20"/>
              </w:rPr>
            </w:pPr>
          </w:p>
        </w:tc>
      </w:tr>
      <w:bookmarkEnd w:id="16"/>
      <w:tr w:rsidR="00004BA0" w:rsidRPr="00FC0326" w14:paraId="49B19806" w14:textId="77777777" w:rsidTr="008978FB">
        <w:trPr>
          <w:trHeight w:val="922"/>
        </w:trPr>
        <w:tc>
          <w:tcPr>
            <w:tcW w:w="534" w:type="dxa"/>
            <w:shd w:val="clear" w:color="auto" w:fill="FFFFFF" w:themeFill="background1"/>
          </w:tcPr>
          <w:p w14:paraId="6D2C9939" w14:textId="77777777" w:rsidR="00004BA0" w:rsidRPr="00FC0326" w:rsidRDefault="00E73D3E" w:rsidP="00004BA0">
            <w:pPr>
              <w:rPr>
                <w:rFonts w:cs="Times New Roman"/>
                <w:sz w:val="20"/>
                <w:szCs w:val="20"/>
              </w:rPr>
            </w:pPr>
            <w:r>
              <w:rPr>
                <w:rFonts w:cs="Times New Roman"/>
                <w:sz w:val="20"/>
                <w:szCs w:val="20"/>
              </w:rPr>
              <w:t>8.</w:t>
            </w:r>
            <w:r w:rsidR="00322151">
              <w:rPr>
                <w:rFonts w:cs="Times New Roman"/>
                <w:sz w:val="20"/>
                <w:szCs w:val="20"/>
              </w:rPr>
              <w:t>4</w:t>
            </w:r>
            <w:r>
              <w:rPr>
                <w:rFonts w:cs="Times New Roman"/>
                <w:sz w:val="20"/>
                <w:szCs w:val="20"/>
              </w:rPr>
              <w:t>.</w:t>
            </w:r>
          </w:p>
        </w:tc>
        <w:tc>
          <w:tcPr>
            <w:tcW w:w="4286" w:type="dxa"/>
            <w:shd w:val="clear" w:color="auto" w:fill="FFFFFF" w:themeFill="background1"/>
          </w:tcPr>
          <w:p w14:paraId="62FF1664" w14:textId="77777777" w:rsidR="00004BA0" w:rsidRPr="00FC0326" w:rsidRDefault="00004BA0" w:rsidP="00781568">
            <w:pPr>
              <w:jc w:val="both"/>
              <w:rPr>
                <w:rFonts w:cs="Times New Roman"/>
                <w:sz w:val="20"/>
                <w:szCs w:val="20"/>
              </w:rPr>
            </w:pPr>
            <w:r w:rsidRPr="00FC0326">
              <w:rPr>
                <w:rFonts w:cs="Times New Roman"/>
                <w:sz w:val="20"/>
                <w:szCs w:val="20"/>
              </w:rPr>
              <w:t>Izstrādāt un izplatīt apkārtrakstu par arestētās mantas vērtības noteikšanu un informācijas iev</w:t>
            </w:r>
            <w:r w:rsidR="00781568" w:rsidRPr="00FC0326">
              <w:rPr>
                <w:rFonts w:cs="Times New Roman"/>
                <w:sz w:val="20"/>
                <w:szCs w:val="20"/>
              </w:rPr>
              <w:t>a</w:t>
            </w:r>
            <w:r w:rsidRPr="00FC0326">
              <w:rPr>
                <w:rFonts w:cs="Times New Roman"/>
                <w:sz w:val="20"/>
                <w:szCs w:val="20"/>
              </w:rPr>
              <w:t xml:space="preserve">dīšanu TIS attiecībā uz arestēto mantu un tās vērtību. </w:t>
            </w:r>
          </w:p>
        </w:tc>
        <w:tc>
          <w:tcPr>
            <w:tcW w:w="1417" w:type="dxa"/>
            <w:shd w:val="clear" w:color="auto" w:fill="FFFFFF" w:themeFill="background1"/>
          </w:tcPr>
          <w:p w14:paraId="6F0AEFBD" w14:textId="77777777" w:rsidR="00004BA0" w:rsidRPr="00E73D3E" w:rsidRDefault="00004BA0" w:rsidP="0025344E">
            <w:pPr>
              <w:ind w:left="-108" w:right="-108"/>
              <w:rPr>
                <w:rFonts w:cs="Times New Roman"/>
                <w:sz w:val="20"/>
                <w:szCs w:val="20"/>
              </w:rPr>
            </w:pPr>
            <w:r w:rsidRPr="00E73D3E">
              <w:rPr>
                <w:rFonts w:cs="Times New Roman"/>
                <w:sz w:val="20"/>
                <w:szCs w:val="20"/>
              </w:rPr>
              <w:t>Moneyval rekomendācija 8.2.</w:t>
            </w:r>
          </w:p>
        </w:tc>
        <w:tc>
          <w:tcPr>
            <w:tcW w:w="2694" w:type="dxa"/>
            <w:shd w:val="clear" w:color="auto" w:fill="FFFFFF" w:themeFill="background1"/>
          </w:tcPr>
          <w:p w14:paraId="119C17B4" w14:textId="77777777" w:rsidR="00004BA0" w:rsidRPr="00FC0326" w:rsidRDefault="00781568" w:rsidP="0025344E">
            <w:pPr>
              <w:jc w:val="both"/>
              <w:rPr>
                <w:rFonts w:cs="Times New Roman"/>
                <w:sz w:val="20"/>
                <w:szCs w:val="20"/>
              </w:rPr>
            </w:pPr>
            <w:r w:rsidRPr="00FC0326">
              <w:rPr>
                <w:rFonts w:cs="Times New Roman"/>
                <w:sz w:val="20"/>
                <w:szCs w:val="20"/>
              </w:rPr>
              <w:t>Uzlabota informācijas kvalitāte TIS attiecībā uz arestēto mantu un tās vērtību</w:t>
            </w:r>
          </w:p>
        </w:tc>
        <w:tc>
          <w:tcPr>
            <w:tcW w:w="1984" w:type="dxa"/>
            <w:shd w:val="clear" w:color="auto" w:fill="FFFFFF" w:themeFill="background1"/>
          </w:tcPr>
          <w:p w14:paraId="2C46198D" w14:textId="77777777" w:rsidR="00004BA0" w:rsidRPr="00FC0326" w:rsidRDefault="00781568" w:rsidP="0025344E">
            <w:pPr>
              <w:jc w:val="both"/>
              <w:rPr>
                <w:rFonts w:cs="Times New Roman"/>
                <w:sz w:val="20"/>
                <w:szCs w:val="20"/>
              </w:rPr>
            </w:pPr>
            <w:r w:rsidRPr="00FC0326">
              <w:rPr>
                <w:rFonts w:cs="Times New Roman"/>
                <w:sz w:val="20"/>
                <w:szCs w:val="20"/>
              </w:rPr>
              <w:t>Sagatavota vēstule-apkārtraksts izmeklēšanas iestādēm, prokuratūrai un tiesnešiem</w:t>
            </w:r>
          </w:p>
        </w:tc>
        <w:tc>
          <w:tcPr>
            <w:tcW w:w="1418" w:type="dxa"/>
            <w:shd w:val="clear" w:color="auto" w:fill="FFFFFF" w:themeFill="background1"/>
          </w:tcPr>
          <w:p w14:paraId="184F02CD" w14:textId="77777777" w:rsidR="00004BA0" w:rsidRPr="00FC0326" w:rsidRDefault="00004BA0" w:rsidP="008978FB">
            <w:pPr>
              <w:jc w:val="center"/>
              <w:rPr>
                <w:rFonts w:cs="Times New Roman"/>
                <w:sz w:val="20"/>
                <w:szCs w:val="20"/>
              </w:rPr>
            </w:pPr>
            <w:r w:rsidRPr="00FC0326">
              <w:rPr>
                <w:rFonts w:cs="Times New Roman"/>
                <w:sz w:val="20"/>
                <w:szCs w:val="20"/>
              </w:rPr>
              <w:t>TM</w:t>
            </w:r>
          </w:p>
        </w:tc>
        <w:tc>
          <w:tcPr>
            <w:tcW w:w="1559" w:type="dxa"/>
            <w:shd w:val="clear" w:color="auto" w:fill="FFFFFF" w:themeFill="background1"/>
          </w:tcPr>
          <w:p w14:paraId="2A2B3E60" w14:textId="77777777" w:rsidR="00004BA0" w:rsidRPr="00FC0326" w:rsidRDefault="00004BA0" w:rsidP="008978FB">
            <w:pPr>
              <w:jc w:val="center"/>
              <w:rPr>
                <w:sz w:val="20"/>
                <w:szCs w:val="20"/>
              </w:rPr>
            </w:pPr>
          </w:p>
        </w:tc>
        <w:tc>
          <w:tcPr>
            <w:tcW w:w="1412" w:type="dxa"/>
            <w:shd w:val="clear" w:color="auto" w:fill="FFFFFF" w:themeFill="background1"/>
          </w:tcPr>
          <w:p w14:paraId="5804C2CA" w14:textId="77777777" w:rsidR="00004BA0" w:rsidRPr="00FC0326" w:rsidRDefault="00004BA0" w:rsidP="008978FB">
            <w:pPr>
              <w:jc w:val="center"/>
              <w:rPr>
                <w:rFonts w:cs="Times New Roman"/>
                <w:sz w:val="20"/>
                <w:szCs w:val="20"/>
              </w:rPr>
            </w:pPr>
            <w:r w:rsidRPr="00FC0326">
              <w:rPr>
                <w:rFonts w:cs="Times New Roman"/>
                <w:sz w:val="20"/>
                <w:szCs w:val="20"/>
              </w:rPr>
              <w:t>2018.gada 15.novembris</w:t>
            </w:r>
          </w:p>
        </w:tc>
      </w:tr>
      <w:tr w:rsidR="00004BA0" w:rsidRPr="00FC0326" w14:paraId="5A5D30A3" w14:textId="77777777" w:rsidTr="008978FB">
        <w:trPr>
          <w:trHeight w:val="922"/>
        </w:trPr>
        <w:tc>
          <w:tcPr>
            <w:tcW w:w="534" w:type="dxa"/>
            <w:shd w:val="clear" w:color="auto" w:fill="FFFFFF" w:themeFill="background1"/>
          </w:tcPr>
          <w:p w14:paraId="3D21F373" w14:textId="77777777" w:rsidR="00004BA0" w:rsidRPr="00FC0326" w:rsidRDefault="00E73D3E" w:rsidP="00004BA0">
            <w:pPr>
              <w:rPr>
                <w:rFonts w:cs="Times New Roman"/>
                <w:sz w:val="20"/>
                <w:szCs w:val="20"/>
              </w:rPr>
            </w:pPr>
            <w:r>
              <w:rPr>
                <w:rFonts w:cs="Times New Roman"/>
                <w:sz w:val="20"/>
                <w:szCs w:val="20"/>
              </w:rPr>
              <w:t>8.</w:t>
            </w:r>
            <w:r w:rsidR="00F00FF9">
              <w:rPr>
                <w:rFonts w:cs="Times New Roman"/>
                <w:sz w:val="20"/>
                <w:szCs w:val="20"/>
              </w:rPr>
              <w:t>5</w:t>
            </w:r>
            <w:r>
              <w:rPr>
                <w:rFonts w:cs="Times New Roman"/>
                <w:sz w:val="20"/>
                <w:szCs w:val="20"/>
              </w:rPr>
              <w:t>.</w:t>
            </w:r>
          </w:p>
        </w:tc>
        <w:tc>
          <w:tcPr>
            <w:tcW w:w="4286" w:type="dxa"/>
            <w:shd w:val="clear" w:color="auto" w:fill="FFFFFF" w:themeFill="background1"/>
          </w:tcPr>
          <w:p w14:paraId="5A855160" w14:textId="77777777" w:rsidR="00004BA0" w:rsidRPr="00FC0326" w:rsidRDefault="00004BA0" w:rsidP="00004BA0">
            <w:pPr>
              <w:jc w:val="both"/>
              <w:rPr>
                <w:rFonts w:cs="Times New Roman"/>
                <w:sz w:val="20"/>
                <w:szCs w:val="20"/>
              </w:rPr>
            </w:pPr>
            <w:r w:rsidRPr="00FC0326">
              <w:rPr>
                <w:rFonts w:cs="Times New Roman"/>
                <w:sz w:val="20"/>
                <w:szCs w:val="20"/>
              </w:rPr>
              <w:t>Sagatavot un izplatīt apkārtrakstu par NIL konfiskācijas tiesisko regulējumu, kas stājies spēkā 2017.gada 1.augustā</w:t>
            </w:r>
          </w:p>
          <w:p w14:paraId="478FBE78" w14:textId="77777777" w:rsidR="00004BA0" w:rsidRPr="00FC0326" w:rsidRDefault="00004BA0" w:rsidP="00004BA0">
            <w:pPr>
              <w:jc w:val="both"/>
              <w:rPr>
                <w:rFonts w:cs="Times New Roman"/>
                <w:sz w:val="20"/>
                <w:szCs w:val="20"/>
              </w:rPr>
            </w:pPr>
          </w:p>
        </w:tc>
        <w:tc>
          <w:tcPr>
            <w:tcW w:w="1417" w:type="dxa"/>
            <w:shd w:val="clear" w:color="auto" w:fill="FFFFFF" w:themeFill="background1"/>
          </w:tcPr>
          <w:p w14:paraId="708ADF54" w14:textId="77777777" w:rsidR="00004BA0" w:rsidRPr="00E73D3E" w:rsidRDefault="00004BA0" w:rsidP="0025344E">
            <w:pPr>
              <w:ind w:left="-108" w:right="-108"/>
              <w:rPr>
                <w:rFonts w:cs="Times New Roman"/>
                <w:sz w:val="20"/>
                <w:szCs w:val="20"/>
              </w:rPr>
            </w:pPr>
            <w:r w:rsidRPr="00E73D3E">
              <w:rPr>
                <w:rFonts w:cs="Times New Roman"/>
                <w:sz w:val="20"/>
                <w:szCs w:val="20"/>
              </w:rPr>
              <w:t>Moneyval rekomendācija 8.3.</w:t>
            </w:r>
          </w:p>
        </w:tc>
        <w:tc>
          <w:tcPr>
            <w:tcW w:w="2694" w:type="dxa"/>
            <w:shd w:val="clear" w:color="auto" w:fill="FFFFFF" w:themeFill="background1"/>
          </w:tcPr>
          <w:p w14:paraId="1AA67C46" w14:textId="77777777" w:rsidR="00004BA0" w:rsidRPr="00FC0326" w:rsidRDefault="00781568" w:rsidP="0025344E">
            <w:pPr>
              <w:jc w:val="both"/>
              <w:rPr>
                <w:rFonts w:cs="Times New Roman"/>
                <w:sz w:val="20"/>
                <w:szCs w:val="20"/>
              </w:rPr>
            </w:pPr>
            <w:r w:rsidRPr="00FC0326">
              <w:rPr>
                <w:rFonts w:cs="Times New Roman"/>
                <w:sz w:val="20"/>
                <w:szCs w:val="20"/>
              </w:rPr>
              <w:t>Sagatavota vēstule-apkārtraksts tiesnešiem</w:t>
            </w:r>
          </w:p>
        </w:tc>
        <w:tc>
          <w:tcPr>
            <w:tcW w:w="1984" w:type="dxa"/>
            <w:shd w:val="clear" w:color="auto" w:fill="FFFFFF" w:themeFill="background1"/>
          </w:tcPr>
          <w:p w14:paraId="7FFA4C7D" w14:textId="77777777" w:rsidR="00004BA0" w:rsidRPr="00FC0326" w:rsidRDefault="00004BA0" w:rsidP="0025344E">
            <w:pPr>
              <w:jc w:val="both"/>
              <w:rPr>
                <w:rFonts w:cs="Times New Roman"/>
                <w:sz w:val="20"/>
                <w:szCs w:val="20"/>
              </w:rPr>
            </w:pPr>
            <w:r w:rsidRPr="00FC0326">
              <w:rPr>
                <w:rFonts w:cs="Times New Roman"/>
                <w:sz w:val="20"/>
                <w:szCs w:val="20"/>
              </w:rPr>
              <w:t>NIL konfiskācijas, balstoties uz notiesājošu spriedumu, pieaugums par 100%</w:t>
            </w:r>
          </w:p>
        </w:tc>
        <w:tc>
          <w:tcPr>
            <w:tcW w:w="1418" w:type="dxa"/>
            <w:shd w:val="clear" w:color="auto" w:fill="FFFFFF" w:themeFill="background1"/>
          </w:tcPr>
          <w:p w14:paraId="4055470E" w14:textId="77777777" w:rsidR="00004BA0" w:rsidRPr="00FC0326" w:rsidRDefault="00004BA0" w:rsidP="008978FB">
            <w:pPr>
              <w:jc w:val="center"/>
              <w:rPr>
                <w:rFonts w:cs="Times New Roman"/>
                <w:sz w:val="20"/>
                <w:szCs w:val="20"/>
              </w:rPr>
            </w:pPr>
            <w:r w:rsidRPr="00FC0326">
              <w:rPr>
                <w:rFonts w:cs="Times New Roman"/>
                <w:sz w:val="20"/>
                <w:szCs w:val="20"/>
              </w:rPr>
              <w:t>TM</w:t>
            </w:r>
          </w:p>
        </w:tc>
        <w:tc>
          <w:tcPr>
            <w:tcW w:w="1559" w:type="dxa"/>
            <w:shd w:val="clear" w:color="auto" w:fill="FFFFFF" w:themeFill="background1"/>
          </w:tcPr>
          <w:p w14:paraId="2293B071" w14:textId="77777777" w:rsidR="00004BA0" w:rsidRPr="00FC0326" w:rsidRDefault="00004BA0" w:rsidP="008978FB">
            <w:pPr>
              <w:jc w:val="center"/>
              <w:rPr>
                <w:sz w:val="20"/>
                <w:szCs w:val="20"/>
              </w:rPr>
            </w:pPr>
          </w:p>
        </w:tc>
        <w:tc>
          <w:tcPr>
            <w:tcW w:w="1412" w:type="dxa"/>
            <w:shd w:val="clear" w:color="auto" w:fill="FFFFFF" w:themeFill="background1"/>
          </w:tcPr>
          <w:p w14:paraId="16E4960D" w14:textId="77777777" w:rsidR="00004BA0" w:rsidRPr="00FC0326" w:rsidRDefault="00004BA0" w:rsidP="008978FB">
            <w:pPr>
              <w:jc w:val="center"/>
              <w:rPr>
                <w:rFonts w:cs="Times New Roman"/>
                <w:sz w:val="20"/>
                <w:szCs w:val="20"/>
              </w:rPr>
            </w:pPr>
            <w:r w:rsidRPr="00FC0326">
              <w:rPr>
                <w:rFonts w:cs="Times New Roman"/>
                <w:sz w:val="20"/>
                <w:szCs w:val="20"/>
              </w:rPr>
              <w:t>2018.gada 15.novembris</w:t>
            </w:r>
          </w:p>
        </w:tc>
      </w:tr>
      <w:tr w:rsidR="00004BA0" w:rsidRPr="00FC0326" w14:paraId="1F88FE5A" w14:textId="77777777" w:rsidTr="008978FB">
        <w:trPr>
          <w:trHeight w:val="922"/>
        </w:trPr>
        <w:tc>
          <w:tcPr>
            <w:tcW w:w="534" w:type="dxa"/>
            <w:shd w:val="clear" w:color="auto" w:fill="FFFFFF" w:themeFill="background1"/>
          </w:tcPr>
          <w:p w14:paraId="441FB4BB" w14:textId="77777777" w:rsidR="00004BA0" w:rsidRPr="00FC0326" w:rsidRDefault="00E73D3E" w:rsidP="00004BA0">
            <w:pPr>
              <w:rPr>
                <w:rFonts w:cs="Times New Roman"/>
                <w:sz w:val="20"/>
                <w:szCs w:val="20"/>
              </w:rPr>
            </w:pPr>
            <w:r>
              <w:rPr>
                <w:rFonts w:cs="Times New Roman"/>
                <w:sz w:val="20"/>
                <w:szCs w:val="20"/>
              </w:rPr>
              <w:t>8.</w:t>
            </w:r>
            <w:r w:rsidR="00F00FF9">
              <w:rPr>
                <w:rFonts w:cs="Times New Roman"/>
                <w:sz w:val="20"/>
                <w:szCs w:val="20"/>
              </w:rPr>
              <w:t>6</w:t>
            </w:r>
            <w:r>
              <w:rPr>
                <w:rFonts w:cs="Times New Roman"/>
                <w:sz w:val="20"/>
                <w:szCs w:val="20"/>
              </w:rPr>
              <w:t>.</w:t>
            </w:r>
          </w:p>
        </w:tc>
        <w:tc>
          <w:tcPr>
            <w:tcW w:w="4286" w:type="dxa"/>
            <w:shd w:val="clear" w:color="auto" w:fill="FFFFFF" w:themeFill="background1"/>
          </w:tcPr>
          <w:p w14:paraId="0F6549C5" w14:textId="77777777" w:rsidR="00004BA0" w:rsidRPr="00FC0326" w:rsidRDefault="00004BA0" w:rsidP="00004BA0">
            <w:pPr>
              <w:jc w:val="both"/>
              <w:rPr>
                <w:rFonts w:cs="Times New Roman"/>
                <w:sz w:val="20"/>
                <w:szCs w:val="20"/>
              </w:rPr>
            </w:pPr>
            <w:r w:rsidRPr="00FC0326">
              <w:rPr>
                <w:rFonts w:cs="Times New Roman"/>
                <w:sz w:val="20"/>
                <w:szCs w:val="20"/>
              </w:rPr>
              <w:t>Veikt grozījumus normatīvajos aktos, lai efektīvi apkarotu NILL uz robežas, kā arī nodrošinātu atturošu sistēmu attiecībā uz robežas nedeklarētās vai nepatiesi deklarētās skaidras naudas arestēšanu un konfiskāciju</w:t>
            </w:r>
            <w:r w:rsidR="00F00FF9">
              <w:rPr>
                <w:rFonts w:cs="Times New Roman"/>
                <w:sz w:val="20"/>
                <w:szCs w:val="20"/>
              </w:rPr>
              <w:t>.</w:t>
            </w:r>
          </w:p>
        </w:tc>
        <w:tc>
          <w:tcPr>
            <w:tcW w:w="1417" w:type="dxa"/>
            <w:shd w:val="clear" w:color="auto" w:fill="FFFFFF" w:themeFill="background1"/>
          </w:tcPr>
          <w:p w14:paraId="3BCBCA42" w14:textId="77777777" w:rsidR="00004BA0" w:rsidRDefault="00004BA0" w:rsidP="0025344E">
            <w:pPr>
              <w:ind w:left="-108" w:right="-108"/>
              <w:rPr>
                <w:rFonts w:cs="Times New Roman"/>
                <w:sz w:val="20"/>
                <w:szCs w:val="20"/>
              </w:rPr>
            </w:pPr>
            <w:r w:rsidRPr="00E73D3E">
              <w:rPr>
                <w:rFonts w:cs="Times New Roman"/>
                <w:sz w:val="20"/>
                <w:szCs w:val="20"/>
              </w:rPr>
              <w:t>Moneyval rekomendācija 8.4.</w:t>
            </w:r>
          </w:p>
          <w:p w14:paraId="141B0897" w14:textId="77777777" w:rsidR="001932D5" w:rsidRDefault="001932D5" w:rsidP="0025344E">
            <w:pPr>
              <w:ind w:left="-108" w:right="-108"/>
              <w:rPr>
                <w:rFonts w:cs="Times New Roman"/>
                <w:sz w:val="20"/>
                <w:szCs w:val="20"/>
              </w:rPr>
            </w:pPr>
          </w:p>
          <w:p w14:paraId="6C254EB0" w14:textId="77777777" w:rsidR="001932D5" w:rsidRPr="00BD2BE0" w:rsidRDefault="001932D5" w:rsidP="0025344E">
            <w:pPr>
              <w:rPr>
                <w:sz w:val="20"/>
                <w:szCs w:val="20"/>
              </w:rPr>
            </w:pPr>
            <w:r>
              <w:rPr>
                <w:sz w:val="20"/>
                <w:szCs w:val="20"/>
              </w:rPr>
              <w:t>Pasākumu plāns 2017.-2019.g. 2.7.pasākums</w:t>
            </w:r>
          </w:p>
          <w:p w14:paraId="6E489ADD" w14:textId="77777777" w:rsidR="001932D5" w:rsidRPr="00E73D3E" w:rsidRDefault="001932D5" w:rsidP="0025344E">
            <w:pPr>
              <w:ind w:left="-108" w:right="-108"/>
              <w:rPr>
                <w:rFonts w:cs="Times New Roman"/>
                <w:sz w:val="20"/>
                <w:szCs w:val="20"/>
              </w:rPr>
            </w:pPr>
          </w:p>
        </w:tc>
        <w:tc>
          <w:tcPr>
            <w:tcW w:w="2694" w:type="dxa"/>
            <w:shd w:val="clear" w:color="auto" w:fill="FFFFFF" w:themeFill="background1"/>
          </w:tcPr>
          <w:p w14:paraId="726A03E6" w14:textId="77777777" w:rsidR="00781568" w:rsidRPr="00FC0326" w:rsidRDefault="00781568" w:rsidP="0025344E">
            <w:pPr>
              <w:jc w:val="both"/>
              <w:rPr>
                <w:rFonts w:cs="Times New Roman"/>
                <w:sz w:val="20"/>
                <w:szCs w:val="20"/>
              </w:rPr>
            </w:pPr>
            <w:r w:rsidRPr="00FC0326">
              <w:rPr>
                <w:rFonts w:cs="Times New Roman"/>
                <w:sz w:val="20"/>
                <w:szCs w:val="20"/>
              </w:rPr>
              <w:t>NILL efektīva apkarošana uz robežas - ierobežota vai pārtraukta skaidras naudas, t.sk., noziedzīgi iegūtas skaidras naudas aprite, veicot kontroles pasākumus uz iekšējām ES robežām.</w:t>
            </w:r>
          </w:p>
          <w:p w14:paraId="682472E2" w14:textId="77777777" w:rsidR="00781568" w:rsidRPr="00FC0326" w:rsidRDefault="00781568" w:rsidP="0025344E">
            <w:pPr>
              <w:jc w:val="both"/>
              <w:rPr>
                <w:rFonts w:cs="Times New Roman"/>
                <w:sz w:val="20"/>
                <w:szCs w:val="20"/>
              </w:rPr>
            </w:pPr>
            <w:r w:rsidRPr="00FC0326">
              <w:rPr>
                <w:rFonts w:cs="Times New Roman"/>
                <w:sz w:val="20"/>
                <w:szCs w:val="20"/>
              </w:rPr>
              <w:t xml:space="preserve">Līdzekļi (skaidra nauda), kas ieskaitīti valsts budžetā (tai skaitā, kas atzīta par noziedzīgi </w:t>
            </w:r>
            <w:r w:rsidRPr="00FC0326">
              <w:rPr>
                <w:rFonts w:cs="Times New Roman"/>
                <w:sz w:val="20"/>
                <w:szCs w:val="20"/>
              </w:rPr>
              <w:lastRenderedPageBreak/>
              <w:t>iegūtiem), pieaugums pret iepriekšējo gadu, - 100 %</w:t>
            </w:r>
          </w:p>
          <w:p w14:paraId="59582A55" w14:textId="77777777" w:rsidR="00004BA0" w:rsidRPr="00FC0326" w:rsidRDefault="00004BA0" w:rsidP="0025344E">
            <w:pPr>
              <w:jc w:val="both"/>
              <w:rPr>
                <w:rFonts w:cs="Times New Roman"/>
                <w:sz w:val="20"/>
                <w:szCs w:val="20"/>
              </w:rPr>
            </w:pPr>
          </w:p>
        </w:tc>
        <w:tc>
          <w:tcPr>
            <w:tcW w:w="1984" w:type="dxa"/>
            <w:shd w:val="clear" w:color="auto" w:fill="FFFFFF" w:themeFill="background1"/>
          </w:tcPr>
          <w:p w14:paraId="265CDDBD" w14:textId="77777777" w:rsidR="00781568" w:rsidRPr="00FC0326" w:rsidRDefault="00781568" w:rsidP="0025344E">
            <w:pPr>
              <w:jc w:val="both"/>
              <w:rPr>
                <w:rFonts w:cs="Times New Roman"/>
                <w:sz w:val="20"/>
                <w:szCs w:val="20"/>
              </w:rPr>
            </w:pPr>
            <w:r w:rsidRPr="00FC0326">
              <w:rPr>
                <w:rFonts w:cs="Times New Roman"/>
                <w:sz w:val="20"/>
                <w:szCs w:val="20"/>
              </w:rPr>
              <w:lastRenderedPageBreak/>
              <w:t>Izstrādāti un iesniegti MK grozījumi normatīvajos aktos</w:t>
            </w:r>
          </w:p>
          <w:p w14:paraId="53B373DA" w14:textId="77777777" w:rsidR="00781568" w:rsidRPr="00FC0326" w:rsidRDefault="00781568" w:rsidP="0025344E">
            <w:pPr>
              <w:jc w:val="both"/>
              <w:rPr>
                <w:rFonts w:cs="Times New Roman"/>
                <w:sz w:val="20"/>
                <w:szCs w:val="20"/>
              </w:rPr>
            </w:pPr>
          </w:p>
          <w:p w14:paraId="26704405" w14:textId="77777777" w:rsidR="00004BA0" w:rsidRPr="00FC0326" w:rsidRDefault="00004BA0" w:rsidP="0025344E">
            <w:pPr>
              <w:jc w:val="both"/>
              <w:rPr>
                <w:rFonts w:cs="Times New Roman"/>
                <w:sz w:val="20"/>
                <w:szCs w:val="20"/>
              </w:rPr>
            </w:pPr>
          </w:p>
        </w:tc>
        <w:tc>
          <w:tcPr>
            <w:tcW w:w="1418" w:type="dxa"/>
            <w:shd w:val="clear" w:color="auto" w:fill="FFFFFF" w:themeFill="background1"/>
          </w:tcPr>
          <w:p w14:paraId="3BEE34C8" w14:textId="77777777" w:rsidR="00004BA0" w:rsidRPr="00FC0326" w:rsidRDefault="00004BA0" w:rsidP="008978FB">
            <w:pPr>
              <w:jc w:val="center"/>
              <w:rPr>
                <w:rFonts w:cs="Times New Roman"/>
                <w:sz w:val="20"/>
                <w:szCs w:val="20"/>
              </w:rPr>
            </w:pPr>
            <w:r w:rsidRPr="00FC0326">
              <w:rPr>
                <w:rFonts w:cs="Times New Roman"/>
                <w:sz w:val="20"/>
                <w:szCs w:val="20"/>
              </w:rPr>
              <w:t>FM</w:t>
            </w:r>
          </w:p>
        </w:tc>
        <w:tc>
          <w:tcPr>
            <w:tcW w:w="1559" w:type="dxa"/>
            <w:shd w:val="clear" w:color="auto" w:fill="FFFFFF" w:themeFill="background1"/>
          </w:tcPr>
          <w:p w14:paraId="3C6BA2A4" w14:textId="77777777" w:rsidR="00004BA0" w:rsidRPr="00FC0326" w:rsidRDefault="00004BA0" w:rsidP="008978FB">
            <w:pPr>
              <w:jc w:val="center"/>
              <w:rPr>
                <w:sz w:val="20"/>
                <w:szCs w:val="20"/>
              </w:rPr>
            </w:pPr>
            <w:r w:rsidRPr="00FC0326">
              <w:rPr>
                <w:sz w:val="20"/>
                <w:szCs w:val="20"/>
              </w:rPr>
              <w:t>TM, ĢP, KD,VID, VRS</w:t>
            </w:r>
          </w:p>
        </w:tc>
        <w:tc>
          <w:tcPr>
            <w:tcW w:w="1412" w:type="dxa"/>
            <w:shd w:val="clear" w:color="auto" w:fill="FFFFFF" w:themeFill="background1"/>
          </w:tcPr>
          <w:p w14:paraId="084B3A15" w14:textId="77777777" w:rsidR="00004BA0" w:rsidRPr="00FC0326" w:rsidRDefault="00004BA0" w:rsidP="008978FB">
            <w:pPr>
              <w:jc w:val="center"/>
              <w:rPr>
                <w:rFonts w:cs="Times New Roman"/>
                <w:sz w:val="20"/>
                <w:szCs w:val="20"/>
              </w:rPr>
            </w:pPr>
            <w:r w:rsidRPr="00FC0326">
              <w:rPr>
                <w:rFonts w:cs="Times New Roman"/>
                <w:sz w:val="20"/>
                <w:szCs w:val="20"/>
              </w:rPr>
              <w:t xml:space="preserve">2018.gada </w:t>
            </w:r>
            <w:r w:rsidR="00632D1F">
              <w:rPr>
                <w:rFonts w:cs="Times New Roman"/>
                <w:sz w:val="20"/>
                <w:szCs w:val="20"/>
              </w:rPr>
              <w:t>28</w:t>
            </w:r>
            <w:r w:rsidRPr="00FC0326">
              <w:rPr>
                <w:rFonts w:cs="Times New Roman"/>
                <w:sz w:val="20"/>
                <w:szCs w:val="20"/>
              </w:rPr>
              <w:t>.decembris</w:t>
            </w:r>
          </w:p>
          <w:p w14:paraId="48FFFC90" w14:textId="77777777" w:rsidR="00004BA0" w:rsidRPr="00FC0326" w:rsidRDefault="00004BA0" w:rsidP="008978FB">
            <w:pPr>
              <w:jc w:val="center"/>
              <w:rPr>
                <w:rFonts w:cs="Times New Roman"/>
                <w:sz w:val="20"/>
                <w:szCs w:val="20"/>
              </w:rPr>
            </w:pPr>
          </w:p>
        </w:tc>
      </w:tr>
    </w:tbl>
    <w:p w14:paraId="65927498" w14:textId="77777777" w:rsidR="00C66540" w:rsidRDefault="00C66540" w:rsidP="00FF0BBA">
      <w:pPr>
        <w:jc w:val="both"/>
        <w:rPr>
          <w:sz w:val="28"/>
          <w:szCs w:val="28"/>
        </w:rPr>
      </w:pPr>
    </w:p>
    <w:p w14:paraId="3E8FEA5F" w14:textId="77777777" w:rsidR="00C66540" w:rsidRPr="00FC0326" w:rsidRDefault="00C66540" w:rsidP="00FF0BBA">
      <w:pPr>
        <w:jc w:val="both"/>
        <w:rPr>
          <w:b/>
          <w:sz w:val="28"/>
          <w:szCs w:val="28"/>
        </w:rPr>
      </w:pPr>
    </w:p>
    <w:p w14:paraId="321F21B8" w14:textId="77777777" w:rsidR="00FF0BBA" w:rsidRPr="00E24F37" w:rsidRDefault="001C2B0B" w:rsidP="00E24F37">
      <w:pPr>
        <w:pStyle w:val="Heading2"/>
        <w:rPr>
          <w:rFonts w:ascii="Times New Roman" w:hAnsi="Times New Roman" w:cs="Times New Roman"/>
          <w:b/>
          <w:color w:val="auto"/>
          <w:sz w:val="28"/>
          <w:szCs w:val="28"/>
        </w:rPr>
      </w:pPr>
      <w:bookmarkStart w:id="17" w:name="_Toc524977657"/>
      <w:r w:rsidRPr="00E24F37">
        <w:rPr>
          <w:rFonts w:ascii="Times New Roman" w:hAnsi="Times New Roman" w:cs="Times New Roman"/>
          <w:b/>
          <w:color w:val="auto"/>
          <w:sz w:val="28"/>
          <w:szCs w:val="28"/>
        </w:rPr>
        <w:t>9</w:t>
      </w:r>
      <w:r w:rsidR="00FF0BBA" w:rsidRPr="00E24F37">
        <w:rPr>
          <w:rFonts w:ascii="Times New Roman" w:hAnsi="Times New Roman" w:cs="Times New Roman"/>
          <w:b/>
          <w:color w:val="auto"/>
          <w:sz w:val="28"/>
          <w:szCs w:val="28"/>
        </w:rPr>
        <w:t xml:space="preserve">.rīcības virziens – </w:t>
      </w:r>
      <w:r w:rsidRPr="00E24F37">
        <w:rPr>
          <w:rFonts w:ascii="Times New Roman" w:hAnsi="Times New Roman" w:cs="Times New Roman"/>
          <w:b/>
          <w:color w:val="auto"/>
          <w:sz w:val="28"/>
          <w:szCs w:val="28"/>
        </w:rPr>
        <w:t>Terorisma finansēšanas izmeklēšana un kriminālvajāšana</w:t>
      </w:r>
      <w:bookmarkEnd w:id="17"/>
      <w:r w:rsidR="00FF0BBA" w:rsidRPr="00E24F37">
        <w:rPr>
          <w:rFonts w:ascii="Times New Roman" w:hAnsi="Times New Roman" w:cs="Times New Roman"/>
          <w:b/>
          <w:color w:val="auto"/>
          <w:sz w:val="28"/>
          <w:szCs w:val="28"/>
        </w:rPr>
        <w:t xml:space="preserve">  </w:t>
      </w:r>
    </w:p>
    <w:p w14:paraId="6F5D5633" w14:textId="77777777" w:rsidR="00FF0BBA" w:rsidRPr="00FC0326" w:rsidRDefault="00FF0BBA" w:rsidP="00FF0BBA">
      <w:pPr>
        <w:jc w:val="both"/>
        <w:rPr>
          <w:sz w:val="28"/>
          <w:szCs w:val="28"/>
        </w:rPr>
      </w:pPr>
    </w:p>
    <w:p w14:paraId="6AC0D1DE" w14:textId="77777777" w:rsidR="001C2B0B" w:rsidRPr="00FC0326" w:rsidRDefault="001C2B0B" w:rsidP="001C2B0B">
      <w:pPr>
        <w:jc w:val="both"/>
        <w:rPr>
          <w:szCs w:val="24"/>
        </w:rPr>
      </w:pPr>
      <w:r w:rsidRPr="00FC0326">
        <w:rPr>
          <w:szCs w:val="24"/>
        </w:rPr>
        <w:t xml:space="preserve">Par rīcības virzienu atbildīgā iestāde: </w:t>
      </w:r>
      <w:r w:rsidR="005F255C" w:rsidRPr="00FC0326">
        <w:rPr>
          <w:szCs w:val="24"/>
        </w:rPr>
        <w:t>IeM</w:t>
      </w:r>
    </w:p>
    <w:p w14:paraId="02402EDC" w14:textId="77777777" w:rsidR="001C2B0B" w:rsidRPr="00FC0326" w:rsidRDefault="001C2B0B" w:rsidP="001C2B0B">
      <w:pPr>
        <w:jc w:val="both"/>
        <w:rPr>
          <w:szCs w:val="24"/>
        </w:rPr>
      </w:pPr>
      <w:r w:rsidRPr="00FC0326">
        <w:rPr>
          <w:szCs w:val="24"/>
        </w:rPr>
        <w:t xml:space="preserve">Līdzatbildīgās iestādes: </w:t>
      </w:r>
      <w:r w:rsidR="005F255C" w:rsidRPr="00FC0326">
        <w:rPr>
          <w:szCs w:val="24"/>
        </w:rPr>
        <w:t xml:space="preserve">DP, </w:t>
      </w:r>
      <w:r w:rsidRPr="00FC0326">
        <w:rPr>
          <w:szCs w:val="24"/>
        </w:rPr>
        <w:t>KD, ĢP</w:t>
      </w:r>
    </w:p>
    <w:p w14:paraId="73524F0A" w14:textId="77777777" w:rsidR="003923D2" w:rsidRDefault="003923D2" w:rsidP="00FF0BBA">
      <w:pPr>
        <w:jc w:val="both"/>
        <w:rPr>
          <w:sz w:val="28"/>
          <w:szCs w:val="28"/>
        </w:rPr>
      </w:pPr>
    </w:p>
    <w:tbl>
      <w:tblPr>
        <w:tblpPr w:leftFromText="180" w:rightFromText="180" w:vertAnchor="page" w:horzAnchor="margin" w:tblpXSpec="center" w:tblpY="307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1417"/>
        <w:gridCol w:w="2977"/>
        <w:gridCol w:w="2561"/>
        <w:gridCol w:w="1266"/>
        <w:gridCol w:w="1418"/>
        <w:gridCol w:w="1417"/>
      </w:tblGrid>
      <w:tr w:rsidR="003923D2" w:rsidRPr="00831485" w14:paraId="5D5C8936" w14:textId="77777777" w:rsidTr="008978FB">
        <w:tc>
          <w:tcPr>
            <w:tcW w:w="3681" w:type="dxa"/>
            <w:gridSpan w:val="2"/>
            <w:shd w:val="clear" w:color="auto" w:fill="auto"/>
          </w:tcPr>
          <w:p w14:paraId="37AF176A" w14:textId="77777777" w:rsidR="003923D2" w:rsidRPr="00831485" w:rsidRDefault="003923D2" w:rsidP="000841C1">
            <w:pPr>
              <w:rPr>
                <w:rFonts w:cs="Times New Roman"/>
                <w:b/>
                <w:bCs/>
                <w:sz w:val="20"/>
                <w:szCs w:val="20"/>
              </w:rPr>
            </w:pPr>
            <w:r w:rsidRPr="00831485">
              <w:rPr>
                <w:rFonts w:cs="Times New Roman"/>
                <w:b/>
                <w:bCs/>
                <w:sz w:val="20"/>
                <w:szCs w:val="20"/>
              </w:rPr>
              <w:lastRenderedPageBreak/>
              <w:t>9.Rīcības virziens</w:t>
            </w:r>
          </w:p>
        </w:tc>
        <w:tc>
          <w:tcPr>
            <w:tcW w:w="11056" w:type="dxa"/>
            <w:gridSpan w:val="6"/>
            <w:shd w:val="clear" w:color="auto" w:fill="auto"/>
          </w:tcPr>
          <w:p w14:paraId="532213C0" w14:textId="77777777" w:rsidR="003923D2" w:rsidRPr="00831485" w:rsidRDefault="003923D2" w:rsidP="000841C1">
            <w:pPr>
              <w:jc w:val="both"/>
              <w:rPr>
                <w:rFonts w:cs="Times New Roman"/>
                <w:b/>
                <w:bCs/>
                <w:sz w:val="20"/>
                <w:szCs w:val="20"/>
              </w:rPr>
            </w:pPr>
            <w:r>
              <w:rPr>
                <w:rFonts w:cs="Times New Roman"/>
                <w:b/>
                <w:bCs/>
                <w:sz w:val="20"/>
                <w:szCs w:val="20"/>
              </w:rPr>
              <w:t>TERORISMA FINANSĒŠANAS IZMEKLĒŠANA UN KRIMINĀLVAJĀŠANA</w:t>
            </w:r>
          </w:p>
        </w:tc>
      </w:tr>
      <w:tr w:rsidR="003923D2" w:rsidRPr="00831485" w14:paraId="6805CBA5" w14:textId="77777777" w:rsidTr="008978FB">
        <w:tc>
          <w:tcPr>
            <w:tcW w:w="3681" w:type="dxa"/>
            <w:gridSpan w:val="2"/>
            <w:shd w:val="clear" w:color="auto" w:fill="auto"/>
          </w:tcPr>
          <w:p w14:paraId="4208BC00" w14:textId="77777777" w:rsidR="003923D2" w:rsidRPr="00831485" w:rsidRDefault="003923D2" w:rsidP="000841C1">
            <w:pPr>
              <w:rPr>
                <w:rFonts w:cs="Times New Roman"/>
                <w:b/>
                <w:bCs/>
                <w:sz w:val="20"/>
                <w:szCs w:val="20"/>
              </w:rPr>
            </w:pPr>
          </w:p>
        </w:tc>
        <w:tc>
          <w:tcPr>
            <w:tcW w:w="11056" w:type="dxa"/>
            <w:gridSpan w:val="6"/>
            <w:shd w:val="clear" w:color="auto" w:fill="auto"/>
          </w:tcPr>
          <w:p w14:paraId="64212E9B" w14:textId="77777777" w:rsidR="003923D2" w:rsidRPr="00831485" w:rsidRDefault="003923D2" w:rsidP="000841C1">
            <w:pPr>
              <w:jc w:val="both"/>
              <w:rPr>
                <w:rFonts w:cs="Times New Roman"/>
                <w:b/>
                <w:bCs/>
                <w:sz w:val="20"/>
                <w:szCs w:val="20"/>
              </w:rPr>
            </w:pPr>
            <w:r w:rsidRPr="00831485">
              <w:rPr>
                <w:rFonts w:cs="Times New Roman"/>
                <w:b/>
                <w:bCs/>
                <w:sz w:val="20"/>
                <w:szCs w:val="20"/>
              </w:rPr>
              <w:t>1. Pieejams aktuāls nacionāla līmeņa NILL risku izvērtējums</w:t>
            </w:r>
          </w:p>
        </w:tc>
      </w:tr>
      <w:tr w:rsidR="003923D2" w:rsidRPr="00831485" w14:paraId="0B802267" w14:textId="77777777" w:rsidTr="008978FB">
        <w:trPr>
          <w:trHeight w:val="64"/>
        </w:trPr>
        <w:tc>
          <w:tcPr>
            <w:tcW w:w="3681" w:type="dxa"/>
            <w:gridSpan w:val="2"/>
            <w:shd w:val="clear" w:color="auto" w:fill="auto"/>
          </w:tcPr>
          <w:p w14:paraId="416262E4" w14:textId="77777777" w:rsidR="003923D2" w:rsidRPr="00831485" w:rsidRDefault="003923D2" w:rsidP="000841C1">
            <w:pPr>
              <w:rPr>
                <w:rFonts w:cs="Times New Roman"/>
                <w:b/>
                <w:bCs/>
                <w:sz w:val="20"/>
                <w:szCs w:val="20"/>
              </w:rPr>
            </w:pPr>
            <w:r w:rsidRPr="00831485">
              <w:rPr>
                <w:rFonts w:cs="Times New Roman"/>
                <w:b/>
                <w:bCs/>
                <w:sz w:val="20"/>
                <w:szCs w:val="20"/>
              </w:rPr>
              <w:t>Sasniedzamie apakšmērķi:</w:t>
            </w:r>
          </w:p>
        </w:tc>
        <w:tc>
          <w:tcPr>
            <w:tcW w:w="11056" w:type="dxa"/>
            <w:gridSpan w:val="6"/>
            <w:shd w:val="clear" w:color="auto" w:fill="auto"/>
          </w:tcPr>
          <w:p w14:paraId="76789885" w14:textId="77777777" w:rsidR="003923D2" w:rsidRPr="00831485" w:rsidRDefault="003923D2" w:rsidP="000841C1">
            <w:pPr>
              <w:jc w:val="both"/>
              <w:rPr>
                <w:rFonts w:cs="Times New Roman"/>
                <w:b/>
                <w:bCs/>
                <w:sz w:val="20"/>
                <w:szCs w:val="20"/>
              </w:rPr>
            </w:pPr>
            <w:r w:rsidRPr="00831485">
              <w:rPr>
                <w:rFonts w:cs="Times New Roman"/>
                <w:b/>
                <w:bCs/>
                <w:sz w:val="20"/>
                <w:szCs w:val="20"/>
              </w:rPr>
              <w:t>2. Pieejams nacionāla līmeņa terorisma finansēšanas risku izvērtējums</w:t>
            </w:r>
          </w:p>
        </w:tc>
      </w:tr>
      <w:tr w:rsidR="003923D2" w:rsidRPr="00831485" w14:paraId="73FFA90B" w14:textId="77777777" w:rsidTr="008978FB">
        <w:tc>
          <w:tcPr>
            <w:tcW w:w="3681" w:type="dxa"/>
            <w:gridSpan w:val="2"/>
            <w:shd w:val="clear" w:color="auto" w:fill="auto"/>
          </w:tcPr>
          <w:p w14:paraId="4DB4751A" w14:textId="77777777" w:rsidR="003923D2" w:rsidRPr="00831485" w:rsidRDefault="003923D2" w:rsidP="000841C1">
            <w:pPr>
              <w:rPr>
                <w:rFonts w:cs="Times New Roman"/>
                <w:b/>
                <w:bCs/>
                <w:sz w:val="20"/>
                <w:szCs w:val="20"/>
              </w:rPr>
            </w:pPr>
          </w:p>
        </w:tc>
        <w:tc>
          <w:tcPr>
            <w:tcW w:w="11056" w:type="dxa"/>
            <w:gridSpan w:val="6"/>
            <w:shd w:val="clear" w:color="auto" w:fill="auto"/>
          </w:tcPr>
          <w:p w14:paraId="1EFD3C51" w14:textId="77777777" w:rsidR="003923D2" w:rsidRPr="00831485" w:rsidRDefault="003923D2" w:rsidP="000841C1">
            <w:pPr>
              <w:jc w:val="both"/>
              <w:rPr>
                <w:rFonts w:cs="Times New Roman"/>
                <w:b/>
                <w:bCs/>
                <w:sz w:val="20"/>
                <w:szCs w:val="20"/>
              </w:rPr>
            </w:pPr>
            <w:r w:rsidRPr="00831485">
              <w:rPr>
                <w:rFonts w:cs="Times New Roman"/>
                <w:b/>
                <w:bCs/>
                <w:sz w:val="20"/>
                <w:szCs w:val="20"/>
              </w:rPr>
              <w:t xml:space="preserve">3. </w:t>
            </w:r>
            <w:r w:rsidRPr="00831485">
              <w:rPr>
                <w:b/>
                <w:sz w:val="20"/>
              </w:rPr>
              <w:t>Paaugstināta</w:t>
            </w:r>
            <w:r w:rsidRPr="00831485">
              <w:rPr>
                <w:sz w:val="20"/>
              </w:rPr>
              <w:t xml:space="preserve"> </w:t>
            </w:r>
            <w:r w:rsidRPr="00831485">
              <w:rPr>
                <w:rFonts w:cs="Times New Roman"/>
                <w:b/>
                <w:bCs/>
                <w:sz w:val="20"/>
                <w:szCs w:val="20"/>
              </w:rPr>
              <w:t>izpratne iesaistīto institūciju starpā par aktuālajām terorisma finansēšanas lietām</w:t>
            </w:r>
          </w:p>
        </w:tc>
      </w:tr>
      <w:tr w:rsidR="003923D2" w:rsidRPr="00831485" w14:paraId="784692BC" w14:textId="77777777" w:rsidTr="008978FB">
        <w:tc>
          <w:tcPr>
            <w:tcW w:w="3681" w:type="dxa"/>
            <w:gridSpan w:val="2"/>
            <w:shd w:val="clear" w:color="auto" w:fill="auto"/>
          </w:tcPr>
          <w:p w14:paraId="3204FEFC" w14:textId="77777777" w:rsidR="003923D2" w:rsidRPr="00831485" w:rsidRDefault="003923D2" w:rsidP="000841C1">
            <w:pPr>
              <w:rPr>
                <w:rFonts w:cs="Times New Roman"/>
                <w:b/>
                <w:bCs/>
                <w:sz w:val="20"/>
                <w:szCs w:val="20"/>
              </w:rPr>
            </w:pPr>
          </w:p>
        </w:tc>
        <w:tc>
          <w:tcPr>
            <w:tcW w:w="11056" w:type="dxa"/>
            <w:gridSpan w:val="6"/>
            <w:shd w:val="clear" w:color="auto" w:fill="auto"/>
          </w:tcPr>
          <w:p w14:paraId="04B6EA49" w14:textId="77777777" w:rsidR="003923D2" w:rsidRPr="00831485" w:rsidRDefault="003923D2" w:rsidP="000841C1">
            <w:pPr>
              <w:jc w:val="both"/>
              <w:rPr>
                <w:rFonts w:cs="Times New Roman"/>
                <w:b/>
                <w:bCs/>
                <w:sz w:val="20"/>
                <w:szCs w:val="20"/>
              </w:rPr>
            </w:pPr>
            <w:r w:rsidRPr="00831485">
              <w:rPr>
                <w:rFonts w:cs="Times New Roman"/>
                <w:b/>
                <w:bCs/>
                <w:sz w:val="20"/>
                <w:szCs w:val="20"/>
              </w:rPr>
              <w:t>4. Paaugstināta Pretterorisma centra ekspertu konsultatīvās padomes loma informācijas izplatīšanā kompetentajām institūcijām par aktuālajiem terorisma finansēšanas riskiem</w:t>
            </w:r>
          </w:p>
        </w:tc>
      </w:tr>
      <w:tr w:rsidR="003923D2" w:rsidRPr="00831485" w14:paraId="7D0F9AD1" w14:textId="77777777" w:rsidTr="008978FB">
        <w:tc>
          <w:tcPr>
            <w:tcW w:w="704" w:type="dxa"/>
            <w:shd w:val="clear" w:color="auto" w:fill="auto"/>
          </w:tcPr>
          <w:p w14:paraId="46783A8C" w14:textId="77777777" w:rsidR="003923D2" w:rsidRPr="00831485" w:rsidRDefault="003923D2" w:rsidP="000841C1">
            <w:pPr>
              <w:jc w:val="center"/>
              <w:rPr>
                <w:rFonts w:cs="Times New Roman"/>
                <w:bCs/>
                <w:sz w:val="20"/>
                <w:szCs w:val="20"/>
              </w:rPr>
            </w:pPr>
            <w:r w:rsidRPr="00831485">
              <w:rPr>
                <w:rFonts w:cs="Times New Roman"/>
                <w:bCs/>
                <w:sz w:val="20"/>
                <w:szCs w:val="20"/>
              </w:rPr>
              <w:t>Nr. P.k.</w:t>
            </w:r>
          </w:p>
        </w:tc>
        <w:tc>
          <w:tcPr>
            <w:tcW w:w="2977" w:type="dxa"/>
            <w:shd w:val="clear" w:color="auto" w:fill="auto"/>
          </w:tcPr>
          <w:p w14:paraId="0D6AD744" w14:textId="77777777" w:rsidR="003923D2" w:rsidRPr="00831485" w:rsidRDefault="003923D2" w:rsidP="000841C1">
            <w:pPr>
              <w:jc w:val="center"/>
              <w:rPr>
                <w:rFonts w:cs="Times New Roman"/>
                <w:bCs/>
                <w:i/>
                <w:sz w:val="20"/>
                <w:szCs w:val="20"/>
              </w:rPr>
            </w:pPr>
            <w:r w:rsidRPr="00831485">
              <w:rPr>
                <w:rFonts w:cs="Times New Roman"/>
                <w:b/>
                <w:bCs/>
                <w:sz w:val="20"/>
                <w:szCs w:val="20"/>
              </w:rPr>
              <w:t>Pasākums</w:t>
            </w:r>
          </w:p>
        </w:tc>
        <w:tc>
          <w:tcPr>
            <w:tcW w:w="1417" w:type="dxa"/>
            <w:shd w:val="clear" w:color="auto" w:fill="auto"/>
          </w:tcPr>
          <w:p w14:paraId="56D10D57" w14:textId="77777777" w:rsidR="003923D2" w:rsidRPr="00831485" w:rsidRDefault="003923D2" w:rsidP="000841C1">
            <w:pPr>
              <w:ind w:right="-108"/>
              <w:rPr>
                <w:rFonts w:cs="Times New Roman"/>
                <w:b/>
                <w:sz w:val="20"/>
                <w:szCs w:val="20"/>
              </w:rPr>
            </w:pPr>
            <w:r w:rsidRPr="00831485">
              <w:rPr>
                <w:rFonts w:cs="Times New Roman"/>
                <w:b/>
                <w:sz w:val="20"/>
                <w:szCs w:val="20"/>
              </w:rPr>
              <w:t xml:space="preserve">Avots </w:t>
            </w:r>
          </w:p>
        </w:tc>
        <w:tc>
          <w:tcPr>
            <w:tcW w:w="2977" w:type="dxa"/>
            <w:shd w:val="clear" w:color="auto" w:fill="auto"/>
          </w:tcPr>
          <w:p w14:paraId="2CF9A0F1" w14:textId="77777777" w:rsidR="003923D2" w:rsidRPr="00831485" w:rsidRDefault="003923D2" w:rsidP="000841C1">
            <w:pPr>
              <w:rPr>
                <w:rFonts w:cs="Times New Roman"/>
                <w:b/>
                <w:bCs/>
                <w:i/>
                <w:sz w:val="20"/>
                <w:szCs w:val="20"/>
              </w:rPr>
            </w:pPr>
            <w:r w:rsidRPr="00831485">
              <w:rPr>
                <w:rFonts w:cs="Times New Roman"/>
                <w:b/>
                <w:sz w:val="20"/>
                <w:szCs w:val="20"/>
              </w:rPr>
              <w:t>Darbības rezultāts</w:t>
            </w:r>
          </w:p>
        </w:tc>
        <w:tc>
          <w:tcPr>
            <w:tcW w:w="2561" w:type="dxa"/>
            <w:shd w:val="clear" w:color="auto" w:fill="auto"/>
          </w:tcPr>
          <w:p w14:paraId="7FA00B53" w14:textId="77777777" w:rsidR="003923D2" w:rsidRPr="00831485" w:rsidRDefault="003923D2" w:rsidP="000841C1">
            <w:pPr>
              <w:jc w:val="center"/>
              <w:rPr>
                <w:rFonts w:cs="Times New Roman"/>
                <w:bCs/>
                <w:i/>
                <w:sz w:val="20"/>
                <w:szCs w:val="20"/>
              </w:rPr>
            </w:pPr>
            <w:r w:rsidRPr="00831485">
              <w:rPr>
                <w:rFonts w:cs="Times New Roman"/>
                <w:b/>
                <w:sz w:val="20"/>
                <w:szCs w:val="20"/>
              </w:rPr>
              <w:t>Rezultatīvais rādītājs</w:t>
            </w:r>
          </w:p>
        </w:tc>
        <w:tc>
          <w:tcPr>
            <w:tcW w:w="1266" w:type="dxa"/>
            <w:shd w:val="clear" w:color="auto" w:fill="auto"/>
          </w:tcPr>
          <w:p w14:paraId="39DF5DD2" w14:textId="77777777" w:rsidR="003923D2" w:rsidRPr="00831485" w:rsidRDefault="003923D2" w:rsidP="000841C1">
            <w:pPr>
              <w:jc w:val="center"/>
              <w:rPr>
                <w:rFonts w:cs="Times New Roman"/>
                <w:bCs/>
                <w:i/>
                <w:sz w:val="20"/>
                <w:szCs w:val="20"/>
              </w:rPr>
            </w:pPr>
            <w:r w:rsidRPr="00831485">
              <w:rPr>
                <w:rFonts w:cs="Times New Roman"/>
                <w:b/>
                <w:bCs/>
                <w:sz w:val="20"/>
                <w:szCs w:val="20"/>
              </w:rPr>
              <w:t>Atbildīgā institūcija</w:t>
            </w:r>
          </w:p>
        </w:tc>
        <w:tc>
          <w:tcPr>
            <w:tcW w:w="1418" w:type="dxa"/>
            <w:shd w:val="clear" w:color="auto" w:fill="auto"/>
          </w:tcPr>
          <w:p w14:paraId="491F2611" w14:textId="77777777" w:rsidR="003923D2" w:rsidRPr="00831485" w:rsidRDefault="003923D2" w:rsidP="000841C1">
            <w:pPr>
              <w:jc w:val="center"/>
              <w:rPr>
                <w:rFonts w:cs="Times New Roman"/>
                <w:bCs/>
                <w:i/>
                <w:sz w:val="20"/>
                <w:szCs w:val="20"/>
              </w:rPr>
            </w:pPr>
            <w:r w:rsidRPr="00831485">
              <w:rPr>
                <w:rFonts w:cs="Times New Roman"/>
                <w:b/>
                <w:bCs/>
                <w:sz w:val="20"/>
                <w:szCs w:val="20"/>
              </w:rPr>
              <w:t>Līdz</w:t>
            </w:r>
            <w:r w:rsidR="00275CC5">
              <w:rPr>
                <w:rFonts w:cs="Times New Roman"/>
                <w:b/>
                <w:bCs/>
                <w:sz w:val="20"/>
                <w:szCs w:val="20"/>
              </w:rPr>
              <w:t>-</w:t>
            </w:r>
            <w:r w:rsidRPr="00831485">
              <w:rPr>
                <w:rFonts w:cs="Times New Roman"/>
                <w:b/>
                <w:bCs/>
                <w:sz w:val="20"/>
                <w:szCs w:val="20"/>
              </w:rPr>
              <w:t>atbildīgās institūcijas</w:t>
            </w:r>
          </w:p>
        </w:tc>
        <w:tc>
          <w:tcPr>
            <w:tcW w:w="1417" w:type="dxa"/>
            <w:shd w:val="clear" w:color="auto" w:fill="auto"/>
          </w:tcPr>
          <w:p w14:paraId="4B043FC7" w14:textId="77777777" w:rsidR="003923D2" w:rsidRPr="00831485" w:rsidRDefault="003923D2" w:rsidP="000841C1">
            <w:pPr>
              <w:jc w:val="center"/>
              <w:rPr>
                <w:rFonts w:cs="Times New Roman"/>
                <w:bCs/>
                <w:i/>
                <w:sz w:val="20"/>
                <w:szCs w:val="20"/>
              </w:rPr>
            </w:pPr>
            <w:r w:rsidRPr="00831485">
              <w:rPr>
                <w:rFonts w:cs="Times New Roman"/>
                <w:b/>
                <w:bCs/>
                <w:sz w:val="20"/>
                <w:szCs w:val="20"/>
              </w:rPr>
              <w:t>Izpildes termiņš</w:t>
            </w:r>
          </w:p>
        </w:tc>
      </w:tr>
      <w:tr w:rsidR="004F11FC" w:rsidRPr="00831485" w14:paraId="2F9CCDC9" w14:textId="77777777" w:rsidTr="008978FB">
        <w:trPr>
          <w:trHeight w:val="1906"/>
        </w:trPr>
        <w:tc>
          <w:tcPr>
            <w:tcW w:w="704" w:type="dxa"/>
            <w:vMerge w:val="restart"/>
            <w:shd w:val="clear" w:color="auto" w:fill="auto"/>
          </w:tcPr>
          <w:p w14:paraId="5AB348D9" w14:textId="77777777" w:rsidR="004F11FC" w:rsidRPr="00831485" w:rsidRDefault="004F11FC" w:rsidP="000841C1">
            <w:pPr>
              <w:rPr>
                <w:rFonts w:cs="Times New Roman"/>
                <w:sz w:val="20"/>
                <w:szCs w:val="20"/>
              </w:rPr>
            </w:pPr>
            <w:r>
              <w:rPr>
                <w:rFonts w:cs="Times New Roman"/>
                <w:sz w:val="20"/>
                <w:szCs w:val="20"/>
              </w:rPr>
              <w:t>9.1.</w:t>
            </w:r>
          </w:p>
        </w:tc>
        <w:tc>
          <w:tcPr>
            <w:tcW w:w="2977" w:type="dxa"/>
            <w:vMerge w:val="restart"/>
            <w:shd w:val="clear" w:color="auto" w:fill="auto"/>
          </w:tcPr>
          <w:p w14:paraId="2AFE8FAA" w14:textId="77777777" w:rsidR="004F11FC" w:rsidRPr="00831485" w:rsidRDefault="009E1CD8" w:rsidP="009E1CD8">
            <w:pPr>
              <w:jc w:val="both"/>
              <w:rPr>
                <w:rFonts w:eastAsia="Calibri" w:cs="Times New Roman"/>
                <w:sz w:val="20"/>
                <w:szCs w:val="20"/>
              </w:rPr>
            </w:pPr>
            <w:r>
              <w:rPr>
                <w:rFonts w:eastAsia="Calibri" w:cs="Times New Roman"/>
                <w:sz w:val="20"/>
                <w:szCs w:val="20"/>
              </w:rPr>
              <w:t>Veikts</w:t>
            </w:r>
            <w:r w:rsidR="004F11FC" w:rsidRPr="00831485">
              <w:rPr>
                <w:rFonts w:eastAsia="Calibri" w:cs="Times New Roman"/>
                <w:sz w:val="20"/>
                <w:szCs w:val="20"/>
              </w:rPr>
              <w:t xml:space="preserve"> risku novērtējums, fokusējoties uz terorisma finansēšanas ievainojamībām, kas izriet no Latvijas kā reģionāla finanšu centra lomas, tai skaitā attiecībā uz specifiskiem finanšu produktiem un pakalpojumiem, un ņemot vērā pastāvošos riskus, kas izriet no augsta ārvalstu čaulas kompāniju klientu koncentrācijas un ar to saistītajiem terorisma finansēšanas riskiem</w:t>
            </w:r>
            <w:r w:rsidR="004F11FC">
              <w:rPr>
                <w:rFonts w:eastAsia="Calibri" w:cs="Times New Roman"/>
                <w:sz w:val="20"/>
                <w:szCs w:val="20"/>
              </w:rPr>
              <w:t xml:space="preserve">. </w:t>
            </w:r>
            <w:r w:rsidR="004F11FC">
              <w:rPr>
                <w:rFonts w:cs="Times New Roman"/>
                <w:sz w:val="20"/>
                <w:szCs w:val="20"/>
              </w:rPr>
              <w:t xml:space="preserve"> Tai skaitā </w:t>
            </w:r>
            <w:r>
              <w:rPr>
                <w:rFonts w:cs="Times New Roman"/>
                <w:sz w:val="20"/>
                <w:szCs w:val="20"/>
              </w:rPr>
              <w:t xml:space="preserve">veikt </w:t>
            </w:r>
            <w:r w:rsidR="004F11FC">
              <w:rPr>
                <w:rFonts w:cs="Times New Roman"/>
                <w:sz w:val="20"/>
                <w:szCs w:val="20"/>
              </w:rPr>
              <w:t>specifisk</w:t>
            </w:r>
            <w:r>
              <w:rPr>
                <w:rFonts w:cs="Times New Roman"/>
                <w:sz w:val="20"/>
                <w:szCs w:val="20"/>
              </w:rPr>
              <w:t>u</w:t>
            </w:r>
            <w:r w:rsidR="004F11FC">
              <w:rPr>
                <w:rFonts w:cs="Times New Roman"/>
                <w:sz w:val="20"/>
                <w:szCs w:val="20"/>
              </w:rPr>
              <w:t xml:space="preserve"> novērtējum</w:t>
            </w:r>
            <w:r>
              <w:rPr>
                <w:rFonts w:cs="Times New Roman"/>
                <w:sz w:val="20"/>
                <w:szCs w:val="20"/>
              </w:rPr>
              <w:t>u</w:t>
            </w:r>
            <w:r w:rsidR="004F11FC">
              <w:rPr>
                <w:rFonts w:cs="Times New Roman"/>
                <w:sz w:val="20"/>
                <w:szCs w:val="20"/>
              </w:rPr>
              <w:t xml:space="preserve"> par TF riskiem bezpeļņas organizāciju sektorā, balstoties uz plašāko TF risku novērtējumu  ar mērķi izstrādāt un ieviest uz TF risku balstītu pieeju sektora novērošanā.</w:t>
            </w:r>
          </w:p>
        </w:tc>
        <w:tc>
          <w:tcPr>
            <w:tcW w:w="1417" w:type="dxa"/>
            <w:vMerge w:val="restart"/>
            <w:shd w:val="clear" w:color="auto" w:fill="auto"/>
          </w:tcPr>
          <w:p w14:paraId="02DA36A4" w14:textId="77777777" w:rsidR="004F11FC" w:rsidRPr="00831485" w:rsidRDefault="004F11FC" w:rsidP="00EE1B29">
            <w:pPr>
              <w:ind w:left="-108" w:right="-108"/>
              <w:rPr>
                <w:rFonts w:cs="Times New Roman"/>
                <w:sz w:val="20"/>
                <w:szCs w:val="20"/>
              </w:rPr>
            </w:pPr>
            <w:r>
              <w:rPr>
                <w:rFonts w:cs="Times New Roman"/>
                <w:sz w:val="20"/>
                <w:szCs w:val="20"/>
              </w:rPr>
              <w:t>Moneyval rekomendācija 9.1.</w:t>
            </w:r>
          </w:p>
        </w:tc>
        <w:tc>
          <w:tcPr>
            <w:tcW w:w="2977" w:type="dxa"/>
            <w:vMerge w:val="restart"/>
            <w:shd w:val="clear" w:color="auto" w:fill="auto"/>
          </w:tcPr>
          <w:p w14:paraId="086EE8CE" w14:textId="77777777" w:rsidR="004F11FC" w:rsidRPr="00831485" w:rsidRDefault="004F11FC" w:rsidP="00EE1B29">
            <w:pPr>
              <w:jc w:val="both"/>
              <w:rPr>
                <w:rFonts w:cs="Times New Roman"/>
                <w:sz w:val="20"/>
                <w:szCs w:val="20"/>
              </w:rPr>
            </w:pPr>
            <w:r w:rsidRPr="00831485">
              <w:rPr>
                <w:rFonts w:cs="Times New Roman"/>
                <w:sz w:val="20"/>
                <w:szCs w:val="20"/>
              </w:rPr>
              <w:t>Izstrādāts Nacionālais terorisma un proliferācijas finansēšanas risku ziņojums par 2017.-2018.gadu.</w:t>
            </w:r>
          </w:p>
        </w:tc>
        <w:tc>
          <w:tcPr>
            <w:tcW w:w="2561" w:type="dxa"/>
            <w:shd w:val="clear" w:color="auto" w:fill="auto"/>
          </w:tcPr>
          <w:p w14:paraId="21E5D54C" w14:textId="77777777" w:rsidR="004F11FC" w:rsidRPr="00831485" w:rsidRDefault="004F11FC" w:rsidP="00EE1B29">
            <w:pPr>
              <w:jc w:val="both"/>
              <w:rPr>
                <w:rFonts w:cs="Times New Roman"/>
                <w:sz w:val="20"/>
                <w:szCs w:val="20"/>
              </w:rPr>
            </w:pPr>
            <w:r>
              <w:rPr>
                <w:rFonts w:cs="Times New Roman"/>
                <w:sz w:val="20"/>
                <w:szCs w:val="20"/>
              </w:rPr>
              <w:t xml:space="preserve">1. </w:t>
            </w:r>
            <w:r w:rsidRPr="00831485">
              <w:rPr>
                <w:rFonts w:cs="Times New Roman"/>
                <w:sz w:val="20"/>
                <w:szCs w:val="20"/>
              </w:rPr>
              <w:t>Izstrādāts atsevišķs ziņojums par terorisma finansēšanas un proliferācijas finansēšanas riskiem.  Ziņojums izskatīts Finanšu sektora attīstības padomē.</w:t>
            </w:r>
          </w:p>
        </w:tc>
        <w:tc>
          <w:tcPr>
            <w:tcW w:w="1266" w:type="dxa"/>
            <w:shd w:val="clear" w:color="auto" w:fill="auto"/>
          </w:tcPr>
          <w:p w14:paraId="09348065" w14:textId="77777777" w:rsidR="004F11FC" w:rsidRPr="00831485" w:rsidRDefault="004F11FC" w:rsidP="008978FB">
            <w:pPr>
              <w:jc w:val="center"/>
              <w:rPr>
                <w:sz w:val="20"/>
                <w:szCs w:val="20"/>
              </w:rPr>
            </w:pPr>
            <w:r w:rsidRPr="00831485">
              <w:rPr>
                <w:sz w:val="20"/>
                <w:szCs w:val="20"/>
              </w:rPr>
              <w:t>KD</w:t>
            </w:r>
          </w:p>
        </w:tc>
        <w:tc>
          <w:tcPr>
            <w:tcW w:w="1418" w:type="dxa"/>
            <w:shd w:val="clear" w:color="auto" w:fill="auto"/>
          </w:tcPr>
          <w:p w14:paraId="3E2E6B56" w14:textId="77777777" w:rsidR="004F11FC" w:rsidRPr="00831485" w:rsidRDefault="004F11FC" w:rsidP="008978FB">
            <w:pPr>
              <w:jc w:val="center"/>
              <w:rPr>
                <w:rFonts w:cs="Times New Roman"/>
                <w:sz w:val="20"/>
                <w:szCs w:val="20"/>
              </w:rPr>
            </w:pPr>
            <w:r w:rsidRPr="00831485">
              <w:rPr>
                <w:rFonts w:cs="Times New Roman"/>
                <w:sz w:val="20"/>
                <w:szCs w:val="20"/>
              </w:rPr>
              <w:t>DP</w:t>
            </w:r>
          </w:p>
        </w:tc>
        <w:tc>
          <w:tcPr>
            <w:tcW w:w="1417" w:type="dxa"/>
            <w:shd w:val="clear" w:color="auto" w:fill="auto"/>
          </w:tcPr>
          <w:p w14:paraId="15D88CC3" w14:textId="77777777" w:rsidR="004F11FC" w:rsidRPr="00831485" w:rsidRDefault="004F11FC" w:rsidP="008978FB">
            <w:pPr>
              <w:jc w:val="center"/>
              <w:rPr>
                <w:rFonts w:cs="Times New Roman"/>
                <w:sz w:val="20"/>
                <w:szCs w:val="20"/>
              </w:rPr>
            </w:pPr>
            <w:r w:rsidRPr="00831485">
              <w:rPr>
                <w:rFonts w:cs="Times New Roman"/>
                <w:sz w:val="20"/>
                <w:szCs w:val="20"/>
              </w:rPr>
              <w:t>2019.gada 1.</w:t>
            </w:r>
            <w:r>
              <w:rPr>
                <w:rFonts w:cs="Times New Roman"/>
                <w:sz w:val="20"/>
                <w:szCs w:val="20"/>
              </w:rPr>
              <w:t>februāris</w:t>
            </w:r>
          </w:p>
        </w:tc>
      </w:tr>
      <w:tr w:rsidR="004F11FC" w:rsidRPr="00831485" w14:paraId="563137BA" w14:textId="77777777" w:rsidTr="008978FB">
        <w:trPr>
          <w:trHeight w:val="1906"/>
        </w:trPr>
        <w:tc>
          <w:tcPr>
            <w:tcW w:w="704" w:type="dxa"/>
            <w:vMerge/>
            <w:shd w:val="clear" w:color="auto" w:fill="auto"/>
          </w:tcPr>
          <w:p w14:paraId="2D8F73A9" w14:textId="77777777" w:rsidR="004F11FC" w:rsidRDefault="004F11FC" w:rsidP="000841C1">
            <w:pPr>
              <w:rPr>
                <w:rFonts w:cs="Times New Roman"/>
                <w:sz w:val="20"/>
                <w:szCs w:val="20"/>
              </w:rPr>
            </w:pPr>
          </w:p>
        </w:tc>
        <w:tc>
          <w:tcPr>
            <w:tcW w:w="2977" w:type="dxa"/>
            <w:vMerge/>
            <w:shd w:val="clear" w:color="auto" w:fill="auto"/>
          </w:tcPr>
          <w:p w14:paraId="7354D37D" w14:textId="77777777" w:rsidR="004F11FC" w:rsidRPr="00831485" w:rsidRDefault="004F11FC" w:rsidP="000841C1">
            <w:pPr>
              <w:rPr>
                <w:rFonts w:eastAsia="Calibri" w:cs="Times New Roman"/>
                <w:sz w:val="20"/>
                <w:szCs w:val="20"/>
              </w:rPr>
            </w:pPr>
          </w:p>
        </w:tc>
        <w:tc>
          <w:tcPr>
            <w:tcW w:w="1417" w:type="dxa"/>
            <w:vMerge/>
            <w:shd w:val="clear" w:color="auto" w:fill="auto"/>
          </w:tcPr>
          <w:p w14:paraId="18424BFD" w14:textId="77777777" w:rsidR="004F11FC" w:rsidRDefault="004F11FC" w:rsidP="000841C1">
            <w:pPr>
              <w:ind w:left="-108" w:right="-108"/>
              <w:jc w:val="center"/>
              <w:rPr>
                <w:rFonts w:cs="Times New Roman"/>
                <w:sz w:val="20"/>
                <w:szCs w:val="20"/>
              </w:rPr>
            </w:pPr>
          </w:p>
        </w:tc>
        <w:tc>
          <w:tcPr>
            <w:tcW w:w="2977" w:type="dxa"/>
            <w:vMerge/>
            <w:shd w:val="clear" w:color="auto" w:fill="auto"/>
          </w:tcPr>
          <w:p w14:paraId="4269D9D7" w14:textId="77777777" w:rsidR="004F11FC" w:rsidRPr="00831485" w:rsidRDefault="004F11FC" w:rsidP="000841C1">
            <w:pPr>
              <w:rPr>
                <w:rFonts w:cs="Times New Roman"/>
                <w:sz w:val="20"/>
                <w:szCs w:val="20"/>
              </w:rPr>
            </w:pPr>
          </w:p>
        </w:tc>
        <w:tc>
          <w:tcPr>
            <w:tcW w:w="2561" w:type="dxa"/>
            <w:shd w:val="clear" w:color="auto" w:fill="auto"/>
          </w:tcPr>
          <w:p w14:paraId="71D6D808" w14:textId="77777777" w:rsidR="004F11FC" w:rsidRPr="004F11FC" w:rsidRDefault="004F11FC" w:rsidP="00EE1B29">
            <w:pPr>
              <w:jc w:val="both"/>
              <w:rPr>
                <w:rFonts w:cs="Times New Roman"/>
                <w:sz w:val="20"/>
                <w:szCs w:val="20"/>
              </w:rPr>
            </w:pPr>
            <w:r w:rsidRPr="004F11FC">
              <w:rPr>
                <w:rFonts w:cs="Times New Roman"/>
                <w:sz w:val="20"/>
                <w:szCs w:val="20"/>
              </w:rPr>
              <w:t xml:space="preserve">2. </w:t>
            </w:r>
            <w:r w:rsidRPr="004F11FC">
              <w:t xml:space="preserve"> </w:t>
            </w:r>
            <w:r w:rsidRPr="004F11FC">
              <w:rPr>
                <w:rFonts w:cs="Times New Roman"/>
                <w:sz w:val="20"/>
                <w:szCs w:val="20"/>
              </w:rPr>
              <w:t>Pretterorisma centra ekspertu konsultatīvajā padomē izskatīts jautājums par terorisma finansēšanas apkarošanas stratēģijas izstrādi</w:t>
            </w:r>
          </w:p>
        </w:tc>
        <w:tc>
          <w:tcPr>
            <w:tcW w:w="1266" w:type="dxa"/>
            <w:shd w:val="clear" w:color="auto" w:fill="auto"/>
          </w:tcPr>
          <w:p w14:paraId="5A2A9D52" w14:textId="77777777" w:rsidR="004F11FC" w:rsidRPr="004F11FC" w:rsidRDefault="004F11FC" w:rsidP="008978FB">
            <w:pPr>
              <w:jc w:val="center"/>
              <w:rPr>
                <w:sz w:val="20"/>
                <w:szCs w:val="20"/>
              </w:rPr>
            </w:pPr>
            <w:r w:rsidRPr="004F11FC">
              <w:rPr>
                <w:sz w:val="20"/>
                <w:szCs w:val="20"/>
              </w:rPr>
              <w:t>DP</w:t>
            </w:r>
          </w:p>
        </w:tc>
        <w:tc>
          <w:tcPr>
            <w:tcW w:w="1418" w:type="dxa"/>
            <w:shd w:val="clear" w:color="auto" w:fill="auto"/>
          </w:tcPr>
          <w:p w14:paraId="2FE23AB7" w14:textId="77777777" w:rsidR="004F11FC" w:rsidRPr="004F11FC" w:rsidRDefault="004F11FC" w:rsidP="008978FB">
            <w:pPr>
              <w:jc w:val="center"/>
              <w:rPr>
                <w:rFonts w:cs="Times New Roman"/>
                <w:sz w:val="20"/>
                <w:szCs w:val="20"/>
              </w:rPr>
            </w:pPr>
            <w:r w:rsidRPr="004F11FC">
              <w:rPr>
                <w:rFonts w:cs="Times New Roman"/>
                <w:sz w:val="20"/>
                <w:szCs w:val="20"/>
              </w:rPr>
              <w:t>Konsultatīvajā padomē iesaistītās institūcijas</w:t>
            </w:r>
          </w:p>
        </w:tc>
        <w:tc>
          <w:tcPr>
            <w:tcW w:w="1417" w:type="dxa"/>
            <w:shd w:val="clear" w:color="auto" w:fill="auto"/>
          </w:tcPr>
          <w:p w14:paraId="14F355DA" w14:textId="77777777" w:rsidR="004F11FC" w:rsidRPr="004F11FC" w:rsidRDefault="004F11FC" w:rsidP="008978FB">
            <w:pPr>
              <w:jc w:val="center"/>
              <w:rPr>
                <w:rFonts w:cs="Times New Roman"/>
                <w:sz w:val="20"/>
                <w:szCs w:val="20"/>
              </w:rPr>
            </w:pPr>
            <w:r w:rsidRPr="004F11FC">
              <w:rPr>
                <w:rFonts w:cs="Times New Roman"/>
                <w:sz w:val="20"/>
                <w:szCs w:val="20"/>
              </w:rPr>
              <w:t>2019.gada 30.jūnijs</w:t>
            </w:r>
          </w:p>
        </w:tc>
      </w:tr>
      <w:tr w:rsidR="004F11FC" w:rsidRPr="00831485" w14:paraId="5E346065" w14:textId="77777777" w:rsidTr="008978FB">
        <w:trPr>
          <w:trHeight w:val="1906"/>
        </w:trPr>
        <w:tc>
          <w:tcPr>
            <w:tcW w:w="704" w:type="dxa"/>
            <w:vMerge w:val="restart"/>
            <w:shd w:val="clear" w:color="auto" w:fill="auto"/>
          </w:tcPr>
          <w:p w14:paraId="3933C8DE" w14:textId="77777777" w:rsidR="004F11FC" w:rsidRPr="004F11FC" w:rsidRDefault="004F11FC" w:rsidP="000841C1">
            <w:pPr>
              <w:rPr>
                <w:rFonts w:cs="Times New Roman"/>
                <w:sz w:val="20"/>
                <w:szCs w:val="20"/>
              </w:rPr>
            </w:pPr>
            <w:r w:rsidRPr="004F11FC">
              <w:rPr>
                <w:rFonts w:cs="Times New Roman"/>
                <w:sz w:val="20"/>
                <w:szCs w:val="20"/>
              </w:rPr>
              <w:lastRenderedPageBreak/>
              <w:t>9.2.</w:t>
            </w:r>
          </w:p>
        </w:tc>
        <w:tc>
          <w:tcPr>
            <w:tcW w:w="2977" w:type="dxa"/>
            <w:vMerge w:val="restart"/>
            <w:shd w:val="clear" w:color="auto" w:fill="auto"/>
          </w:tcPr>
          <w:p w14:paraId="12ADAE83" w14:textId="77777777" w:rsidR="004F11FC" w:rsidRPr="004F11FC" w:rsidRDefault="004F11FC" w:rsidP="00EE1B29">
            <w:pPr>
              <w:jc w:val="both"/>
              <w:rPr>
                <w:rFonts w:eastAsia="Calibri" w:cs="Times New Roman"/>
                <w:sz w:val="20"/>
                <w:szCs w:val="20"/>
              </w:rPr>
            </w:pPr>
            <w:r w:rsidRPr="004F11FC">
              <w:rPr>
                <w:rFonts w:cs="Times New Roman"/>
                <w:sz w:val="20"/>
                <w:szCs w:val="20"/>
              </w:rPr>
              <w:t>Izveidot uz risk</w:t>
            </w:r>
            <w:r w:rsidR="009E1CD8">
              <w:rPr>
                <w:rFonts w:cs="Times New Roman"/>
                <w:sz w:val="20"/>
                <w:szCs w:val="20"/>
              </w:rPr>
              <w:t>u</w:t>
            </w:r>
            <w:r w:rsidRPr="004F11FC">
              <w:rPr>
                <w:rFonts w:cs="Times New Roman"/>
                <w:sz w:val="20"/>
                <w:szCs w:val="20"/>
              </w:rPr>
              <w:t xml:space="preserve"> balstīt</w:t>
            </w:r>
            <w:r w:rsidR="009E1CD8">
              <w:rPr>
                <w:rFonts w:cs="Times New Roman"/>
                <w:sz w:val="20"/>
                <w:szCs w:val="20"/>
              </w:rPr>
              <w:t>u</w:t>
            </w:r>
            <w:r w:rsidRPr="004F11FC">
              <w:rPr>
                <w:rFonts w:cs="Times New Roman"/>
                <w:sz w:val="20"/>
                <w:szCs w:val="20"/>
              </w:rPr>
              <w:t xml:space="preserve"> pieej</w:t>
            </w:r>
            <w:r w:rsidR="009E1CD8">
              <w:rPr>
                <w:rFonts w:cs="Times New Roman"/>
                <w:sz w:val="20"/>
                <w:szCs w:val="20"/>
              </w:rPr>
              <w:t>u</w:t>
            </w:r>
            <w:r w:rsidRPr="004F11FC">
              <w:rPr>
                <w:rFonts w:cs="Times New Roman"/>
                <w:sz w:val="20"/>
                <w:szCs w:val="20"/>
              </w:rPr>
              <w:t xml:space="preserve"> NVO sektora uzraudzībai terorisma finansēšanas novēršanai.</w:t>
            </w:r>
          </w:p>
        </w:tc>
        <w:tc>
          <w:tcPr>
            <w:tcW w:w="1417" w:type="dxa"/>
            <w:vMerge w:val="restart"/>
            <w:shd w:val="clear" w:color="auto" w:fill="auto"/>
          </w:tcPr>
          <w:p w14:paraId="2C0CA478" w14:textId="77777777" w:rsidR="004F11FC" w:rsidRPr="004F11FC" w:rsidRDefault="004F11FC" w:rsidP="00505985">
            <w:pPr>
              <w:ind w:left="-108" w:right="-108"/>
              <w:rPr>
                <w:rFonts w:cs="Times New Roman"/>
                <w:sz w:val="20"/>
                <w:szCs w:val="20"/>
              </w:rPr>
            </w:pPr>
            <w:r w:rsidRPr="004F11FC">
              <w:rPr>
                <w:rFonts w:cs="Times New Roman"/>
                <w:sz w:val="20"/>
                <w:szCs w:val="20"/>
              </w:rPr>
              <w:t>Moneyval rekomendācija 9.1</w:t>
            </w:r>
          </w:p>
        </w:tc>
        <w:tc>
          <w:tcPr>
            <w:tcW w:w="2977" w:type="dxa"/>
            <w:vMerge w:val="restart"/>
            <w:shd w:val="clear" w:color="auto" w:fill="auto"/>
          </w:tcPr>
          <w:p w14:paraId="7C0E5101" w14:textId="77777777" w:rsidR="004F11FC" w:rsidRPr="004F11FC" w:rsidRDefault="004F11FC" w:rsidP="00EE1B29">
            <w:pPr>
              <w:jc w:val="both"/>
              <w:rPr>
                <w:rFonts w:cs="Times New Roman"/>
                <w:sz w:val="20"/>
                <w:szCs w:val="20"/>
              </w:rPr>
            </w:pPr>
            <w:r w:rsidRPr="004F11FC">
              <w:rPr>
                <w:rFonts w:cs="Times New Roman"/>
                <w:sz w:val="20"/>
                <w:szCs w:val="20"/>
              </w:rPr>
              <w:t>Izveidota uz riskiem balstīta pieeja NVO sektora uzraudzībai terorisma finansēšanas novēršanai.</w:t>
            </w:r>
          </w:p>
        </w:tc>
        <w:tc>
          <w:tcPr>
            <w:tcW w:w="2561" w:type="dxa"/>
            <w:shd w:val="clear" w:color="auto" w:fill="auto"/>
          </w:tcPr>
          <w:p w14:paraId="4C468328" w14:textId="77777777" w:rsidR="004F11FC" w:rsidRPr="004F11FC" w:rsidRDefault="004F11FC" w:rsidP="00EE1B29">
            <w:pPr>
              <w:jc w:val="both"/>
              <w:rPr>
                <w:rFonts w:cs="Times New Roman"/>
                <w:sz w:val="20"/>
                <w:szCs w:val="20"/>
              </w:rPr>
            </w:pPr>
            <w:r w:rsidRPr="004F11FC">
              <w:rPr>
                <w:rFonts w:cs="Times New Roman"/>
                <w:sz w:val="20"/>
                <w:szCs w:val="20"/>
              </w:rPr>
              <w:t xml:space="preserve">1. Izstrādāts NVO sektora terorisma </w:t>
            </w:r>
            <w:r w:rsidR="003A34AD">
              <w:rPr>
                <w:rFonts w:cs="Times New Roman"/>
                <w:sz w:val="20"/>
                <w:szCs w:val="20"/>
              </w:rPr>
              <w:t>finansēšanas risku izvērtējums, kurā izvērtēti arī NVO iesaistes riski finanšu sankciju apiešanā</w:t>
            </w:r>
          </w:p>
          <w:p w14:paraId="48226FAB" w14:textId="77777777" w:rsidR="004F11FC" w:rsidRPr="004F11FC" w:rsidRDefault="004F11FC" w:rsidP="00EE1B29">
            <w:pPr>
              <w:jc w:val="both"/>
              <w:rPr>
                <w:rFonts w:cs="Times New Roman"/>
                <w:sz w:val="20"/>
                <w:szCs w:val="20"/>
              </w:rPr>
            </w:pPr>
          </w:p>
          <w:p w14:paraId="6C22E0AA" w14:textId="77777777" w:rsidR="004F11FC" w:rsidRPr="004F11FC" w:rsidRDefault="004F11FC" w:rsidP="00EE1B29">
            <w:pPr>
              <w:jc w:val="both"/>
              <w:rPr>
                <w:rFonts w:cs="Times New Roman"/>
                <w:sz w:val="20"/>
                <w:szCs w:val="20"/>
              </w:rPr>
            </w:pPr>
          </w:p>
        </w:tc>
        <w:tc>
          <w:tcPr>
            <w:tcW w:w="1266" w:type="dxa"/>
            <w:shd w:val="clear" w:color="auto" w:fill="auto"/>
          </w:tcPr>
          <w:p w14:paraId="1111C908" w14:textId="77777777" w:rsidR="004F11FC" w:rsidRPr="004F11FC" w:rsidRDefault="004F11FC" w:rsidP="008978FB">
            <w:pPr>
              <w:jc w:val="center"/>
              <w:rPr>
                <w:sz w:val="20"/>
                <w:szCs w:val="20"/>
              </w:rPr>
            </w:pPr>
            <w:r w:rsidRPr="004F11FC">
              <w:rPr>
                <w:sz w:val="20"/>
                <w:szCs w:val="20"/>
              </w:rPr>
              <w:t>DP</w:t>
            </w:r>
          </w:p>
        </w:tc>
        <w:tc>
          <w:tcPr>
            <w:tcW w:w="1418" w:type="dxa"/>
            <w:shd w:val="clear" w:color="auto" w:fill="auto"/>
          </w:tcPr>
          <w:p w14:paraId="7259E157" w14:textId="77777777" w:rsidR="004F11FC" w:rsidRPr="004F11FC" w:rsidRDefault="004F11FC" w:rsidP="008978FB">
            <w:pPr>
              <w:jc w:val="center"/>
              <w:rPr>
                <w:rFonts w:cs="Times New Roman"/>
                <w:sz w:val="20"/>
                <w:szCs w:val="20"/>
              </w:rPr>
            </w:pPr>
            <w:r w:rsidRPr="004F11FC">
              <w:rPr>
                <w:rFonts w:cs="Times New Roman"/>
                <w:sz w:val="20"/>
                <w:szCs w:val="20"/>
              </w:rPr>
              <w:t>KD</w:t>
            </w:r>
          </w:p>
        </w:tc>
        <w:tc>
          <w:tcPr>
            <w:tcW w:w="1417" w:type="dxa"/>
            <w:shd w:val="clear" w:color="auto" w:fill="auto"/>
          </w:tcPr>
          <w:p w14:paraId="7D26B19A" w14:textId="77777777" w:rsidR="004F11FC" w:rsidRPr="004F11FC" w:rsidRDefault="004F11FC" w:rsidP="008978FB">
            <w:pPr>
              <w:jc w:val="center"/>
              <w:rPr>
                <w:rFonts w:cs="Times New Roman"/>
                <w:sz w:val="20"/>
                <w:szCs w:val="20"/>
              </w:rPr>
            </w:pPr>
            <w:r w:rsidRPr="004F11FC">
              <w:rPr>
                <w:rFonts w:cs="Times New Roman"/>
                <w:sz w:val="20"/>
                <w:szCs w:val="20"/>
              </w:rPr>
              <w:t>2018.gada 1.oktobris</w:t>
            </w:r>
          </w:p>
          <w:p w14:paraId="50784978" w14:textId="77777777" w:rsidR="004F11FC" w:rsidRPr="004F11FC" w:rsidRDefault="004F11FC" w:rsidP="008978FB">
            <w:pPr>
              <w:jc w:val="center"/>
              <w:rPr>
                <w:rFonts w:cs="Times New Roman"/>
                <w:sz w:val="20"/>
                <w:szCs w:val="20"/>
              </w:rPr>
            </w:pPr>
          </w:p>
          <w:p w14:paraId="31A7696B" w14:textId="77777777" w:rsidR="004F11FC" w:rsidRPr="004F11FC" w:rsidRDefault="004F11FC" w:rsidP="008978FB">
            <w:pPr>
              <w:jc w:val="center"/>
              <w:rPr>
                <w:rFonts w:cs="Times New Roman"/>
                <w:sz w:val="20"/>
                <w:szCs w:val="20"/>
              </w:rPr>
            </w:pPr>
          </w:p>
          <w:p w14:paraId="7E840C21" w14:textId="77777777" w:rsidR="004F11FC" w:rsidRPr="004F11FC" w:rsidRDefault="004F11FC" w:rsidP="008978FB">
            <w:pPr>
              <w:jc w:val="center"/>
              <w:rPr>
                <w:rFonts w:cs="Times New Roman"/>
                <w:sz w:val="20"/>
                <w:szCs w:val="20"/>
              </w:rPr>
            </w:pPr>
          </w:p>
          <w:p w14:paraId="2AD23B29" w14:textId="77777777" w:rsidR="004F11FC" w:rsidRPr="004F11FC" w:rsidRDefault="004F11FC" w:rsidP="008978FB">
            <w:pPr>
              <w:jc w:val="center"/>
              <w:rPr>
                <w:rFonts w:cs="Times New Roman"/>
                <w:sz w:val="20"/>
                <w:szCs w:val="20"/>
              </w:rPr>
            </w:pPr>
          </w:p>
        </w:tc>
      </w:tr>
      <w:tr w:rsidR="004F11FC" w:rsidRPr="00831485" w14:paraId="401F5CDA" w14:textId="77777777" w:rsidTr="008978FB">
        <w:trPr>
          <w:trHeight w:val="1906"/>
        </w:trPr>
        <w:tc>
          <w:tcPr>
            <w:tcW w:w="704" w:type="dxa"/>
            <w:vMerge/>
            <w:shd w:val="clear" w:color="auto" w:fill="auto"/>
          </w:tcPr>
          <w:p w14:paraId="1A62EDFE" w14:textId="77777777" w:rsidR="004F11FC" w:rsidRPr="004F11FC" w:rsidRDefault="004F11FC" w:rsidP="000841C1">
            <w:pPr>
              <w:rPr>
                <w:rFonts w:cs="Times New Roman"/>
                <w:sz w:val="20"/>
                <w:szCs w:val="20"/>
              </w:rPr>
            </w:pPr>
          </w:p>
        </w:tc>
        <w:tc>
          <w:tcPr>
            <w:tcW w:w="2977" w:type="dxa"/>
            <w:vMerge/>
            <w:shd w:val="clear" w:color="auto" w:fill="auto"/>
          </w:tcPr>
          <w:p w14:paraId="6050E0F2" w14:textId="77777777" w:rsidR="004F11FC" w:rsidRPr="004F11FC" w:rsidRDefault="004F11FC" w:rsidP="000841C1">
            <w:pPr>
              <w:rPr>
                <w:rFonts w:eastAsia="Calibri" w:cs="Times New Roman"/>
                <w:sz w:val="20"/>
                <w:szCs w:val="20"/>
              </w:rPr>
            </w:pPr>
          </w:p>
        </w:tc>
        <w:tc>
          <w:tcPr>
            <w:tcW w:w="1417" w:type="dxa"/>
            <w:vMerge/>
            <w:shd w:val="clear" w:color="auto" w:fill="auto"/>
          </w:tcPr>
          <w:p w14:paraId="19D27C2F" w14:textId="77777777" w:rsidR="004F11FC" w:rsidRPr="004F11FC" w:rsidRDefault="004F11FC" w:rsidP="00505985">
            <w:pPr>
              <w:ind w:left="-108" w:right="-108"/>
              <w:rPr>
                <w:rFonts w:cs="Times New Roman"/>
                <w:sz w:val="20"/>
                <w:szCs w:val="20"/>
              </w:rPr>
            </w:pPr>
          </w:p>
        </w:tc>
        <w:tc>
          <w:tcPr>
            <w:tcW w:w="2977" w:type="dxa"/>
            <w:vMerge/>
            <w:shd w:val="clear" w:color="auto" w:fill="auto"/>
          </w:tcPr>
          <w:p w14:paraId="3AF2C980" w14:textId="77777777" w:rsidR="004F11FC" w:rsidRPr="004F11FC" w:rsidRDefault="004F11FC" w:rsidP="000841C1">
            <w:pPr>
              <w:rPr>
                <w:rFonts w:cs="Times New Roman"/>
                <w:sz w:val="20"/>
                <w:szCs w:val="20"/>
              </w:rPr>
            </w:pPr>
          </w:p>
        </w:tc>
        <w:tc>
          <w:tcPr>
            <w:tcW w:w="2561" w:type="dxa"/>
            <w:shd w:val="clear" w:color="auto" w:fill="auto"/>
          </w:tcPr>
          <w:p w14:paraId="0F2916B5" w14:textId="77777777" w:rsidR="004F11FC" w:rsidRPr="004F11FC" w:rsidRDefault="004F11FC" w:rsidP="00EE1B29">
            <w:pPr>
              <w:jc w:val="both"/>
              <w:rPr>
                <w:rFonts w:cs="Times New Roman"/>
                <w:sz w:val="20"/>
                <w:szCs w:val="20"/>
              </w:rPr>
            </w:pPr>
            <w:r w:rsidRPr="004F11FC">
              <w:rPr>
                <w:rFonts w:cs="Times New Roman"/>
                <w:sz w:val="20"/>
                <w:szCs w:val="20"/>
              </w:rPr>
              <w:t>2. Īstenota informācijas sniegšana Kontroles dienestam par paaugstināta riska grupā iekļautajām fiziskajām personām.</w:t>
            </w:r>
          </w:p>
        </w:tc>
        <w:tc>
          <w:tcPr>
            <w:tcW w:w="1266" w:type="dxa"/>
            <w:shd w:val="clear" w:color="auto" w:fill="auto"/>
          </w:tcPr>
          <w:p w14:paraId="3658E41D" w14:textId="77777777" w:rsidR="004F11FC" w:rsidRPr="004F11FC" w:rsidRDefault="004F11FC" w:rsidP="008978FB">
            <w:pPr>
              <w:jc w:val="center"/>
              <w:rPr>
                <w:sz w:val="20"/>
                <w:szCs w:val="20"/>
              </w:rPr>
            </w:pPr>
            <w:r w:rsidRPr="004F11FC">
              <w:rPr>
                <w:sz w:val="20"/>
                <w:szCs w:val="20"/>
              </w:rPr>
              <w:t>DP</w:t>
            </w:r>
          </w:p>
        </w:tc>
        <w:tc>
          <w:tcPr>
            <w:tcW w:w="1418" w:type="dxa"/>
            <w:shd w:val="clear" w:color="auto" w:fill="auto"/>
          </w:tcPr>
          <w:p w14:paraId="0B33F585" w14:textId="77777777" w:rsidR="004F11FC" w:rsidRPr="004F11FC" w:rsidRDefault="004F11FC" w:rsidP="008978FB">
            <w:pPr>
              <w:jc w:val="center"/>
              <w:rPr>
                <w:rFonts w:cs="Times New Roman"/>
                <w:sz w:val="20"/>
                <w:szCs w:val="20"/>
              </w:rPr>
            </w:pPr>
          </w:p>
        </w:tc>
        <w:tc>
          <w:tcPr>
            <w:tcW w:w="1417" w:type="dxa"/>
            <w:shd w:val="clear" w:color="auto" w:fill="auto"/>
          </w:tcPr>
          <w:p w14:paraId="635E9FA5" w14:textId="77777777" w:rsidR="004F11FC" w:rsidRPr="004F11FC" w:rsidRDefault="004F11FC" w:rsidP="008978FB">
            <w:pPr>
              <w:jc w:val="center"/>
              <w:rPr>
                <w:rFonts w:cs="Times New Roman"/>
                <w:sz w:val="20"/>
                <w:szCs w:val="20"/>
              </w:rPr>
            </w:pPr>
            <w:r w:rsidRPr="004F11FC">
              <w:rPr>
                <w:rFonts w:cs="Times New Roman"/>
                <w:sz w:val="20"/>
                <w:szCs w:val="20"/>
              </w:rPr>
              <w:t>Pastāvīgi</w:t>
            </w:r>
          </w:p>
        </w:tc>
      </w:tr>
      <w:tr w:rsidR="004F11FC" w:rsidRPr="00831485" w14:paraId="4A1626D7" w14:textId="77777777" w:rsidTr="008978FB">
        <w:trPr>
          <w:trHeight w:val="1906"/>
        </w:trPr>
        <w:tc>
          <w:tcPr>
            <w:tcW w:w="704" w:type="dxa"/>
            <w:vMerge w:val="restart"/>
            <w:shd w:val="clear" w:color="auto" w:fill="auto"/>
          </w:tcPr>
          <w:p w14:paraId="0E39DDDB" w14:textId="77777777" w:rsidR="004F11FC" w:rsidRPr="00831485" w:rsidRDefault="004F11FC" w:rsidP="000841C1">
            <w:pPr>
              <w:rPr>
                <w:rFonts w:cs="Times New Roman"/>
                <w:sz w:val="20"/>
                <w:szCs w:val="20"/>
              </w:rPr>
            </w:pPr>
            <w:r>
              <w:rPr>
                <w:rFonts w:cs="Times New Roman"/>
                <w:sz w:val="20"/>
                <w:szCs w:val="20"/>
              </w:rPr>
              <w:t>9.3.</w:t>
            </w:r>
          </w:p>
        </w:tc>
        <w:tc>
          <w:tcPr>
            <w:tcW w:w="2977" w:type="dxa"/>
            <w:vMerge w:val="restart"/>
            <w:shd w:val="clear" w:color="auto" w:fill="auto"/>
          </w:tcPr>
          <w:p w14:paraId="5D00D90C" w14:textId="77777777" w:rsidR="004F11FC" w:rsidRPr="004F11FC" w:rsidRDefault="004F11FC" w:rsidP="00EE1B29">
            <w:pPr>
              <w:jc w:val="both"/>
              <w:rPr>
                <w:rFonts w:eastAsia="Calibri" w:cs="Times New Roman"/>
                <w:sz w:val="20"/>
                <w:szCs w:val="20"/>
              </w:rPr>
            </w:pPr>
            <w:r w:rsidRPr="004F11FC">
              <w:rPr>
                <w:rFonts w:eastAsia="Calibri" w:cs="Times New Roman"/>
                <w:sz w:val="20"/>
                <w:szCs w:val="20"/>
              </w:rPr>
              <w:t>Palielināt izpratni iesaistīto institūciju starpā par vēl izmeklēšanā esošām terorisma finansēšanas lietām vai pārbaudēm</w:t>
            </w:r>
            <w:r w:rsidR="00E508C0">
              <w:rPr>
                <w:rFonts w:eastAsia="Calibri" w:cs="Times New Roman"/>
                <w:sz w:val="20"/>
                <w:szCs w:val="20"/>
              </w:rPr>
              <w:t>.</w:t>
            </w:r>
          </w:p>
        </w:tc>
        <w:tc>
          <w:tcPr>
            <w:tcW w:w="1417" w:type="dxa"/>
            <w:vMerge w:val="restart"/>
            <w:shd w:val="clear" w:color="auto" w:fill="auto"/>
          </w:tcPr>
          <w:p w14:paraId="04938DEF" w14:textId="77777777" w:rsidR="004F11FC" w:rsidRPr="004F11FC" w:rsidRDefault="004F11FC" w:rsidP="00505985">
            <w:pPr>
              <w:ind w:left="-108" w:right="-108"/>
              <w:rPr>
                <w:rFonts w:cs="Times New Roman"/>
                <w:sz w:val="20"/>
                <w:szCs w:val="20"/>
              </w:rPr>
            </w:pPr>
            <w:r w:rsidRPr="004F11FC">
              <w:rPr>
                <w:rFonts w:cs="Times New Roman"/>
                <w:sz w:val="20"/>
                <w:szCs w:val="20"/>
              </w:rPr>
              <w:t>Moneyval rekomendācija 9.2.</w:t>
            </w:r>
            <w:r w:rsidR="003A34AD">
              <w:rPr>
                <w:rFonts w:cs="Times New Roman"/>
                <w:sz w:val="20"/>
                <w:szCs w:val="20"/>
              </w:rPr>
              <w:t>, 10.3., 10.4.</w:t>
            </w:r>
          </w:p>
        </w:tc>
        <w:tc>
          <w:tcPr>
            <w:tcW w:w="2977" w:type="dxa"/>
            <w:shd w:val="clear" w:color="auto" w:fill="auto"/>
          </w:tcPr>
          <w:p w14:paraId="2BB8C4DF" w14:textId="77777777" w:rsidR="004F11FC" w:rsidRPr="004F11FC" w:rsidRDefault="009E1CD8" w:rsidP="00EE1B29">
            <w:pPr>
              <w:jc w:val="both"/>
              <w:rPr>
                <w:rFonts w:cs="Times New Roman"/>
                <w:sz w:val="20"/>
                <w:szCs w:val="20"/>
              </w:rPr>
            </w:pPr>
            <w:r>
              <w:rPr>
                <w:rFonts w:cs="Times New Roman"/>
                <w:sz w:val="20"/>
                <w:szCs w:val="20"/>
              </w:rPr>
              <w:t>1.</w:t>
            </w:r>
            <w:r w:rsidR="004F11FC" w:rsidRPr="004F11FC">
              <w:rPr>
                <w:rFonts w:cs="Times New Roman"/>
                <w:sz w:val="20"/>
                <w:szCs w:val="20"/>
              </w:rPr>
              <w:t>Uzsākta sadarbības koordinācijas grupu praktiskā darbība. Kontroles dienests koordinē operatīvās darbības subjektu, izmeklēšanas iestāžu, prokuratūras, Valsts ieņēmumu dienesta, kā arī likuma subjektu sadarbību.</w:t>
            </w:r>
          </w:p>
        </w:tc>
        <w:tc>
          <w:tcPr>
            <w:tcW w:w="2561" w:type="dxa"/>
            <w:shd w:val="clear" w:color="auto" w:fill="auto"/>
          </w:tcPr>
          <w:p w14:paraId="6A655795" w14:textId="77777777" w:rsidR="004F11FC" w:rsidRPr="004F11FC" w:rsidRDefault="004F11FC" w:rsidP="00EE1B29">
            <w:pPr>
              <w:jc w:val="both"/>
              <w:rPr>
                <w:rFonts w:cs="Times New Roman"/>
                <w:sz w:val="20"/>
                <w:szCs w:val="20"/>
              </w:rPr>
            </w:pPr>
            <w:r w:rsidRPr="004F11FC">
              <w:rPr>
                <w:rFonts w:cs="Times New Roman"/>
                <w:sz w:val="20"/>
                <w:szCs w:val="20"/>
              </w:rPr>
              <w:t>1. Sadarbības koordinācijas darba grupas darba kārtībā regulāri iekļaut</w:t>
            </w:r>
            <w:r w:rsidR="009E1CD8">
              <w:rPr>
                <w:rFonts w:cs="Times New Roman"/>
                <w:sz w:val="20"/>
                <w:szCs w:val="20"/>
              </w:rPr>
              <w:t>i</w:t>
            </w:r>
            <w:r w:rsidRPr="004F11FC">
              <w:rPr>
                <w:rFonts w:cs="Times New Roman"/>
                <w:sz w:val="20"/>
                <w:szCs w:val="20"/>
              </w:rPr>
              <w:t xml:space="preserve"> jautājum</w:t>
            </w:r>
            <w:r w:rsidR="009E1CD8">
              <w:rPr>
                <w:rFonts w:cs="Times New Roman"/>
                <w:sz w:val="20"/>
                <w:szCs w:val="20"/>
              </w:rPr>
              <w:t>i</w:t>
            </w:r>
            <w:r w:rsidRPr="004F11FC">
              <w:rPr>
                <w:rFonts w:cs="Times New Roman"/>
                <w:sz w:val="20"/>
                <w:szCs w:val="20"/>
              </w:rPr>
              <w:t>, kas skar terorisma finansēšanu</w:t>
            </w:r>
          </w:p>
        </w:tc>
        <w:tc>
          <w:tcPr>
            <w:tcW w:w="1266" w:type="dxa"/>
            <w:shd w:val="clear" w:color="auto" w:fill="auto"/>
          </w:tcPr>
          <w:p w14:paraId="4CDDCE4A" w14:textId="77777777" w:rsidR="004F11FC" w:rsidRPr="004F11FC" w:rsidRDefault="004F11FC" w:rsidP="008978FB">
            <w:pPr>
              <w:jc w:val="center"/>
              <w:rPr>
                <w:sz w:val="20"/>
                <w:szCs w:val="20"/>
              </w:rPr>
            </w:pPr>
            <w:r w:rsidRPr="004F11FC">
              <w:rPr>
                <w:sz w:val="20"/>
                <w:szCs w:val="20"/>
              </w:rPr>
              <w:t>KD</w:t>
            </w:r>
          </w:p>
        </w:tc>
        <w:tc>
          <w:tcPr>
            <w:tcW w:w="1418" w:type="dxa"/>
            <w:shd w:val="clear" w:color="auto" w:fill="auto"/>
          </w:tcPr>
          <w:p w14:paraId="743FBA95" w14:textId="77777777" w:rsidR="004F11FC" w:rsidRPr="004F11FC" w:rsidRDefault="004F11FC" w:rsidP="008978FB">
            <w:pPr>
              <w:jc w:val="center"/>
              <w:rPr>
                <w:rFonts w:cs="Times New Roman"/>
                <w:sz w:val="20"/>
                <w:szCs w:val="20"/>
              </w:rPr>
            </w:pPr>
            <w:r w:rsidRPr="004F11FC">
              <w:rPr>
                <w:rFonts w:cs="Times New Roman"/>
                <w:sz w:val="20"/>
                <w:szCs w:val="20"/>
              </w:rPr>
              <w:t>VP, DP, VID, KNAB, VRS, IDB, FKTK, prokuratūra un likuma subjekti</w:t>
            </w:r>
          </w:p>
        </w:tc>
        <w:tc>
          <w:tcPr>
            <w:tcW w:w="1417" w:type="dxa"/>
            <w:shd w:val="clear" w:color="auto" w:fill="auto"/>
          </w:tcPr>
          <w:p w14:paraId="4BE5CDD4" w14:textId="77777777" w:rsidR="004F11FC" w:rsidRPr="004F11FC" w:rsidRDefault="004F11FC" w:rsidP="008978FB">
            <w:pPr>
              <w:jc w:val="center"/>
              <w:rPr>
                <w:rFonts w:cs="Times New Roman"/>
                <w:sz w:val="20"/>
                <w:szCs w:val="20"/>
              </w:rPr>
            </w:pPr>
            <w:r w:rsidRPr="004F11FC">
              <w:rPr>
                <w:rFonts w:cs="Times New Roman"/>
                <w:sz w:val="20"/>
                <w:szCs w:val="20"/>
              </w:rPr>
              <w:t>No 2018.gada 1.decembra</w:t>
            </w:r>
          </w:p>
        </w:tc>
      </w:tr>
      <w:tr w:rsidR="004F11FC" w:rsidRPr="00831485" w14:paraId="2A72C1B1" w14:textId="77777777" w:rsidTr="008978FB">
        <w:trPr>
          <w:trHeight w:val="1906"/>
        </w:trPr>
        <w:tc>
          <w:tcPr>
            <w:tcW w:w="704" w:type="dxa"/>
            <w:vMerge/>
            <w:shd w:val="clear" w:color="auto" w:fill="auto"/>
          </w:tcPr>
          <w:p w14:paraId="4EDCE45D" w14:textId="77777777" w:rsidR="004F11FC" w:rsidRDefault="004F11FC" w:rsidP="000841C1">
            <w:pPr>
              <w:rPr>
                <w:rFonts w:cs="Times New Roman"/>
                <w:sz w:val="20"/>
                <w:szCs w:val="20"/>
              </w:rPr>
            </w:pPr>
          </w:p>
        </w:tc>
        <w:tc>
          <w:tcPr>
            <w:tcW w:w="2977" w:type="dxa"/>
            <w:vMerge/>
            <w:shd w:val="clear" w:color="auto" w:fill="auto"/>
          </w:tcPr>
          <w:p w14:paraId="0B31B0F6" w14:textId="77777777" w:rsidR="004F11FC" w:rsidRPr="004F11FC" w:rsidRDefault="004F11FC" w:rsidP="000841C1">
            <w:pPr>
              <w:rPr>
                <w:rFonts w:eastAsia="Calibri" w:cs="Times New Roman"/>
                <w:sz w:val="20"/>
                <w:szCs w:val="20"/>
              </w:rPr>
            </w:pPr>
          </w:p>
        </w:tc>
        <w:tc>
          <w:tcPr>
            <w:tcW w:w="1417" w:type="dxa"/>
            <w:vMerge/>
            <w:shd w:val="clear" w:color="auto" w:fill="auto"/>
          </w:tcPr>
          <w:p w14:paraId="0C5E736F" w14:textId="77777777" w:rsidR="004F11FC" w:rsidRPr="004F11FC" w:rsidRDefault="004F11FC" w:rsidP="000841C1">
            <w:pPr>
              <w:ind w:left="-108" w:right="-108"/>
              <w:jc w:val="center"/>
              <w:rPr>
                <w:rFonts w:cs="Times New Roman"/>
                <w:sz w:val="20"/>
                <w:szCs w:val="20"/>
              </w:rPr>
            </w:pPr>
          </w:p>
        </w:tc>
        <w:tc>
          <w:tcPr>
            <w:tcW w:w="2977" w:type="dxa"/>
            <w:shd w:val="clear" w:color="auto" w:fill="auto"/>
          </w:tcPr>
          <w:p w14:paraId="1E7F274B" w14:textId="77777777" w:rsidR="004F11FC" w:rsidRPr="004F11FC" w:rsidRDefault="009E1CD8" w:rsidP="00EE1B29">
            <w:pPr>
              <w:jc w:val="both"/>
              <w:rPr>
                <w:rFonts w:cs="Times New Roman"/>
                <w:sz w:val="20"/>
                <w:szCs w:val="20"/>
              </w:rPr>
            </w:pPr>
            <w:r>
              <w:rPr>
                <w:rFonts w:cs="Times New Roman"/>
                <w:sz w:val="20"/>
                <w:szCs w:val="20"/>
              </w:rPr>
              <w:t>2.</w:t>
            </w:r>
            <w:r w:rsidR="004F11FC" w:rsidRPr="004F11FC">
              <w:rPr>
                <w:rFonts w:cs="Times New Roman"/>
                <w:sz w:val="20"/>
                <w:szCs w:val="20"/>
              </w:rPr>
              <w:t>Paaugstināta tiesībaizsardzības iestāžu spējas identificēt un izmeklēt terorisma finansēšanas noziedzīgus nodarījumus. Veicināta vienota izpratne un pieeja izmeklēšanā</w:t>
            </w:r>
          </w:p>
        </w:tc>
        <w:tc>
          <w:tcPr>
            <w:tcW w:w="2561" w:type="dxa"/>
            <w:shd w:val="clear" w:color="auto" w:fill="auto"/>
          </w:tcPr>
          <w:p w14:paraId="0F13240B" w14:textId="77777777" w:rsidR="004F11FC" w:rsidRPr="004F11FC" w:rsidRDefault="004F11FC" w:rsidP="00EE1B29">
            <w:pPr>
              <w:jc w:val="both"/>
              <w:rPr>
                <w:rFonts w:cs="Times New Roman"/>
                <w:sz w:val="20"/>
                <w:szCs w:val="20"/>
              </w:rPr>
            </w:pPr>
            <w:r w:rsidRPr="004F11FC">
              <w:rPr>
                <w:rFonts w:cs="Times New Roman"/>
                <w:sz w:val="20"/>
                <w:szCs w:val="20"/>
              </w:rPr>
              <w:t>2. Veiktas 20 personu apmācības specifiski terorisma finansēšanas noziedzīgu nodarījumu izmeklēšanai</w:t>
            </w:r>
          </w:p>
        </w:tc>
        <w:tc>
          <w:tcPr>
            <w:tcW w:w="1266" w:type="dxa"/>
            <w:shd w:val="clear" w:color="auto" w:fill="auto"/>
          </w:tcPr>
          <w:p w14:paraId="6C5A6B85" w14:textId="77777777" w:rsidR="004F11FC" w:rsidRPr="004F11FC" w:rsidRDefault="004F11FC" w:rsidP="008978FB">
            <w:pPr>
              <w:jc w:val="center"/>
              <w:rPr>
                <w:sz w:val="20"/>
                <w:szCs w:val="20"/>
              </w:rPr>
            </w:pPr>
            <w:r w:rsidRPr="004F11FC">
              <w:rPr>
                <w:sz w:val="20"/>
                <w:szCs w:val="20"/>
              </w:rPr>
              <w:t>DP</w:t>
            </w:r>
          </w:p>
        </w:tc>
        <w:tc>
          <w:tcPr>
            <w:tcW w:w="1418" w:type="dxa"/>
            <w:shd w:val="clear" w:color="auto" w:fill="auto"/>
          </w:tcPr>
          <w:p w14:paraId="63DBCFFD" w14:textId="77777777" w:rsidR="004F11FC" w:rsidRPr="004F11FC" w:rsidRDefault="00E508C0" w:rsidP="008978FB">
            <w:pPr>
              <w:jc w:val="center"/>
              <w:rPr>
                <w:rFonts w:cs="Times New Roman"/>
                <w:sz w:val="20"/>
                <w:szCs w:val="20"/>
              </w:rPr>
            </w:pPr>
            <w:r>
              <w:rPr>
                <w:rFonts w:cs="Times New Roman"/>
                <w:sz w:val="20"/>
                <w:szCs w:val="20"/>
              </w:rPr>
              <w:t>P</w:t>
            </w:r>
            <w:r w:rsidR="004F11FC" w:rsidRPr="004F11FC">
              <w:rPr>
                <w:rFonts w:cs="Times New Roman"/>
                <w:sz w:val="20"/>
                <w:szCs w:val="20"/>
              </w:rPr>
              <w:t>rokuratūra</w:t>
            </w:r>
          </w:p>
        </w:tc>
        <w:tc>
          <w:tcPr>
            <w:tcW w:w="1417" w:type="dxa"/>
            <w:shd w:val="clear" w:color="auto" w:fill="auto"/>
          </w:tcPr>
          <w:p w14:paraId="02C714B9" w14:textId="77777777" w:rsidR="004F11FC" w:rsidRPr="004F11FC" w:rsidRDefault="004F11FC" w:rsidP="008978FB">
            <w:pPr>
              <w:jc w:val="center"/>
              <w:rPr>
                <w:rFonts w:cs="Times New Roman"/>
                <w:sz w:val="20"/>
                <w:szCs w:val="20"/>
              </w:rPr>
            </w:pPr>
            <w:r w:rsidRPr="004F11FC">
              <w:rPr>
                <w:rFonts w:cs="Times New Roman"/>
                <w:sz w:val="20"/>
                <w:szCs w:val="20"/>
              </w:rPr>
              <w:t>No 2018.gada 1.decembra</w:t>
            </w:r>
          </w:p>
        </w:tc>
      </w:tr>
      <w:tr w:rsidR="003923D2" w:rsidRPr="00EE5FFE" w14:paraId="1E3E3FD1" w14:textId="77777777" w:rsidTr="008978FB">
        <w:trPr>
          <w:trHeight w:val="1906"/>
        </w:trPr>
        <w:tc>
          <w:tcPr>
            <w:tcW w:w="704" w:type="dxa"/>
            <w:shd w:val="clear" w:color="auto" w:fill="auto"/>
          </w:tcPr>
          <w:p w14:paraId="0F7D7DE5" w14:textId="77777777" w:rsidR="003923D2" w:rsidRPr="00831485" w:rsidRDefault="004F11FC" w:rsidP="000841C1">
            <w:pPr>
              <w:rPr>
                <w:rFonts w:cs="Times New Roman"/>
                <w:sz w:val="20"/>
                <w:szCs w:val="20"/>
              </w:rPr>
            </w:pPr>
            <w:r>
              <w:rPr>
                <w:rFonts w:cs="Times New Roman"/>
                <w:sz w:val="20"/>
                <w:szCs w:val="20"/>
              </w:rPr>
              <w:lastRenderedPageBreak/>
              <w:t>9.4</w:t>
            </w:r>
            <w:r w:rsidR="003923D2">
              <w:rPr>
                <w:rFonts w:cs="Times New Roman"/>
                <w:sz w:val="20"/>
                <w:szCs w:val="20"/>
              </w:rPr>
              <w:t>.</w:t>
            </w:r>
          </w:p>
        </w:tc>
        <w:tc>
          <w:tcPr>
            <w:tcW w:w="2977" w:type="dxa"/>
            <w:shd w:val="clear" w:color="auto" w:fill="auto"/>
          </w:tcPr>
          <w:p w14:paraId="5C537575" w14:textId="77777777" w:rsidR="003923D2" w:rsidRPr="00831485" w:rsidRDefault="003923D2" w:rsidP="00EE1B29">
            <w:pPr>
              <w:jc w:val="both"/>
              <w:rPr>
                <w:rFonts w:eastAsia="Calibri" w:cs="Times New Roman"/>
                <w:sz w:val="20"/>
                <w:szCs w:val="20"/>
              </w:rPr>
            </w:pPr>
            <w:r w:rsidRPr="00831485">
              <w:rPr>
                <w:rFonts w:eastAsia="Calibri" w:cs="Times New Roman"/>
                <w:sz w:val="20"/>
                <w:szCs w:val="20"/>
              </w:rPr>
              <w:t xml:space="preserve">Pretterorisma centra ekspertu konsultatīvās padomes paplašināšana ar citiem atslēgas spēlētājiem attiecībā uz terorisma finansēšanas jautājumiem (piemēram, FM) </w:t>
            </w:r>
            <w:r>
              <w:rPr>
                <w:rFonts w:eastAsia="Calibri" w:cs="Times New Roman"/>
                <w:sz w:val="20"/>
                <w:szCs w:val="20"/>
              </w:rPr>
              <w:t>TF risku sistemātiskākai atzīšanai</w:t>
            </w:r>
          </w:p>
        </w:tc>
        <w:tc>
          <w:tcPr>
            <w:tcW w:w="1417" w:type="dxa"/>
            <w:shd w:val="clear" w:color="auto" w:fill="auto"/>
          </w:tcPr>
          <w:p w14:paraId="08CDFD59" w14:textId="77777777" w:rsidR="003923D2" w:rsidRPr="00831485" w:rsidRDefault="003923D2" w:rsidP="00EE1B29">
            <w:pPr>
              <w:ind w:left="-108" w:right="-108"/>
              <w:jc w:val="both"/>
              <w:rPr>
                <w:rFonts w:cs="Times New Roman"/>
                <w:sz w:val="20"/>
                <w:szCs w:val="20"/>
              </w:rPr>
            </w:pPr>
            <w:r w:rsidRPr="00831485">
              <w:rPr>
                <w:rFonts w:cs="Times New Roman"/>
                <w:sz w:val="20"/>
                <w:szCs w:val="20"/>
              </w:rPr>
              <w:t>Moneyval</w:t>
            </w:r>
            <w:r>
              <w:rPr>
                <w:rFonts w:cs="Times New Roman"/>
                <w:sz w:val="20"/>
                <w:szCs w:val="20"/>
              </w:rPr>
              <w:t xml:space="preserve"> rekomendācija 9.2.</w:t>
            </w:r>
          </w:p>
        </w:tc>
        <w:tc>
          <w:tcPr>
            <w:tcW w:w="2977" w:type="dxa"/>
            <w:shd w:val="clear" w:color="auto" w:fill="auto"/>
          </w:tcPr>
          <w:p w14:paraId="617CEBC3" w14:textId="77777777" w:rsidR="003923D2" w:rsidRPr="00831485" w:rsidRDefault="003923D2" w:rsidP="00EE1B29">
            <w:pPr>
              <w:jc w:val="both"/>
              <w:rPr>
                <w:rFonts w:eastAsia="Calibri" w:cs="Times New Roman"/>
                <w:sz w:val="20"/>
                <w:szCs w:val="20"/>
              </w:rPr>
            </w:pPr>
            <w:r>
              <w:rPr>
                <w:rFonts w:eastAsia="Calibri" w:cs="Times New Roman"/>
                <w:sz w:val="20"/>
                <w:szCs w:val="20"/>
              </w:rPr>
              <w:t xml:space="preserve">Paplašināta </w:t>
            </w:r>
            <w:r w:rsidRPr="00831485">
              <w:rPr>
                <w:rFonts w:eastAsia="Calibri" w:cs="Times New Roman"/>
                <w:sz w:val="20"/>
                <w:szCs w:val="20"/>
              </w:rPr>
              <w:t xml:space="preserve"> Pretterori</w:t>
            </w:r>
            <w:r>
              <w:rPr>
                <w:rFonts w:eastAsia="Calibri" w:cs="Times New Roman"/>
                <w:sz w:val="20"/>
                <w:szCs w:val="20"/>
              </w:rPr>
              <w:t>sma centra ekspertu konsultatīvā padome</w:t>
            </w:r>
            <w:r w:rsidRPr="00831485">
              <w:rPr>
                <w:rFonts w:eastAsia="Calibri" w:cs="Times New Roman"/>
                <w:sz w:val="20"/>
                <w:szCs w:val="20"/>
              </w:rPr>
              <w:t xml:space="preserve">, iekļaujot tajā </w:t>
            </w:r>
            <w:r>
              <w:rPr>
                <w:rFonts w:eastAsia="Calibri" w:cs="Times New Roman"/>
                <w:sz w:val="20"/>
                <w:szCs w:val="20"/>
              </w:rPr>
              <w:t xml:space="preserve">Finanšu ministrijas pārstāvjus un </w:t>
            </w:r>
            <w:r w:rsidRPr="00831485">
              <w:rPr>
                <w:rFonts w:eastAsia="Calibri" w:cs="Times New Roman"/>
                <w:sz w:val="20"/>
                <w:szCs w:val="20"/>
              </w:rPr>
              <w:t xml:space="preserve">ekspertus par terorisma finansēšanas jautājumiem, kas varētu veicināt TF risku sistemātiskāku atzīšanu </w:t>
            </w:r>
          </w:p>
        </w:tc>
        <w:tc>
          <w:tcPr>
            <w:tcW w:w="2561" w:type="dxa"/>
            <w:shd w:val="clear" w:color="auto" w:fill="auto"/>
          </w:tcPr>
          <w:p w14:paraId="106D8D08" w14:textId="77777777" w:rsidR="003923D2" w:rsidRPr="00831485" w:rsidRDefault="003923D2" w:rsidP="00EE1B29">
            <w:pPr>
              <w:jc w:val="both"/>
              <w:rPr>
                <w:rFonts w:cs="Times New Roman"/>
                <w:sz w:val="20"/>
                <w:szCs w:val="20"/>
              </w:rPr>
            </w:pPr>
            <w:r>
              <w:rPr>
                <w:rFonts w:cs="Times New Roman"/>
                <w:sz w:val="20"/>
                <w:szCs w:val="20"/>
              </w:rPr>
              <w:t xml:space="preserve"> </w:t>
            </w:r>
            <w:r w:rsidRPr="00831485">
              <w:rPr>
                <w:rFonts w:cs="Times New Roman"/>
                <w:sz w:val="20"/>
                <w:szCs w:val="20"/>
              </w:rPr>
              <w:t xml:space="preserve">Izstrādāti grozījumi Ministru kabineta 2005.gada 22.novembra noteikumos Nr.880 </w:t>
            </w:r>
          </w:p>
          <w:p w14:paraId="55C822AE" w14:textId="77777777" w:rsidR="003923D2" w:rsidRPr="00831485" w:rsidRDefault="003923D2" w:rsidP="00EE1B29">
            <w:pPr>
              <w:jc w:val="both"/>
              <w:rPr>
                <w:rFonts w:cs="Times New Roman"/>
                <w:sz w:val="20"/>
                <w:szCs w:val="20"/>
              </w:rPr>
            </w:pPr>
            <w:r w:rsidRPr="00831485">
              <w:rPr>
                <w:rFonts w:cs="Times New Roman"/>
                <w:sz w:val="20"/>
                <w:szCs w:val="20"/>
              </w:rPr>
              <w:t>“Pretterorisma centra ekspertu konsultatīvās padomes nolikums”</w:t>
            </w:r>
          </w:p>
        </w:tc>
        <w:tc>
          <w:tcPr>
            <w:tcW w:w="1266" w:type="dxa"/>
            <w:shd w:val="clear" w:color="auto" w:fill="auto"/>
          </w:tcPr>
          <w:p w14:paraId="79E73E94" w14:textId="77777777" w:rsidR="003923D2" w:rsidRPr="00831485" w:rsidRDefault="003923D2" w:rsidP="008978FB">
            <w:pPr>
              <w:jc w:val="center"/>
              <w:rPr>
                <w:rFonts w:cs="Times New Roman"/>
                <w:sz w:val="20"/>
                <w:szCs w:val="20"/>
              </w:rPr>
            </w:pPr>
            <w:r w:rsidRPr="00831485">
              <w:rPr>
                <w:rFonts w:cs="Times New Roman"/>
                <w:sz w:val="20"/>
                <w:szCs w:val="20"/>
              </w:rPr>
              <w:t>IeM</w:t>
            </w:r>
          </w:p>
        </w:tc>
        <w:tc>
          <w:tcPr>
            <w:tcW w:w="1418" w:type="dxa"/>
            <w:shd w:val="clear" w:color="auto" w:fill="auto"/>
          </w:tcPr>
          <w:p w14:paraId="3758BE02" w14:textId="77777777" w:rsidR="003923D2" w:rsidRPr="00831485" w:rsidRDefault="003923D2" w:rsidP="008978FB">
            <w:pPr>
              <w:jc w:val="center"/>
              <w:rPr>
                <w:rFonts w:cs="Times New Roman"/>
                <w:sz w:val="20"/>
                <w:szCs w:val="20"/>
              </w:rPr>
            </w:pPr>
            <w:r w:rsidRPr="00831485">
              <w:rPr>
                <w:rFonts w:cs="Times New Roman"/>
                <w:sz w:val="20"/>
                <w:szCs w:val="20"/>
              </w:rPr>
              <w:t>DP, FM</w:t>
            </w:r>
          </w:p>
        </w:tc>
        <w:tc>
          <w:tcPr>
            <w:tcW w:w="1417" w:type="dxa"/>
            <w:shd w:val="clear" w:color="auto" w:fill="auto"/>
          </w:tcPr>
          <w:p w14:paraId="627E3182" w14:textId="77777777" w:rsidR="003923D2" w:rsidRPr="00831485" w:rsidRDefault="003923D2" w:rsidP="008978FB">
            <w:pPr>
              <w:jc w:val="center"/>
              <w:rPr>
                <w:rFonts w:cs="Times New Roman"/>
                <w:sz w:val="20"/>
                <w:szCs w:val="20"/>
              </w:rPr>
            </w:pPr>
            <w:r w:rsidRPr="00831485">
              <w:rPr>
                <w:rFonts w:cs="Times New Roman"/>
                <w:sz w:val="20"/>
                <w:szCs w:val="20"/>
              </w:rPr>
              <w:t>2018.gada 3.decembris</w:t>
            </w:r>
          </w:p>
        </w:tc>
      </w:tr>
    </w:tbl>
    <w:p w14:paraId="5522E481" w14:textId="77777777" w:rsidR="003923D2" w:rsidRDefault="003923D2" w:rsidP="00FF0BBA">
      <w:pPr>
        <w:jc w:val="both"/>
        <w:rPr>
          <w:sz w:val="28"/>
          <w:szCs w:val="28"/>
        </w:rPr>
      </w:pPr>
    </w:p>
    <w:p w14:paraId="36A50FD1" w14:textId="77777777" w:rsidR="00FF0BBA" w:rsidRPr="00E24F37" w:rsidRDefault="00FF0BBA" w:rsidP="00E24F37">
      <w:pPr>
        <w:pStyle w:val="Heading2"/>
        <w:rPr>
          <w:rFonts w:ascii="Times New Roman" w:hAnsi="Times New Roman" w:cs="Times New Roman"/>
          <w:b/>
          <w:color w:val="auto"/>
          <w:sz w:val="28"/>
          <w:szCs w:val="28"/>
        </w:rPr>
      </w:pPr>
      <w:bookmarkStart w:id="18" w:name="_Toc524977658"/>
      <w:r w:rsidRPr="00E24F37">
        <w:rPr>
          <w:rFonts w:ascii="Times New Roman" w:hAnsi="Times New Roman" w:cs="Times New Roman"/>
          <w:b/>
          <w:color w:val="auto"/>
          <w:sz w:val="28"/>
          <w:szCs w:val="28"/>
        </w:rPr>
        <w:t>1</w:t>
      </w:r>
      <w:r w:rsidR="001C2B0B" w:rsidRPr="00E24F37">
        <w:rPr>
          <w:rFonts w:ascii="Times New Roman" w:hAnsi="Times New Roman" w:cs="Times New Roman"/>
          <w:b/>
          <w:color w:val="auto"/>
          <w:sz w:val="28"/>
          <w:szCs w:val="28"/>
        </w:rPr>
        <w:t>0</w:t>
      </w:r>
      <w:r w:rsidRPr="00E24F37">
        <w:rPr>
          <w:rFonts w:ascii="Times New Roman" w:hAnsi="Times New Roman" w:cs="Times New Roman"/>
          <w:b/>
          <w:color w:val="auto"/>
          <w:sz w:val="28"/>
          <w:szCs w:val="28"/>
        </w:rPr>
        <w:t xml:space="preserve">.rīcības virziens – </w:t>
      </w:r>
      <w:r w:rsidR="001C2B0B" w:rsidRPr="00E24F37">
        <w:rPr>
          <w:rFonts w:ascii="Times New Roman" w:hAnsi="Times New Roman" w:cs="Times New Roman"/>
          <w:b/>
          <w:color w:val="auto"/>
          <w:sz w:val="28"/>
          <w:szCs w:val="28"/>
        </w:rPr>
        <w:t>terorisma finansēšanas preventīvie pasākumi un finanšu sankcijas</w:t>
      </w:r>
      <w:bookmarkEnd w:id="18"/>
    </w:p>
    <w:p w14:paraId="755C8E6D" w14:textId="77777777" w:rsidR="00FF0BBA" w:rsidRPr="00FC0326" w:rsidRDefault="00FF0BBA" w:rsidP="00FF0BBA">
      <w:pPr>
        <w:jc w:val="both"/>
        <w:rPr>
          <w:sz w:val="28"/>
          <w:szCs w:val="28"/>
        </w:rPr>
      </w:pPr>
    </w:p>
    <w:p w14:paraId="7AD0F311" w14:textId="77777777" w:rsidR="00FF0BBA" w:rsidRPr="00FC0326" w:rsidRDefault="00FF0BBA" w:rsidP="00FF0BBA">
      <w:pPr>
        <w:jc w:val="both"/>
        <w:rPr>
          <w:szCs w:val="24"/>
        </w:rPr>
      </w:pPr>
      <w:r w:rsidRPr="00FC0326">
        <w:rPr>
          <w:szCs w:val="24"/>
        </w:rPr>
        <w:t xml:space="preserve">Par rīcības virzienu atbildīgā iestāde: </w:t>
      </w:r>
      <w:r w:rsidR="003A34AD">
        <w:rPr>
          <w:szCs w:val="24"/>
        </w:rPr>
        <w:t xml:space="preserve">IeM sadarbībā ar </w:t>
      </w:r>
      <w:r w:rsidR="004D11C0">
        <w:rPr>
          <w:szCs w:val="24"/>
        </w:rPr>
        <w:t>ĀM</w:t>
      </w:r>
    </w:p>
    <w:p w14:paraId="3D09BC9A" w14:textId="77777777" w:rsidR="00FF0BBA" w:rsidRPr="00FC0326" w:rsidRDefault="004D11C0" w:rsidP="00FF0BBA">
      <w:pPr>
        <w:jc w:val="both"/>
        <w:rPr>
          <w:szCs w:val="24"/>
        </w:rPr>
      </w:pPr>
      <w:r>
        <w:rPr>
          <w:szCs w:val="24"/>
        </w:rPr>
        <w:t>Līdzatbildīgās iestādes:</w:t>
      </w:r>
      <w:r w:rsidR="001C2B0B" w:rsidRPr="00FC0326">
        <w:rPr>
          <w:szCs w:val="24"/>
        </w:rPr>
        <w:t xml:space="preserve"> KD, DP</w:t>
      </w:r>
    </w:p>
    <w:p w14:paraId="3995294D" w14:textId="77777777" w:rsidR="00FF0BBA" w:rsidRPr="00FC0326" w:rsidRDefault="00FF0BBA" w:rsidP="00FF0BBA">
      <w:pPr>
        <w:jc w:val="both"/>
        <w:rPr>
          <w:sz w:val="28"/>
          <w:szCs w:val="28"/>
        </w:rPr>
      </w:pPr>
    </w:p>
    <w:tbl>
      <w:tblPr>
        <w:tblW w:w="1544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1559"/>
        <w:gridCol w:w="2835"/>
        <w:gridCol w:w="2268"/>
        <w:gridCol w:w="1134"/>
        <w:gridCol w:w="1560"/>
        <w:gridCol w:w="1417"/>
      </w:tblGrid>
      <w:tr w:rsidR="00E73D3E" w:rsidRPr="00FC0326" w14:paraId="425277EB" w14:textId="77777777" w:rsidTr="008978FB">
        <w:tc>
          <w:tcPr>
            <w:tcW w:w="4673" w:type="dxa"/>
            <w:gridSpan w:val="2"/>
          </w:tcPr>
          <w:p w14:paraId="2A5E4225" w14:textId="77777777" w:rsidR="00E73D3E" w:rsidRPr="00FC0326" w:rsidRDefault="00E73D3E" w:rsidP="006C08DD">
            <w:pPr>
              <w:rPr>
                <w:rFonts w:cs="Times New Roman"/>
                <w:b/>
                <w:bCs/>
                <w:sz w:val="20"/>
                <w:szCs w:val="20"/>
              </w:rPr>
            </w:pPr>
            <w:r w:rsidRPr="00FC0326">
              <w:rPr>
                <w:rFonts w:cs="Times New Roman"/>
                <w:b/>
                <w:bCs/>
                <w:sz w:val="20"/>
                <w:szCs w:val="20"/>
              </w:rPr>
              <w:t>1.Rīcības virziens</w:t>
            </w:r>
          </w:p>
        </w:tc>
        <w:tc>
          <w:tcPr>
            <w:tcW w:w="10773" w:type="dxa"/>
            <w:gridSpan w:val="6"/>
          </w:tcPr>
          <w:p w14:paraId="7D1C50BE" w14:textId="77777777" w:rsidR="00E73D3E" w:rsidRPr="00FC0326" w:rsidRDefault="00E73D3E" w:rsidP="006C08DD">
            <w:pPr>
              <w:jc w:val="both"/>
              <w:rPr>
                <w:rFonts w:cs="Times New Roman"/>
                <w:b/>
                <w:bCs/>
                <w:sz w:val="20"/>
                <w:szCs w:val="20"/>
              </w:rPr>
            </w:pPr>
            <w:r>
              <w:rPr>
                <w:rFonts w:cs="Times New Roman"/>
                <w:b/>
                <w:bCs/>
                <w:sz w:val="20"/>
                <w:szCs w:val="20"/>
              </w:rPr>
              <w:t>TERORISMA FINANSĒŠANAS PREVENTĪVIE PASĀKUMI UN FINANŠU SANKCIJAS</w:t>
            </w:r>
          </w:p>
        </w:tc>
      </w:tr>
      <w:tr w:rsidR="00E73D3E" w:rsidRPr="00FC0326" w14:paraId="75F0DB0A" w14:textId="77777777" w:rsidTr="008978FB">
        <w:tc>
          <w:tcPr>
            <w:tcW w:w="4673" w:type="dxa"/>
            <w:gridSpan w:val="2"/>
          </w:tcPr>
          <w:p w14:paraId="70CF459D" w14:textId="77777777" w:rsidR="00E73D3E" w:rsidRPr="00FC0326" w:rsidRDefault="00E73D3E" w:rsidP="006C08DD">
            <w:pPr>
              <w:rPr>
                <w:rFonts w:cs="Times New Roman"/>
                <w:b/>
                <w:bCs/>
                <w:sz w:val="20"/>
                <w:szCs w:val="20"/>
              </w:rPr>
            </w:pPr>
            <w:r w:rsidRPr="00FC0326">
              <w:rPr>
                <w:rFonts w:cs="Times New Roman"/>
                <w:b/>
                <w:bCs/>
                <w:sz w:val="20"/>
                <w:szCs w:val="20"/>
              </w:rPr>
              <w:t>Sasniedzamie apakšmērķi:</w:t>
            </w:r>
          </w:p>
        </w:tc>
        <w:tc>
          <w:tcPr>
            <w:tcW w:w="10773" w:type="dxa"/>
            <w:gridSpan w:val="6"/>
          </w:tcPr>
          <w:p w14:paraId="5AAE90AB" w14:textId="77777777" w:rsidR="00E73D3E" w:rsidRPr="00FC0326" w:rsidRDefault="00E73D3E" w:rsidP="006C08DD">
            <w:pPr>
              <w:jc w:val="both"/>
              <w:rPr>
                <w:rFonts w:cs="Times New Roman"/>
                <w:b/>
                <w:bCs/>
                <w:sz w:val="20"/>
                <w:szCs w:val="20"/>
              </w:rPr>
            </w:pPr>
            <w:r w:rsidRPr="00FC0326">
              <w:rPr>
                <w:rFonts w:cs="Times New Roman"/>
                <w:b/>
                <w:bCs/>
                <w:sz w:val="20"/>
                <w:szCs w:val="20"/>
              </w:rPr>
              <w:t>1. Sakārtots juridiskais ietvars</w:t>
            </w:r>
          </w:p>
        </w:tc>
      </w:tr>
      <w:tr w:rsidR="00E73D3E" w:rsidRPr="00FC0326" w14:paraId="2F688B61" w14:textId="77777777" w:rsidTr="008978FB">
        <w:tc>
          <w:tcPr>
            <w:tcW w:w="4673" w:type="dxa"/>
            <w:gridSpan w:val="2"/>
          </w:tcPr>
          <w:p w14:paraId="3410168E" w14:textId="77777777" w:rsidR="00E73D3E" w:rsidRPr="00FC0326" w:rsidRDefault="00E73D3E" w:rsidP="006C08DD">
            <w:pPr>
              <w:rPr>
                <w:rFonts w:cs="Times New Roman"/>
                <w:b/>
                <w:bCs/>
                <w:sz w:val="20"/>
                <w:szCs w:val="20"/>
              </w:rPr>
            </w:pPr>
          </w:p>
        </w:tc>
        <w:tc>
          <w:tcPr>
            <w:tcW w:w="10773" w:type="dxa"/>
            <w:gridSpan w:val="6"/>
          </w:tcPr>
          <w:p w14:paraId="683E0C3E" w14:textId="77777777" w:rsidR="00E73D3E" w:rsidRPr="00FC0326" w:rsidRDefault="00E73D3E" w:rsidP="006C08DD">
            <w:pPr>
              <w:jc w:val="both"/>
              <w:rPr>
                <w:rFonts w:cs="Times New Roman"/>
                <w:b/>
                <w:bCs/>
                <w:sz w:val="20"/>
                <w:szCs w:val="20"/>
              </w:rPr>
            </w:pPr>
            <w:r w:rsidRPr="00FC0326">
              <w:rPr>
                <w:rFonts w:cs="Times New Roman"/>
                <w:b/>
                <w:bCs/>
                <w:sz w:val="20"/>
                <w:szCs w:val="20"/>
              </w:rPr>
              <w:t>2. Skaidras vadlīnijas visiem subjektiem</w:t>
            </w:r>
          </w:p>
        </w:tc>
      </w:tr>
      <w:tr w:rsidR="00E73D3E" w:rsidRPr="00FC0326" w14:paraId="74F97338" w14:textId="77777777" w:rsidTr="008978FB">
        <w:tc>
          <w:tcPr>
            <w:tcW w:w="4673" w:type="dxa"/>
            <w:gridSpan w:val="2"/>
          </w:tcPr>
          <w:p w14:paraId="58B7CE72" w14:textId="77777777" w:rsidR="00E73D3E" w:rsidRPr="00FC0326" w:rsidRDefault="00E73D3E" w:rsidP="006C08DD">
            <w:pPr>
              <w:rPr>
                <w:rFonts w:cs="Times New Roman"/>
                <w:b/>
                <w:bCs/>
                <w:sz w:val="20"/>
                <w:szCs w:val="20"/>
              </w:rPr>
            </w:pPr>
          </w:p>
        </w:tc>
        <w:tc>
          <w:tcPr>
            <w:tcW w:w="10773" w:type="dxa"/>
            <w:gridSpan w:val="6"/>
          </w:tcPr>
          <w:p w14:paraId="1E77CCD3" w14:textId="77777777" w:rsidR="00E73D3E" w:rsidRPr="00FC0326" w:rsidRDefault="00E73D3E" w:rsidP="006C08DD">
            <w:pPr>
              <w:jc w:val="both"/>
              <w:rPr>
                <w:rFonts w:cs="Times New Roman"/>
                <w:b/>
                <w:bCs/>
                <w:sz w:val="20"/>
                <w:szCs w:val="20"/>
              </w:rPr>
            </w:pPr>
            <w:r w:rsidRPr="00FC0326">
              <w:rPr>
                <w:rFonts w:cs="Times New Roman"/>
                <w:b/>
                <w:bCs/>
                <w:sz w:val="20"/>
                <w:szCs w:val="20"/>
              </w:rPr>
              <w:t>3. Paaugstināta līmeņa informētība par riskiem</w:t>
            </w:r>
          </w:p>
        </w:tc>
      </w:tr>
      <w:tr w:rsidR="00E73D3E" w:rsidRPr="00FC0326" w14:paraId="2E9437C7" w14:textId="77777777" w:rsidTr="008978FB">
        <w:tc>
          <w:tcPr>
            <w:tcW w:w="4673" w:type="dxa"/>
            <w:gridSpan w:val="2"/>
          </w:tcPr>
          <w:p w14:paraId="20C630DE" w14:textId="77777777" w:rsidR="00E73D3E" w:rsidRPr="00FC0326" w:rsidRDefault="00E73D3E" w:rsidP="006C08DD">
            <w:pPr>
              <w:rPr>
                <w:rFonts w:cs="Times New Roman"/>
                <w:b/>
                <w:bCs/>
                <w:sz w:val="20"/>
                <w:szCs w:val="20"/>
              </w:rPr>
            </w:pPr>
          </w:p>
        </w:tc>
        <w:tc>
          <w:tcPr>
            <w:tcW w:w="10773" w:type="dxa"/>
            <w:gridSpan w:val="6"/>
          </w:tcPr>
          <w:p w14:paraId="6E4D827F" w14:textId="77777777" w:rsidR="00E73D3E" w:rsidRPr="00FC0326" w:rsidRDefault="00E73D3E" w:rsidP="004C58A7">
            <w:pPr>
              <w:jc w:val="both"/>
              <w:rPr>
                <w:rFonts w:cs="Times New Roman"/>
                <w:b/>
                <w:bCs/>
                <w:sz w:val="20"/>
                <w:szCs w:val="20"/>
              </w:rPr>
            </w:pPr>
            <w:r w:rsidRPr="00FC0326">
              <w:rPr>
                <w:rFonts w:cs="Times New Roman"/>
                <w:b/>
                <w:bCs/>
                <w:sz w:val="20"/>
                <w:szCs w:val="20"/>
              </w:rPr>
              <w:t>4. Iekšējās kontroles sistēmas (IKS) likuma subjektiem</w:t>
            </w:r>
          </w:p>
        </w:tc>
      </w:tr>
      <w:tr w:rsidR="00E73D3E" w:rsidRPr="00FC0326" w14:paraId="6020267D" w14:textId="77777777" w:rsidTr="008978FB">
        <w:tc>
          <w:tcPr>
            <w:tcW w:w="4673" w:type="dxa"/>
            <w:gridSpan w:val="2"/>
          </w:tcPr>
          <w:p w14:paraId="072C87AA" w14:textId="77777777" w:rsidR="00E73D3E" w:rsidRPr="00FC0326" w:rsidRDefault="00E73D3E" w:rsidP="006C08DD">
            <w:pPr>
              <w:rPr>
                <w:rFonts w:cs="Times New Roman"/>
                <w:b/>
                <w:bCs/>
                <w:sz w:val="20"/>
                <w:szCs w:val="20"/>
              </w:rPr>
            </w:pPr>
          </w:p>
        </w:tc>
        <w:tc>
          <w:tcPr>
            <w:tcW w:w="10773" w:type="dxa"/>
            <w:gridSpan w:val="6"/>
          </w:tcPr>
          <w:p w14:paraId="525D4B57" w14:textId="77777777" w:rsidR="00E73D3E" w:rsidRPr="00FC0326" w:rsidRDefault="00E73D3E" w:rsidP="004C58A7">
            <w:pPr>
              <w:jc w:val="both"/>
              <w:rPr>
                <w:rFonts w:cs="Times New Roman"/>
                <w:b/>
                <w:bCs/>
                <w:sz w:val="20"/>
                <w:szCs w:val="20"/>
              </w:rPr>
            </w:pPr>
            <w:r w:rsidRPr="00FC0326">
              <w:rPr>
                <w:rFonts w:cs="Times New Roman"/>
                <w:b/>
                <w:bCs/>
                <w:sz w:val="20"/>
                <w:szCs w:val="20"/>
              </w:rPr>
              <w:t>5. Uz risku balstītas</w:t>
            </w:r>
            <w:r w:rsidRPr="00FC0326">
              <w:rPr>
                <w:rFonts w:cs="Times New Roman"/>
                <w:b/>
                <w:bCs/>
                <w:i/>
                <w:sz w:val="20"/>
                <w:szCs w:val="20"/>
              </w:rPr>
              <w:t xml:space="preserve"> </w:t>
            </w:r>
            <w:r w:rsidRPr="00FC0326">
              <w:rPr>
                <w:rFonts w:cs="Times New Roman"/>
                <w:b/>
                <w:bCs/>
                <w:sz w:val="20"/>
                <w:szCs w:val="20"/>
              </w:rPr>
              <w:t>izpratnes attīstīšana likuma subjektos</w:t>
            </w:r>
          </w:p>
        </w:tc>
      </w:tr>
      <w:tr w:rsidR="008978FB" w:rsidRPr="00FC0326" w14:paraId="7505F816" w14:textId="77777777" w:rsidTr="008978FB">
        <w:tc>
          <w:tcPr>
            <w:tcW w:w="704" w:type="dxa"/>
          </w:tcPr>
          <w:p w14:paraId="4C717A1A" w14:textId="77777777" w:rsidR="00781568" w:rsidRPr="00FC0326" w:rsidRDefault="00781568" w:rsidP="006C08DD">
            <w:pPr>
              <w:jc w:val="center"/>
              <w:rPr>
                <w:rFonts w:cs="Times New Roman"/>
                <w:bCs/>
                <w:sz w:val="20"/>
                <w:szCs w:val="20"/>
              </w:rPr>
            </w:pPr>
            <w:r w:rsidRPr="00FC0326">
              <w:rPr>
                <w:rFonts w:cs="Times New Roman"/>
                <w:bCs/>
                <w:sz w:val="20"/>
                <w:szCs w:val="20"/>
              </w:rPr>
              <w:t>Nr. P.k.</w:t>
            </w:r>
          </w:p>
        </w:tc>
        <w:tc>
          <w:tcPr>
            <w:tcW w:w="3969" w:type="dxa"/>
            <w:shd w:val="clear" w:color="auto" w:fill="auto"/>
          </w:tcPr>
          <w:p w14:paraId="3866187A" w14:textId="77777777" w:rsidR="00781568" w:rsidRPr="00FC0326" w:rsidRDefault="00781568" w:rsidP="006C08DD">
            <w:pPr>
              <w:jc w:val="center"/>
              <w:rPr>
                <w:rFonts w:cs="Times New Roman"/>
                <w:bCs/>
                <w:i/>
                <w:sz w:val="20"/>
                <w:szCs w:val="20"/>
              </w:rPr>
            </w:pPr>
            <w:r w:rsidRPr="00FC0326">
              <w:rPr>
                <w:rFonts w:cs="Times New Roman"/>
                <w:b/>
                <w:bCs/>
                <w:sz w:val="20"/>
                <w:szCs w:val="20"/>
              </w:rPr>
              <w:t>Pasākums</w:t>
            </w:r>
          </w:p>
        </w:tc>
        <w:tc>
          <w:tcPr>
            <w:tcW w:w="1559" w:type="dxa"/>
          </w:tcPr>
          <w:p w14:paraId="3FC5E2C7" w14:textId="77777777" w:rsidR="00781568" w:rsidRPr="00FC0326" w:rsidRDefault="00781568" w:rsidP="006C08DD">
            <w:pPr>
              <w:ind w:right="-108"/>
              <w:rPr>
                <w:rFonts w:cs="Times New Roman"/>
                <w:b/>
                <w:sz w:val="20"/>
                <w:szCs w:val="20"/>
              </w:rPr>
            </w:pPr>
            <w:r w:rsidRPr="00FC0326">
              <w:rPr>
                <w:rFonts w:cs="Times New Roman"/>
                <w:b/>
                <w:sz w:val="20"/>
                <w:szCs w:val="20"/>
              </w:rPr>
              <w:t xml:space="preserve">Avots </w:t>
            </w:r>
          </w:p>
        </w:tc>
        <w:tc>
          <w:tcPr>
            <w:tcW w:w="2835" w:type="dxa"/>
            <w:shd w:val="clear" w:color="auto" w:fill="auto"/>
          </w:tcPr>
          <w:p w14:paraId="2599B9B2" w14:textId="77777777" w:rsidR="00781568" w:rsidRPr="00FC0326" w:rsidRDefault="00781568" w:rsidP="006C08DD">
            <w:pPr>
              <w:rPr>
                <w:rFonts w:cs="Times New Roman"/>
                <w:b/>
                <w:bCs/>
                <w:i/>
                <w:sz w:val="20"/>
                <w:szCs w:val="20"/>
              </w:rPr>
            </w:pPr>
            <w:r w:rsidRPr="00FC0326">
              <w:rPr>
                <w:rFonts w:cs="Times New Roman"/>
                <w:b/>
                <w:sz w:val="20"/>
                <w:szCs w:val="20"/>
              </w:rPr>
              <w:t>Darbības rezultāts</w:t>
            </w:r>
          </w:p>
        </w:tc>
        <w:tc>
          <w:tcPr>
            <w:tcW w:w="2268" w:type="dxa"/>
          </w:tcPr>
          <w:p w14:paraId="1575AD7F" w14:textId="77777777" w:rsidR="00781568" w:rsidRPr="00FC0326" w:rsidRDefault="00781568" w:rsidP="006C08DD">
            <w:pPr>
              <w:jc w:val="center"/>
              <w:rPr>
                <w:rFonts w:cs="Times New Roman"/>
                <w:bCs/>
                <w:i/>
                <w:sz w:val="20"/>
                <w:szCs w:val="20"/>
              </w:rPr>
            </w:pPr>
            <w:r w:rsidRPr="00FC0326">
              <w:rPr>
                <w:rFonts w:cs="Times New Roman"/>
                <w:b/>
                <w:sz w:val="20"/>
                <w:szCs w:val="20"/>
              </w:rPr>
              <w:t>Rezultatīvais rādītājs</w:t>
            </w:r>
          </w:p>
        </w:tc>
        <w:tc>
          <w:tcPr>
            <w:tcW w:w="1134" w:type="dxa"/>
            <w:shd w:val="clear" w:color="auto" w:fill="auto"/>
          </w:tcPr>
          <w:p w14:paraId="5E8D8DB8" w14:textId="77777777" w:rsidR="00781568" w:rsidRPr="00FC0326" w:rsidRDefault="00781568" w:rsidP="006C08DD">
            <w:pPr>
              <w:jc w:val="center"/>
              <w:rPr>
                <w:rFonts w:cs="Times New Roman"/>
                <w:bCs/>
                <w:i/>
                <w:sz w:val="20"/>
                <w:szCs w:val="20"/>
              </w:rPr>
            </w:pPr>
            <w:r w:rsidRPr="00FC0326">
              <w:rPr>
                <w:rFonts w:cs="Times New Roman"/>
                <w:b/>
                <w:bCs/>
                <w:sz w:val="20"/>
                <w:szCs w:val="20"/>
              </w:rPr>
              <w:t>Atbildīgā institūcija</w:t>
            </w:r>
          </w:p>
        </w:tc>
        <w:tc>
          <w:tcPr>
            <w:tcW w:w="1560" w:type="dxa"/>
            <w:shd w:val="clear" w:color="auto" w:fill="auto"/>
          </w:tcPr>
          <w:p w14:paraId="7782A89A" w14:textId="77777777" w:rsidR="00781568" w:rsidRPr="00FC0326" w:rsidRDefault="00781568" w:rsidP="006C08DD">
            <w:pPr>
              <w:jc w:val="center"/>
              <w:rPr>
                <w:rFonts w:cs="Times New Roman"/>
                <w:bCs/>
                <w:i/>
                <w:sz w:val="20"/>
                <w:szCs w:val="20"/>
              </w:rPr>
            </w:pPr>
            <w:r w:rsidRPr="00FC0326">
              <w:rPr>
                <w:rFonts w:cs="Times New Roman"/>
                <w:b/>
                <w:bCs/>
                <w:sz w:val="20"/>
                <w:szCs w:val="20"/>
              </w:rPr>
              <w:t>Līdzatbildīgās institūcijas</w:t>
            </w:r>
          </w:p>
        </w:tc>
        <w:tc>
          <w:tcPr>
            <w:tcW w:w="1417" w:type="dxa"/>
            <w:shd w:val="clear" w:color="auto" w:fill="auto"/>
          </w:tcPr>
          <w:p w14:paraId="6A8B1733" w14:textId="77777777" w:rsidR="00781568" w:rsidRPr="00FC0326" w:rsidRDefault="00781568" w:rsidP="006C08DD">
            <w:pPr>
              <w:jc w:val="center"/>
              <w:rPr>
                <w:rFonts w:cs="Times New Roman"/>
                <w:bCs/>
                <w:i/>
                <w:sz w:val="20"/>
                <w:szCs w:val="20"/>
              </w:rPr>
            </w:pPr>
            <w:r w:rsidRPr="00FC0326">
              <w:rPr>
                <w:rFonts w:cs="Times New Roman"/>
                <w:b/>
                <w:bCs/>
                <w:sz w:val="20"/>
                <w:szCs w:val="20"/>
              </w:rPr>
              <w:t>Izpildes termiņš</w:t>
            </w:r>
          </w:p>
        </w:tc>
      </w:tr>
      <w:tr w:rsidR="008978FB" w:rsidRPr="00FC0326" w14:paraId="4B2152CB" w14:textId="77777777" w:rsidTr="008978FB">
        <w:trPr>
          <w:trHeight w:val="1906"/>
        </w:trPr>
        <w:tc>
          <w:tcPr>
            <w:tcW w:w="704" w:type="dxa"/>
          </w:tcPr>
          <w:p w14:paraId="010B47CD" w14:textId="77777777" w:rsidR="00781568" w:rsidRPr="00FC0326" w:rsidRDefault="00781568" w:rsidP="006C08DD">
            <w:pPr>
              <w:rPr>
                <w:rFonts w:cs="Times New Roman"/>
                <w:sz w:val="20"/>
                <w:szCs w:val="20"/>
              </w:rPr>
            </w:pPr>
            <w:r w:rsidRPr="00FC0326">
              <w:rPr>
                <w:rFonts w:cs="Times New Roman"/>
                <w:sz w:val="20"/>
                <w:szCs w:val="20"/>
              </w:rPr>
              <w:t>1</w:t>
            </w:r>
            <w:r w:rsidR="00F1016B" w:rsidRPr="00FC0326">
              <w:rPr>
                <w:rFonts w:cs="Times New Roman"/>
                <w:sz w:val="20"/>
                <w:szCs w:val="20"/>
              </w:rPr>
              <w:t>0.1</w:t>
            </w:r>
            <w:r w:rsidRPr="00FC0326">
              <w:rPr>
                <w:rFonts w:cs="Times New Roman"/>
                <w:sz w:val="20"/>
                <w:szCs w:val="20"/>
              </w:rPr>
              <w:t>.</w:t>
            </w:r>
          </w:p>
        </w:tc>
        <w:tc>
          <w:tcPr>
            <w:tcW w:w="3969" w:type="dxa"/>
            <w:shd w:val="clear" w:color="auto" w:fill="auto"/>
          </w:tcPr>
          <w:p w14:paraId="28CE34DA" w14:textId="77777777" w:rsidR="00781568" w:rsidRPr="00FC0326" w:rsidRDefault="00781568" w:rsidP="00BD055F">
            <w:pPr>
              <w:jc w:val="both"/>
              <w:rPr>
                <w:rFonts w:cs="Times New Roman"/>
                <w:sz w:val="20"/>
                <w:szCs w:val="20"/>
              </w:rPr>
            </w:pPr>
            <w:r w:rsidRPr="00FC0326">
              <w:rPr>
                <w:rFonts w:cs="Times New Roman"/>
                <w:sz w:val="20"/>
                <w:szCs w:val="20"/>
              </w:rPr>
              <w:t>Steidzami jāveic padziļināts novērtējums juridiskajam pamatam finanšu sankciju piemērošanai valstī, ar mērķi nodrošināt konsekvenci starp att</w:t>
            </w:r>
            <w:r w:rsidR="00BD055F">
              <w:rPr>
                <w:rFonts w:cs="Times New Roman"/>
                <w:sz w:val="20"/>
                <w:szCs w:val="20"/>
              </w:rPr>
              <w:t xml:space="preserve">iecīgajiem normatīvajiem aktiem </w:t>
            </w:r>
          </w:p>
        </w:tc>
        <w:tc>
          <w:tcPr>
            <w:tcW w:w="1559" w:type="dxa"/>
            <w:shd w:val="clear" w:color="auto" w:fill="auto"/>
          </w:tcPr>
          <w:p w14:paraId="09CE5D93" w14:textId="77777777" w:rsidR="00781568" w:rsidRPr="00FC0326" w:rsidRDefault="00F1016B" w:rsidP="006C08DD">
            <w:pPr>
              <w:jc w:val="both"/>
              <w:rPr>
                <w:sz w:val="20"/>
                <w:szCs w:val="20"/>
              </w:rPr>
            </w:pPr>
            <w:r w:rsidRPr="00FC0326">
              <w:rPr>
                <w:sz w:val="20"/>
                <w:szCs w:val="20"/>
              </w:rPr>
              <w:t xml:space="preserve">Moneyval </w:t>
            </w:r>
            <w:r w:rsidR="00682580" w:rsidRPr="00FC0326">
              <w:rPr>
                <w:sz w:val="20"/>
                <w:szCs w:val="20"/>
              </w:rPr>
              <w:t>rekomendācija</w:t>
            </w:r>
            <w:r w:rsidRPr="00FC0326">
              <w:rPr>
                <w:sz w:val="20"/>
                <w:szCs w:val="20"/>
              </w:rPr>
              <w:t xml:space="preserve"> 10.1</w:t>
            </w:r>
            <w:r w:rsidR="00BD055F">
              <w:rPr>
                <w:sz w:val="20"/>
                <w:szCs w:val="20"/>
              </w:rPr>
              <w:t>, FATF 7.rekomendācija</w:t>
            </w:r>
          </w:p>
          <w:p w14:paraId="4CE88F3B" w14:textId="77777777" w:rsidR="00781568" w:rsidRPr="00FC0326" w:rsidRDefault="00781568" w:rsidP="006C08DD">
            <w:pPr>
              <w:jc w:val="both"/>
              <w:rPr>
                <w:sz w:val="20"/>
                <w:szCs w:val="20"/>
              </w:rPr>
            </w:pPr>
          </w:p>
        </w:tc>
        <w:tc>
          <w:tcPr>
            <w:tcW w:w="2835" w:type="dxa"/>
            <w:shd w:val="clear" w:color="auto" w:fill="auto"/>
          </w:tcPr>
          <w:p w14:paraId="10CB9CD2" w14:textId="77777777" w:rsidR="00781568" w:rsidRPr="00FC0326" w:rsidRDefault="00781568" w:rsidP="00EE1B29">
            <w:pPr>
              <w:jc w:val="both"/>
              <w:rPr>
                <w:rFonts w:cs="Times New Roman"/>
                <w:sz w:val="20"/>
                <w:szCs w:val="20"/>
              </w:rPr>
            </w:pPr>
            <w:r w:rsidRPr="00FC0326">
              <w:rPr>
                <w:rFonts w:cs="Times New Roman"/>
                <w:sz w:val="20"/>
                <w:szCs w:val="20"/>
              </w:rPr>
              <w:t xml:space="preserve">Skaidrs juridiskais pamats atbilstošo kompetento iestāžu pienākumu izpildei; </w:t>
            </w:r>
          </w:p>
          <w:p w14:paraId="6E4BDFEE" w14:textId="77777777" w:rsidR="00781568" w:rsidRPr="00FC0326" w:rsidRDefault="00781568" w:rsidP="00EE1B29">
            <w:pPr>
              <w:jc w:val="both"/>
              <w:rPr>
                <w:rFonts w:cs="Times New Roman"/>
                <w:sz w:val="20"/>
                <w:szCs w:val="20"/>
              </w:rPr>
            </w:pPr>
            <w:r w:rsidRPr="00FC0326">
              <w:rPr>
                <w:rFonts w:cs="Times New Roman"/>
                <w:sz w:val="20"/>
                <w:szCs w:val="20"/>
              </w:rPr>
              <w:t xml:space="preserve">KD spēj izdot beztermiņa iesaldēšanas rīkojumus, paplašināts iesaldēšanas rīkojumu attiecināmības loks; </w:t>
            </w:r>
          </w:p>
          <w:p w14:paraId="6FDA9DC7" w14:textId="77777777" w:rsidR="00781568" w:rsidRPr="00FC0326" w:rsidRDefault="00781568" w:rsidP="00EE1B29">
            <w:pPr>
              <w:jc w:val="both"/>
              <w:rPr>
                <w:sz w:val="20"/>
                <w:szCs w:val="20"/>
              </w:rPr>
            </w:pPr>
            <w:r w:rsidRPr="00FC0326">
              <w:rPr>
                <w:rFonts w:cs="Times New Roman"/>
                <w:sz w:val="20"/>
                <w:szCs w:val="20"/>
              </w:rPr>
              <w:t>Nodrošināta pilna atbilstība FATF standartiem.</w:t>
            </w:r>
          </w:p>
        </w:tc>
        <w:tc>
          <w:tcPr>
            <w:tcW w:w="2268" w:type="dxa"/>
            <w:shd w:val="clear" w:color="auto" w:fill="auto"/>
          </w:tcPr>
          <w:p w14:paraId="30E3BFEC" w14:textId="77777777" w:rsidR="00781568" w:rsidRPr="00FC0326" w:rsidRDefault="00781568">
            <w:pPr>
              <w:jc w:val="both"/>
              <w:rPr>
                <w:sz w:val="20"/>
                <w:szCs w:val="20"/>
              </w:rPr>
            </w:pPr>
            <w:r w:rsidRPr="00FC0326">
              <w:rPr>
                <w:sz w:val="20"/>
                <w:szCs w:val="20"/>
              </w:rPr>
              <w:t>Sankciju likuma, Krimināllikuma, NILLTF</w:t>
            </w:r>
            <w:r w:rsidR="00BD055F">
              <w:rPr>
                <w:sz w:val="20"/>
                <w:szCs w:val="20"/>
              </w:rPr>
              <w:t>NL</w:t>
            </w:r>
            <w:r w:rsidRPr="00FC0326">
              <w:rPr>
                <w:sz w:val="20"/>
                <w:szCs w:val="20"/>
              </w:rPr>
              <w:t>, MK 2016. gada 15.jūlija  noteikumu Nr. 468 grozījumi.</w:t>
            </w:r>
          </w:p>
        </w:tc>
        <w:tc>
          <w:tcPr>
            <w:tcW w:w="1134" w:type="dxa"/>
            <w:shd w:val="clear" w:color="auto" w:fill="auto"/>
          </w:tcPr>
          <w:p w14:paraId="2C46987A" w14:textId="77777777" w:rsidR="00781568" w:rsidRPr="00FC0326" w:rsidRDefault="00781568" w:rsidP="008978FB">
            <w:pPr>
              <w:jc w:val="center"/>
              <w:rPr>
                <w:rFonts w:cs="Times New Roman"/>
                <w:sz w:val="20"/>
                <w:szCs w:val="20"/>
              </w:rPr>
            </w:pPr>
            <w:r w:rsidRPr="00FC0326">
              <w:rPr>
                <w:sz w:val="20"/>
                <w:szCs w:val="20"/>
              </w:rPr>
              <w:t>ĀM</w:t>
            </w:r>
          </w:p>
        </w:tc>
        <w:tc>
          <w:tcPr>
            <w:tcW w:w="1560" w:type="dxa"/>
            <w:shd w:val="clear" w:color="auto" w:fill="auto"/>
          </w:tcPr>
          <w:p w14:paraId="2B544EB2" w14:textId="77777777" w:rsidR="00781568" w:rsidRPr="00FC0326" w:rsidRDefault="00781568" w:rsidP="008978FB">
            <w:pPr>
              <w:jc w:val="center"/>
              <w:rPr>
                <w:rFonts w:cs="Times New Roman"/>
                <w:sz w:val="20"/>
                <w:szCs w:val="20"/>
              </w:rPr>
            </w:pPr>
            <w:r w:rsidRPr="00FC0326">
              <w:rPr>
                <w:rFonts w:cs="Times New Roman"/>
                <w:sz w:val="20"/>
                <w:szCs w:val="20"/>
              </w:rPr>
              <w:t>DP, FKTK, KD, TM</w:t>
            </w:r>
          </w:p>
        </w:tc>
        <w:tc>
          <w:tcPr>
            <w:tcW w:w="1417" w:type="dxa"/>
            <w:shd w:val="clear" w:color="auto" w:fill="auto"/>
          </w:tcPr>
          <w:p w14:paraId="5C5BDC5A" w14:textId="77777777" w:rsidR="00781568" w:rsidRPr="00FC0326" w:rsidRDefault="003052E4" w:rsidP="008978FB">
            <w:pPr>
              <w:jc w:val="center"/>
              <w:rPr>
                <w:rFonts w:cs="Times New Roman"/>
                <w:sz w:val="20"/>
                <w:szCs w:val="20"/>
              </w:rPr>
            </w:pPr>
            <w:r w:rsidRPr="00FC0326">
              <w:rPr>
                <w:rFonts w:cs="Times New Roman"/>
                <w:sz w:val="20"/>
                <w:szCs w:val="20"/>
              </w:rPr>
              <w:t>20</w:t>
            </w:r>
            <w:r w:rsidR="00BD055F">
              <w:rPr>
                <w:rFonts w:cs="Times New Roman"/>
                <w:sz w:val="20"/>
                <w:szCs w:val="20"/>
              </w:rPr>
              <w:t>19.gada 1.jūnijs</w:t>
            </w:r>
          </w:p>
        </w:tc>
      </w:tr>
      <w:tr w:rsidR="008978FB" w:rsidRPr="00FC0326" w14:paraId="6A4E125C" w14:textId="77777777" w:rsidTr="008978FB">
        <w:trPr>
          <w:trHeight w:val="1906"/>
        </w:trPr>
        <w:tc>
          <w:tcPr>
            <w:tcW w:w="704" w:type="dxa"/>
          </w:tcPr>
          <w:p w14:paraId="58721760" w14:textId="77777777" w:rsidR="00781568" w:rsidRPr="00FC0326" w:rsidRDefault="00781568" w:rsidP="006C08DD">
            <w:pPr>
              <w:rPr>
                <w:rFonts w:cs="Times New Roman"/>
                <w:sz w:val="20"/>
                <w:szCs w:val="20"/>
              </w:rPr>
            </w:pPr>
            <w:r w:rsidRPr="00FC0326">
              <w:rPr>
                <w:rFonts w:cs="Times New Roman"/>
                <w:sz w:val="20"/>
                <w:szCs w:val="20"/>
              </w:rPr>
              <w:lastRenderedPageBreak/>
              <w:t>1</w:t>
            </w:r>
            <w:r w:rsidR="00F1016B" w:rsidRPr="00FC0326">
              <w:rPr>
                <w:rFonts w:cs="Times New Roman"/>
                <w:sz w:val="20"/>
                <w:szCs w:val="20"/>
              </w:rPr>
              <w:t>0.2</w:t>
            </w:r>
          </w:p>
        </w:tc>
        <w:tc>
          <w:tcPr>
            <w:tcW w:w="3969" w:type="dxa"/>
            <w:shd w:val="clear" w:color="auto" w:fill="auto"/>
          </w:tcPr>
          <w:p w14:paraId="2BF7B1B7" w14:textId="77777777" w:rsidR="00781568" w:rsidRPr="00FC0326" w:rsidRDefault="00781568" w:rsidP="008A6629">
            <w:pPr>
              <w:jc w:val="both"/>
              <w:rPr>
                <w:sz w:val="20"/>
                <w:szCs w:val="20"/>
              </w:rPr>
            </w:pPr>
            <w:r w:rsidRPr="00FC0326">
              <w:rPr>
                <w:sz w:val="20"/>
                <w:szCs w:val="20"/>
              </w:rPr>
              <w:t xml:space="preserve">Noteikt </w:t>
            </w:r>
            <w:r w:rsidR="008A6629">
              <w:rPr>
                <w:sz w:val="20"/>
                <w:szCs w:val="20"/>
              </w:rPr>
              <w:t>likuma subjektiem</w:t>
            </w:r>
            <w:r w:rsidRPr="00FC0326">
              <w:rPr>
                <w:sz w:val="20"/>
                <w:szCs w:val="20"/>
              </w:rPr>
              <w:t xml:space="preserve"> prasības attiecībā uz terorisma finansēšanas un sankciju riska pārvaldīšanas iekšējās kontroles sistēmas izveidi un kontroli</w:t>
            </w:r>
          </w:p>
        </w:tc>
        <w:tc>
          <w:tcPr>
            <w:tcW w:w="1559" w:type="dxa"/>
            <w:shd w:val="clear" w:color="auto" w:fill="auto"/>
          </w:tcPr>
          <w:p w14:paraId="58698C46" w14:textId="77777777" w:rsidR="00F1016B" w:rsidRPr="00FC0326" w:rsidRDefault="00F1016B" w:rsidP="00F1016B">
            <w:pPr>
              <w:jc w:val="both"/>
              <w:rPr>
                <w:sz w:val="20"/>
                <w:szCs w:val="20"/>
              </w:rPr>
            </w:pPr>
            <w:r w:rsidRPr="00FC0326">
              <w:rPr>
                <w:sz w:val="20"/>
                <w:szCs w:val="20"/>
              </w:rPr>
              <w:t xml:space="preserve">Moneyval </w:t>
            </w:r>
            <w:r w:rsidR="00682580" w:rsidRPr="00FC0326">
              <w:rPr>
                <w:sz w:val="20"/>
                <w:szCs w:val="20"/>
              </w:rPr>
              <w:t>rekomendācija</w:t>
            </w:r>
            <w:r w:rsidRPr="00FC0326">
              <w:rPr>
                <w:sz w:val="20"/>
                <w:szCs w:val="20"/>
              </w:rPr>
              <w:t xml:space="preserve"> 10.1</w:t>
            </w:r>
          </w:p>
          <w:p w14:paraId="64374E9E" w14:textId="77777777" w:rsidR="00781568" w:rsidRPr="00FC0326" w:rsidRDefault="00781568" w:rsidP="006C08DD">
            <w:pPr>
              <w:jc w:val="both"/>
              <w:rPr>
                <w:sz w:val="20"/>
                <w:szCs w:val="20"/>
              </w:rPr>
            </w:pPr>
          </w:p>
        </w:tc>
        <w:tc>
          <w:tcPr>
            <w:tcW w:w="2835" w:type="dxa"/>
            <w:shd w:val="clear" w:color="auto" w:fill="auto"/>
          </w:tcPr>
          <w:p w14:paraId="38CFE089" w14:textId="77777777" w:rsidR="00781568" w:rsidRPr="00FC0326" w:rsidRDefault="00781568" w:rsidP="006C08DD">
            <w:pPr>
              <w:jc w:val="both"/>
              <w:rPr>
                <w:sz w:val="20"/>
                <w:szCs w:val="20"/>
              </w:rPr>
            </w:pPr>
            <w:r w:rsidRPr="00FC0326">
              <w:rPr>
                <w:sz w:val="20"/>
                <w:szCs w:val="20"/>
              </w:rPr>
              <w:t>Veicināta iekšējās kontroles sistēmas pilnveidošana, lai nodrošinātu terorisma finansēšanas novēršanu un sankciju prasību izpildi.</w:t>
            </w:r>
          </w:p>
        </w:tc>
        <w:tc>
          <w:tcPr>
            <w:tcW w:w="2268" w:type="dxa"/>
            <w:shd w:val="clear" w:color="auto" w:fill="auto"/>
          </w:tcPr>
          <w:p w14:paraId="19E5B925" w14:textId="77777777" w:rsidR="00781568" w:rsidRPr="00FC0326" w:rsidRDefault="00781568" w:rsidP="008A6629">
            <w:pPr>
              <w:jc w:val="both"/>
              <w:rPr>
                <w:sz w:val="20"/>
                <w:szCs w:val="20"/>
              </w:rPr>
            </w:pPr>
            <w:r w:rsidRPr="00FC0326">
              <w:rPr>
                <w:sz w:val="20"/>
                <w:szCs w:val="20"/>
              </w:rPr>
              <w:t xml:space="preserve">Izstrādāti normatīvie noteikumi </w:t>
            </w:r>
            <w:r w:rsidR="008A6629">
              <w:rPr>
                <w:sz w:val="20"/>
                <w:szCs w:val="20"/>
              </w:rPr>
              <w:t>un vadlīnijas likuma subjektiem</w:t>
            </w:r>
          </w:p>
        </w:tc>
        <w:tc>
          <w:tcPr>
            <w:tcW w:w="1134" w:type="dxa"/>
            <w:shd w:val="clear" w:color="auto" w:fill="auto"/>
          </w:tcPr>
          <w:p w14:paraId="1CFC7DF6" w14:textId="77777777" w:rsidR="00781568" w:rsidRPr="00FC0326" w:rsidRDefault="00781568" w:rsidP="008978FB">
            <w:pPr>
              <w:jc w:val="center"/>
              <w:rPr>
                <w:sz w:val="20"/>
                <w:szCs w:val="20"/>
              </w:rPr>
            </w:pPr>
            <w:r w:rsidRPr="00FC0326">
              <w:rPr>
                <w:sz w:val="20"/>
                <w:szCs w:val="20"/>
              </w:rPr>
              <w:t>FKTK</w:t>
            </w:r>
            <w:r w:rsidR="00BD055F">
              <w:rPr>
                <w:sz w:val="20"/>
                <w:szCs w:val="20"/>
              </w:rPr>
              <w:t>, VID, PTAC</w:t>
            </w:r>
          </w:p>
        </w:tc>
        <w:tc>
          <w:tcPr>
            <w:tcW w:w="1560" w:type="dxa"/>
            <w:shd w:val="clear" w:color="auto" w:fill="auto"/>
          </w:tcPr>
          <w:p w14:paraId="1D78FEB7" w14:textId="77777777" w:rsidR="00781568" w:rsidRPr="00FC0326" w:rsidRDefault="00781568" w:rsidP="008978FB">
            <w:pPr>
              <w:jc w:val="center"/>
              <w:rPr>
                <w:sz w:val="20"/>
                <w:szCs w:val="20"/>
              </w:rPr>
            </w:pPr>
          </w:p>
        </w:tc>
        <w:tc>
          <w:tcPr>
            <w:tcW w:w="1417" w:type="dxa"/>
            <w:shd w:val="clear" w:color="auto" w:fill="auto"/>
          </w:tcPr>
          <w:p w14:paraId="45D07CBC" w14:textId="77777777" w:rsidR="00781568" w:rsidRPr="00FC0326" w:rsidRDefault="00781568" w:rsidP="008978FB">
            <w:pPr>
              <w:jc w:val="center"/>
              <w:rPr>
                <w:sz w:val="20"/>
                <w:szCs w:val="20"/>
              </w:rPr>
            </w:pPr>
            <w:r w:rsidRPr="00FC0326">
              <w:rPr>
                <w:sz w:val="20"/>
                <w:szCs w:val="20"/>
              </w:rPr>
              <w:t>2019</w:t>
            </w:r>
            <w:r w:rsidR="00AC51EB" w:rsidRPr="00FC0326">
              <w:rPr>
                <w:sz w:val="20"/>
                <w:szCs w:val="20"/>
              </w:rPr>
              <w:t>.gada 1.</w:t>
            </w:r>
            <w:r w:rsidR="00BD055F">
              <w:rPr>
                <w:sz w:val="20"/>
                <w:szCs w:val="20"/>
              </w:rPr>
              <w:t>maijs</w:t>
            </w:r>
          </w:p>
        </w:tc>
      </w:tr>
      <w:tr w:rsidR="008978FB" w:rsidRPr="00FC0326" w14:paraId="4C56BF5E" w14:textId="77777777" w:rsidTr="008978FB">
        <w:trPr>
          <w:trHeight w:val="841"/>
        </w:trPr>
        <w:tc>
          <w:tcPr>
            <w:tcW w:w="704" w:type="dxa"/>
          </w:tcPr>
          <w:p w14:paraId="502339FF" w14:textId="77777777" w:rsidR="003178AC" w:rsidRPr="00FC0326" w:rsidRDefault="003178AC" w:rsidP="006C08DD">
            <w:pPr>
              <w:rPr>
                <w:rFonts w:cs="Times New Roman"/>
                <w:sz w:val="20"/>
                <w:szCs w:val="20"/>
              </w:rPr>
            </w:pPr>
            <w:r w:rsidRPr="00FC0326">
              <w:rPr>
                <w:rFonts w:cs="Times New Roman"/>
                <w:sz w:val="20"/>
                <w:szCs w:val="20"/>
              </w:rPr>
              <w:t>10.3.</w:t>
            </w:r>
          </w:p>
        </w:tc>
        <w:tc>
          <w:tcPr>
            <w:tcW w:w="3969" w:type="dxa"/>
            <w:shd w:val="clear" w:color="auto" w:fill="auto"/>
          </w:tcPr>
          <w:p w14:paraId="7274DF06" w14:textId="77777777" w:rsidR="003178AC" w:rsidRPr="00FC0326" w:rsidRDefault="003178AC" w:rsidP="006C08DD">
            <w:pPr>
              <w:jc w:val="both"/>
              <w:rPr>
                <w:sz w:val="20"/>
                <w:szCs w:val="20"/>
              </w:rPr>
            </w:pPr>
            <w:r w:rsidRPr="00FC0326">
              <w:rPr>
                <w:sz w:val="20"/>
                <w:szCs w:val="20"/>
              </w:rPr>
              <w:t>Pilnveidot iekšējos normatīvos aktus  uzraudzības procesa pilnveidošanai attiecībā uz sankciju un terorisma finansēšanas novēršanas prasību izpildes nodrošināšanu (t.sk. apiešanu).</w:t>
            </w:r>
          </w:p>
        </w:tc>
        <w:tc>
          <w:tcPr>
            <w:tcW w:w="1559" w:type="dxa"/>
            <w:shd w:val="clear" w:color="auto" w:fill="auto"/>
          </w:tcPr>
          <w:p w14:paraId="089CDEE5" w14:textId="77777777" w:rsidR="003178AC" w:rsidRPr="00FC0326" w:rsidRDefault="003178AC" w:rsidP="006C08DD">
            <w:pPr>
              <w:jc w:val="both"/>
              <w:rPr>
                <w:sz w:val="20"/>
                <w:szCs w:val="20"/>
              </w:rPr>
            </w:pPr>
            <w:r w:rsidRPr="00FC0326">
              <w:rPr>
                <w:sz w:val="20"/>
                <w:szCs w:val="20"/>
              </w:rPr>
              <w:t>Moneyval rekomendācija 10.2</w:t>
            </w:r>
          </w:p>
          <w:p w14:paraId="051FB875" w14:textId="77777777" w:rsidR="003178AC" w:rsidRPr="00FC0326" w:rsidRDefault="003178AC" w:rsidP="006C08DD">
            <w:pPr>
              <w:jc w:val="both"/>
              <w:rPr>
                <w:sz w:val="20"/>
                <w:szCs w:val="20"/>
              </w:rPr>
            </w:pPr>
          </w:p>
        </w:tc>
        <w:tc>
          <w:tcPr>
            <w:tcW w:w="2835" w:type="dxa"/>
            <w:shd w:val="clear" w:color="auto" w:fill="auto"/>
          </w:tcPr>
          <w:p w14:paraId="2CF41C00" w14:textId="77777777" w:rsidR="003178AC" w:rsidRPr="00FC0326" w:rsidRDefault="003178AC" w:rsidP="006C08DD">
            <w:pPr>
              <w:jc w:val="both"/>
              <w:rPr>
                <w:sz w:val="20"/>
                <w:szCs w:val="20"/>
              </w:rPr>
            </w:pPr>
            <w:r w:rsidRPr="00FC0326">
              <w:rPr>
                <w:sz w:val="20"/>
                <w:szCs w:val="20"/>
              </w:rPr>
              <w:t xml:space="preserve">Sankciju un terorisma finansēšanas novēršanas prasību izpildes nodrošināšanas pastiprināta uzraudzība </w:t>
            </w:r>
          </w:p>
        </w:tc>
        <w:tc>
          <w:tcPr>
            <w:tcW w:w="2268" w:type="dxa"/>
            <w:shd w:val="clear" w:color="auto" w:fill="auto"/>
          </w:tcPr>
          <w:p w14:paraId="2BE2E805" w14:textId="77777777" w:rsidR="003178AC" w:rsidRPr="00FC0326" w:rsidRDefault="003178AC" w:rsidP="006C08DD">
            <w:pPr>
              <w:rPr>
                <w:sz w:val="20"/>
                <w:szCs w:val="20"/>
              </w:rPr>
            </w:pPr>
            <w:r w:rsidRPr="00FC0326">
              <w:rPr>
                <w:sz w:val="20"/>
                <w:szCs w:val="20"/>
              </w:rPr>
              <w:t>Veikt grozījumi iekšējos normatīvos aktos</w:t>
            </w:r>
          </w:p>
        </w:tc>
        <w:tc>
          <w:tcPr>
            <w:tcW w:w="1134" w:type="dxa"/>
            <w:shd w:val="clear" w:color="auto" w:fill="auto"/>
          </w:tcPr>
          <w:p w14:paraId="3AEBCE40" w14:textId="77777777" w:rsidR="003178AC" w:rsidRPr="00FC0326" w:rsidRDefault="003178AC" w:rsidP="008978FB">
            <w:pPr>
              <w:jc w:val="center"/>
              <w:rPr>
                <w:sz w:val="20"/>
                <w:szCs w:val="20"/>
              </w:rPr>
            </w:pPr>
            <w:r w:rsidRPr="00FC0326">
              <w:rPr>
                <w:sz w:val="20"/>
                <w:szCs w:val="20"/>
              </w:rPr>
              <w:t>FKTK</w:t>
            </w:r>
          </w:p>
        </w:tc>
        <w:tc>
          <w:tcPr>
            <w:tcW w:w="1560" w:type="dxa"/>
            <w:shd w:val="clear" w:color="auto" w:fill="auto"/>
          </w:tcPr>
          <w:p w14:paraId="03543D34" w14:textId="77777777" w:rsidR="003178AC" w:rsidRPr="00FC0326" w:rsidRDefault="003178AC" w:rsidP="008978FB">
            <w:pPr>
              <w:jc w:val="center"/>
              <w:rPr>
                <w:sz w:val="20"/>
                <w:szCs w:val="20"/>
              </w:rPr>
            </w:pPr>
          </w:p>
        </w:tc>
        <w:tc>
          <w:tcPr>
            <w:tcW w:w="1417" w:type="dxa"/>
            <w:shd w:val="clear" w:color="auto" w:fill="auto"/>
          </w:tcPr>
          <w:p w14:paraId="51BCA019" w14:textId="77777777" w:rsidR="003178AC" w:rsidRPr="00FC0326" w:rsidRDefault="00E24D83" w:rsidP="008978FB">
            <w:pPr>
              <w:jc w:val="center"/>
              <w:rPr>
                <w:sz w:val="20"/>
                <w:szCs w:val="20"/>
              </w:rPr>
            </w:pPr>
            <w:r>
              <w:rPr>
                <w:sz w:val="20"/>
                <w:szCs w:val="20"/>
              </w:rPr>
              <w:t>2019..gada 31.marts</w:t>
            </w:r>
          </w:p>
        </w:tc>
      </w:tr>
      <w:tr w:rsidR="008978FB" w:rsidRPr="00FC0326" w14:paraId="1CF27D35" w14:textId="77777777" w:rsidTr="008978FB">
        <w:trPr>
          <w:trHeight w:val="841"/>
        </w:trPr>
        <w:tc>
          <w:tcPr>
            <w:tcW w:w="704" w:type="dxa"/>
            <w:vMerge w:val="restart"/>
          </w:tcPr>
          <w:p w14:paraId="36F8534A" w14:textId="77777777" w:rsidR="005E28C6" w:rsidRPr="00FC0326" w:rsidRDefault="008978FB" w:rsidP="006C08DD">
            <w:pPr>
              <w:rPr>
                <w:rFonts w:cs="Times New Roman"/>
                <w:sz w:val="20"/>
                <w:szCs w:val="20"/>
              </w:rPr>
            </w:pPr>
            <w:r>
              <w:rPr>
                <w:rFonts w:cs="Times New Roman"/>
                <w:sz w:val="20"/>
                <w:szCs w:val="20"/>
              </w:rPr>
              <w:t>10.4</w:t>
            </w:r>
            <w:r w:rsidR="005E28C6" w:rsidRPr="00FC0326">
              <w:rPr>
                <w:rFonts w:cs="Times New Roman"/>
                <w:sz w:val="20"/>
                <w:szCs w:val="20"/>
              </w:rPr>
              <w:t>.</w:t>
            </w:r>
          </w:p>
        </w:tc>
        <w:tc>
          <w:tcPr>
            <w:tcW w:w="3969" w:type="dxa"/>
            <w:vMerge w:val="restart"/>
            <w:shd w:val="clear" w:color="auto" w:fill="auto"/>
          </w:tcPr>
          <w:p w14:paraId="6FA00510" w14:textId="77777777" w:rsidR="005E28C6" w:rsidRPr="00FC0326" w:rsidRDefault="00A4221B" w:rsidP="006C08DD">
            <w:pPr>
              <w:jc w:val="both"/>
              <w:rPr>
                <w:rFonts w:cs="Times New Roman"/>
                <w:sz w:val="20"/>
                <w:szCs w:val="20"/>
              </w:rPr>
            </w:pPr>
            <w:r>
              <w:rPr>
                <w:rFonts w:cs="Times New Roman"/>
                <w:sz w:val="20"/>
                <w:szCs w:val="20"/>
              </w:rPr>
              <w:t>Nodrošināt</w:t>
            </w:r>
            <w:r w:rsidR="005E28C6" w:rsidRPr="00FC0326">
              <w:rPr>
                <w:rFonts w:cs="Times New Roman"/>
                <w:sz w:val="20"/>
                <w:szCs w:val="20"/>
              </w:rPr>
              <w:t xml:space="preserve">, ka, veicot pārbaudes, uzraugi pievērš pastiprinātu uzmanību (prioritāri vērtē) finanšu sankciju piemērošanas atbilstībai starptautiskajām prasībām attiecībā uz terorisma finansēšanas novēršanu.  </w:t>
            </w:r>
          </w:p>
        </w:tc>
        <w:tc>
          <w:tcPr>
            <w:tcW w:w="1559" w:type="dxa"/>
            <w:vMerge w:val="restart"/>
            <w:shd w:val="clear" w:color="auto" w:fill="auto"/>
          </w:tcPr>
          <w:p w14:paraId="68EF2614" w14:textId="77777777" w:rsidR="005E28C6" w:rsidRPr="00FC0326" w:rsidRDefault="005E28C6" w:rsidP="00337EDC">
            <w:pPr>
              <w:jc w:val="both"/>
              <w:rPr>
                <w:sz w:val="20"/>
                <w:szCs w:val="20"/>
              </w:rPr>
            </w:pPr>
            <w:r w:rsidRPr="00FC0326">
              <w:rPr>
                <w:sz w:val="20"/>
                <w:szCs w:val="20"/>
              </w:rPr>
              <w:t>Moneyval rekomendācija 10.2</w:t>
            </w:r>
          </w:p>
          <w:p w14:paraId="3994C36E" w14:textId="77777777" w:rsidR="005E28C6" w:rsidRPr="00FC0326" w:rsidRDefault="005E28C6" w:rsidP="006C08DD">
            <w:pPr>
              <w:jc w:val="both"/>
              <w:rPr>
                <w:sz w:val="20"/>
                <w:szCs w:val="20"/>
              </w:rPr>
            </w:pPr>
          </w:p>
        </w:tc>
        <w:tc>
          <w:tcPr>
            <w:tcW w:w="2835" w:type="dxa"/>
            <w:vMerge w:val="restart"/>
            <w:shd w:val="clear" w:color="auto" w:fill="auto"/>
          </w:tcPr>
          <w:p w14:paraId="1B1A1799" w14:textId="77777777" w:rsidR="005E28C6" w:rsidRPr="00FC0326" w:rsidRDefault="005E28C6" w:rsidP="006C08DD">
            <w:pPr>
              <w:jc w:val="both"/>
              <w:rPr>
                <w:rFonts w:cs="Times New Roman"/>
                <w:sz w:val="20"/>
                <w:szCs w:val="20"/>
              </w:rPr>
            </w:pPr>
            <w:r w:rsidRPr="00FC0326">
              <w:rPr>
                <w:rFonts w:cs="Times New Roman"/>
                <w:sz w:val="20"/>
                <w:szCs w:val="20"/>
              </w:rPr>
              <w:t>Paaugstināta finanšu sankciju piemērošanas atbilstība</w:t>
            </w:r>
          </w:p>
          <w:p w14:paraId="53080ABE" w14:textId="77777777" w:rsidR="005E28C6" w:rsidRPr="00FC0326" w:rsidRDefault="005E28C6" w:rsidP="006C08DD">
            <w:pPr>
              <w:jc w:val="both"/>
              <w:rPr>
                <w:rFonts w:cs="Times New Roman"/>
                <w:sz w:val="20"/>
                <w:szCs w:val="20"/>
              </w:rPr>
            </w:pPr>
          </w:p>
          <w:p w14:paraId="769103C5" w14:textId="77777777" w:rsidR="005E28C6" w:rsidRPr="00FC0326" w:rsidRDefault="005E28C6" w:rsidP="006C08DD">
            <w:pPr>
              <w:jc w:val="both"/>
              <w:rPr>
                <w:sz w:val="20"/>
                <w:szCs w:val="20"/>
              </w:rPr>
            </w:pPr>
          </w:p>
        </w:tc>
        <w:tc>
          <w:tcPr>
            <w:tcW w:w="2268" w:type="dxa"/>
            <w:shd w:val="clear" w:color="auto" w:fill="auto"/>
          </w:tcPr>
          <w:p w14:paraId="344A9A39" w14:textId="77777777" w:rsidR="005E28C6" w:rsidRPr="00FC0326" w:rsidRDefault="005E28C6" w:rsidP="005E28C6">
            <w:pPr>
              <w:jc w:val="both"/>
              <w:rPr>
                <w:sz w:val="20"/>
                <w:szCs w:val="20"/>
              </w:rPr>
            </w:pPr>
            <w:r w:rsidRPr="00FC0326">
              <w:rPr>
                <w:sz w:val="20"/>
                <w:szCs w:val="20"/>
              </w:rPr>
              <w:t>1. Balstoties uz risku novērtējumu, izstrādāti metodoloģiskie materiāli/vadlīnijas, kurus subjekti var izmantot riska izpratnes veicināšanai un IKS izveidei.</w:t>
            </w:r>
          </w:p>
        </w:tc>
        <w:tc>
          <w:tcPr>
            <w:tcW w:w="1134" w:type="dxa"/>
            <w:shd w:val="clear" w:color="auto" w:fill="auto"/>
          </w:tcPr>
          <w:p w14:paraId="2D0B47B6" w14:textId="77777777" w:rsidR="005E28C6" w:rsidRPr="00FC0326" w:rsidRDefault="005E28C6" w:rsidP="008978FB">
            <w:pPr>
              <w:jc w:val="center"/>
              <w:rPr>
                <w:rFonts w:cs="Times New Roman"/>
                <w:sz w:val="20"/>
                <w:szCs w:val="20"/>
              </w:rPr>
            </w:pPr>
            <w:r w:rsidRPr="00FC0326">
              <w:rPr>
                <w:rFonts w:cs="Times New Roman"/>
                <w:sz w:val="20"/>
                <w:szCs w:val="20"/>
              </w:rPr>
              <w:t>DP</w:t>
            </w:r>
          </w:p>
          <w:p w14:paraId="24CAE424" w14:textId="77777777" w:rsidR="005E28C6" w:rsidRPr="00FC0326" w:rsidRDefault="005E28C6" w:rsidP="008978FB">
            <w:pPr>
              <w:jc w:val="center"/>
              <w:rPr>
                <w:rFonts w:cs="Times New Roman"/>
                <w:sz w:val="20"/>
                <w:szCs w:val="20"/>
              </w:rPr>
            </w:pPr>
          </w:p>
          <w:p w14:paraId="169EF672" w14:textId="77777777" w:rsidR="005E28C6" w:rsidRPr="00FC0326" w:rsidRDefault="005E28C6" w:rsidP="008978FB">
            <w:pPr>
              <w:jc w:val="center"/>
              <w:rPr>
                <w:rFonts w:cs="Times New Roman"/>
                <w:sz w:val="20"/>
                <w:szCs w:val="20"/>
              </w:rPr>
            </w:pPr>
          </w:p>
          <w:p w14:paraId="6B61442F" w14:textId="77777777" w:rsidR="005E28C6" w:rsidRPr="00FC0326" w:rsidRDefault="005E28C6" w:rsidP="008978FB">
            <w:pPr>
              <w:jc w:val="center"/>
              <w:rPr>
                <w:rFonts w:cs="Times New Roman"/>
                <w:sz w:val="20"/>
                <w:szCs w:val="20"/>
              </w:rPr>
            </w:pPr>
          </w:p>
        </w:tc>
        <w:tc>
          <w:tcPr>
            <w:tcW w:w="1560" w:type="dxa"/>
            <w:shd w:val="clear" w:color="auto" w:fill="auto"/>
          </w:tcPr>
          <w:p w14:paraId="0D81B7F0" w14:textId="77777777" w:rsidR="005E28C6" w:rsidRPr="00FC0326" w:rsidRDefault="00892753" w:rsidP="008978FB">
            <w:pPr>
              <w:jc w:val="center"/>
              <w:rPr>
                <w:rFonts w:cs="Times New Roman"/>
                <w:sz w:val="20"/>
                <w:szCs w:val="20"/>
              </w:rPr>
            </w:pPr>
            <w:r>
              <w:rPr>
                <w:rFonts w:cs="Times New Roman"/>
                <w:sz w:val="20"/>
                <w:szCs w:val="20"/>
              </w:rPr>
              <w:t>KD</w:t>
            </w:r>
          </w:p>
        </w:tc>
        <w:tc>
          <w:tcPr>
            <w:tcW w:w="1417" w:type="dxa"/>
            <w:shd w:val="clear" w:color="auto" w:fill="auto"/>
          </w:tcPr>
          <w:p w14:paraId="447A2537" w14:textId="77777777" w:rsidR="005E28C6" w:rsidRPr="00FC0326" w:rsidRDefault="005E28C6" w:rsidP="008978FB">
            <w:pPr>
              <w:jc w:val="center"/>
              <w:rPr>
                <w:rFonts w:cs="Times New Roman"/>
                <w:sz w:val="20"/>
                <w:szCs w:val="20"/>
              </w:rPr>
            </w:pPr>
            <w:r>
              <w:rPr>
                <w:rFonts w:cs="Times New Roman"/>
                <w:sz w:val="20"/>
                <w:szCs w:val="20"/>
              </w:rPr>
              <w:t>2019.gada 1.marts</w:t>
            </w:r>
          </w:p>
        </w:tc>
      </w:tr>
      <w:tr w:rsidR="008978FB" w:rsidRPr="00FC0326" w14:paraId="5C3BE565" w14:textId="77777777" w:rsidTr="008978FB">
        <w:tc>
          <w:tcPr>
            <w:tcW w:w="704" w:type="dxa"/>
            <w:vMerge/>
          </w:tcPr>
          <w:p w14:paraId="1DBA2602" w14:textId="77777777" w:rsidR="005E28C6" w:rsidRPr="00FC0326" w:rsidRDefault="005E28C6" w:rsidP="006C08DD">
            <w:pPr>
              <w:jc w:val="center"/>
              <w:rPr>
                <w:rFonts w:cs="Times New Roman"/>
                <w:sz w:val="20"/>
                <w:szCs w:val="20"/>
              </w:rPr>
            </w:pPr>
          </w:p>
        </w:tc>
        <w:tc>
          <w:tcPr>
            <w:tcW w:w="3969" w:type="dxa"/>
            <w:vMerge/>
            <w:shd w:val="clear" w:color="auto" w:fill="auto"/>
          </w:tcPr>
          <w:p w14:paraId="0950E6B5" w14:textId="77777777" w:rsidR="005E28C6" w:rsidRPr="00FC0326" w:rsidRDefault="005E28C6" w:rsidP="006C08DD">
            <w:pPr>
              <w:jc w:val="both"/>
              <w:rPr>
                <w:rFonts w:cs="Times New Roman"/>
                <w:sz w:val="20"/>
                <w:szCs w:val="20"/>
              </w:rPr>
            </w:pPr>
          </w:p>
        </w:tc>
        <w:tc>
          <w:tcPr>
            <w:tcW w:w="1559" w:type="dxa"/>
            <w:vMerge/>
            <w:shd w:val="clear" w:color="auto" w:fill="auto"/>
          </w:tcPr>
          <w:p w14:paraId="7FAF6845" w14:textId="77777777" w:rsidR="005E28C6" w:rsidRPr="00FC0326" w:rsidRDefault="005E28C6" w:rsidP="006C08DD">
            <w:pPr>
              <w:jc w:val="both"/>
              <w:rPr>
                <w:sz w:val="20"/>
                <w:szCs w:val="20"/>
              </w:rPr>
            </w:pPr>
          </w:p>
        </w:tc>
        <w:tc>
          <w:tcPr>
            <w:tcW w:w="2835" w:type="dxa"/>
            <w:vMerge/>
            <w:shd w:val="clear" w:color="auto" w:fill="auto"/>
          </w:tcPr>
          <w:p w14:paraId="074019F4" w14:textId="77777777" w:rsidR="005E28C6" w:rsidRPr="00FC0326" w:rsidRDefault="005E28C6" w:rsidP="006C08DD">
            <w:pPr>
              <w:jc w:val="both"/>
              <w:rPr>
                <w:sz w:val="20"/>
                <w:szCs w:val="20"/>
              </w:rPr>
            </w:pPr>
          </w:p>
        </w:tc>
        <w:tc>
          <w:tcPr>
            <w:tcW w:w="2268" w:type="dxa"/>
            <w:shd w:val="clear" w:color="auto" w:fill="auto"/>
          </w:tcPr>
          <w:p w14:paraId="413054EC" w14:textId="77777777" w:rsidR="005E28C6" w:rsidRPr="00FC0326" w:rsidRDefault="005E28C6" w:rsidP="00892753">
            <w:pPr>
              <w:jc w:val="both"/>
              <w:rPr>
                <w:sz w:val="20"/>
                <w:szCs w:val="20"/>
              </w:rPr>
            </w:pPr>
            <w:r>
              <w:rPr>
                <w:sz w:val="20"/>
                <w:szCs w:val="20"/>
              </w:rPr>
              <w:t>2.</w:t>
            </w:r>
            <w:r w:rsidR="00892753">
              <w:rPr>
                <w:sz w:val="20"/>
                <w:szCs w:val="20"/>
              </w:rPr>
              <w:t xml:space="preserve"> DP apmācības uzraudzības un kontroles institūcijām</w:t>
            </w:r>
          </w:p>
        </w:tc>
        <w:tc>
          <w:tcPr>
            <w:tcW w:w="1134" w:type="dxa"/>
            <w:shd w:val="clear" w:color="auto" w:fill="auto"/>
          </w:tcPr>
          <w:p w14:paraId="7636ACCF" w14:textId="77777777" w:rsidR="005E28C6" w:rsidRPr="00FC0326" w:rsidRDefault="00892753" w:rsidP="008978FB">
            <w:pPr>
              <w:jc w:val="center"/>
              <w:rPr>
                <w:rFonts w:cs="Times New Roman"/>
                <w:sz w:val="20"/>
                <w:szCs w:val="20"/>
              </w:rPr>
            </w:pPr>
            <w:r>
              <w:rPr>
                <w:rFonts w:cs="Times New Roman"/>
                <w:sz w:val="20"/>
                <w:szCs w:val="20"/>
              </w:rPr>
              <w:t>DP</w:t>
            </w:r>
          </w:p>
        </w:tc>
        <w:tc>
          <w:tcPr>
            <w:tcW w:w="1560" w:type="dxa"/>
            <w:shd w:val="clear" w:color="auto" w:fill="auto"/>
          </w:tcPr>
          <w:p w14:paraId="2A90818E" w14:textId="77777777" w:rsidR="005E28C6" w:rsidRPr="00FC0326" w:rsidRDefault="005E28C6" w:rsidP="008978FB">
            <w:pPr>
              <w:jc w:val="center"/>
              <w:rPr>
                <w:rFonts w:cs="Times New Roman"/>
                <w:sz w:val="20"/>
                <w:szCs w:val="20"/>
              </w:rPr>
            </w:pPr>
          </w:p>
        </w:tc>
        <w:tc>
          <w:tcPr>
            <w:tcW w:w="1417" w:type="dxa"/>
            <w:shd w:val="clear" w:color="auto" w:fill="auto"/>
          </w:tcPr>
          <w:p w14:paraId="04C6DDE9" w14:textId="77777777" w:rsidR="005E28C6" w:rsidRDefault="00892753" w:rsidP="008978FB">
            <w:pPr>
              <w:jc w:val="center"/>
              <w:rPr>
                <w:rFonts w:cs="Times New Roman"/>
                <w:sz w:val="20"/>
                <w:szCs w:val="20"/>
              </w:rPr>
            </w:pPr>
            <w:r>
              <w:rPr>
                <w:rFonts w:cs="Times New Roman"/>
                <w:sz w:val="20"/>
                <w:szCs w:val="20"/>
              </w:rPr>
              <w:t>2019.gada 1.</w:t>
            </w:r>
            <w:r w:rsidR="00F532A1">
              <w:rPr>
                <w:rFonts w:cs="Times New Roman"/>
                <w:sz w:val="20"/>
                <w:szCs w:val="20"/>
              </w:rPr>
              <w:t>aprīlis</w:t>
            </w:r>
          </w:p>
        </w:tc>
      </w:tr>
      <w:tr w:rsidR="008978FB" w:rsidRPr="00FC0326" w14:paraId="3BA427CE" w14:textId="77777777" w:rsidTr="008978FB">
        <w:tc>
          <w:tcPr>
            <w:tcW w:w="704" w:type="dxa"/>
            <w:vMerge/>
          </w:tcPr>
          <w:p w14:paraId="00DC44EA" w14:textId="77777777" w:rsidR="005E28C6" w:rsidRPr="00FC0326" w:rsidRDefault="005E28C6" w:rsidP="006C08DD">
            <w:pPr>
              <w:jc w:val="center"/>
              <w:rPr>
                <w:rFonts w:cs="Times New Roman"/>
                <w:sz w:val="20"/>
                <w:szCs w:val="20"/>
              </w:rPr>
            </w:pPr>
          </w:p>
        </w:tc>
        <w:tc>
          <w:tcPr>
            <w:tcW w:w="3969" w:type="dxa"/>
            <w:vMerge/>
            <w:shd w:val="clear" w:color="auto" w:fill="auto"/>
          </w:tcPr>
          <w:p w14:paraId="1D4C63BB" w14:textId="77777777" w:rsidR="005E28C6" w:rsidRPr="00FC0326" w:rsidRDefault="005E28C6" w:rsidP="006C08DD">
            <w:pPr>
              <w:jc w:val="both"/>
              <w:rPr>
                <w:rFonts w:cs="Times New Roman"/>
                <w:sz w:val="20"/>
                <w:szCs w:val="20"/>
              </w:rPr>
            </w:pPr>
          </w:p>
        </w:tc>
        <w:tc>
          <w:tcPr>
            <w:tcW w:w="1559" w:type="dxa"/>
            <w:vMerge/>
            <w:shd w:val="clear" w:color="auto" w:fill="auto"/>
          </w:tcPr>
          <w:p w14:paraId="169AC28C" w14:textId="77777777" w:rsidR="005E28C6" w:rsidRPr="00FC0326" w:rsidRDefault="005E28C6" w:rsidP="006C08DD">
            <w:pPr>
              <w:jc w:val="both"/>
              <w:rPr>
                <w:sz w:val="20"/>
                <w:szCs w:val="20"/>
              </w:rPr>
            </w:pPr>
          </w:p>
        </w:tc>
        <w:tc>
          <w:tcPr>
            <w:tcW w:w="2835" w:type="dxa"/>
            <w:vMerge/>
            <w:shd w:val="clear" w:color="auto" w:fill="auto"/>
          </w:tcPr>
          <w:p w14:paraId="4A262A05" w14:textId="77777777" w:rsidR="005E28C6" w:rsidRPr="00FC0326" w:rsidRDefault="005E28C6" w:rsidP="006C08DD">
            <w:pPr>
              <w:jc w:val="both"/>
              <w:rPr>
                <w:sz w:val="20"/>
                <w:szCs w:val="20"/>
              </w:rPr>
            </w:pPr>
          </w:p>
        </w:tc>
        <w:tc>
          <w:tcPr>
            <w:tcW w:w="2268" w:type="dxa"/>
            <w:shd w:val="clear" w:color="auto" w:fill="auto"/>
          </w:tcPr>
          <w:p w14:paraId="3526EA01" w14:textId="77777777" w:rsidR="005E28C6" w:rsidRPr="00FC0326" w:rsidRDefault="005E28C6" w:rsidP="005E28C6">
            <w:pPr>
              <w:jc w:val="both"/>
              <w:rPr>
                <w:sz w:val="20"/>
                <w:szCs w:val="20"/>
              </w:rPr>
            </w:pPr>
            <w:r>
              <w:rPr>
                <w:sz w:val="20"/>
                <w:szCs w:val="20"/>
              </w:rPr>
              <w:t>3.</w:t>
            </w:r>
            <w:r w:rsidRPr="00FC0326">
              <w:rPr>
                <w:sz w:val="20"/>
                <w:szCs w:val="20"/>
              </w:rPr>
              <w:t xml:space="preserve"> Uzraudzības un kontroles institūcijas, veicot pārbaudes, pievērš pastiprinātu uzmanību finanšu sankciju piemērošanas atbilstībai</w:t>
            </w:r>
          </w:p>
        </w:tc>
        <w:tc>
          <w:tcPr>
            <w:tcW w:w="1134" w:type="dxa"/>
            <w:shd w:val="clear" w:color="auto" w:fill="auto"/>
          </w:tcPr>
          <w:p w14:paraId="30EC04FA" w14:textId="77777777" w:rsidR="005E28C6" w:rsidRPr="00FC0326" w:rsidRDefault="005E28C6" w:rsidP="008978FB">
            <w:pPr>
              <w:jc w:val="center"/>
              <w:rPr>
                <w:rFonts w:cs="Times New Roman"/>
                <w:sz w:val="20"/>
                <w:szCs w:val="20"/>
              </w:rPr>
            </w:pPr>
            <w:r w:rsidRPr="00FC0326">
              <w:rPr>
                <w:rFonts w:cs="Times New Roman"/>
                <w:sz w:val="20"/>
                <w:szCs w:val="20"/>
              </w:rPr>
              <w:t>FKTK, VID, PTAC</w:t>
            </w:r>
          </w:p>
          <w:p w14:paraId="6987B1C6" w14:textId="77777777" w:rsidR="005E28C6" w:rsidRPr="00FC0326" w:rsidRDefault="005E28C6" w:rsidP="008978FB">
            <w:pPr>
              <w:jc w:val="center"/>
              <w:rPr>
                <w:sz w:val="20"/>
                <w:szCs w:val="20"/>
              </w:rPr>
            </w:pPr>
          </w:p>
        </w:tc>
        <w:tc>
          <w:tcPr>
            <w:tcW w:w="1560" w:type="dxa"/>
            <w:shd w:val="clear" w:color="auto" w:fill="auto"/>
          </w:tcPr>
          <w:p w14:paraId="15BBF9A9" w14:textId="77777777" w:rsidR="005E28C6" w:rsidRPr="00FC0326" w:rsidRDefault="005E28C6" w:rsidP="008978FB">
            <w:pPr>
              <w:jc w:val="center"/>
              <w:rPr>
                <w:rFonts w:cs="Times New Roman"/>
                <w:sz w:val="20"/>
                <w:szCs w:val="20"/>
              </w:rPr>
            </w:pPr>
          </w:p>
        </w:tc>
        <w:tc>
          <w:tcPr>
            <w:tcW w:w="1417" w:type="dxa"/>
            <w:shd w:val="clear" w:color="auto" w:fill="auto"/>
          </w:tcPr>
          <w:p w14:paraId="67657E1E" w14:textId="77777777" w:rsidR="005E28C6" w:rsidRPr="00FC0326" w:rsidRDefault="005E28C6" w:rsidP="008978FB">
            <w:pPr>
              <w:jc w:val="center"/>
              <w:rPr>
                <w:rFonts w:cs="Times New Roman"/>
                <w:sz w:val="20"/>
                <w:szCs w:val="20"/>
              </w:rPr>
            </w:pPr>
            <w:r>
              <w:rPr>
                <w:rFonts w:cs="Times New Roman"/>
                <w:sz w:val="20"/>
                <w:szCs w:val="20"/>
              </w:rPr>
              <w:t>2019.gada 1.septembris</w:t>
            </w:r>
          </w:p>
        </w:tc>
      </w:tr>
      <w:tr w:rsidR="008978FB" w:rsidRPr="00FC0326" w14:paraId="7E9E7618" w14:textId="77777777" w:rsidTr="008978FB">
        <w:tc>
          <w:tcPr>
            <w:tcW w:w="704" w:type="dxa"/>
          </w:tcPr>
          <w:p w14:paraId="2397DAB0" w14:textId="77777777" w:rsidR="00781568" w:rsidRPr="00FC0326" w:rsidRDefault="008978FB" w:rsidP="006C08DD">
            <w:pPr>
              <w:jc w:val="center"/>
              <w:rPr>
                <w:rFonts w:cs="Times New Roman"/>
                <w:bCs/>
                <w:sz w:val="20"/>
                <w:szCs w:val="20"/>
              </w:rPr>
            </w:pPr>
            <w:r>
              <w:rPr>
                <w:rFonts w:cs="Times New Roman"/>
                <w:sz w:val="20"/>
                <w:szCs w:val="20"/>
              </w:rPr>
              <w:t>10.5</w:t>
            </w:r>
            <w:r w:rsidR="003178AC" w:rsidRPr="00FC0326">
              <w:rPr>
                <w:rFonts w:cs="Times New Roman"/>
                <w:sz w:val="20"/>
                <w:szCs w:val="20"/>
              </w:rPr>
              <w:t>.</w:t>
            </w:r>
          </w:p>
        </w:tc>
        <w:tc>
          <w:tcPr>
            <w:tcW w:w="3969" w:type="dxa"/>
            <w:shd w:val="clear" w:color="auto" w:fill="auto"/>
          </w:tcPr>
          <w:p w14:paraId="13AD450B" w14:textId="77777777" w:rsidR="00781568" w:rsidRPr="00FC0326" w:rsidRDefault="00781568" w:rsidP="006C08DD">
            <w:pPr>
              <w:jc w:val="both"/>
              <w:rPr>
                <w:rFonts w:cs="Times New Roman"/>
                <w:sz w:val="20"/>
                <w:szCs w:val="20"/>
              </w:rPr>
            </w:pPr>
            <w:r w:rsidRPr="00FC0326">
              <w:rPr>
                <w:rFonts w:cs="Times New Roman"/>
                <w:sz w:val="20"/>
                <w:szCs w:val="20"/>
              </w:rPr>
              <w:t>Jāpastiprina informācijas sniegšana un apmācības visiem likuma subjektiem, tai skaitā ar mērķi veicināt darījumu uzraudzību attiecībā uz finanšu sankciju apiešanas riskiem. Dažāda līmeņa semināru organizēšana subjektiem (resursu piesaiste šādu mācību organizēšanai).</w:t>
            </w:r>
          </w:p>
          <w:p w14:paraId="793E65D3" w14:textId="77777777" w:rsidR="00781568" w:rsidRPr="00FC0326" w:rsidRDefault="00781568" w:rsidP="006C08DD">
            <w:pPr>
              <w:jc w:val="both"/>
              <w:rPr>
                <w:rFonts w:cs="Times New Roman"/>
                <w:sz w:val="20"/>
                <w:szCs w:val="20"/>
              </w:rPr>
            </w:pPr>
          </w:p>
        </w:tc>
        <w:tc>
          <w:tcPr>
            <w:tcW w:w="1559" w:type="dxa"/>
            <w:shd w:val="clear" w:color="auto" w:fill="auto"/>
          </w:tcPr>
          <w:p w14:paraId="69D53DA5" w14:textId="77777777" w:rsidR="00781568" w:rsidRPr="00FC0326" w:rsidRDefault="00337EDC" w:rsidP="006C08DD">
            <w:pPr>
              <w:jc w:val="both"/>
              <w:rPr>
                <w:sz w:val="20"/>
                <w:szCs w:val="20"/>
              </w:rPr>
            </w:pPr>
            <w:r w:rsidRPr="00FC0326">
              <w:rPr>
                <w:sz w:val="20"/>
                <w:szCs w:val="20"/>
              </w:rPr>
              <w:t xml:space="preserve">Moneyval </w:t>
            </w:r>
            <w:r w:rsidR="00682580" w:rsidRPr="00FC0326">
              <w:rPr>
                <w:sz w:val="20"/>
                <w:szCs w:val="20"/>
              </w:rPr>
              <w:t>rekomendācija</w:t>
            </w:r>
            <w:r w:rsidRPr="00FC0326">
              <w:rPr>
                <w:sz w:val="20"/>
                <w:szCs w:val="20"/>
              </w:rPr>
              <w:t xml:space="preserve"> 10.4</w:t>
            </w:r>
          </w:p>
        </w:tc>
        <w:tc>
          <w:tcPr>
            <w:tcW w:w="2835" w:type="dxa"/>
            <w:shd w:val="clear" w:color="auto" w:fill="auto"/>
          </w:tcPr>
          <w:p w14:paraId="34AAD5A8" w14:textId="77777777" w:rsidR="00781568" w:rsidRPr="00FC0326" w:rsidRDefault="00781568" w:rsidP="006C08DD">
            <w:pPr>
              <w:jc w:val="both"/>
              <w:rPr>
                <w:sz w:val="20"/>
                <w:szCs w:val="20"/>
              </w:rPr>
            </w:pPr>
            <w:r w:rsidRPr="00FC0326">
              <w:rPr>
                <w:sz w:val="20"/>
                <w:szCs w:val="20"/>
              </w:rPr>
              <w:t xml:space="preserve">Semināru cikls subjektiem par grozījumiem Sankciju likumā, ieviešot Moneyval rekomendācijas (organizē ĀM kopā ar FKTK, VID, PTAC, FM). Atsevišķas mācības LTRK. </w:t>
            </w:r>
          </w:p>
        </w:tc>
        <w:tc>
          <w:tcPr>
            <w:tcW w:w="2268" w:type="dxa"/>
            <w:shd w:val="clear" w:color="auto" w:fill="auto"/>
          </w:tcPr>
          <w:p w14:paraId="18D36B65" w14:textId="77777777" w:rsidR="00781568" w:rsidRPr="00FC0326" w:rsidRDefault="00781568" w:rsidP="006C08DD">
            <w:pPr>
              <w:jc w:val="both"/>
              <w:rPr>
                <w:sz w:val="20"/>
                <w:szCs w:val="20"/>
              </w:rPr>
            </w:pPr>
            <w:r w:rsidRPr="00FC0326">
              <w:rPr>
                <w:sz w:val="20"/>
                <w:szCs w:val="20"/>
              </w:rPr>
              <w:t xml:space="preserve">ĀM organizēts semināru cikls ar 4 lekcijām, kurās uzraugi un likuma subjekti tiktu informēti par aktualitātēm sankciju jautājumos un normatīvo aktu grozījumos saskaņā ar FATF </w:t>
            </w:r>
            <w:r w:rsidRPr="00FC0326">
              <w:rPr>
                <w:sz w:val="20"/>
                <w:szCs w:val="20"/>
              </w:rPr>
              <w:lastRenderedPageBreak/>
              <w:t xml:space="preserve">rekomendācijām Latvijas normatīvo aktu pilnveidošanai.  </w:t>
            </w:r>
          </w:p>
        </w:tc>
        <w:tc>
          <w:tcPr>
            <w:tcW w:w="1134" w:type="dxa"/>
            <w:shd w:val="clear" w:color="auto" w:fill="auto"/>
          </w:tcPr>
          <w:p w14:paraId="01CBC19C" w14:textId="77777777" w:rsidR="00781568" w:rsidRPr="00FC0326" w:rsidRDefault="00641D46" w:rsidP="008978FB">
            <w:pPr>
              <w:jc w:val="center"/>
              <w:rPr>
                <w:rFonts w:cs="Times New Roman"/>
                <w:sz w:val="20"/>
                <w:szCs w:val="20"/>
              </w:rPr>
            </w:pPr>
            <w:r>
              <w:rPr>
                <w:sz w:val="20"/>
                <w:szCs w:val="20"/>
              </w:rPr>
              <w:lastRenderedPageBreak/>
              <w:t>ĀM</w:t>
            </w:r>
          </w:p>
        </w:tc>
        <w:tc>
          <w:tcPr>
            <w:tcW w:w="1560" w:type="dxa"/>
            <w:shd w:val="clear" w:color="auto" w:fill="auto"/>
          </w:tcPr>
          <w:p w14:paraId="00CF2ED4" w14:textId="77777777" w:rsidR="00781568" w:rsidRPr="00FC0326" w:rsidRDefault="00781568" w:rsidP="008978FB">
            <w:pPr>
              <w:jc w:val="center"/>
              <w:rPr>
                <w:rFonts w:cs="Times New Roman"/>
                <w:sz w:val="20"/>
                <w:szCs w:val="20"/>
              </w:rPr>
            </w:pPr>
            <w:r w:rsidRPr="00FC0326">
              <w:rPr>
                <w:rFonts w:cs="Times New Roman"/>
                <w:sz w:val="20"/>
                <w:szCs w:val="20"/>
              </w:rPr>
              <w:t>FKTK, VID,</w:t>
            </w:r>
            <w:r w:rsidR="003D79C0" w:rsidRPr="00FC0326">
              <w:rPr>
                <w:rFonts w:cs="Times New Roman"/>
                <w:sz w:val="20"/>
                <w:szCs w:val="20"/>
              </w:rPr>
              <w:t xml:space="preserve"> PTAC,</w:t>
            </w:r>
            <w:r w:rsidRPr="00FC0326">
              <w:rPr>
                <w:rFonts w:cs="Times New Roman"/>
                <w:sz w:val="20"/>
                <w:szCs w:val="20"/>
              </w:rPr>
              <w:t xml:space="preserve"> LB, IAUI, LZAP, LZNP, LZRA, </w:t>
            </w:r>
            <w:r w:rsidR="0090763B">
              <w:rPr>
                <w:rFonts w:cs="Times New Roman"/>
                <w:sz w:val="20"/>
                <w:szCs w:val="20"/>
              </w:rPr>
              <w:t>NKMP</w:t>
            </w:r>
            <w:r w:rsidR="00F532A1">
              <w:rPr>
                <w:rFonts w:cs="Times New Roman"/>
                <w:sz w:val="20"/>
                <w:szCs w:val="20"/>
              </w:rPr>
              <w:t>, IUB</w:t>
            </w:r>
            <w:r w:rsidR="00641D46">
              <w:rPr>
                <w:rFonts w:cs="Times New Roman"/>
                <w:sz w:val="20"/>
                <w:szCs w:val="20"/>
              </w:rPr>
              <w:t>, KD, DP</w:t>
            </w:r>
          </w:p>
        </w:tc>
        <w:tc>
          <w:tcPr>
            <w:tcW w:w="1417" w:type="dxa"/>
            <w:shd w:val="clear" w:color="auto" w:fill="auto"/>
          </w:tcPr>
          <w:p w14:paraId="2744347D" w14:textId="77777777" w:rsidR="00781568" w:rsidRPr="00FC0326" w:rsidRDefault="00781568" w:rsidP="008978FB">
            <w:pPr>
              <w:jc w:val="center"/>
              <w:rPr>
                <w:rFonts w:cs="Times New Roman"/>
                <w:sz w:val="20"/>
                <w:szCs w:val="20"/>
              </w:rPr>
            </w:pPr>
            <w:r w:rsidRPr="00FC0326">
              <w:rPr>
                <w:rFonts w:cs="Times New Roman"/>
                <w:sz w:val="20"/>
                <w:szCs w:val="20"/>
              </w:rPr>
              <w:t>2018.gada septembris</w:t>
            </w:r>
          </w:p>
        </w:tc>
      </w:tr>
      <w:tr w:rsidR="008978FB" w:rsidRPr="00FC0326" w14:paraId="43428E83" w14:textId="77777777" w:rsidTr="008978FB">
        <w:tc>
          <w:tcPr>
            <w:tcW w:w="704" w:type="dxa"/>
            <w:shd w:val="clear" w:color="auto" w:fill="auto"/>
          </w:tcPr>
          <w:p w14:paraId="202569D9" w14:textId="77777777" w:rsidR="00781568" w:rsidRPr="00FC0326" w:rsidRDefault="008978FB" w:rsidP="006C08DD">
            <w:pPr>
              <w:jc w:val="center"/>
              <w:rPr>
                <w:rFonts w:cs="Times New Roman"/>
                <w:bCs/>
                <w:sz w:val="20"/>
                <w:szCs w:val="20"/>
              </w:rPr>
            </w:pPr>
            <w:r>
              <w:rPr>
                <w:rFonts w:cs="Times New Roman"/>
                <w:bCs/>
                <w:sz w:val="20"/>
                <w:szCs w:val="20"/>
              </w:rPr>
              <w:t>10.6</w:t>
            </w:r>
            <w:r w:rsidR="003178AC" w:rsidRPr="00FC0326">
              <w:rPr>
                <w:rFonts w:cs="Times New Roman"/>
                <w:bCs/>
                <w:sz w:val="20"/>
                <w:szCs w:val="20"/>
              </w:rPr>
              <w:t>.</w:t>
            </w:r>
          </w:p>
        </w:tc>
        <w:tc>
          <w:tcPr>
            <w:tcW w:w="3969" w:type="dxa"/>
            <w:shd w:val="clear" w:color="auto" w:fill="auto"/>
          </w:tcPr>
          <w:p w14:paraId="565A7416" w14:textId="77777777" w:rsidR="00781568" w:rsidRPr="00FC0326" w:rsidRDefault="00781568" w:rsidP="006C08DD">
            <w:pPr>
              <w:jc w:val="both"/>
              <w:rPr>
                <w:rFonts w:cs="Times New Roman"/>
                <w:sz w:val="20"/>
                <w:szCs w:val="20"/>
              </w:rPr>
            </w:pPr>
            <w:r w:rsidRPr="00FC0326">
              <w:rPr>
                <w:rFonts w:cs="Times New Roman"/>
                <w:sz w:val="20"/>
                <w:szCs w:val="20"/>
              </w:rPr>
              <w:t>Informatīvā satura uzlabošana un papildināšana ĀM mājaslapā, t.sk., vadlīnijas sankciju piemērošanā, labā prakse, FAQs (latviski)  par procedūru, kādā sankciju subjekti var iegūt informāciju par savām tiesībām, kārtība, kādā iespējams lūgt sevi izņemt no sankciju saraksta.</w:t>
            </w:r>
          </w:p>
        </w:tc>
        <w:tc>
          <w:tcPr>
            <w:tcW w:w="1559" w:type="dxa"/>
            <w:shd w:val="clear" w:color="auto" w:fill="auto"/>
          </w:tcPr>
          <w:p w14:paraId="67244A0E" w14:textId="77777777" w:rsidR="00781568" w:rsidRPr="00FC0326" w:rsidRDefault="00337EDC" w:rsidP="00682580">
            <w:pPr>
              <w:jc w:val="both"/>
              <w:rPr>
                <w:b/>
                <w:sz w:val="18"/>
                <w:szCs w:val="18"/>
              </w:rPr>
            </w:pPr>
            <w:r w:rsidRPr="00FC0326">
              <w:rPr>
                <w:sz w:val="20"/>
                <w:szCs w:val="20"/>
              </w:rPr>
              <w:t>Moneyval rekomendāc</w:t>
            </w:r>
            <w:r w:rsidR="00682580" w:rsidRPr="00FC0326">
              <w:rPr>
                <w:sz w:val="20"/>
                <w:szCs w:val="20"/>
              </w:rPr>
              <w:t>ij</w:t>
            </w:r>
            <w:r w:rsidRPr="00FC0326">
              <w:rPr>
                <w:sz w:val="20"/>
                <w:szCs w:val="20"/>
              </w:rPr>
              <w:t>a 10.4</w:t>
            </w:r>
          </w:p>
        </w:tc>
        <w:tc>
          <w:tcPr>
            <w:tcW w:w="2835" w:type="dxa"/>
            <w:shd w:val="clear" w:color="auto" w:fill="auto"/>
          </w:tcPr>
          <w:p w14:paraId="7639E1A9" w14:textId="77777777" w:rsidR="00781568" w:rsidRPr="00FC0326" w:rsidRDefault="00781568" w:rsidP="00505985">
            <w:pPr>
              <w:jc w:val="both"/>
              <w:rPr>
                <w:rFonts w:cs="Times New Roman"/>
                <w:sz w:val="20"/>
                <w:szCs w:val="20"/>
              </w:rPr>
            </w:pPr>
            <w:r w:rsidRPr="00FC0326">
              <w:rPr>
                <w:rFonts w:cs="Times New Roman"/>
                <w:sz w:val="20"/>
                <w:szCs w:val="20"/>
              </w:rPr>
              <w:t>Informēti likuma subjekti un plašāka sabiedrība, izpratne par sankcijām un īpaši terorisma finansēšanas riskiem</w:t>
            </w:r>
          </w:p>
        </w:tc>
        <w:tc>
          <w:tcPr>
            <w:tcW w:w="2268" w:type="dxa"/>
            <w:shd w:val="clear" w:color="auto" w:fill="auto"/>
          </w:tcPr>
          <w:p w14:paraId="259303C9" w14:textId="77777777" w:rsidR="00781568" w:rsidRPr="00FC0326" w:rsidRDefault="00781568" w:rsidP="00EE1B29">
            <w:pPr>
              <w:jc w:val="both"/>
              <w:rPr>
                <w:rFonts w:cs="Times New Roman"/>
                <w:sz w:val="20"/>
                <w:szCs w:val="20"/>
              </w:rPr>
            </w:pPr>
            <w:r w:rsidRPr="00FC0326">
              <w:rPr>
                <w:rFonts w:cs="Times New Roman"/>
                <w:sz w:val="20"/>
                <w:szCs w:val="20"/>
              </w:rPr>
              <w:t xml:space="preserve">Pieejama un viegli lasāma informācija par sankcijām visiem likuma subjektiem. Augsta izpratne par riskiem. </w:t>
            </w:r>
          </w:p>
        </w:tc>
        <w:tc>
          <w:tcPr>
            <w:tcW w:w="1134" w:type="dxa"/>
            <w:shd w:val="clear" w:color="auto" w:fill="auto"/>
          </w:tcPr>
          <w:p w14:paraId="1405055F" w14:textId="77777777" w:rsidR="00781568" w:rsidRPr="00FC0326" w:rsidRDefault="00781568" w:rsidP="008978FB">
            <w:pPr>
              <w:jc w:val="center"/>
              <w:rPr>
                <w:rFonts w:cs="Times New Roman"/>
                <w:sz w:val="20"/>
                <w:szCs w:val="20"/>
              </w:rPr>
            </w:pPr>
            <w:r w:rsidRPr="00FC0326">
              <w:rPr>
                <w:rFonts w:cs="Times New Roman"/>
                <w:sz w:val="20"/>
                <w:szCs w:val="20"/>
              </w:rPr>
              <w:t>ĀM</w:t>
            </w:r>
          </w:p>
        </w:tc>
        <w:tc>
          <w:tcPr>
            <w:tcW w:w="1560" w:type="dxa"/>
            <w:shd w:val="clear" w:color="auto" w:fill="auto"/>
          </w:tcPr>
          <w:p w14:paraId="1FABCEB4" w14:textId="77777777" w:rsidR="00781568" w:rsidRPr="00FC0326" w:rsidRDefault="00781568" w:rsidP="008978FB">
            <w:pPr>
              <w:jc w:val="center"/>
              <w:rPr>
                <w:rFonts w:cs="Times New Roman"/>
                <w:sz w:val="20"/>
                <w:szCs w:val="20"/>
              </w:rPr>
            </w:pPr>
          </w:p>
        </w:tc>
        <w:tc>
          <w:tcPr>
            <w:tcW w:w="1417" w:type="dxa"/>
            <w:shd w:val="clear" w:color="auto" w:fill="auto"/>
          </w:tcPr>
          <w:p w14:paraId="1D2583EB" w14:textId="77777777" w:rsidR="00781568" w:rsidRPr="00FC0326" w:rsidRDefault="004A1848" w:rsidP="008978FB">
            <w:pPr>
              <w:jc w:val="center"/>
              <w:rPr>
                <w:rFonts w:cs="Times New Roman"/>
                <w:sz w:val="20"/>
                <w:szCs w:val="20"/>
              </w:rPr>
            </w:pPr>
            <w:r>
              <w:rPr>
                <w:rFonts w:cs="Times New Roman"/>
                <w:sz w:val="20"/>
                <w:szCs w:val="20"/>
              </w:rPr>
              <w:t>2019</w:t>
            </w:r>
            <w:r w:rsidR="00781568" w:rsidRPr="00FC0326">
              <w:rPr>
                <w:rFonts w:cs="Times New Roman"/>
                <w:sz w:val="20"/>
                <w:szCs w:val="20"/>
              </w:rPr>
              <w:t xml:space="preserve">. gada </w:t>
            </w:r>
            <w:r>
              <w:rPr>
                <w:rFonts w:cs="Times New Roman"/>
                <w:sz w:val="20"/>
                <w:szCs w:val="20"/>
              </w:rPr>
              <w:t>1.marts</w:t>
            </w:r>
          </w:p>
        </w:tc>
      </w:tr>
    </w:tbl>
    <w:p w14:paraId="6B61FDA5" w14:textId="77777777" w:rsidR="00781568" w:rsidRPr="00FC0326" w:rsidRDefault="00781568" w:rsidP="00FF0BBA">
      <w:pPr>
        <w:jc w:val="both"/>
        <w:rPr>
          <w:sz w:val="28"/>
          <w:szCs w:val="28"/>
        </w:rPr>
      </w:pPr>
    </w:p>
    <w:p w14:paraId="294C9CC7" w14:textId="77777777" w:rsidR="00FF0BBA" w:rsidRPr="00E24F37" w:rsidRDefault="00821D34" w:rsidP="00E24F37">
      <w:pPr>
        <w:pStyle w:val="Heading2"/>
        <w:rPr>
          <w:rFonts w:ascii="Times New Roman" w:hAnsi="Times New Roman" w:cs="Times New Roman"/>
          <w:b/>
          <w:color w:val="auto"/>
          <w:sz w:val="28"/>
          <w:szCs w:val="28"/>
        </w:rPr>
      </w:pPr>
      <w:bookmarkStart w:id="19" w:name="_Toc524977659"/>
      <w:r w:rsidRPr="00E24F37">
        <w:rPr>
          <w:rFonts w:ascii="Times New Roman" w:hAnsi="Times New Roman" w:cs="Times New Roman"/>
          <w:b/>
          <w:color w:val="auto"/>
          <w:sz w:val="28"/>
          <w:szCs w:val="28"/>
        </w:rPr>
        <w:t>11</w:t>
      </w:r>
      <w:r w:rsidR="00FF0BBA" w:rsidRPr="00E24F37">
        <w:rPr>
          <w:rFonts w:ascii="Times New Roman" w:hAnsi="Times New Roman" w:cs="Times New Roman"/>
          <w:b/>
          <w:color w:val="auto"/>
          <w:sz w:val="28"/>
          <w:szCs w:val="28"/>
        </w:rPr>
        <w:t xml:space="preserve">.rīcības virziens – </w:t>
      </w:r>
      <w:r w:rsidRPr="00E24F37">
        <w:rPr>
          <w:rFonts w:ascii="Times New Roman" w:hAnsi="Times New Roman" w:cs="Times New Roman"/>
          <w:b/>
          <w:color w:val="auto"/>
          <w:sz w:val="28"/>
          <w:szCs w:val="28"/>
        </w:rPr>
        <w:t xml:space="preserve">masu iznīcināšanas </w:t>
      </w:r>
      <w:r w:rsidR="0019186E" w:rsidRPr="00E24F37">
        <w:rPr>
          <w:rFonts w:ascii="Times New Roman" w:hAnsi="Times New Roman" w:cs="Times New Roman"/>
          <w:b/>
          <w:color w:val="auto"/>
          <w:sz w:val="28"/>
          <w:szCs w:val="28"/>
        </w:rPr>
        <w:t xml:space="preserve">ieroču </w:t>
      </w:r>
      <w:r w:rsidRPr="00E24F37">
        <w:rPr>
          <w:rFonts w:ascii="Times New Roman" w:hAnsi="Times New Roman" w:cs="Times New Roman"/>
          <w:b/>
          <w:color w:val="auto"/>
          <w:sz w:val="28"/>
          <w:szCs w:val="28"/>
        </w:rPr>
        <w:t>finanšu sankcijas</w:t>
      </w:r>
      <w:bookmarkEnd w:id="19"/>
      <w:r w:rsidR="00FF0BBA" w:rsidRPr="00E24F37">
        <w:rPr>
          <w:rFonts w:ascii="Times New Roman" w:hAnsi="Times New Roman" w:cs="Times New Roman"/>
          <w:b/>
          <w:color w:val="auto"/>
          <w:sz w:val="28"/>
          <w:szCs w:val="28"/>
        </w:rPr>
        <w:t xml:space="preserve">  </w:t>
      </w:r>
    </w:p>
    <w:p w14:paraId="7B273F41" w14:textId="77777777" w:rsidR="00FF0BBA" w:rsidRPr="00FC0326" w:rsidRDefault="00FF0BBA" w:rsidP="00FF0BBA">
      <w:pPr>
        <w:jc w:val="both"/>
        <w:rPr>
          <w:sz w:val="28"/>
          <w:szCs w:val="28"/>
        </w:rPr>
      </w:pPr>
    </w:p>
    <w:p w14:paraId="2BB28CF6" w14:textId="77777777" w:rsidR="00FF0BBA" w:rsidRPr="00FC0326" w:rsidRDefault="00FF0BBA" w:rsidP="00FF0BBA">
      <w:pPr>
        <w:jc w:val="both"/>
        <w:rPr>
          <w:szCs w:val="24"/>
        </w:rPr>
      </w:pPr>
      <w:r w:rsidRPr="00FC0326">
        <w:rPr>
          <w:szCs w:val="24"/>
        </w:rPr>
        <w:t xml:space="preserve">Par rīcības virzienu atbildīgā iestāde: </w:t>
      </w:r>
      <w:r w:rsidR="00821D34" w:rsidRPr="00FC0326">
        <w:rPr>
          <w:szCs w:val="24"/>
        </w:rPr>
        <w:t>ĀM</w:t>
      </w:r>
    </w:p>
    <w:p w14:paraId="7BD68604" w14:textId="77777777" w:rsidR="00FF0BBA" w:rsidRPr="00FC0326" w:rsidRDefault="00FF0BBA" w:rsidP="00FF0BBA">
      <w:pPr>
        <w:jc w:val="both"/>
        <w:rPr>
          <w:szCs w:val="24"/>
        </w:rPr>
      </w:pPr>
      <w:r w:rsidRPr="00FC0326">
        <w:rPr>
          <w:szCs w:val="24"/>
        </w:rPr>
        <w:t>Līdzatbildīgās iestādes: KD</w:t>
      </w:r>
      <w:r w:rsidR="00821D34" w:rsidRPr="00FC0326">
        <w:rPr>
          <w:szCs w:val="24"/>
        </w:rPr>
        <w:t>, DP, FKTK</w:t>
      </w:r>
      <w:r w:rsidRPr="00FC0326">
        <w:rPr>
          <w:szCs w:val="24"/>
        </w:rPr>
        <w:t xml:space="preserve"> </w:t>
      </w:r>
    </w:p>
    <w:p w14:paraId="6FE040AF" w14:textId="77777777" w:rsidR="00FF0BBA" w:rsidRPr="00FC0326" w:rsidRDefault="00FF0BBA" w:rsidP="00FF0BBA">
      <w:pPr>
        <w:jc w:val="both"/>
        <w:rPr>
          <w:sz w:val="28"/>
          <w:szCs w:val="28"/>
        </w:rPr>
      </w:pPr>
    </w:p>
    <w:p w14:paraId="091E75E2" w14:textId="77777777" w:rsidR="00D74A88" w:rsidRPr="00FC0326" w:rsidRDefault="00D74A88" w:rsidP="00FF0BBA">
      <w:pPr>
        <w:jc w:val="both"/>
        <w:rPr>
          <w:b/>
          <w:sz w:val="28"/>
          <w:szCs w:val="28"/>
        </w:rPr>
      </w:pPr>
    </w:p>
    <w:p w14:paraId="709D1FC3" w14:textId="77777777" w:rsidR="00D74A88" w:rsidRPr="00FC0326" w:rsidRDefault="00D74A88" w:rsidP="00D74A88">
      <w:pPr>
        <w:jc w:val="both"/>
        <w:rPr>
          <w:rFonts w:cs="Times New Roman"/>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559"/>
        <w:gridCol w:w="2835"/>
        <w:gridCol w:w="2268"/>
        <w:gridCol w:w="1134"/>
        <w:gridCol w:w="1560"/>
        <w:gridCol w:w="1417"/>
      </w:tblGrid>
      <w:tr w:rsidR="00D74A88" w:rsidRPr="00FC0326" w14:paraId="2AAAEA41" w14:textId="77777777" w:rsidTr="00EE1B29">
        <w:tc>
          <w:tcPr>
            <w:tcW w:w="4678" w:type="dxa"/>
            <w:gridSpan w:val="2"/>
          </w:tcPr>
          <w:p w14:paraId="56D872AD" w14:textId="77777777" w:rsidR="00D74A88" w:rsidRPr="00FC0326" w:rsidRDefault="00D74A88" w:rsidP="006C08DD">
            <w:pPr>
              <w:rPr>
                <w:rFonts w:cs="Times New Roman"/>
                <w:b/>
                <w:bCs/>
                <w:sz w:val="20"/>
                <w:szCs w:val="20"/>
              </w:rPr>
            </w:pPr>
            <w:r w:rsidRPr="00FC0326">
              <w:rPr>
                <w:rFonts w:cs="Times New Roman"/>
                <w:b/>
                <w:bCs/>
                <w:sz w:val="20"/>
                <w:szCs w:val="20"/>
              </w:rPr>
              <w:t>1.Rīcības virziens</w:t>
            </w:r>
          </w:p>
        </w:tc>
        <w:tc>
          <w:tcPr>
            <w:tcW w:w="1559" w:type="dxa"/>
          </w:tcPr>
          <w:p w14:paraId="48B433FC" w14:textId="77777777" w:rsidR="00D74A88" w:rsidRPr="00FC0326" w:rsidRDefault="00D74A88" w:rsidP="006C08DD">
            <w:pPr>
              <w:ind w:right="-108"/>
              <w:jc w:val="both"/>
              <w:rPr>
                <w:rFonts w:cs="Times New Roman"/>
                <w:b/>
                <w:bCs/>
                <w:sz w:val="20"/>
                <w:szCs w:val="20"/>
              </w:rPr>
            </w:pPr>
          </w:p>
        </w:tc>
        <w:tc>
          <w:tcPr>
            <w:tcW w:w="9214" w:type="dxa"/>
            <w:gridSpan w:val="5"/>
          </w:tcPr>
          <w:p w14:paraId="443B1BEB" w14:textId="77777777" w:rsidR="00D74A88" w:rsidRPr="00FC0326" w:rsidRDefault="003178AC">
            <w:pPr>
              <w:jc w:val="both"/>
              <w:rPr>
                <w:rFonts w:cs="Times New Roman"/>
                <w:b/>
                <w:bCs/>
                <w:sz w:val="20"/>
                <w:szCs w:val="20"/>
              </w:rPr>
            </w:pPr>
            <w:r w:rsidRPr="00FC0326">
              <w:rPr>
                <w:rFonts w:cs="Times New Roman"/>
                <w:b/>
                <w:bCs/>
                <w:sz w:val="20"/>
                <w:szCs w:val="20"/>
              </w:rPr>
              <w:t xml:space="preserve">MASU IZNĪCINĀŠANAS </w:t>
            </w:r>
            <w:r w:rsidR="0019186E">
              <w:rPr>
                <w:rFonts w:cs="Times New Roman"/>
                <w:b/>
                <w:bCs/>
                <w:sz w:val="20"/>
                <w:szCs w:val="20"/>
              </w:rPr>
              <w:t xml:space="preserve">IEROČU </w:t>
            </w:r>
            <w:r w:rsidRPr="00FC0326">
              <w:rPr>
                <w:rFonts w:cs="Times New Roman"/>
                <w:b/>
                <w:bCs/>
                <w:sz w:val="20"/>
                <w:szCs w:val="20"/>
              </w:rPr>
              <w:t>FINANŠU SANKCIJAS</w:t>
            </w:r>
          </w:p>
        </w:tc>
      </w:tr>
      <w:tr w:rsidR="00D74A88" w:rsidRPr="00FC0326" w14:paraId="5FFEB019" w14:textId="77777777" w:rsidTr="00EE1B29">
        <w:tc>
          <w:tcPr>
            <w:tcW w:w="4678" w:type="dxa"/>
            <w:gridSpan w:val="2"/>
          </w:tcPr>
          <w:p w14:paraId="79E977F5" w14:textId="77777777" w:rsidR="00D74A88" w:rsidRPr="00FC0326" w:rsidRDefault="00D74A88" w:rsidP="006C08DD">
            <w:pPr>
              <w:rPr>
                <w:rFonts w:cs="Times New Roman"/>
                <w:b/>
                <w:bCs/>
                <w:sz w:val="20"/>
                <w:szCs w:val="20"/>
              </w:rPr>
            </w:pPr>
            <w:r w:rsidRPr="00FC0326">
              <w:rPr>
                <w:rFonts w:cs="Times New Roman"/>
                <w:b/>
                <w:bCs/>
                <w:sz w:val="20"/>
                <w:szCs w:val="20"/>
              </w:rPr>
              <w:t>Sasniedzamie apakšmērķi:</w:t>
            </w:r>
          </w:p>
        </w:tc>
        <w:tc>
          <w:tcPr>
            <w:tcW w:w="1559" w:type="dxa"/>
          </w:tcPr>
          <w:p w14:paraId="0CABE2A0" w14:textId="77777777" w:rsidR="00D74A88" w:rsidRPr="00FC0326" w:rsidRDefault="00D74A88" w:rsidP="006C08DD">
            <w:pPr>
              <w:ind w:right="-108"/>
              <w:jc w:val="both"/>
              <w:rPr>
                <w:rFonts w:cs="Times New Roman"/>
                <w:b/>
                <w:bCs/>
                <w:sz w:val="20"/>
                <w:szCs w:val="20"/>
              </w:rPr>
            </w:pPr>
          </w:p>
        </w:tc>
        <w:tc>
          <w:tcPr>
            <w:tcW w:w="9214" w:type="dxa"/>
            <w:gridSpan w:val="5"/>
          </w:tcPr>
          <w:p w14:paraId="3921C7E7" w14:textId="77777777" w:rsidR="00D74A88" w:rsidRPr="00FC0326" w:rsidRDefault="00D74A88" w:rsidP="006C08DD">
            <w:pPr>
              <w:jc w:val="both"/>
              <w:rPr>
                <w:rFonts w:cs="Times New Roman"/>
                <w:b/>
                <w:bCs/>
                <w:sz w:val="20"/>
                <w:szCs w:val="20"/>
              </w:rPr>
            </w:pPr>
            <w:r w:rsidRPr="00FC0326">
              <w:rPr>
                <w:rFonts w:cs="Times New Roman"/>
                <w:b/>
                <w:bCs/>
                <w:sz w:val="20"/>
                <w:szCs w:val="20"/>
              </w:rPr>
              <w:t>1. Uzlabot</w:t>
            </w:r>
            <w:r w:rsidR="001A4704">
              <w:rPr>
                <w:rFonts w:cs="Times New Roman"/>
                <w:b/>
                <w:bCs/>
                <w:sz w:val="20"/>
                <w:szCs w:val="20"/>
              </w:rPr>
              <w:t>s juridiskais ietvars</w:t>
            </w:r>
            <w:r w:rsidRPr="00FC0326">
              <w:rPr>
                <w:rFonts w:cs="Times New Roman"/>
                <w:b/>
                <w:bCs/>
                <w:sz w:val="20"/>
                <w:szCs w:val="20"/>
              </w:rPr>
              <w:t xml:space="preserve"> proliferācijas finansēšanas apkarošanai</w:t>
            </w:r>
          </w:p>
        </w:tc>
      </w:tr>
      <w:tr w:rsidR="00D74A88" w:rsidRPr="00FC0326" w14:paraId="767BE233" w14:textId="77777777" w:rsidTr="00EE1B29">
        <w:tc>
          <w:tcPr>
            <w:tcW w:w="4678" w:type="dxa"/>
            <w:gridSpan w:val="2"/>
          </w:tcPr>
          <w:p w14:paraId="48B69E5A" w14:textId="77777777" w:rsidR="00D74A88" w:rsidRPr="00FC0326" w:rsidRDefault="00D74A88" w:rsidP="006C08DD">
            <w:pPr>
              <w:rPr>
                <w:rFonts w:cs="Times New Roman"/>
                <w:b/>
                <w:bCs/>
                <w:sz w:val="20"/>
                <w:szCs w:val="20"/>
              </w:rPr>
            </w:pPr>
          </w:p>
        </w:tc>
        <w:tc>
          <w:tcPr>
            <w:tcW w:w="1559" w:type="dxa"/>
          </w:tcPr>
          <w:p w14:paraId="20E5B26C" w14:textId="77777777" w:rsidR="00D74A88" w:rsidRPr="00FC0326" w:rsidRDefault="00D74A88" w:rsidP="006C08DD">
            <w:pPr>
              <w:ind w:right="-108"/>
              <w:jc w:val="both"/>
              <w:rPr>
                <w:rFonts w:cs="Times New Roman"/>
                <w:b/>
                <w:bCs/>
                <w:sz w:val="20"/>
                <w:szCs w:val="20"/>
              </w:rPr>
            </w:pPr>
          </w:p>
        </w:tc>
        <w:tc>
          <w:tcPr>
            <w:tcW w:w="9214" w:type="dxa"/>
            <w:gridSpan w:val="5"/>
          </w:tcPr>
          <w:p w14:paraId="26FA96E7" w14:textId="77777777" w:rsidR="00D74A88" w:rsidRPr="00FC0326" w:rsidRDefault="00D74A88" w:rsidP="006C08DD">
            <w:pPr>
              <w:jc w:val="both"/>
              <w:rPr>
                <w:rFonts w:cs="Times New Roman"/>
                <w:b/>
                <w:bCs/>
                <w:sz w:val="20"/>
                <w:szCs w:val="20"/>
              </w:rPr>
            </w:pPr>
            <w:r w:rsidRPr="00FC0326">
              <w:rPr>
                <w:rFonts w:cs="Times New Roman"/>
                <w:b/>
                <w:bCs/>
                <w:sz w:val="20"/>
                <w:szCs w:val="20"/>
              </w:rPr>
              <w:t>2. Nodrošināt</w:t>
            </w:r>
            <w:r w:rsidR="001A4704">
              <w:rPr>
                <w:rFonts w:cs="Times New Roman"/>
                <w:b/>
                <w:bCs/>
                <w:sz w:val="20"/>
                <w:szCs w:val="20"/>
              </w:rPr>
              <w:t>i pienācīgi resursi</w:t>
            </w:r>
            <w:r w:rsidRPr="00FC0326">
              <w:rPr>
                <w:rFonts w:cs="Times New Roman"/>
                <w:b/>
                <w:bCs/>
                <w:sz w:val="20"/>
                <w:szCs w:val="20"/>
              </w:rPr>
              <w:t xml:space="preserve"> finanšu sankciju ieviešanas uzraudzībai</w:t>
            </w:r>
          </w:p>
        </w:tc>
      </w:tr>
      <w:tr w:rsidR="00D74A88" w:rsidRPr="00FC0326" w14:paraId="30F3D6AA" w14:textId="77777777" w:rsidTr="00EE1B29">
        <w:tc>
          <w:tcPr>
            <w:tcW w:w="4678" w:type="dxa"/>
            <w:gridSpan w:val="2"/>
          </w:tcPr>
          <w:p w14:paraId="09A1A6E8" w14:textId="77777777" w:rsidR="00D74A88" w:rsidRPr="00FC0326" w:rsidRDefault="00D74A88" w:rsidP="006C08DD">
            <w:pPr>
              <w:rPr>
                <w:rFonts w:cs="Times New Roman"/>
                <w:b/>
                <w:bCs/>
                <w:sz w:val="20"/>
                <w:szCs w:val="20"/>
              </w:rPr>
            </w:pPr>
          </w:p>
        </w:tc>
        <w:tc>
          <w:tcPr>
            <w:tcW w:w="1559" w:type="dxa"/>
          </w:tcPr>
          <w:p w14:paraId="198CC6CF" w14:textId="77777777" w:rsidR="00D74A88" w:rsidRPr="00FC0326" w:rsidRDefault="00D74A88" w:rsidP="006C08DD">
            <w:pPr>
              <w:ind w:right="-108"/>
              <w:jc w:val="both"/>
              <w:rPr>
                <w:rFonts w:cs="Times New Roman"/>
                <w:b/>
                <w:bCs/>
                <w:sz w:val="20"/>
                <w:szCs w:val="20"/>
              </w:rPr>
            </w:pPr>
          </w:p>
        </w:tc>
        <w:tc>
          <w:tcPr>
            <w:tcW w:w="9214" w:type="dxa"/>
            <w:gridSpan w:val="5"/>
          </w:tcPr>
          <w:p w14:paraId="48B3B356" w14:textId="77777777" w:rsidR="00D74A88" w:rsidRPr="00FC0326" w:rsidRDefault="00D74A88" w:rsidP="001A4704">
            <w:pPr>
              <w:jc w:val="both"/>
              <w:rPr>
                <w:rFonts w:cs="Times New Roman"/>
                <w:b/>
                <w:bCs/>
                <w:sz w:val="20"/>
                <w:szCs w:val="20"/>
              </w:rPr>
            </w:pPr>
            <w:r w:rsidRPr="00FC0326">
              <w:rPr>
                <w:rFonts w:cs="Times New Roman"/>
                <w:b/>
                <w:bCs/>
                <w:sz w:val="20"/>
                <w:szCs w:val="20"/>
              </w:rPr>
              <w:t xml:space="preserve">3. </w:t>
            </w:r>
            <w:r w:rsidR="001A4704">
              <w:rPr>
                <w:rFonts w:cs="Times New Roman"/>
                <w:b/>
                <w:bCs/>
                <w:sz w:val="20"/>
                <w:szCs w:val="20"/>
              </w:rPr>
              <w:t>S</w:t>
            </w:r>
            <w:r w:rsidRPr="00FC0326">
              <w:rPr>
                <w:rFonts w:cs="Times New Roman"/>
                <w:b/>
                <w:bCs/>
                <w:sz w:val="20"/>
                <w:szCs w:val="20"/>
              </w:rPr>
              <w:t xml:space="preserve">ubjektiem </w:t>
            </w:r>
            <w:r w:rsidR="001A4704">
              <w:rPr>
                <w:rFonts w:cs="Times New Roman"/>
                <w:b/>
                <w:bCs/>
                <w:sz w:val="20"/>
                <w:szCs w:val="20"/>
              </w:rPr>
              <w:t>u</w:t>
            </w:r>
            <w:r w:rsidR="001A4704" w:rsidRPr="001A4704">
              <w:rPr>
                <w:rFonts w:cs="Times New Roman"/>
                <w:b/>
                <w:bCs/>
                <w:sz w:val="20"/>
                <w:szCs w:val="20"/>
              </w:rPr>
              <w:t>zlikt</w:t>
            </w:r>
            <w:r w:rsidR="001A4704">
              <w:rPr>
                <w:rFonts w:cs="Times New Roman"/>
                <w:b/>
                <w:bCs/>
                <w:sz w:val="20"/>
                <w:szCs w:val="20"/>
              </w:rPr>
              <w:t>s</w:t>
            </w:r>
            <w:r w:rsidR="001A4704" w:rsidRPr="001A4704">
              <w:rPr>
                <w:rFonts w:cs="Times New Roman"/>
                <w:b/>
                <w:bCs/>
                <w:sz w:val="20"/>
                <w:szCs w:val="20"/>
              </w:rPr>
              <w:t xml:space="preserve"> par pienākumu </w:t>
            </w:r>
            <w:r w:rsidRPr="00FC0326">
              <w:rPr>
                <w:rFonts w:cs="Times New Roman"/>
                <w:b/>
                <w:bCs/>
                <w:sz w:val="20"/>
                <w:szCs w:val="20"/>
              </w:rPr>
              <w:t>nodrošināt iekšējās kontroles sistēmu izveidi</w:t>
            </w:r>
          </w:p>
        </w:tc>
      </w:tr>
      <w:tr w:rsidR="00D74A88" w:rsidRPr="00FC0326" w14:paraId="1C2C7A5B" w14:textId="77777777" w:rsidTr="00EE1B29">
        <w:tc>
          <w:tcPr>
            <w:tcW w:w="4678" w:type="dxa"/>
            <w:gridSpan w:val="2"/>
          </w:tcPr>
          <w:p w14:paraId="157F0B3B" w14:textId="77777777" w:rsidR="00D74A88" w:rsidRPr="00FC0326" w:rsidRDefault="00D74A88" w:rsidP="006C08DD">
            <w:pPr>
              <w:rPr>
                <w:rFonts w:cs="Times New Roman"/>
                <w:b/>
                <w:bCs/>
                <w:sz w:val="20"/>
                <w:szCs w:val="20"/>
              </w:rPr>
            </w:pPr>
          </w:p>
        </w:tc>
        <w:tc>
          <w:tcPr>
            <w:tcW w:w="1559" w:type="dxa"/>
          </w:tcPr>
          <w:p w14:paraId="45DE973F" w14:textId="77777777" w:rsidR="00D74A88" w:rsidRPr="00FC0326" w:rsidRDefault="00D74A88" w:rsidP="006C08DD">
            <w:pPr>
              <w:ind w:right="-108"/>
              <w:jc w:val="both"/>
              <w:rPr>
                <w:rFonts w:cs="Times New Roman"/>
                <w:b/>
                <w:bCs/>
                <w:sz w:val="20"/>
                <w:szCs w:val="20"/>
              </w:rPr>
            </w:pPr>
          </w:p>
        </w:tc>
        <w:tc>
          <w:tcPr>
            <w:tcW w:w="9214" w:type="dxa"/>
            <w:gridSpan w:val="5"/>
          </w:tcPr>
          <w:p w14:paraId="075D2A4D" w14:textId="77777777" w:rsidR="00D74A88" w:rsidRPr="00FC0326" w:rsidRDefault="00D74A88" w:rsidP="006C08DD">
            <w:pPr>
              <w:jc w:val="both"/>
              <w:rPr>
                <w:rFonts w:cs="Times New Roman"/>
                <w:b/>
                <w:bCs/>
                <w:sz w:val="20"/>
                <w:szCs w:val="20"/>
              </w:rPr>
            </w:pPr>
            <w:r w:rsidRPr="00FC0326">
              <w:rPr>
                <w:rFonts w:cs="Times New Roman"/>
                <w:b/>
                <w:bCs/>
                <w:sz w:val="20"/>
                <w:szCs w:val="20"/>
              </w:rPr>
              <w:t>4. Paplašināt</w:t>
            </w:r>
            <w:r w:rsidR="001A4704">
              <w:rPr>
                <w:rFonts w:cs="Times New Roman"/>
                <w:b/>
                <w:bCs/>
                <w:sz w:val="20"/>
                <w:szCs w:val="20"/>
              </w:rPr>
              <w:t>s</w:t>
            </w:r>
            <w:r w:rsidRPr="00FC0326">
              <w:rPr>
                <w:rFonts w:cs="Times New Roman"/>
                <w:b/>
                <w:bCs/>
                <w:sz w:val="20"/>
                <w:szCs w:val="20"/>
              </w:rPr>
              <w:t xml:space="preserve"> </w:t>
            </w:r>
            <w:r w:rsidRPr="00FC0326">
              <w:rPr>
                <w:rFonts w:cs="Times New Roman"/>
                <w:b/>
                <w:sz w:val="20"/>
                <w:szCs w:val="20"/>
              </w:rPr>
              <w:t>Stratēģiskas nozīmes p</w:t>
            </w:r>
            <w:r w:rsidR="001A4704">
              <w:rPr>
                <w:rFonts w:cs="Times New Roman"/>
                <w:b/>
                <w:sz w:val="20"/>
                <w:szCs w:val="20"/>
              </w:rPr>
              <w:t>reču kontroles komitejas sastāvs</w:t>
            </w:r>
          </w:p>
        </w:tc>
      </w:tr>
      <w:tr w:rsidR="00D74A88" w:rsidRPr="00FC0326" w14:paraId="35194B5D" w14:textId="77777777" w:rsidTr="00EE1B29">
        <w:tc>
          <w:tcPr>
            <w:tcW w:w="4678" w:type="dxa"/>
            <w:gridSpan w:val="2"/>
          </w:tcPr>
          <w:p w14:paraId="715EB93E" w14:textId="77777777" w:rsidR="00D74A88" w:rsidRPr="00FC0326" w:rsidRDefault="00D74A88" w:rsidP="006C08DD">
            <w:pPr>
              <w:rPr>
                <w:rFonts w:cs="Times New Roman"/>
                <w:b/>
                <w:bCs/>
                <w:sz w:val="20"/>
                <w:szCs w:val="20"/>
              </w:rPr>
            </w:pPr>
          </w:p>
        </w:tc>
        <w:tc>
          <w:tcPr>
            <w:tcW w:w="1559" w:type="dxa"/>
          </w:tcPr>
          <w:p w14:paraId="59F5649A" w14:textId="77777777" w:rsidR="00D74A88" w:rsidRPr="00FC0326" w:rsidRDefault="00D74A88" w:rsidP="006C08DD">
            <w:pPr>
              <w:ind w:right="-108"/>
              <w:jc w:val="both"/>
              <w:rPr>
                <w:rFonts w:cs="Times New Roman"/>
                <w:b/>
                <w:bCs/>
                <w:sz w:val="20"/>
                <w:szCs w:val="20"/>
              </w:rPr>
            </w:pPr>
          </w:p>
        </w:tc>
        <w:tc>
          <w:tcPr>
            <w:tcW w:w="9214" w:type="dxa"/>
            <w:gridSpan w:val="5"/>
          </w:tcPr>
          <w:p w14:paraId="36214322" w14:textId="77777777" w:rsidR="00D74A88" w:rsidRPr="00FC0326" w:rsidRDefault="00D74A88" w:rsidP="006C08DD">
            <w:pPr>
              <w:jc w:val="both"/>
              <w:rPr>
                <w:rFonts w:cs="Times New Roman"/>
                <w:b/>
                <w:bCs/>
                <w:sz w:val="20"/>
                <w:szCs w:val="20"/>
              </w:rPr>
            </w:pPr>
            <w:r w:rsidRPr="00FC0326">
              <w:rPr>
                <w:rFonts w:cs="Times New Roman"/>
                <w:b/>
                <w:bCs/>
                <w:sz w:val="20"/>
                <w:szCs w:val="20"/>
              </w:rPr>
              <w:t>5. Attīstīt</w:t>
            </w:r>
            <w:r w:rsidR="001A4704">
              <w:rPr>
                <w:rFonts w:cs="Times New Roman"/>
                <w:b/>
                <w:bCs/>
                <w:sz w:val="20"/>
                <w:szCs w:val="20"/>
              </w:rPr>
              <w:t>a starptautiskā sadarbība</w:t>
            </w:r>
            <w:r w:rsidRPr="00FC0326">
              <w:rPr>
                <w:rFonts w:cs="Times New Roman"/>
                <w:b/>
                <w:bCs/>
                <w:sz w:val="20"/>
                <w:szCs w:val="20"/>
              </w:rPr>
              <w:t xml:space="preserve"> proliferācijas finansēšanas apkarošanā</w:t>
            </w:r>
          </w:p>
        </w:tc>
      </w:tr>
      <w:tr w:rsidR="00D74A88" w:rsidRPr="00FC0326" w14:paraId="7E3A2751" w14:textId="77777777" w:rsidTr="00EE1B29">
        <w:tc>
          <w:tcPr>
            <w:tcW w:w="709" w:type="dxa"/>
          </w:tcPr>
          <w:p w14:paraId="266D0AB9" w14:textId="77777777" w:rsidR="00D74A88" w:rsidRPr="00FC0326" w:rsidRDefault="00D74A88" w:rsidP="006C08DD">
            <w:pPr>
              <w:jc w:val="center"/>
              <w:rPr>
                <w:rFonts w:cs="Times New Roman"/>
                <w:bCs/>
                <w:sz w:val="20"/>
                <w:szCs w:val="20"/>
              </w:rPr>
            </w:pPr>
            <w:r w:rsidRPr="00FC0326">
              <w:rPr>
                <w:rFonts w:cs="Times New Roman"/>
                <w:bCs/>
                <w:sz w:val="20"/>
                <w:szCs w:val="20"/>
              </w:rPr>
              <w:t>Nr. P.k.</w:t>
            </w:r>
          </w:p>
        </w:tc>
        <w:tc>
          <w:tcPr>
            <w:tcW w:w="3969" w:type="dxa"/>
            <w:shd w:val="clear" w:color="auto" w:fill="auto"/>
          </w:tcPr>
          <w:p w14:paraId="4041302D" w14:textId="77777777" w:rsidR="00D74A88" w:rsidRPr="00FC0326" w:rsidRDefault="00D74A88" w:rsidP="006C08DD">
            <w:pPr>
              <w:jc w:val="center"/>
              <w:rPr>
                <w:rFonts w:cs="Times New Roman"/>
                <w:bCs/>
                <w:i/>
                <w:sz w:val="20"/>
                <w:szCs w:val="20"/>
              </w:rPr>
            </w:pPr>
            <w:r w:rsidRPr="00FC0326">
              <w:rPr>
                <w:rFonts w:cs="Times New Roman"/>
                <w:b/>
                <w:bCs/>
                <w:sz w:val="20"/>
                <w:szCs w:val="20"/>
              </w:rPr>
              <w:t>Pasākums</w:t>
            </w:r>
          </w:p>
        </w:tc>
        <w:tc>
          <w:tcPr>
            <w:tcW w:w="1559" w:type="dxa"/>
          </w:tcPr>
          <w:p w14:paraId="1FE20771" w14:textId="77777777" w:rsidR="00D74A88" w:rsidRPr="00FC0326" w:rsidRDefault="00D74A88" w:rsidP="006C08DD">
            <w:pPr>
              <w:ind w:right="-108"/>
              <w:rPr>
                <w:rFonts w:cs="Times New Roman"/>
                <w:b/>
                <w:sz w:val="20"/>
                <w:szCs w:val="20"/>
              </w:rPr>
            </w:pPr>
            <w:r w:rsidRPr="00FC0326">
              <w:rPr>
                <w:rFonts w:cs="Times New Roman"/>
                <w:b/>
                <w:sz w:val="20"/>
                <w:szCs w:val="20"/>
              </w:rPr>
              <w:t xml:space="preserve">Avots </w:t>
            </w:r>
          </w:p>
        </w:tc>
        <w:tc>
          <w:tcPr>
            <w:tcW w:w="2835" w:type="dxa"/>
            <w:shd w:val="clear" w:color="auto" w:fill="auto"/>
          </w:tcPr>
          <w:p w14:paraId="3D442C67" w14:textId="77777777" w:rsidR="00D74A88" w:rsidRPr="00FC0326" w:rsidRDefault="00D74A88" w:rsidP="006C08DD">
            <w:pPr>
              <w:rPr>
                <w:rFonts w:cs="Times New Roman"/>
                <w:b/>
                <w:bCs/>
                <w:i/>
                <w:sz w:val="20"/>
                <w:szCs w:val="20"/>
              </w:rPr>
            </w:pPr>
            <w:r w:rsidRPr="00FC0326">
              <w:rPr>
                <w:rFonts w:cs="Times New Roman"/>
                <w:b/>
                <w:sz w:val="20"/>
                <w:szCs w:val="20"/>
              </w:rPr>
              <w:t>Darbības rezultāts</w:t>
            </w:r>
          </w:p>
        </w:tc>
        <w:tc>
          <w:tcPr>
            <w:tcW w:w="2268" w:type="dxa"/>
          </w:tcPr>
          <w:p w14:paraId="7B6847A7" w14:textId="77777777" w:rsidR="00D74A88" w:rsidRPr="00FC0326" w:rsidRDefault="00D74A88" w:rsidP="006C08DD">
            <w:pPr>
              <w:jc w:val="center"/>
              <w:rPr>
                <w:rFonts w:cs="Times New Roman"/>
                <w:bCs/>
                <w:i/>
                <w:sz w:val="20"/>
                <w:szCs w:val="20"/>
              </w:rPr>
            </w:pPr>
            <w:r w:rsidRPr="00FC0326">
              <w:rPr>
                <w:rFonts w:cs="Times New Roman"/>
                <w:b/>
                <w:sz w:val="20"/>
                <w:szCs w:val="20"/>
              </w:rPr>
              <w:t>Rezultatīvais rādītājs</w:t>
            </w:r>
          </w:p>
        </w:tc>
        <w:tc>
          <w:tcPr>
            <w:tcW w:w="1134" w:type="dxa"/>
            <w:shd w:val="clear" w:color="auto" w:fill="auto"/>
          </w:tcPr>
          <w:p w14:paraId="6A91C282" w14:textId="77777777" w:rsidR="00D74A88" w:rsidRPr="00FC0326" w:rsidRDefault="00D74A88" w:rsidP="006C08DD">
            <w:pPr>
              <w:jc w:val="center"/>
              <w:rPr>
                <w:rFonts w:cs="Times New Roman"/>
                <w:bCs/>
                <w:i/>
                <w:sz w:val="20"/>
                <w:szCs w:val="20"/>
              </w:rPr>
            </w:pPr>
            <w:r w:rsidRPr="00FC0326">
              <w:rPr>
                <w:rFonts w:cs="Times New Roman"/>
                <w:b/>
                <w:bCs/>
                <w:sz w:val="20"/>
                <w:szCs w:val="20"/>
              </w:rPr>
              <w:t>Atbildīgā institūcija</w:t>
            </w:r>
          </w:p>
        </w:tc>
        <w:tc>
          <w:tcPr>
            <w:tcW w:w="1560" w:type="dxa"/>
            <w:shd w:val="clear" w:color="auto" w:fill="auto"/>
          </w:tcPr>
          <w:p w14:paraId="74DFE458" w14:textId="77777777" w:rsidR="00D74A88" w:rsidRPr="00FC0326" w:rsidRDefault="00D74A88" w:rsidP="006C08DD">
            <w:pPr>
              <w:jc w:val="center"/>
              <w:rPr>
                <w:rFonts w:cs="Times New Roman"/>
                <w:bCs/>
                <w:i/>
                <w:sz w:val="20"/>
                <w:szCs w:val="20"/>
              </w:rPr>
            </w:pPr>
            <w:r w:rsidRPr="00FC0326">
              <w:rPr>
                <w:rFonts w:cs="Times New Roman"/>
                <w:b/>
                <w:bCs/>
                <w:sz w:val="20"/>
                <w:szCs w:val="20"/>
              </w:rPr>
              <w:t>Līdzatbildīgās institūcijas</w:t>
            </w:r>
          </w:p>
        </w:tc>
        <w:tc>
          <w:tcPr>
            <w:tcW w:w="1417" w:type="dxa"/>
            <w:shd w:val="clear" w:color="auto" w:fill="auto"/>
          </w:tcPr>
          <w:p w14:paraId="4C47EC1E" w14:textId="77777777" w:rsidR="00D74A88" w:rsidRPr="00FC0326" w:rsidRDefault="00D74A88" w:rsidP="006C08DD">
            <w:pPr>
              <w:jc w:val="center"/>
              <w:rPr>
                <w:rFonts w:cs="Times New Roman"/>
                <w:bCs/>
                <w:i/>
                <w:sz w:val="20"/>
                <w:szCs w:val="20"/>
              </w:rPr>
            </w:pPr>
            <w:r w:rsidRPr="00FC0326">
              <w:rPr>
                <w:rFonts w:cs="Times New Roman"/>
                <w:b/>
                <w:bCs/>
                <w:sz w:val="20"/>
                <w:szCs w:val="20"/>
              </w:rPr>
              <w:t>Izpildes termiņš</w:t>
            </w:r>
          </w:p>
        </w:tc>
      </w:tr>
      <w:tr w:rsidR="00D74A88" w:rsidRPr="00FC0326" w14:paraId="65281924" w14:textId="77777777" w:rsidTr="00EE1B29">
        <w:trPr>
          <w:trHeight w:val="553"/>
        </w:trPr>
        <w:tc>
          <w:tcPr>
            <w:tcW w:w="709" w:type="dxa"/>
            <w:shd w:val="clear" w:color="auto" w:fill="auto"/>
          </w:tcPr>
          <w:p w14:paraId="18034843" w14:textId="77777777" w:rsidR="00D74A88" w:rsidRPr="00FC0326" w:rsidRDefault="003178AC" w:rsidP="006C08DD">
            <w:pPr>
              <w:rPr>
                <w:rFonts w:cs="Times New Roman"/>
                <w:sz w:val="20"/>
                <w:szCs w:val="20"/>
              </w:rPr>
            </w:pPr>
            <w:r w:rsidRPr="00FC0326">
              <w:rPr>
                <w:rFonts w:cs="Times New Roman"/>
                <w:sz w:val="20"/>
                <w:szCs w:val="20"/>
              </w:rPr>
              <w:t>11.1.</w:t>
            </w:r>
          </w:p>
        </w:tc>
        <w:tc>
          <w:tcPr>
            <w:tcW w:w="3969" w:type="dxa"/>
            <w:shd w:val="clear" w:color="auto" w:fill="auto"/>
          </w:tcPr>
          <w:p w14:paraId="50F7F34D" w14:textId="77777777" w:rsidR="00D74A88" w:rsidRPr="00FC0326" w:rsidRDefault="00E508C0">
            <w:pPr>
              <w:jc w:val="both"/>
              <w:rPr>
                <w:rFonts w:cs="Times New Roman"/>
                <w:sz w:val="20"/>
                <w:szCs w:val="20"/>
              </w:rPr>
            </w:pPr>
            <w:r>
              <w:rPr>
                <w:rFonts w:cs="Times New Roman"/>
                <w:sz w:val="20"/>
                <w:szCs w:val="20"/>
              </w:rPr>
              <w:t>P</w:t>
            </w:r>
            <w:r w:rsidR="00D74A88" w:rsidRPr="00FC0326">
              <w:rPr>
                <w:rFonts w:cs="Times New Roman"/>
                <w:sz w:val="20"/>
                <w:szCs w:val="20"/>
              </w:rPr>
              <w:t>ārskat</w:t>
            </w:r>
            <w:r>
              <w:rPr>
                <w:rFonts w:cs="Times New Roman"/>
                <w:sz w:val="20"/>
                <w:szCs w:val="20"/>
              </w:rPr>
              <w:t>īt</w:t>
            </w:r>
            <w:r w:rsidR="00D74A88" w:rsidRPr="00FC0326">
              <w:rPr>
                <w:rFonts w:cs="Times New Roman"/>
                <w:sz w:val="20"/>
                <w:szCs w:val="20"/>
              </w:rPr>
              <w:t xml:space="preserve"> juridisk</w:t>
            </w:r>
            <w:r>
              <w:rPr>
                <w:rFonts w:cs="Times New Roman"/>
                <w:sz w:val="20"/>
                <w:szCs w:val="20"/>
              </w:rPr>
              <w:t>o</w:t>
            </w:r>
            <w:r w:rsidR="00D74A88" w:rsidRPr="00FC0326">
              <w:rPr>
                <w:rFonts w:cs="Times New Roman"/>
                <w:sz w:val="20"/>
                <w:szCs w:val="20"/>
              </w:rPr>
              <w:t xml:space="preserve"> pamat</w:t>
            </w:r>
            <w:r>
              <w:rPr>
                <w:rFonts w:cs="Times New Roman"/>
                <w:sz w:val="20"/>
                <w:szCs w:val="20"/>
              </w:rPr>
              <w:t>u</w:t>
            </w:r>
            <w:r w:rsidR="00D74A88" w:rsidRPr="00FC0326">
              <w:rPr>
                <w:rFonts w:cs="Times New Roman"/>
                <w:sz w:val="20"/>
                <w:szCs w:val="20"/>
              </w:rPr>
              <w:t xml:space="preserve"> finanšu sankciju jomā, novēršot nepilnības tehniskajā atbilstībā</w:t>
            </w:r>
            <w:r w:rsidR="000E5F2F">
              <w:rPr>
                <w:rFonts w:cs="Times New Roman"/>
                <w:sz w:val="20"/>
                <w:szCs w:val="20"/>
              </w:rPr>
              <w:t>, tai skaitā nodal</w:t>
            </w:r>
            <w:r>
              <w:rPr>
                <w:rFonts w:cs="Times New Roman"/>
                <w:sz w:val="20"/>
                <w:szCs w:val="20"/>
              </w:rPr>
              <w:t>o</w:t>
            </w:r>
            <w:r w:rsidR="000E5F2F">
              <w:rPr>
                <w:rFonts w:cs="Times New Roman"/>
                <w:sz w:val="20"/>
                <w:szCs w:val="20"/>
              </w:rPr>
              <w:t>t KD un FKTK kompetenc</w:t>
            </w:r>
            <w:r>
              <w:rPr>
                <w:rFonts w:cs="Times New Roman"/>
                <w:sz w:val="20"/>
                <w:szCs w:val="20"/>
              </w:rPr>
              <w:t xml:space="preserve">i </w:t>
            </w:r>
            <w:r w:rsidR="000E5F2F">
              <w:rPr>
                <w:rFonts w:cs="Times New Roman"/>
                <w:sz w:val="20"/>
                <w:szCs w:val="20"/>
              </w:rPr>
              <w:t>proliferācijas finansēšanas mēģinājumu gadījumos</w:t>
            </w:r>
            <w:r w:rsidR="00D74A88" w:rsidRPr="00FC0326">
              <w:rPr>
                <w:rFonts w:cs="Times New Roman"/>
                <w:sz w:val="20"/>
                <w:szCs w:val="20"/>
              </w:rPr>
              <w:t xml:space="preserve">. </w:t>
            </w:r>
          </w:p>
        </w:tc>
        <w:tc>
          <w:tcPr>
            <w:tcW w:w="1559" w:type="dxa"/>
            <w:shd w:val="clear" w:color="auto" w:fill="auto"/>
          </w:tcPr>
          <w:p w14:paraId="533DBD51" w14:textId="77777777" w:rsidR="00D74A88" w:rsidRPr="00FC0326" w:rsidRDefault="00682580" w:rsidP="00EE1B29">
            <w:pPr>
              <w:ind w:left="-108" w:right="-108"/>
              <w:rPr>
                <w:rFonts w:cs="Times New Roman"/>
                <w:sz w:val="20"/>
                <w:szCs w:val="20"/>
              </w:rPr>
            </w:pPr>
            <w:r w:rsidRPr="00FC0326">
              <w:rPr>
                <w:sz w:val="20"/>
                <w:szCs w:val="20"/>
              </w:rPr>
              <w:t>Moneyval rekomendācija 11.1</w:t>
            </w:r>
            <w:r w:rsidR="00647CDA">
              <w:rPr>
                <w:sz w:val="20"/>
                <w:szCs w:val="20"/>
              </w:rPr>
              <w:t xml:space="preserve">, FATF </w:t>
            </w:r>
            <w:r w:rsidR="008978FB">
              <w:rPr>
                <w:sz w:val="20"/>
                <w:szCs w:val="20"/>
              </w:rPr>
              <w:t>7.</w:t>
            </w:r>
            <w:r w:rsidR="00647CDA">
              <w:rPr>
                <w:sz w:val="20"/>
                <w:szCs w:val="20"/>
              </w:rPr>
              <w:t xml:space="preserve">rekomendācija </w:t>
            </w:r>
          </w:p>
        </w:tc>
        <w:tc>
          <w:tcPr>
            <w:tcW w:w="2835" w:type="dxa"/>
            <w:shd w:val="clear" w:color="auto" w:fill="auto"/>
          </w:tcPr>
          <w:p w14:paraId="0294BF4C" w14:textId="77777777" w:rsidR="00D74A88" w:rsidRPr="00FC0326" w:rsidRDefault="00D74A88" w:rsidP="00EE1B29">
            <w:pPr>
              <w:jc w:val="both"/>
              <w:rPr>
                <w:rFonts w:cs="Times New Roman"/>
                <w:sz w:val="20"/>
                <w:szCs w:val="20"/>
              </w:rPr>
            </w:pPr>
            <w:r w:rsidRPr="00FC0326">
              <w:rPr>
                <w:rFonts w:cs="Times New Roman"/>
                <w:sz w:val="20"/>
                <w:szCs w:val="20"/>
              </w:rPr>
              <w:t>Veikti grozījumi Starptautisko un Latvijas Republikas nacionālo sankciju likumā</w:t>
            </w:r>
            <w:r w:rsidR="00E508C0">
              <w:rPr>
                <w:rFonts w:cs="Times New Roman"/>
                <w:sz w:val="20"/>
                <w:szCs w:val="20"/>
              </w:rPr>
              <w:t xml:space="preserve"> un </w:t>
            </w:r>
            <w:r w:rsidR="000E5F2F">
              <w:rPr>
                <w:rFonts w:cs="Times New Roman"/>
                <w:sz w:val="20"/>
                <w:szCs w:val="20"/>
              </w:rPr>
              <w:t xml:space="preserve"> </w:t>
            </w:r>
            <w:r w:rsidRPr="00FC0326">
              <w:rPr>
                <w:rFonts w:cs="Times New Roman"/>
                <w:sz w:val="20"/>
                <w:szCs w:val="20"/>
              </w:rPr>
              <w:t xml:space="preserve">saskaņā ar </w:t>
            </w:r>
            <w:r w:rsidR="00E508C0">
              <w:rPr>
                <w:rFonts w:cs="Times New Roman"/>
                <w:sz w:val="20"/>
                <w:szCs w:val="20"/>
              </w:rPr>
              <w:t>normatīvo regulējumu</w:t>
            </w:r>
            <w:r w:rsidR="00E508C0" w:rsidRPr="00FC0326">
              <w:rPr>
                <w:rFonts w:cs="Times New Roman"/>
                <w:sz w:val="20"/>
                <w:szCs w:val="20"/>
              </w:rPr>
              <w:t xml:space="preserve"> </w:t>
            </w:r>
            <w:r w:rsidRPr="00FC0326">
              <w:rPr>
                <w:rFonts w:cs="Times New Roman"/>
                <w:sz w:val="20"/>
                <w:szCs w:val="20"/>
              </w:rPr>
              <w:t>KD var veikt iesaldēšanu proliferācijas gadījumos.</w:t>
            </w:r>
          </w:p>
        </w:tc>
        <w:tc>
          <w:tcPr>
            <w:tcW w:w="2268" w:type="dxa"/>
            <w:shd w:val="clear" w:color="auto" w:fill="auto"/>
          </w:tcPr>
          <w:p w14:paraId="1F7B652F" w14:textId="77777777" w:rsidR="00D74A88" w:rsidRPr="00FC0326" w:rsidRDefault="00D74A88" w:rsidP="00EE1B29">
            <w:pPr>
              <w:jc w:val="both"/>
              <w:rPr>
                <w:rFonts w:cs="Times New Roman"/>
                <w:sz w:val="20"/>
                <w:szCs w:val="20"/>
              </w:rPr>
            </w:pPr>
            <w:r w:rsidRPr="00FC0326">
              <w:rPr>
                <w:rFonts w:cs="Times New Roman"/>
                <w:sz w:val="20"/>
                <w:szCs w:val="20"/>
              </w:rPr>
              <w:t>Grozījumi Sankciju un NILLTFN likum</w:t>
            </w:r>
            <w:r w:rsidR="00E508C0">
              <w:rPr>
                <w:rFonts w:cs="Times New Roman"/>
                <w:sz w:val="20"/>
                <w:szCs w:val="20"/>
              </w:rPr>
              <w:t>ā</w:t>
            </w:r>
            <w:r w:rsidRPr="00FC0326">
              <w:rPr>
                <w:rFonts w:cs="Times New Roman"/>
                <w:sz w:val="20"/>
                <w:szCs w:val="20"/>
              </w:rPr>
              <w:t>, veikti grozījumi attiecīgajos MK noteikumos.</w:t>
            </w:r>
          </w:p>
        </w:tc>
        <w:tc>
          <w:tcPr>
            <w:tcW w:w="1134" w:type="dxa"/>
            <w:shd w:val="clear" w:color="auto" w:fill="auto"/>
          </w:tcPr>
          <w:p w14:paraId="5BE573BF" w14:textId="77777777" w:rsidR="00D74A88" w:rsidRPr="00FC0326" w:rsidRDefault="00D74A88" w:rsidP="008978FB">
            <w:pPr>
              <w:jc w:val="center"/>
              <w:rPr>
                <w:rFonts w:cs="Times New Roman"/>
                <w:sz w:val="20"/>
                <w:szCs w:val="20"/>
              </w:rPr>
            </w:pPr>
            <w:r w:rsidRPr="00FC0326">
              <w:rPr>
                <w:sz w:val="20"/>
                <w:szCs w:val="20"/>
              </w:rPr>
              <w:t>ĀM</w:t>
            </w:r>
            <w:r w:rsidR="000E5F2F">
              <w:rPr>
                <w:sz w:val="20"/>
                <w:szCs w:val="20"/>
              </w:rPr>
              <w:t>, FM</w:t>
            </w:r>
          </w:p>
        </w:tc>
        <w:tc>
          <w:tcPr>
            <w:tcW w:w="1560" w:type="dxa"/>
            <w:shd w:val="clear" w:color="auto" w:fill="auto"/>
          </w:tcPr>
          <w:p w14:paraId="0C9655A9" w14:textId="77777777" w:rsidR="00D74A88" w:rsidRPr="00FC0326" w:rsidRDefault="00D74A88" w:rsidP="008978FB">
            <w:pPr>
              <w:jc w:val="center"/>
              <w:rPr>
                <w:rFonts w:cs="Times New Roman"/>
                <w:sz w:val="20"/>
                <w:szCs w:val="20"/>
              </w:rPr>
            </w:pPr>
            <w:r w:rsidRPr="00FC0326">
              <w:rPr>
                <w:rFonts w:cs="Times New Roman"/>
                <w:sz w:val="20"/>
                <w:szCs w:val="20"/>
              </w:rPr>
              <w:t>FKTK, KD</w:t>
            </w:r>
            <w:r w:rsidR="000E5F2F">
              <w:rPr>
                <w:rFonts w:cs="Times New Roman"/>
                <w:sz w:val="20"/>
                <w:szCs w:val="20"/>
              </w:rPr>
              <w:t>, VID, PTAC</w:t>
            </w:r>
          </w:p>
        </w:tc>
        <w:tc>
          <w:tcPr>
            <w:tcW w:w="1417" w:type="dxa"/>
            <w:shd w:val="clear" w:color="auto" w:fill="auto"/>
          </w:tcPr>
          <w:p w14:paraId="7E60DDC0" w14:textId="77777777" w:rsidR="00D74A88" w:rsidRPr="00FC0326" w:rsidRDefault="000E5F2F" w:rsidP="008978FB">
            <w:pPr>
              <w:jc w:val="center"/>
              <w:rPr>
                <w:rFonts w:cs="Times New Roman"/>
                <w:sz w:val="20"/>
                <w:szCs w:val="20"/>
              </w:rPr>
            </w:pPr>
            <w:r>
              <w:rPr>
                <w:rFonts w:cs="Times New Roman"/>
                <w:sz w:val="20"/>
                <w:szCs w:val="20"/>
              </w:rPr>
              <w:t>2019.gada 1.jū</w:t>
            </w:r>
            <w:r w:rsidR="00066513">
              <w:rPr>
                <w:rFonts w:cs="Times New Roman"/>
                <w:sz w:val="20"/>
                <w:szCs w:val="20"/>
              </w:rPr>
              <w:t>l</w:t>
            </w:r>
            <w:r>
              <w:rPr>
                <w:rFonts w:cs="Times New Roman"/>
                <w:sz w:val="20"/>
                <w:szCs w:val="20"/>
              </w:rPr>
              <w:t>ijs</w:t>
            </w:r>
          </w:p>
        </w:tc>
      </w:tr>
      <w:tr w:rsidR="00D74A88" w:rsidRPr="00FC0326" w14:paraId="128F67FD" w14:textId="77777777" w:rsidTr="00EE1B29">
        <w:trPr>
          <w:trHeight w:val="554"/>
        </w:trPr>
        <w:tc>
          <w:tcPr>
            <w:tcW w:w="709" w:type="dxa"/>
            <w:shd w:val="clear" w:color="auto" w:fill="auto"/>
          </w:tcPr>
          <w:p w14:paraId="4E5966CC" w14:textId="77777777" w:rsidR="00D74A88" w:rsidRPr="00FC0326" w:rsidRDefault="00FC38AD" w:rsidP="006C08DD">
            <w:pPr>
              <w:rPr>
                <w:rFonts w:cs="Times New Roman"/>
                <w:sz w:val="20"/>
                <w:szCs w:val="20"/>
              </w:rPr>
            </w:pPr>
            <w:r w:rsidRPr="00FC0326">
              <w:rPr>
                <w:rFonts w:cs="Times New Roman"/>
                <w:sz w:val="20"/>
                <w:szCs w:val="20"/>
              </w:rPr>
              <w:lastRenderedPageBreak/>
              <w:t>11.2.</w:t>
            </w:r>
          </w:p>
        </w:tc>
        <w:tc>
          <w:tcPr>
            <w:tcW w:w="3969" w:type="dxa"/>
            <w:shd w:val="clear" w:color="auto" w:fill="auto"/>
          </w:tcPr>
          <w:p w14:paraId="56C98F74" w14:textId="77777777" w:rsidR="00D74A88" w:rsidRPr="00FC0326" w:rsidRDefault="00D74A88" w:rsidP="000E5F2F">
            <w:pPr>
              <w:jc w:val="both"/>
              <w:rPr>
                <w:sz w:val="20"/>
                <w:szCs w:val="20"/>
              </w:rPr>
            </w:pPr>
            <w:r w:rsidRPr="00FC0326">
              <w:rPr>
                <w:sz w:val="20"/>
                <w:szCs w:val="20"/>
              </w:rPr>
              <w:t xml:space="preserve">Noteikt </w:t>
            </w:r>
            <w:r w:rsidR="000E5F2F">
              <w:rPr>
                <w:sz w:val="20"/>
                <w:szCs w:val="20"/>
              </w:rPr>
              <w:t xml:space="preserve">likuma subjektiem </w:t>
            </w:r>
            <w:r w:rsidRPr="00FC0326">
              <w:rPr>
                <w:sz w:val="20"/>
                <w:szCs w:val="20"/>
              </w:rPr>
              <w:t>prasības attiecībā uz sankciju riska pārvaldīšanas iekšējās kontroles sistēmas izveidi un kontroli.</w:t>
            </w:r>
          </w:p>
        </w:tc>
        <w:tc>
          <w:tcPr>
            <w:tcW w:w="1559" w:type="dxa"/>
            <w:shd w:val="clear" w:color="auto" w:fill="auto"/>
          </w:tcPr>
          <w:p w14:paraId="0D912BD6" w14:textId="77777777" w:rsidR="00D74A88" w:rsidRPr="00FC0326" w:rsidRDefault="00FC38AD" w:rsidP="006C08DD">
            <w:pPr>
              <w:jc w:val="both"/>
              <w:rPr>
                <w:sz w:val="20"/>
                <w:szCs w:val="20"/>
              </w:rPr>
            </w:pPr>
            <w:r w:rsidRPr="00FC0326">
              <w:rPr>
                <w:sz w:val="20"/>
                <w:szCs w:val="20"/>
              </w:rPr>
              <w:t>Moneyval rekomendācija 11.1</w:t>
            </w:r>
          </w:p>
        </w:tc>
        <w:tc>
          <w:tcPr>
            <w:tcW w:w="2835" w:type="dxa"/>
            <w:shd w:val="clear" w:color="auto" w:fill="auto"/>
          </w:tcPr>
          <w:p w14:paraId="154B6A4A" w14:textId="77777777" w:rsidR="00D74A88" w:rsidRPr="00FC0326" w:rsidRDefault="00D74A88" w:rsidP="00066513">
            <w:pPr>
              <w:jc w:val="both"/>
              <w:rPr>
                <w:sz w:val="20"/>
                <w:szCs w:val="20"/>
              </w:rPr>
            </w:pPr>
            <w:r w:rsidRPr="00FC0326">
              <w:rPr>
                <w:sz w:val="20"/>
                <w:szCs w:val="20"/>
              </w:rPr>
              <w:t>Veicināta iekšējās kontroles sistēmas pilnveidošana, lai nodrošinātu terorisma finansēšanas novēršanu un sankciju prasību izpildi.</w:t>
            </w:r>
          </w:p>
        </w:tc>
        <w:tc>
          <w:tcPr>
            <w:tcW w:w="2268" w:type="dxa"/>
            <w:shd w:val="clear" w:color="auto" w:fill="auto"/>
          </w:tcPr>
          <w:p w14:paraId="09395F8B" w14:textId="77777777" w:rsidR="00D74A88" w:rsidRPr="00FC0326" w:rsidRDefault="00A3110B" w:rsidP="00EE1B29">
            <w:pPr>
              <w:jc w:val="both"/>
              <w:rPr>
                <w:sz w:val="20"/>
                <w:szCs w:val="20"/>
              </w:rPr>
            </w:pPr>
            <w:r>
              <w:rPr>
                <w:sz w:val="20"/>
                <w:szCs w:val="20"/>
              </w:rPr>
              <w:t>Atbilstoši sankciju likuma grozījumiem (12.07.2018.), i</w:t>
            </w:r>
            <w:r w:rsidR="00D74A88" w:rsidRPr="00FC0326">
              <w:rPr>
                <w:sz w:val="20"/>
                <w:szCs w:val="20"/>
              </w:rPr>
              <w:t xml:space="preserve">zstrādāti normatīvie noteikumi </w:t>
            </w:r>
            <w:r>
              <w:rPr>
                <w:sz w:val="20"/>
                <w:szCs w:val="20"/>
              </w:rPr>
              <w:t xml:space="preserve">un vadlīnijas likuma subjektiem </w:t>
            </w:r>
          </w:p>
        </w:tc>
        <w:tc>
          <w:tcPr>
            <w:tcW w:w="1134" w:type="dxa"/>
            <w:shd w:val="clear" w:color="auto" w:fill="auto"/>
          </w:tcPr>
          <w:p w14:paraId="791315FC" w14:textId="77777777" w:rsidR="00065366" w:rsidRDefault="00D74A88" w:rsidP="008978FB">
            <w:pPr>
              <w:jc w:val="center"/>
              <w:rPr>
                <w:sz w:val="20"/>
                <w:szCs w:val="20"/>
              </w:rPr>
            </w:pPr>
            <w:r w:rsidRPr="00FC0326">
              <w:rPr>
                <w:sz w:val="20"/>
                <w:szCs w:val="20"/>
              </w:rPr>
              <w:t>FKTK</w:t>
            </w:r>
            <w:r w:rsidR="00A3110B">
              <w:rPr>
                <w:sz w:val="20"/>
                <w:szCs w:val="20"/>
              </w:rPr>
              <w:t>,</w:t>
            </w:r>
          </w:p>
          <w:p w14:paraId="6C3F511E" w14:textId="77777777" w:rsidR="00D74A88" w:rsidRPr="00FC0326" w:rsidRDefault="00A3110B" w:rsidP="008978FB">
            <w:pPr>
              <w:jc w:val="center"/>
              <w:rPr>
                <w:sz w:val="20"/>
                <w:szCs w:val="20"/>
              </w:rPr>
            </w:pPr>
            <w:r>
              <w:rPr>
                <w:sz w:val="20"/>
                <w:szCs w:val="20"/>
              </w:rPr>
              <w:t>VID, PTAC</w:t>
            </w:r>
          </w:p>
        </w:tc>
        <w:tc>
          <w:tcPr>
            <w:tcW w:w="1560" w:type="dxa"/>
            <w:shd w:val="clear" w:color="auto" w:fill="auto"/>
          </w:tcPr>
          <w:p w14:paraId="5417CD61" w14:textId="77777777" w:rsidR="00D74A88" w:rsidRPr="00FC0326" w:rsidRDefault="00D74A88" w:rsidP="008978FB">
            <w:pPr>
              <w:jc w:val="center"/>
              <w:rPr>
                <w:sz w:val="20"/>
                <w:szCs w:val="20"/>
              </w:rPr>
            </w:pPr>
          </w:p>
        </w:tc>
        <w:tc>
          <w:tcPr>
            <w:tcW w:w="1417" w:type="dxa"/>
            <w:shd w:val="clear" w:color="auto" w:fill="auto"/>
          </w:tcPr>
          <w:p w14:paraId="302EE838" w14:textId="77777777" w:rsidR="00D74A88" w:rsidRPr="00FC0326" w:rsidRDefault="00D74A88" w:rsidP="008978FB">
            <w:pPr>
              <w:jc w:val="center"/>
              <w:rPr>
                <w:sz w:val="20"/>
                <w:szCs w:val="20"/>
              </w:rPr>
            </w:pPr>
            <w:r w:rsidRPr="00FC0326">
              <w:rPr>
                <w:sz w:val="20"/>
                <w:szCs w:val="20"/>
              </w:rPr>
              <w:t>2019.</w:t>
            </w:r>
            <w:r w:rsidR="00FC38AD" w:rsidRPr="00FC0326">
              <w:rPr>
                <w:sz w:val="20"/>
                <w:szCs w:val="20"/>
              </w:rPr>
              <w:t>gada 1.</w:t>
            </w:r>
            <w:r w:rsidR="00A3110B">
              <w:rPr>
                <w:sz w:val="20"/>
                <w:szCs w:val="20"/>
              </w:rPr>
              <w:t>maijs</w:t>
            </w:r>
          </w:p>
        </w:tc>
      </w:tr>
      <w:tr w:rsidR="00D74A88" w:rsidRPr="00FC0326" w14:paraId="6120E989" w14:textId="77777777" w:rsidTr="00EE1B29">
        <w:trPr>
          <w:trHeight w:val="1906"/>
        </w:trPr>
        <w:tc>
          <w:tcPr>
            <w:tcW w:w="709" w:type="dxa"/>
            <w:shd w:val="clear" w:color="auto" w:fill="auto"/>
          </w:tcPr>
          <w:p w14:paraId="22951EDE" w14:textId="77777777" w:rsidR="00D74A88" w:rsidRPr="00FC0326" w:rsidRDefault="00FC38AD" w:rsidP="008978FB">
            <w:pPr>
              <w:rPr>
                <w:rFonts w:cs="Times New Roman"/>
                <w:sz w:val="20"/>
                <w:szCs w:val="20"/>
              </w:rPr>
            </w:pPr>
            <w:r w:rsidRPr="00FC0326">
              <w:rPr>
                <w:rFonts w:cs="Times New Roman"/>
                <w:sz w:val="20"/>
                <w:szCs w:val="20"/>
              </w:rPr>
              <w:t>11.</w:t>
            </w:r>
            <w:r w:rsidR="008978FB">
              <w:rPr>
                <w:rFonts w:cs="Times New Roman"/>
                <w:sz w:val="20"/>
                <w:szCs w:val="20"/>
              </w:rPr>
              <w:t>3</w:t>
            </w:r>
            <w:r w:rsidRPr="00FC0326">
              <w:rPr>
                <w:rFonts w:cs="Times New Roman"/>
                <w:sz w:val="20"/>
                <w:szCs w:val="20"/>
              </w:rPr>
              <w:t>.</w:t>
            </w:r>
          </w:p>
        </w:tc>
        <w:tc>
          <w:tcPr>
            <w:tcW w:w="3969" w:type="dxa"/>
            <w:shd w:val="clear" w:color="auto" w:fill="auto"/>
          </w:tcPr>
          <w:p w14:paraId="4DCDE8D7" w14:textId="77777777" w:rsidR="00D74A88" w:rsidRPr="00FC0326" w:rsidRDefault="00D74A88" w:rsidP="006C08DD">
            <w:pPr>
              <w:jc w:val="both"/>
              <w:rPr>
                <w:rFonts w:cs="Times New Roman"/>
                <w:sz w:val="20"/>
                <w:szCs w:val="20"/>
              </w:rPr>
            </w:pPr>
            <w:r w:rsidRPr="00FC0326">
              <w:rPr>
                <w:rFonts w:cs="Times New Roman"/>
                <w:sz w:val="20"/>
                <w:szCs w:val="20"/>
              </w:rPr>
              <w:t xml:space="preserve">Pilnveidot tiesisko bāzi iesaldēšanai, nodrošinot iespēju KD iesaldēt uz nenoteiktu laiku. </w:t>
            </w:r>
          </w:p>
        </w:tc>
        <w:tc>
          <w:tcPr>
            <w:tcW w:w="1559" w:type="dxa"/>
            <w:shd w:val="clear" w:color="auto" w:fill="auto"/>
          </w:tcPr>
          <w:p w14:paraId="6F6A50CD" w14:textId="77777777" w:rsidR="00D74A88" w:rsidRPr="00FC0326" w:rsidRDefault="00FC38AD" w:rsidP="00EE1B29">
            <w:pPr>
              <w:ind w:left="-108" w:right="-108"/>
              <w:rPr>
                <w:rFonts w:cs="Times New Roman"/>
                <w:sz w:val="20"/>
                <w:szCs w:val="20"/>
              </w:rPr>
            </w:pPr>
            <w:r w:rsidRPr="00FC0326">
              <w:rPr>
                <w:sz w:val="20"/>
                <w:szCs w:val="20"/>
              </w:rPr>
              <w:t>Moneyval rekomendācija 11.1.</w:t>
            </w:r>
          </w:p>
        </w:tc>
        <w:tc>
          <w:tcPr>
            <w:tcW w:w="2835" w:type="dxa"/>
            <w:shd w:val="clear" w:color="auto" w:fill="auto"/>
          </w:tcPr>
          <w:p w14:paraId="5CAABA5D" w14:textId="77777777" w:rsidR="00D74A88" w:rsidRPr="00FC0326" w:rsidRDefault="00066513" w:rsidP="00EE1B29">
            <w:pPr>
              <w:jc w:val="both"/>
              <w:rPr>
                <w:rFonts w:cs="Times New Roman"/>
                <w:sz w:val="20"/>
                <w:szCs w:val="20"/>
              </w:rPr>
            </w:pPr>
            <w:r>
              <w:rPr>
                <w:rFonts w:cs="Times New Roman"/>
                <w:sz w:val="20"/>
                <w:szCs w:val="20"/>
              </w:rPr>
              <w:t>KD ir tiesīgs pieņemt sankciju izpildei nepieciešamos lēmumus, tostarp finanšu un kapitāla tirgus dalībniekiem saistošus, par pastāvīgu finanšu līdzekļu iesaldēšanu terorisma finansēšanas vai proliferācijas finansēšanas gadījumos</w:t>
            </w:r>
            <w:r w:rsidR="00CF2236">
              <w:rPr>
                <w:rFonts w:cs="Times New Roman"/>
                <w:sz w:val="20"/>
                <w:szCs w:val="20"/>
              </w:rPr>
              <w:t>.</w:t>
            </w:r>
          </w:p>
        </w:tc>
        <w:tc>
          <w:tcPr>
            <w:tcW w:w="2268" w:type="dxa"/>
            <w:shd w:val="clear" w:color="auto" w:fill="auto"/>
          </w:tcPr>
          <w:p w14:paraId="1CBC5F39" w14:textId="77777777" w:rsidR="00D74A88" w:rsidRPr="00FC0326" w:rsidRDefault="00CF2236" w:rsidP="00EE1B29">
            <w:pPr>
              <w:jc w:val="both"/>
              <w:rPr>
                <w:rFonts w:cs="Times New Roman"/>
                <w:sz w:val="20"/>
                <w:szCs w:val="20"/>
              </w:rPr>
            </w:pPr>
            <w:r>
              <w:rPr>
                <w:rFonts w:cs="Times New Roman"/>
                <w:sz w:val="20"/>
                <w:szCs w:val="20"/>
              </w:rPr>
              <w:t>Sagatavoti atbilstoši normatīvo aktu grozījumi.</w:t>
            </w:r>
          </w:p>
        </w:tc>
        <w:tc>
          <w:tcPr>
            <w:tcW w:w="1134" w:type="dxa"/>
            <w:shd w:val="clear" w:color="auto" w:fill="auto"/>
          </w:tcPr>
          <w:p w14:paraId="019DD498" w14:textId="77777777" w:rsidR="00D74A88" w:rsidRPr="00FC0326" w:rsidRDefault="00D74A88" w:rsidP="008978FB">
            <w:pPr>
              <w:jc w:val="center"/>
              <w:rPr>
                <w:sz w:val="20"/>
                <w:szCs w:val="20"/>
              </w:rPr>
            </w:pPr>
            <w:r w:rsidRPr="00FC0326">
              <w:rPr>
                <w:sz w:val="20"/>
                <w:szCs w:val="20"/>
              </w:rPr>
              <w:t>FM, ĀM</w:t>
            </w:r>
          </w:p>
        </w:tc>
        <w:tc>
          <w:tcPr>
            <w:tcW w:w="1560" w:type="dxa"/>
            <w:shd w:val="clear" w:color="auto" w:fill="auto"/>
          </w:tcPr>
          <w:p w14:paraId="1EF17841" w14:textId="77777777" w:rsidR="00D74A88" w:rsidRPr="00FC0326" w:rsidRDefault="00D74A88" w:rsidP="008978FB">
            <w:pPr>
              <w:jc w:val="center"/>
              <w:rPr>
                <w:rFonts w:cs="Times New Roman"/>
                <w:sz w:val="20"/>
                <w:szCs w:val="20"/>
              </w:rPr>
            </w:pPr>
            <w:r w:rsidRPr="00FC0326">
              <w:rPr>
                <w:rFonts w:cs="Times New Roman"/>
                <w:sz w:val="20"/>
                <w:szCs w:val="20"/>
              </w:rPr>
              <w:t xml:space="preserve">KD, </w:t>
            </w:r>
            <w:r w:rsidR="000344B8" w:rsidRPr="00FC0326">
              <w:rPr>
                <w:rFonts w:cs="Times New Roman"/>
                <w:sz w:val="20"/>
                <w:szCs w:val="20"/>
              </w:rPr>
              <w:t xml:space="preserve">FKTK, VID, PTAC, LB, IAUI, LZAP, LZNP, LZRA, </w:t>
            </w:r>
            <w:r w:rsidR="0090763B">
              <w:rPr>
                <w:rFonts w:cs="Times New Roman"/>
                <w:sz w:val="20"/>
                <w:szCs w:val="20"/>
              </w:rPr>
              <w:t>NKMP</w:t>
            </w:r>
          </w:p>
        </w:tc>
        <w:tc>
          <w:tcPr>
            <w:tcW w:w="1417" w:type="dxa"/>
            <w:shd w:val="clear" w:color="auto" w:fill="auto"/>
          </w:tcPr>
          <w:p w14:paraId="309F0F76" w14:textId="77777777" w:rsidR="00D74A88" w:rsidRPr="00FC0326" w:rsidRDefault="00997FDE" w:rsidP="008978FB">
            <w:pPr>
              <w:jc w:val="center"/>
              <w:rPr>
                <w:rFonts w:cs="Times New Roman"/>
                <w:sz w:val="20"/>
                <w:szCs w:val="20"/>
              </w:rPr>
            </w:pPr>
            <w:r>
              <w:rPr>
                <w:rFonts w:cs="Times New Roman"/>
                <w:sz w:val="20"/>
                <w:szCs w:val="20"/>
              </w:rPr>
              <w:t>2019</w:t>
            </w:r>
            <w:r w:rsidR="008773FA" w:rsidRPr="00FC0326">
              <w:rPr>
                <w:rFonts w:cs="Times New Roman"/>
                <w:sz w:val="20"/>
                <w:szCs w:val="20"/>
              </w:rPr>
              <w:t>.gada 1.</w:t>
            </w:r>
            <w:r>
              <w:rPr>
                <w:rFonts w:cs="Times New Roman"/>
                <w:sz w:val="20"/>
                <w:szCs w:val="20"/>
              </w:rPr>
              <w:t>jūnijs</w:t>
            </w:r>
          </w:p>
        </w:tc>
      </w:tr>
      <w:tr w:rsidR="00D74A88" w:rsidRPr="00FC0326" w14:paraId="30DDEB8F" w14:textId="77777777" w:rsidTr="00EE1B29">
        <w:trPr>
          <w:trHeight w:val="841"/>
        </w:trPr>
        <w:tc>
          <w:tcPr>
            <w:tcW w:w="709" w:type="dxa"/>
            <w:shd w:val="clear" w:color="auto" w:fill="auto"/>
          </w:tcPr>
          <w:p w14:paraId="46AC0FCA" w14:textId="77777777" w:rsidR="00D74A88" w:rsidRPr="00FC0326" w:rsidRDefault="008978FB" w:rsidP="006C08DD">
            <w:pPr>
              <w:rPr>
                <w:rFonts w:cs="Times New Roman"/>
                <w:sz w:val="20"/>
                <w:szCs w:val="20"/>
              </w:rPr>
            </w:pPr>
            <w:r>
              <w:rPr>
                <w:rFonts w:cs="Times New Roman"/>
                <w:sz w:val="20"/>
                <w:szCs w:val="20"/>
              </w:rPr>
              <w:t>11.4</w:t>
            </w:r>
            <w:r w:rsidR="008773FA" w:rsidRPr="00FC0326">
              <w:rPr>
                <w:rFonts w:cs="Times New Roman"/>
                <w:sz w:val="20"/>
                <w:szCs w:val="20"/>
              </w:rPr>
              <w:t>.</w:t>
            </w:r>
          </w:p>
        </w:tc>
        <w:tc>
          <w:tcPr>
            <w:tcW w:w="3969" w:type="dxa"/>
            <w:shd w:val="clear" w:color="auto" w:fill="auto"/>
          </w:tcPr>
          <w:p w14:paraId="51E68077" w14:textId="77777777" w:rsidR="00D74A88" w:rsidRPr="00FC0326" w:rsidRDefault="00D74A88" w:rsidP="006C08DD">
            <w:pPr>
              <w:jc w:val="both"/>
              <w:rPr>
                <w:rFonts w:cs="Times New Roman"/>
                <w:sz w:val="20"/>
                <w:szCs w:val="20"/>
              </w:rPr>
            </w:pPr>
            <w:r w:rsidRPr="00FC0326">
              <w:rPr>
                <w:rFonts w:cs="Times New Roman"/>
                <w:sz w:val="20"/>
                <w:szCs w:val="20"/>
              </w:rPr>
              <w:t xml:space="preserve">Palielināt informācijas sniegšanu un regulējumu </w:t>
            </w:r>
            <w:r w:rsidRPr="00FC0326">
              <w:rPr>
                <w:rFonts w:cs="Times New Roman"/>
                <w:b/>
                <w:sz w:val="20"/>
                <w:szCs w:val="20"/>
              </w:rPr>
              <w:t>visiem</w:t>
            </w:r>
            <w:r w:rsidRPr="00FC0326">
              <w:rPr>
                <w:rFonts w:cs="Times New Roman"/>
                <w:sz w:val="20"/>
                <w:szCs w:val="20"/>
              </w:rPr>
              <w:t xml:space="preserve"> likuma subjektiem, lai nodrošinātu to, ka tiek izstrādātas un ieviestas iekšējās kontroles sistēmas, kas spēj noteikt potenciālo proliferācijas aktivitāti, ņemot vērā attīstības tendences attiecībā uz proliferācijas sankciju apiešanu un Latvijas proliferācijas finansēšanas ievainojamību. </w:t>
            </w:r>
          </w:p>
          <w:p w14:paraId="12DB2508" w14:textId="77777777" w:rsidR="00D74A88" w:rsidRPr="00FC0326" w:rsidRDefault="00D74A88" w:rsidP="006C08DD">
            <w:pPr>
              <w:rPr>
                <w:rFonts w:cs="Times New Roman"/>
                <w:sz w:val="20"/>
                <w:szCs w:val="20"/>
              </w:rPr>
            </w:pPr>
          </w:p>
        </w:tc>
        <w:tc>
          <w:tcPr>
            <w:tcW w:w="1559" w:type="dxa"/>
            <w:shd w:val="clear" w:color="auto" w:fill="auto"/>
          </w:tcPr>
          <w:p w14:paraId="7C28688A" w14:textId="77777777" w:rsidR="00D74A88" w:rsidRPr="00FC0326" w:rsidRDefault="00FC38AD" w:rsidP="00EE1B29">
            <w:pPr>
              <w:ind w:left="-108" w:right="-108"/>
              <w:rPr>
                <w:rFonts w:cs="Times New Roman"/>
                <w:sz w:val="20"/>
                <w:szCs w:val="20"/>
              </w:rPr>
            </w:pPr>
            <w:r w:rsidRPr="00FC0326">
              <w:rPr>
                <w:sz w:val="20"/>
                <w:szCs w:val="20"/>
              </w:rPr>
              <w:t>Moneyval rekomendācija 11.3.</w:t>
            </w:r>
          </w:p>
        </w:tc>
        <w:tc>
          <w:tcPr>
            <w:tcW w:w="2835" w:type="dxa"/>
            <w:shd w:val="clear" w:color="auto" w:fill="auto"/>
          </w:tcPr>
          <w:p w14:paraId="353F5EA9" w14:textId="77777777" w:rsidR="00D74A88" w:rsidRPr="00FC0326" w:rsidRDefault="00D74A88" w:rsidP="00EE1B29">
            <w:pPr>
              <w:jc w:val="both"/>
              <w:rPr>
                <w:rFonts w:cs="Times New Roman"/>
                <w:sz w:val="20"/>
                <w:szCs w:val="20"/>
              </w:rPr>
            </w:pPr>
            <w:r w:rsidRPr="00FC0326">
              <w:rPr>
                <w:rFonts w:cs="Times New Roman"/>
                <w:sz w:val="20"/>
                <w:szCs w:val="20"/>
              </w:rPr>
              <w:t>Institūciju sadarbība informatīvu pasākumu rīkošanā.</w:t>
            </w:r>
          </w:p>
        </w:tc>
        <w:tc>
          <w:tcPr>
            <w:tcW w:w="2268" w:type="dxa"/>
            <w:shd w:val="clear" w:color="auto" w:fill="auto"/>
          </w:tcPr>
          <w:p w14:paraId="5B1F3BDB" w14:textId="77777777" w:rsidR="00D74A88" w:rsidRPr="00FC0326" w:rsidRDefault="00D74A88" w:rsidP="00EE1B29">
            <w:pPr>
              <w:jc w:val="both"/>
              <w:rPr>
                <w:rFonts w:cs="Times New Roman"/>
                <w:sz w:val="20"/>
                <w:szCs w:val="20"/>
              </w:rPr>
            </w:pPr>
            <w:r w:rsidRPr="00FC0326">
              <w:rPr>
                <w:rFonts w:cs="Times New Roman"/>
                <w:sz w:val="20"/>
                <w:szCs w:val="20"/>
              </w:rPr>
              <w:t>Informatīvi pasākumi par risku novērtējumu, iekšējās kontroles sistēmu nepieciešamību. Administratīvie sodi par iekšējās kontroles neesamību. (preventīvi pasākumi).</w:t>
            </w:r>
          </w:p>
        </w:tc>
        <w:tc>
          <w:tcPr>
            <w:tcW w:w="1134" w:type="dxa"/>
            <w:shd w:val="clear" w:color="auto" w:fill="auto"/>
          </w:tcPr>
          <w:p w14:paraId="58481ED1" w14:textId="77777777" w:rsidR="00D74A88" w:rsidRPr="00FC0326" w:rsidRDefault="00D74A88" w:rsidP="008978FB">
            <w:pPr>
              <w:jc w:val="center"/>
              <w:rPr>
                <w:rFonts w:cs="Times New Roman"/>
                <w:sz w:val="20"/>
                <w:szCs w:val="20"/>
              </w:rPr>
            </w:pPr>
            <w:r w:rsidRPr="00FC0326">
              <w:rPr>
                <w:rFonts w:cs="Times New Roman"/>
                <w:sz w:val="20"/>
                <w:szCs w:val="20"/>
              </w:rPr>
              <w:t>KD, DP, ĀM</w:t>
            </w:r>
          </w:p>
        </w:tc>
        <w:tc>
          <w:tcPr>
            <w:tcW w:w="1560" w:type="dxa"/>
            <w:shd w:val="clear" w:color="auto" w:fill="auto"/>
          </w:tcPr>
          <w:p w14:paraId="61D32518" w14:textId="77777777" w:rsidR="00D74A88" w:rsidRPr="00FC0326" w:rsidRDefault="008773FA" w:rsidP="008978FB">
            <w:pPr>
              <w:jc w:val="center"/>
              <w:rPr>
                <w:rFonts w:cs="Times New Roman"/>
                <w:sz w:val="20"/>
                <w:szCs w:val="20"/>
              </w:rPr>
            </w:pPr>
            <w:r w:rsidRPr="00FC0326">
              <w:rPr>
                <w:rFonts w:cs="Times New Roman"/>
                <w:sz w:val="20"/>
                <w:szCs w:val="20"/>
              </w:rPr>
              <w:t xml:space="preserve">FKTK, VID, PTAC, LB, IAUI, LZAP, LZNP, LZRA, </w:t>
            </w:r>
            <w:r w:rsidR="0090763B">
              <w:rPr>
                <w:rFonts w:cs="Times New Roman"/>
                <w:sz w:val="20"/>
                <w:szCs w:val="20"/>
              </w:rPr>
              <w:t>NKMP</w:t>
            </w:r>
            <w:r w:rsidR="00997FDE">
              <w:rPr>
                <w:rFonts w:cs="Times New Roman"/>
                <w:sz w:val="20"/>
                <w:szCs w:val="20"/>
              </w:rPr>
              <w:t>, IUB</w:t>
            </w:r>
          </w:p>
        </w:tc>
        <w:tc>
          <w:tcPr>
            <w:tcW w:w="1417" w:type="dxa"/>
            <w:shd w:val="clear" w:color="auto" w:fill="auto"/>
          </w:tcPr>
          <w:p w14:paraId="7C42FC81" w14:textId="77777777" w:rsidR="00D74A88" w:rsidRPr="00FC0326" w:rsidRDefault="00D74A88" w:rsidP="008978FB">
            <w:pPr>
              <w:jc w:val="center"/>
              <w:rPr>
                <w:rFonts w:cs="Times New Roman"/>
                <w:sz w:val="20"/>
                <w:szCs w:val="20"/>
              </w:rPr>
            </w:pPr>
            <w:r w:rsidRPr="00FC0326">
              <w:rPr>
                <w:rFonts w:cs="Times New Roman"/>
                <w:sz w:val="20"/>
                <w:szCs w:val="20"/>
              </w:rPr>
              <w:t>Pastāvīgi</w:t>
            </w:r>
          </w:p>
        </w:tc>
      </w:tr>
      <w:tr w:rsidR="00D74A88" w:rsidRPr="00FC0326" w14:paraId="1AAFDE1E" w14:textId="77777777" w:rsidTr="00EE1B29">
        <w:trPr>
          <w:trHeight w:val="807"/>
        </w:trPr>
        <w:tc>
          <w:tcPr>
            <w:tcW w:w="709" w:type="dxa"/>
            <w:shd w:val="clear" w:color="auto" w:fill="auto"/>
          </w:tcPr>
          <w:p w14:paraId="4CA288D1" w14:textId="77777777" w:rsidR="00D74A88" w:rsidRPr="00FC0326" w:rsidRDefault="008978FB" w:rsidP="006C08DD">
            <w:pPr>
              <w:jc w:val="center"/>
              <w:rPr>
                <w:rFonts w:cs="Times New Roman"/>
                <w:bCs/>
                <w:sz w:val="20"/>
                <w:szCs w:val="20"/>
              </w:rPr>
            </w:pPr>
            <w:r>
              <w:rPr>
                <w:rFonts w:cs="Times New Roman"/>
                <w:bCs/>
                <w:sz w:val="20"/>
                <w:szCs w:val="20"/>
              </w:rPr>
              <w:t>11.5</w:t>
            </w:r>
            <w:r w:rsidR="008773FA" w:rsidRPr="00FC0326">
              <w:rPr>
                <w:rFonts w:cs="Times New Roman"/>
                <w:bCs/>
                <w:sz w:val="20"/>
                <w:szCs w:val="20"/>
              </w:rPr>
              <w:t>.</w:t>
            </w:r>
          </w:p>
        </w:tc>
        <w:tc>
          <w:tcPr>
            <w:tcW w:w="3969" w:type="dxa"/>
            <w:shd w:val="clear" w:color="auto" w:fill="auto"/>
          </w:tcPr>
          <w:p w14:paraId="126798CA" w14:textId="77777777" w:rsidR="00D74A88" w:rsidRPr="00FC0326" w:rsidRDefault="00D74A88" w:rsidP="006C08DD">
            <w:pPr>
              <w:jc w:val="both"/>
              <w:rPr>
                <w:rFonts w:cs="Times New Roman"/>
                <w:sz w:val="20"/>
                <w:szCs w:val="20"/>
              </w:rPr>
            </w:pPr>
            <w:r w:rsidRPr="00FC0326">
              <w:rPr>
                <w:rFonts w:cs="Times New Roman"/>
                <w:sz w:val="20"/>
                <w:szCs w:val="20"/>
              </w:rPr>
              <w:t>Starptautiska līmeņa konference Rīgā “</w:t>
            </w:r>
            <w:r w:rsidRPr="00EE1B29">
              <w:rPr>
                <w:rFonts w:cs="Times New Roman"/>
                <w:i/>
                <w:sz w:val="20"/>
                <w:szCs w:val="20"/>
              </w:rPr>
              <w:t>How to prove effectiveness in IO 11?</w:t>
            </w:r>
            <w:r w:rsidRPr="00FC0326">
              <w:rPr>
                <w:rFonts w:cs="Times New Roman"/>
                <w:sz w:val="20"/>
                <w:szCs w:val="20"/>
              </w:rPr>
              <w:t xml:space="preserve">” par proliferācijas finansēšanas apkarošanu </w:t>
            </w:r>
          </w:p>
        </w:tc>
        <w:tc>
          <w:tcPr>
            <w:tcW w:w="1559" w:type="dxa"/>
            <w:shd w:val="clear" w:color="auto" w:fill="auto"/>
          </w:tcPr>
          <w:p w14:paraId="2B5D2F36" w14:textId="77777777" w:rsidR="00D74A88" w:rsidRPr="00FC0326" w:rsidRDefault="008773FA" w:rsidP="00EE1B29">
            <w:pPr>
              <w:rPr>
                <w:b/>
                <w:sz w:val="18"/>
                <w:szCs w:val="18"/>
              </w:rPr>
            </w:pPr>
            <w:r w:rsidRPr="00FC0326">
              <w:rPr>
                <w:sz w:val="20"/>
                <w:szCs w:val="20"/>
              </w:rPr>
              <w:t>Moneyval rekomendācija 11.3.</w:t>
            </w:r>
          </w:p>
        </w:tc>
        <w:tc>
          <w:tcPr>
            <w:tcW w:w="2835" w:type="dxa"/>
            <w:shd w:val="clear" w:color="auto" w:fill="auto"/>
          </w:tcPr>
          <w:p w14:paraId="30E8FC71" w14:textId="77777777" w:rsidR="00D74A88" w:rsidRPr="00FC0326" w:rsidRDefault="0040642E" w:rsidP="00EE1B29">
            <w:pPr>
              <w:jc w:val="both"/>
              <w:rPr>
                <w:rFonts w:cs="Times New Roman"/>
                <w:sz w:val="20"/>
                <w:szCs w:val="20"/>
              </w:rPr>
            </w:pPr>
            <w:r>
              <w:rPr>
                <w:rFonts w:cs="Times New Roman"/>
                <w:sz w:val="20"/>
                <w:szCs w:val="20"/>
              </w:rPr>
              <w:t xml:space="preserve">Latvija stratēģiski veido savu reputāciju kā valsts, kas ir pārvarējusi krīzi finanšu sektora reputācijā un nākotnē ar savu piemēru var rādīt ceļu citām Moneyval dalībvalstīm. </w:t>
            </w:r>
          </w:p>
        </w:tc>
        <w:tc>
          <w:tcPr>
            <w:tcW w:w="2268" w:type="dxa"/>
            <w:shd w:val="clear" w:color="auto" w:fill="auto"/>
          </w:tcPr>
          <w:p w14:paraId="75293C03" w14:textId="77777777" w:rsidR="00D74A88" w:rsidRPr="00FC0326" w:rsidRDefault="0040642E" w:rsidP="0040642E">
            <w:pPr>
              <w:rPr>
                <w:rFonts w:cs="Times New Roman"/>
                <w:sz w:val="20"/>
                <w:szCs w:val="20"/>
              </w:rPr>
            </w:pPr>
            <w:r>
              <w:rPr>
                <w:rFonts w:cs="Times New Roman"/>
                <w:sz w:val="20"/>
                <w:szCs w:val="20"/>
              </w:rPr>
              <w:t>KD sadarbībā ar Moneyval sekretariātu un FATF rīko starptautiska līmeņa konferenci Rīgā par Latvijas pieredzi IO11 ieviešanā ar starptautisku ekspertu, pārējo Moneyval dalībvalstu delegāciju dalību</w:t>
            </w:r>
          </w:p>
        </w:tc>
        <w:tc>
          <w:tcPr>
            <w:tcW w:w="1134" w:type="dxa"/>
            <w:shd w:val="clear" w:color="auto" w:fill="auto"/>
          </w:tcPr>
          <w:p w14:paraId="49F02B70" w14:textId="77777777" w:rsidR="00D74A88" w:rsidRPr="00FC0326" w:rsidRDefault="00D74A88">
            <w:pPr>
              <w:jc w:val="center"/>
              <w:rPr>
                <w:rFonts w:cs="Times New Roman"/>
                <w:sz w:val="20"/>
                <w:szCs w:val="20"/>
              </w:rPr>
            </w:pPr>
            <w:r w:rsidRPr="00FC0326">
              <w:rPr>
                <w:rFonts w:cs="Times New Roman"/>
                <w:sz w:val="20"/>
                <w:szCs w:val="20"/>
              </w:rPr>
              <w:t xml:space="preserve">KD </w:t>
            </w:r>
          </w:p>
        </w:tc>
        <w:tc>
          <w:tcPr>
            <w:tcW w:w="1560" w:type="dxa"/>
            <w:shd w:val="clear" w:color="auto" w:fill="auto"/>
          </w:tcPr>
          <w:p w14:paraId="1DBF3457" w14:textId="77777777" w:rsidR="00D74A88" w:rsidRPr="00FC0326" w:rsidRDefault="00CF2236" w:rsidP="008978FB">
            <w:pPr>
              <w:jc w:val="center"/>
              <w:rPr>
                <w:rFonts w:cs="Times New Roman"/>
                <w:sz w:val="20"/>
                <w:szCs w:val="20"/>
              </w:rPr>
            </w:pPr>
            <w:r>
              <w:rPr>
                <w:rFonts w:cs="Times New Roman"/>
                <w:sz w:val="20"/>
                <w:szCs w:val="20"/>
              </w:rPr>
              <w:t>ĀM, IeM, FM, TM, DP, FKTK</w:t>
            </w:r>
          </w:p>
        </w:tc>
        <w:tc>
          <w:tcPr>
            <w:tcW w:w="1417" w:type="dxa"/>
            <w:shd w:val="clear" w:color="auto" w:fill="auto"/>
          </w:tcPr>
          <w:p w14:paraId="4B47C07A" w14:textId="77777777" w:rsidR="00D74A88" w:rsidRPr="00FC0326" w:rsidRDefault="00D74A88" w:rsidP="008978FB">
            <w:pPr>
              <w:jc w:val="center"/>
              <w:rPr>
                <w:rFonts w:cs="Times New Roman"/>
                <w:sz w:val="20"/>
                <w:szCs w:val="20"/>
              </w:rPr>
            </w:pPr>
            <w:r w:rsidRPr="00FC0326">
              <w:rPr>
                <w:rFonts w:cs="Times New Roman"/>
                <w:sz w:val="20"/>
                <w:szCs w:val="20"/>
              </w:rPr>
              <w:t xml:space="preserve">2019.gada </w:t>
            </w:r>
            <w:r w:rsidR="0040642E">
              <w:rPr>
                <w:rFonts w:cs="Times New Roman"/>
                <w:sz w:val="20"/>
                <w:szCs w:val="20"/>
              </w:rPr>
              <w:t>31.marts</w:t>
            </w:r>
          </w:p>
        </w:tc>
      </w:tr>
    </w:tbl>
    <w:p w14:paraId="67E8D78C" w14:textId="77777777" w:rsidR="00D74A88" w:rsidRPr="00FC0326" w:rsidRDefault="00D74A88" w:rsidP="00D74A88">
      <w:pPr>
        <w:rPr>
          <w:rFonts w:cs="Times New Roman"/>
        </w:rPr>
      </w:pPr>
    </w:p>
    <w:p w14:paraId="6AA20DF8" w14:textId="77777777" w:rsidR="00D74A88" w:rsidRPr="00FC0326" w:rsidRDefault="00D74A88" w:rsidP="00D74A88">
      <w:pPr>
        <w:rPr>
          <w:rFonts w:cs="Times New Roman"/>
        </w:rPr>
      </w:pPr>
    </w:p>
    <w:p w14:paraId="65FEC373" w14:textId="77777777" w:rsidR="00D74A88" w:rsidRPr="00FC0326" w:rsidRDefault="00D74A88" w:rsidP="00FF0BBA">
      <w:pPr>
        <w:jc w:val="both"/>
        <w:rPr>
          <w:b/>
          <w:sz w:val="28"/>
          <w:szCs w:val="28"/>
        </w:rPr>
      </w:pPr>
    </w:p>
    <w:p w14:paraId="799D033E" w14:textId="77777777" w:rsidR="009B4B7E" w:rsidRPr="00FC0326" w:rsidRDefault="00FF0BBA" w:rsidP="00AF238A">
      <w:pPr>
        <w:jc w:val="both"/>
        <w:rPr>
          <w:b/>
          <w:szCs w:val="24"/>
        </w:rPr>
      </w:pPr>
      <w:r w:rsidRPr="00FC0326">
        <w:rPr>
          <w:b/>
          <w:sz w:val="28"/>
          <w:szCs w:val="28"/>
        </w:rPr>
        <w:lastRenderedPageBreak/>
        <w:tab/>
      </w:r>
    </w:p>
    <w:p w14:paraId="17925404" w14:textId="77777777" w:rsidR="00676356" w:rsidRPr="005063F0" w:rsidRDefault="00FB0D3A" w:rsidP="00FB0D3A">
      <w:pPr>
        <w:pStyle w:val="Heading1"/>
        <w:rPr>
          <w:sz w:val="40"/>
          <w:szCs w:val="40"/>
          <w:lang w:val="lv-LV"/>
        </w:rPr>
      </w:pPr>
      <w:bookmarkStart w:id="20" w:name="_Toc524977660"/>
      <w:r w:rsidRPr="005063F0">
        <w:rPr>
          <w:sz w:val="40"/>
          <w:szCs w:val="40"/>
          <w:lang w:val="lv-LV"/>
        </w:rPr>
        <w:t>V.</w:t>
      </w:r>
      <w:r w:rsidR="00FD6F91" w:rsidRPr="005063F0">
        <w:rPr>
          <w:sz w:val="40"/>
          <w:szCs w:val="40"/>
          <w:lang w:val="lv-LV"/>
        </w:rPr>
        <w:t xml:space="preserve"> Ietekmes novērtējums uz valsts un pašvaldību budžetu</w:t>
      </w:r>
      <w:bookmarkEnd w:id="20"/>
      <w:r w:rsidR="00FD6F91" w:rsidRPr="005063F0">
        <w:rPr>
          <w:sz w:val="40"/>
          <w:szCs w:val="40"/>
          <w:lang w:val="lv-LV"/>
        </w:rPr>
        <w:t xml:space="preserve">   </w:t>
      </w:r>
    </w:p>
    <w:p w14:paraId="63ADE5E8" w14:textId="77777777" w:rsidR="00676356" w:rsidRPr="00B95B2D" w:rsidRDefault="00676356" w:rsidP="00B95B2D">
      <w:pPr>
        <w:jc w:val="center"/>
        <w:rPr>
          <w:szCs w:val="24"/>
        </w:rPr>
      </w:pPr>
      <w:r w:rsidRPr="00B95B2D">
        <w:rPr>
          <w:szCs w:val="24"/>
        </w:rPr>
        <w:t>Kopsavilkums par plānā iekļauto uzdevumu realizācijai nepieciešamo valsts un pašvaldību budžeta finansējumu</w:t>
      </w:r>
    </w:p>
    <w:p w14:paraId="2159E7EC" w14:textId="77777777" w:rsidR="00214BEB" w:rsidRDefault="00214BEB" w:rsidP="00B95B2D">
      <w:pPr>
        <w:jc w:val="center"/>
        <w:rPr>
          <w:b/>
          <w:sz w:val="22"/>
        </w:rPr>
      </w:pPr>
    </w:p>
    <w:p w14:paraId="11231F21" w14:textId="77777777" w:rsidR="00FD6F91" w:rsidRPr="00B95B2D" w:rsidRDefault="00FD6F91" w:rsidP="00B95B2D">
      <w:pPr>
        <w:jc w:val="center"/>
        <w:rPr>
          <w:sz w:val="22"/>
        </w:rPr>
      </w:pPr>
      <w:r w:rsidRPr="00B95B2D">
        <w:rPr>
          <w:b/>
          <w:sz w:val="22"/>
        </w:rPr>
        <w:t xml:space="preserve"> </w:t>
      </w:r>
      <w:r w:rsidR="00676356" w:rsidRPr="00B95B2D">
        <w:rPr>
          <w:sz w:val="22"/>
        </w:rPr>
        <w:t xml:space="preserve">Prokuratūrai (Noziedzīgi iegūtu līdzekļu legalizācijas novēršanas dienestam) papildus nepieciešams finansējums ne vairāk 482 015 </w:t>
      </w:r>
      <w:r w:rsidR="00676356" w:rsidRPr="00B95B2D">
        <w:rPr>
          <w:i/>
          <w:sz w:val="22"/>
        </w:rPr>
        <w:t>euro</w:t>
      </w:r>
      <w:r w:rsidR="00676356" w:rsidRPr="00B95B2D">
        <w:rPr>
          <w:sz w:val="22"/>
        </w:rPr>
        <w:t xml:space="preserve"> 2018.gadā.</w:t>
      </w:r>
    </w:p>
    <w:p w14:paraId="0B6DF907" w14:textId="77777777" w:rsidR="001B0D24" w:rsidRDefault="001B0D24" w:rsidP="00AF238A">
      <w:pPr>
        <w:jc w:val="both"/>
        <w:rPr>
          <w:b/>
          <w:szCs w:val="24"/>
        </w:rPr>
      </w:pPr>
    </w:p>
    <w:tbl>
      <w:tblPr>
        <w:tblW w:w="1452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2263"/>
        <w:gridCol w:w="1139"/>
        <w:gridCol w:w="987"/>
        <w:gridCol w:w="856"/>
        <w:gridCol w:w="992"/>
        <w:gridCol w:w="992"/>
        <w:gridCol w:w="993"/>
        <w:gridCol w:w="992"/>
        <w:gridCol w:w="1134"/>
        <w:gridCol w:w="1134"/>
        <w:gridCol w:w="1326"/>
      </w:tblGrid>
      <w:tr w:rsidR="00192E78" w:rsidRPr="00FC0326" w14:paraId="4BB9402C" w14:textId="77777777" w:rsidTr="00214BEB">
        <w:trPr>
          <w:trHeight w:val="705"/>
        </w:trPr>
        <w:tc>
          <w:tcPr>
            <w:tcW w:w="1715" w:type="dxa"/>
            <w:shd w:val="clear" w:color="auto" w:fill="auto"/>
            <w:noWrap/>
            <w:vAlign w:val="bottom"/>
            <w:hideMark/>
          </w:tcPr>
          <w:p w14:paraId="14F73253" w14:textId="77777777" w:rsidR="00192E78" w:rsidRPr="00FC0326" w:rsidRDefault="00192E78" w:rsidP="000D4C76">
            <w:pPr>
              <w:rPr>
                <w:rFonts w:eastAsia="Times New Roman"/>
                <w:color w:val="000000"/>
                <w:szCs w:val="24"/>
                <w:lang w:eastAsia="lv-LV"/>
              </w:rPr>
            </w:pPr>
            <w:r w:rsidRPr="00FC0326">
              <w:rPr>
                <w:rFonts w:eastAsia="Times New Roman"/>
                <w:color w:val="000000"/>
                <w:szCs w:val="24"/>
                <w:lang w:eastAsia="lv-LV"/>
              </w:rPr>
              <w:t> </w:t>
            </w:r>
          </w:p>
        </w:tc>
        <w:tc>
          <w:tcPr>
            <w:tcW w:w="2263" w:type="dxa"/>
            <w:shd w:val="clear" w:color="auto" w:fill="auto"/>
            <w:noWrap/>
            <w:vAlign w:val="bottom"/>
            <w:hideMark/>
          </w:tcPr>
          <w:p w14:paraId="6A525724" w14:textId="77777777" w:rsidR="00192E78" w:rsidRPr="00FC0326" w:rsidRDefault="00192E78" w:rsidP="000D4C76">
            <w:pPr>
              <w:rPr>
                <w:rFonts w:eastAsia="Times New Roman"/>
                <w:color w:val="000000"/>
                <w:szCs w:val="24"/>
                <w:lang w:eastAsia="lv-LV"/>
              </w:rPr>
            </w:pPr>
            <w:r w:rsidRPr="00FC0326">
              <w:rPr>
                <w:rFonts w:eastAsia="Times New Roman"/>
                <w:color w:val="000000"/>
                <w:szCs w:val="24"/>
                <w:lang w:eastAsia="lv-LV"/>
              </w:rPr>
              <w:t> </w:t>
            </w:r>
          </w:p>
        </w:tc>
        <w:tc>
          <w:tcPr>
            <w:tcW w:w="1139" w:type="dxa"/>
            <w:shd w:val="clear" w:color="auto" w:fill="auto"/>
            <w:noWrap/>
            <w:vAlign w:val="bottom"/>
            <w:hideMark/>
          </w:tcPr>
          <w:p w14:paraId="73E5FABC" w14:textId="77777777" w:rsidR="00192E78" w:rsidRPr="00FC0326" w:rsidRDefault="00192E78" w:rsidP="000D4C76">
            <w:pPr>
              <w:rPr>
                <w:rFonts w:eastAsia="Times New Roman"/>
                <w:color w:val="000000"/>
                <w:szCs w:val="24"/>
                <w:lang w:eastAsia="lv-LV"/>
              </w:rPr>
            </w:pPr>
            <w:r w:rsidRPr="00FC0326">
              <w:rPr>
                <w:rFonts w:eastAsia="Times New Roman"/>
                <w:color w:val="000000"/>
                <w:szCs w:val="24"/>
                <w:lang w:eastAsia="lv-LV"/>
              </w:rPr>
              <w:t> </w:t>
            </w:r>
          </w:p>
        </w:tc>
        <w:tc>
          <w:tcPr>
            <w:tcW w:w="2835" w:type="dxa"/>
            <w:gridSpan w:val="3"/>
            <w:shd w:val="clear" w:color="auto" w:fill="auto"/>
            <w:vAlign w:val="center"/>
            <w:hideMark/>
          </w:tcPr>
          <w:p w14:paraId="58D0E566"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Vidēja termiņa budžeta ietvara likumā plānotais finansējums</w:t>
            </w:r>
          </w:p>
        </w:tc>
        <w:tc>
          <w:tcPr>
            <w:tcW w:w="5245" w:type="dxa"/>
            <w:gridSpan w:val="5"/>
            <w:shd w:val="clear" w:color="auto" w:fill="auto"/>
            <w:vAlign w:val="center"/>
            <w:hideMark/>
          </w:tcPr>
          <w:p w14:paraId="60FD517F"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 xml:space="preserve">Nepieciešamais papildu finansējums </w:t>
            </w:r>
          </w:p>
        </w:tc>
        <w:tc>
          <w:tcPr>
            <w:tcW w:w="1326" w:type="dxa"/>
            <w:shd w:val="clear" w:color="auto" w:fill="auto"/>
            <w:hideMark/>
          </w:tcPr>
          <w:p w14:paraId="712C4E00"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Pasākuma realizācijas gads</w:t>
            </w:r>
            <w:r w:rsidRPr="00FC0326">
              <w:rPr>
                <w:rFonts w:eastAsia="Times New Roman"/>
                <w:b/>
                <w:bCs/>
                <w:sz w:val="18"/>
                <w:szCs w:val="18"/>
                <w:lang w:eastAsia="lv-LV"/>
              </w:rPr>
              <w:br/>
              <w:t xml:space="preserve"> (ja pasākuma realizācija ir terminēta)</w:t>
            </w:r>
          </w:p>
        </w:tc>
      </w:tr>
      <w:tr w:rsidR="00192E78" w:rsidRPr="00FC0326" w14:paraId="3C8083B7" w14:textId="77777777" w:rsidTr="00214BEB">
        <w:trPr>
          <w:trHeight w:val="1781"/>
        </w:trPr>
        <w:tc>
          <w:tcPr>
            <w:tcW w:w="1715" w:type="dxa"/>
            <w:shd w:val="clear" w:color="auto" w:fill="auto"/>
            <w:vAlign w:val="center"/>
            <w:hideMark/>
          </w:tcPr>
          <w:p w14:paraId="1CDFC0A9"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Uzdevums</w:t>
            </w:r>
          </w:p>
        </w:tc>
        <w:tc>
          <w:tcPr>
            <w:tcW w:w="2263" w:type="dxa"/>
            <w:shd w:val="clear" w:color="auto" w:fill="auto"/>
            <w:vAlign w:val="center"/>
            <w:hideMark/>
          </w:tcPr>
          <w:p w14:paraId="4EEEE3B8"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Pasākums</w:t>
            </w:r>
          </w:p>
        </w:tc>
        <w:tc>
          <w:tcPr>
            <w:tcW w:w="1139" w:type="dxa"/>
            <w:shd w:val="clear" w:color="auto" w:fill="auto"/>
            <w:vAlign w:val="center"/>
            <w:hideMark/>
          </w:tcPr>
          <w:p w14:paraId="3DA2D8E5" w14:textId="77777777" w:rsidR="00192E78" w:rsidRPr="00317653" w:rsidRDefault="00192E78" w:rsidP="00317653">
            <w:pPr>
              <w:ind w:right="-100"/>
              <w:jc w:val="center"/>
              <w:rPr>
                <w:rFonts w:eastAsia="Times New Roman"/>
                <w:b/>
                <w:bCs/>
                <w:spacing w:val="-6"/>
                <w:sz w:val="18"/>
                <w:szCs w:val="18"/>
                <w:lang w:eastAsia="lv-LV"/>
              </w:rPr>
            </w:pPr>
            <w:r w:rsidRPr="00317653">
              <w:rPr>
                <w:rFonts w:eastAsia="Times New Roman"/>
                <w:b/>
                <w:bCs/>
                <w:spacing w:val="-6"/>
                <w:sz w:val="18"/>
                <w:szCs w:val="18"/>
                <w:lang w:eastAsia="lv-LV"/>
              </w:rPr>
              <w:t>Budžeta programmas (apakšprogrammas)</w:t>
            </w:r>
            <w:r w:rsidRPr="00317653">
              <w:rPr>
                <w:rFonts w:eastAsia="Times New Roman"/>
                <w:b/>
                <w:bCs/>
                <w:spacing w:val="-6"/>
                <w:sz w:val="18"/>
                <w:szCs w:val="18"/>
                <w:lang w:eastAsia="lv-LV"/>
              </w:rPr>
              <w:br/>
              <w:t xml:space="preserve">kods un nosaukums </w:t>
            </w:r>
          </w:p>
        </w:tc>
        <w:tc>
          <w:tcPr>
            <w:tcW w:w="987" w:type="dxa"/>
            <w:shd w:val="clear" w:color="auto" w:fill="auto"/>
            <w:vAlign w:val="center"/>
            <w:hideMark/>
          </w:tcPr>
          <w:p w14:paraId="2B6794DF"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2018 gads</w:t>
            </w:r>
          </w:p>
        </w:tc>
        <w:tc>
          <w:tcPr>
            <w:tcW w:w="856" w:type="dxa"/>
            <w:shd w:val="clear" w:color="auto" w:fill="auto"/>
            <w:vAlign w:val="center"/>
            <w:hideMark/>
          </w:tcPr>
          <w:p w14:paraId="3FC6F405"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2019 gads</w:t>
            </w:r>
          </w:p>
        </w:tc>
        <w:tc>
          <w:tcPr>
            <w:tcW w:w="992" w:type="dxa"/>
            <w:shd w:val="clear" w:color="auto" w:fill="auto"/>
            <w:vAlign w:val="center"/>
            <w:hideMark/>
          </w:tcPr>
          <w:p w14:paraId="4E8C48D2"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2020 gads</w:t>
            </w:r>
          </w:p>
        </w:tc>
        <w:tc>
          <w:tcPr>
            <w:tcW w:w="992" w:type="dxa"/>
            <w:shd w:val="clear" w:color="auto" w:fill="auto"/>
            <w:vAlign w:val="center"/>
            <w:hideMark/>
          </w:tcPr>
          <w:p w14:paraId="76D2746E"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2019 gads</w:t>
            </w:r>
          </w:p>
        </w:tc>
        <w:tc>
          <w:tcPr>
            <w:tcW w:w="993" w:type="dxa"/>
            <w:shd w:val="clear" w:color="auto" w:fill="auto"/>
            <w:vAlign w:val="center"/>
            <w:hideMark/>
          </w:tcPr>
          <w:p w14:paraId="02C99F7E"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2020 gads</w:t>
            </w:r>
          </w:p>
        </w:tc>
        <w:tc>
          <w:tcPr>
            <w:tcW w:w="992" w:type="dxa"/>
            <w:shd w:val="clear" w:color="auto" w:fill="auto"/>
            <w:vAlign w:val="center"/>
            <w:hideMark/>
          </w:tcPr>
          <w:p w14:paraId="0BF85E3F"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2021 gads</w:t>
            </w:r>
          </w:p>
        </w:tc>
        <w:tc>
          <w:tcPr>
            <w:tcW w:w="1134" w:type="dxa"/>
            <w:shd w:val="clear" w:color="auto" w:fill="auto"/>
            <w:hideMark/>
          </w:tcPr>
          <w:p w14:paraId="52445694"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 xml:space="preserve">turpmākā laikposmā līdz pasākuma pabeigšanai </w:t>
            </w:r>
            <w:r w:rsidRPr="00FC0326">
              <w:rPr>
                <w:rFonts w:eastAsia="Times New Roman"/>
                <w:b/>
                <w:bCs/>
                <w:sz w:val="18"/>
                <w:szCs w:val="18"/>
                <w:lang w:eastAsia="lv-LV"/>
              </w:rPr>
              <w:br/>
              <w:t>(ja realizācija ir terminēta)</w:t>
            </w:r>
          </w:p>
        </w:tc>
        <w:tc>
          <w:tcPr>
            <w:tcW w:w="1134" w:type="dxa"/>
            <w:shd w:val="clear" w:color="auto" w:fill="auto"/>
            <w:hideMark/>
          </w:tcPr>
          <w:p w14:paraId="22BA455F"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 xml:space="preserve">turpmāk ik gadu </w:t>
            </w:r>
            <w:r w:rsidRPr="00FC0326">
              <w:rPr>
                <w:rFonts w:eastAsia="Times New Roman"/>
                <w:b/>
                <w:bCs/>
                <w:sz w:val="18"/>
                <w:szCs w:val="18"/>
                <w:lang w:eastAsia="lv-LV"/>
              </w:rPr>
              <w:br/>
              <w:t>(ja pasākuma izpilde nav terminēta)</w:t>
            </w:r>
          </w:p>
        </w:tc>
        <w:tc>
          <w:tcPr>
            <w:tcW w:w="1326" w:type="dxa"/>
            <w:vAlign w:val="center"/>
            <w:hideMark/>
          </w:tcPr>
          <w:p w14:paraId="5F04215B" w14:textId="77777777" w:rsidR="00192E78" w:rsidRPr="00FC0326" w:rsidRDefault="00192E78" w:rsidP="000D4C76">
            <w:pPr>
              <w:rPr>
                <w:rFonts w:eastAsia="Times New Roman"/>
                <w:b/>
                <w:bCs/>
                <w:sz w:val="18"/>
                <w:szCs w:val="18"/>
                <w:lang w:eastAsia="lv-LV"/>
              </w:rPr>
            </w:pPr>
          </w:p>
        </w:tc>
      </w:tr>
      <w:tr w:rsidR="00192E78" w:rsidRPr="00FC0326" w14:paraId="1B5B1AE1" w14:textId="77777777" w:rsidTr="00214BEB">
        <w:trPr>
          <w:trHeight w:val="312"/>
        </w:trPr>
        <w:tc>
          <w:tcPr>
            <w:tcW w:w="1715" w:type="dxa"/>
            <w:shd w:val="clear" w:color="auto" w:fill="auto"/>
            <w:vAlign w:val="center"/>
            <w:hideMark/>
          </w:tcPr>
          <w:p w14:paraId="2949CD49"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1</w:t>
            </w:r>
          </w:p>
        </w:tc>
        <w:tc>
          <w:tcPr>
            <w:tcW w:w="2263" w:type="dxa"/>
            <w:shd w:val="clear" w:color="auto" w:fill="auto"/>
            <w:vAlign w:val="center"/>
            <w:hideMark/>
          </w:tcPr>
          <w:p w14:paraId="0F554024"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2</w:t>
            </w:r>
          </w:p>
        </w:tc>
        <w:tc>
          <w:tcPr>
            <w:tcW w:w="1139" w:type="dxa"/>
            <w:shd w:val="clear" w:color="auto" w:fill="auto"/>
            <w:vAlign w:val="center"/>
            <w:hideMark/>
          </w:tcPr>
          <w:p w14:paraId="548A57A7"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3</w:t>
            </w:r>
          </w:p>
        </w:tc>
        <w:tc>
          <w:tcPr>
            <w:tcW w:w="987" w:type="dxa"/>
            <w:shd w:val="clear" w:color="auto" w:fill="auto"/>
            <w:vAlign w:val="center"/>
            <w:hideMark/>
          </w:tcPr>
          <w:p w14:paraId="5A5192CF"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4</w:t>
            </w:r>
          </w:p>
        </w:tc>
        <w:tc>
          <w:tcPr>
            <w:tcW w:w="856" w:type="dxa"/>
            <w:shd w:val="clear" w:color="auto" w:fill="auto"/>
            <w:vAlign w:val="center"/>
            <w:hideMark/>
          </w:tcPr>
          <w:p w14:paraId="0679F3AF"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5</w:t>
            </w:r>
          </w:p>
        </w:tc>
        <w:tc>
          <w:tcPr>
            <w:tcW w:w="992" w:type="dxa"/>
            <w:shd w:val="clear" w:color="auto" w:fill="auto"/>
            <w:vAlign w:val="center"/>
            <w:hideMark/>
          </w:tcPr>
          <w:p w14:paraId="0F8623F2"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6</w:t>
            </w:r>
          </w:p>
        </w:tc>
        <w:tc>
          <w:tcPr>
            <w:tcW w:w="992" w:type="dxa"/>
            <w:shd w:val="clear" w:color="auto" w:fill="auto"/>
            <w:vAlign w:val="center"/>
            <w:hideMark/>
          </w:tcPr>
          <w:p w14:paraId="281DA434"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7</w:t>
            </w:r>
          </w:p>
        </w:tc>
        <w:tc>
          <w:tcPr>
            <w:tcW w:w="993" w:type="dxa"/>
            <w:shd w:val="clear" w:color="auto" w:fill="auto"/>
            <w:vAlign w:val="center"/>
            <w:hideMark/>
          </w:tcPr>
          <w:p w14:paraId="14311597"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8</w:t>
            </w:r>
          </w:p>
        </w:tc>
        <w:tc>
          <w:tcPr>
            <w:tcW w:w="992" w:type="dxa"/>
            <w:shd w:val="clear" w:color="auto" w:fill="auto"/>
            <w:vAlign w:val="center"/>
            <w:hideMark/>
          </w:tcPr>
          <w:p w14:paraId="3A160C43"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9</w:t>
            </w:r>
          </w:p>
        </w:tc>
        <w:tc>
          <w:tcPr>
            <w:tcW w:w="1134" w:type="dxa"/>
            <w:shd w:val="clear" w:color="auto" w:fill="auto"/>
            <w:hideMark/>
          </w:tcPr>
          <w:p w14:paraId="7AE127F9"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10</w:t>
            </w:r>
          </w:p>
        </w:tc>
        <w:tc>
          <w:tcPr>
            <w:tcW w:w="1134" w:type="dxa"/>
            <w:shd w:val="clear" w:color="auto" w:fill="auto"/>
            <w:hideMark/>
          </w:tcPr>
          <w:p w14:paraId="2AC78028"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11</w:t>
            </w:r>
          </w:p>
        </w:tc>
        <w:tc>
          <w:tcPr>
            <w:tcW w:w="1326" w:type="dxa"/>
            <w:shd w:val="clear" w:color="auto" w:fill="auto"/>
            <w:hideMark/>
          </w:tcPr>
          <w:p w14:paraId="428C4C62"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12</w:t>
            </w:r>
          </w:p>
        </w:tc>
      </w:tr>
      <w:tr w:rsidR="00192E78" w:rsidRPr="00FC0326" w14:paraId="351FCF1E" w14:textId="77777777" w:rsidTr="00214BEB">
        <w:trPr>
          <w:trHeight w:val="456"/>
        </w:trPr>
        <w:tc>
          <w:tcPr>
            <w:tcW w:w="1715" w:type="dxa"/>
            <w:shd w:val="clear" w:color="auto" w:fill="BDD6EE" w:themeFill="accent1" w:themeFillTint="66"/>
            <w:vAlign w:val="center"/>
            <w:hideMark/>
          </w:tcPr>
          <w:p w14:paraId="1122E3F6"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 xml:space="preserve">Finansējums plāna realizācijai kopā </w:t>
            </w:r>
          </w:p>
        </w:tc>
        <w:tc>
          <w:tcPr>
            <w:tcW w:w="2263" w:type="dxa"/>
            <w:shd w:val="clear" w:color="auto" w:fill="BDD6EE" w:themeFill="accent1" w:themeFillTint="66"/>
            <w:vAlign w:val="center"/>
            <w:hideMark/>
          </w:tcPr>
          <w:p w14:paraId="02900D04"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 </w:t>
            </w:r>
          </w:p>
        </w:tc>
        <w:tc>
          <w:tcPr>
            <w:tcW w:w="1139" w:type="dxa"/>
            <w:shd w:val="clear" w:color="auto" w:fill="BDD6EE" w:themeFill="accent1" w:themeFillTint="66"/>
            <w:vAlign w:val="center"/>
            <w:hideMark/>
          </w:tcPr>
          <w:p w14:paraId="6B501237"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 </w:t>
            </w:r>
          </w:p>
        </w:tc>
        <w:tc>
          <w:tcPr>
            <w:tcW w:w="987" w:type="dxa"/>
            <w:shd w:val="clear" w:color="auto" w:fill="BDD6EE" w:themeFill="accent1" w:themeFillTint="66"/>
            <w:vAlign w:val="center"/>
          </w:tcPr>
          <w:p w14:paraId="79D7B7EC" w14:textId="77777777" w:rsidR="00192E78" w:rsidRPr="00FC0326" w:rsidRDefault="00192E78" w:rsidP="000D4C76">
            <w:pPr>
              <w:jc w:val="center"/>
              <w:rPr>
                <w:rFonts w:eastAsia="Times New Roman"/>
                <w:b/>
                <w:bCs/>
                <w:sz w:val="18"/>
                <w:szCs w:val="18"/>
                <w:lang w:eastAsia="lv-LV"/>
              </w:rPr>
            </w:pPr>
            <w:r w:rsidRPr="001808AD">
              <w:rPr>
                <w:rFonts w:eastAsia="Times New Roman"/>
                <w:b/>
                <w:bCs/>
                <w:sz w:val="18"/>
                <w:szCs w:val="18"/>
                <w:lang w:eastAsia="lv-LV"/>
              </w:rPr>
              <w:t>2 044 037</w:t>
            </w:r>
          </w:p>
        </w:tc>
        <w:tc>
          <w:tcPr>
            <w:tcW w:w="856" w:type="dxa"/>
            <w:shd w:val="clear" w:color="auto" w:fill="BDD6EE" w:themeFill="accent1" w:themeFillTint="66"/>
            <w:vAlign w:val="center"/>
            <w:hideMark/>
          </w:tcPr>
          <w:p w14:paraId="63B7D7E3" w14:textId="77777777" w:rsidR="00192E78" w:rsidRPr="00FC0326" w:rsidRDefault="00192E78" w:rsidP="000D4C76">
            <w:pPr>
              <w:jc w:val="center"/>
              <w:rPr>
                <w:rFonts w:eastAsia="Times New Roman"/>
                <w:b/>
                <w:bCs/>
                <w:sz w:val="18"/>
                <w:szCs w:val="18"/>
                <w:lang w:eastAsia="lv-LV"/>
              </w:rPr>
            </w:pPr>
            <w:r w:rsidRPr="004F4243">
              <w:rPr>
                <w:rFonts w:eastAsia="Times New Roman"/>
                <w:b/>
                <w:bCs/>
                <w:sz w:val="18"/>
                <w:szCs w:val="18"/>
                <w:lang w:eastAsia="lv-LV"/>
              </w:rPr>
              <w:t>961</w:t>
            </w:r>
            <w:r>
              <w:rPr>
                <w:rFonts w:eastAsia="Times New Roman"/>
                <w:b/>
                <w:bCs/>
                <w:sz w:val="18"/>
                <w:szCs w:val="18"/>
                <w:lang w:eastAsia="lv-LV"/>
              </w:rPr>
              <w:t xml:space="preserve"> </w:t>
            </w:r>
            <w:r w:rsidRPr="004F4243">
              <w:rPr>
                <w:rFonts w:eastAsia="Times New Roman"/>
                <w:b/>
                <w:bCs/>
                <w:sz w:val="18"/>
                <w:szCs w:val="18"/>
                <w:lang w:eastAsia="lv-LV"/>
              </w:rPr>
              <w:t>691</w:t>
            </w:r>
          </w:p>
        </w:tc>
        <w:tc>
          <w:tcPr>
            <w:tcW w:w="992" w:type="dxa"/>
            <w:shd w:val="clear" w:color="auto" w:fill="BDD6EE" w:themeFill="accent1" w:themeFillTint="66"/>
            <w:vAlign w:val="center"/>
            <w:hideMark/>
          </w:tcPr>
          <w:p w14:paraId="1EE202BF" w14:textId="77777777" w:rsidR="00192E78" w:rsidRPr="00FC0326" w:rsidRDefault="00192E78" w:rsidP="000D4C76">
            <w:pPr>
              <w:jc w:val="center"/>
              <w:rPr>
                <w:rFonts w:eastAsia="Times New Roman"/>
                <w:b/>
                <w:bCs/>
                <w:sz w:val="18"/>
                <w:szCs w:val="18"/>
                <w:lang w:eastAsia="lv-LV"/>
              </w:rPr>
            </w:pPr>
            <w:r w:rsidRPr="004F4243">
              <w:rPr>
                <w:rFonts w:eastAsia="Times New Roman"/>
                <w:b/>
                <w:bCs/>
                <w:sz w:val="18"/>
                <w:szCs w:val="18"/>
                <w:lang w:eastAsia="lv-LV"/>
              </w:rPr>
              <w:t>931</w:t>
            </w:r>
            <w:r>
              <w:rPr>
                <w:rFonts w:eastAsia="Times New Roman"/>
                <w:b/>
                <w:bCs/>
                <w:sz w:val="18"/>
                <w:szCs w:val="18"/>
                <w:lang w:eastAsia="lv-LV"/>
              </w:rPr>
              <w:t xml:space="preserve"> </w:t>
            </w:r>
            <w:r w:rsidRPr="004F4243">
              <w:rPr>
                <w:rFonts w:eastAsia="Times New Roman"/>
                <w:b/>
                <w:bCs/>
                <w:sz w:val="18"/>
                <w:szCs w:val="18"/>
                <w:lang w:eastAsia="lv-LV"/>
              </w:rPr>
              <w:t>868</w:t>
            </w:r>
          </w:p>
        </w:tc>
        <w:tc>
          <w:tcPr>
            <w:tcW w:w="992" w:type="dxa"/>
            <w:shd w:val="clear" w:color="auto" w:fill="BDD6EE" w:themeFill="accent1" w:themeFillTint="66"/>
            <w:vAlign w:val="center"/>
          </w:tcPr>
          <w:p w14:paraId="5F9026B6" w14:textId="77777777" w:rsidR="00192E78" w:rsidRPr="00FC0326" w:rsidRDefault="007B119B" w:rsidP="004F2C70">
            <w:pPr>
              <w:jc w:val="center"/>
              <w:rPr>
                <w:rFonts w:eastAsia="Times New Roman"/>
                <w:b/>
                <w:bCs/>
                <w:sz w:val="18"/>
                <w:szCs w:val="18"/>
                <w:lang w:eastAsia="lv-LV"/>
              </w:rPr>
            </w:pPr>
            <w:r>
              <w:rPr>
                <w:rFonts w:eastAsia="Times New Roman"/>
                <w:b/>
                <w:bCs/>
                <w:sz w:val="18"/>
                <w:szCs w:val="18"/>
                <w:lang w:eastAsia="lv-LV"/>
              </w:rPr>
              <w:t>7 757 802</w:t>
            </w:r>
          </w:p>
        </w:tc>
        <w:tc>
          <w:tcPr>
            <w:tcW w:w="993" w:type="dxa"/>
            <w:shd w:val="clear" w:color="auto" w:fill="BDD6EE" w:themeFill="accent1" w:themeFillTint="66"/>
            <w:vAlign w:val="center"/>
          </w:tcPr>
          <w:p w14:paraId="3829FF57" w14:textId="77777777" w:rsidR="00192E78" w:rsidRPr="00FC0326" w:rsidRDefault="007B119B" w:rsidP="00700A0B">
            <w:pPr>
              <w:jc w:val="center"/>
              <w:rPr>
                <w:rFonts w:eastAsia="Times New Roman"/>
                <w:b/>
                <w:bCs/>
                <w:sz w:val="18"/>
                <w:szCs w:val="18"/>
                <w:lang w:eastAsia="lv-LV"/>
              </w:rPr>
            </w:pPr>
            <w:r>
              <w:rPr>
                <w:rFonts w:eastAsia="Times New Roman"/>
                <w:b/>
                <w:bCs/>
                <w:sz w:val="18"/>
                <w:szCs w:val="18"/>
                <w:lang w:eastAsia="lv-LV"/>
              </w:rPr>
              <w:t>5 790 688</w:t>
            </w:r>
          </w:p>
        </w:tc>
        <w:tc>
          <w:tcPr>
            <w:tcW w:w="992" w:type="dxa"/>
            <w:shd w:val="clear" w:color="auto" w:fill="BDD6EE" w:themeFill="accent1" w:themeFillTint="66"/>
            <w:vAlign w:val="center"/>
          </w:tcPr>
          <w:p w14:paraId="3E3583AC" w14:textId="77777777" w:rsidR="00192E78" w:rsidRPr="00FC0326" w:rsidRDefault="007B119B" w:rsidP="00700A0B">
            <w:pPr>
              <w:jc w:val="center"/>
              <w:rPr>
                <w:rFonts w:eastAsia="Times New Roman"/>
                <w:b/>
                <w:bCs/>
                <w:sz w:val="18"/>
                <w:szCs w:val="18"/>
                <w:lang w:eastAsia="lv-LV"/>
              </w:rPr>
            </w:pPr>
            <w:r>
              <w:rPr>
                <w:rFonts w:eastAsia="Times New Roman"/>
                <w:b/>
                <w:bCs/>
                <w:sz w:val="18"/>
                <w:szCs w:val="18"/>
                <w:lang w:eastAsia="lv-LV"/>
              </w:rPr>
              <w:t>4 880 688</w:t>
            </w:r>
          </w:p>
        </w:tc>
        <w:tc>
          <w:tcPr>
            <w:tcW w:w="1134" w:type="dxa"/>
            <w:shd w:val="clear" w:color="auto" w:fill="BDD6EE" w:themeFill="accent1" w:themeFillTint="66"/>
            <w:vAlign w:val="center"/>
            <w:hideMark/>
          </w:tcPr>
          <w:p w14:paraId="260939DF" w14:textId="77777777" w:rsidR="00192E78" w:rsidRPr="00FC0326" w:rsidRDefault="00192E78" w:rsidP="000D4C76">
            <w:pPr>
              <w:jc w:val="center"/>
              <w:rPr>
                <w:rFonts w:eastAsia="Times New Roman"/>
                <w:b/>
                <w:bCs/>
                <w:sz w:val="18"/>
                <w:szCs w:val="18"/>
                <w:lang w:eastAsia="lv-LV"/>
              </w:rPr>
            </w:pPr>
            <w:r w:rsidRPr="00FC0326">
              <w:rPr>
                <w:rFonts w:eastAsia="Times New Roman"/>
                <w:b/>
                <w:color w:val="000000"/>
                <w:sz w:val="18"/>
                <w:szCs w:val="18"/>
                <w:lang w:eastAsia="lv-LV"/>
              </w:rPr>
              <w:t>0</w:t>
            </w:r>
          </w:p>
        </w:tc>
        <w:tc>
          <w:tcPr>
            <w:tcW w:w="1134" w:type="dxa"/>
            <w:shd w:val="clear" w:color="auto" w:fill="BDD6EE" w:themeFill="accent1" w:themeFillTint="66"/>
            <w:vAlign w:val="center"/>
            <w:hideMark/>
          </w:tcPr>
          <w:p w14:paraId="4AFDF86D" w14:textId="77777777" w:rsidR="00192E78" w:rsidRPr="00FC0326" w:rsidRDefault="00192E78" w:rsidP="00F959A4">
            <w:pPr>
              <w:jc w:val="center"/>
              <w:rPr>
                <w:rFonts w:eastAsia="Times New Roman"/>
                <w:b/>
                <w:bCs/>
                <w:sz w:val="18"/>
                <w:szCs w:val="18"/>
                <w:lang w:eastAsia="lv-LV"/>
              </w:rPr>
            </w:pPr>
            <w:r w:rsidRPr="005309C7">
              <w:rPr>
                <w:rFonts w:eastAsia="Times New Roman"/>
                <w:b/>
                <w:bCs/>
                <w:sz w:val="18"/>
                <w:szCs w:val="18"/>
                <w:lang w:eastAsia="lv-LV"/>
              </w:rPr>
              <w:t>4</w:t>
            </w:r>
            <w:r w:rsidR="007B119B">
              <w:rPr>
                <w:rFonts w:eastAsia="Times New Roman"/>
                <w:b/>
                <w:bCs/>
                <w:sz w:val="18"/>
                <w:szCs w:val="18"/>
                <w:lang w:eastAsia="lv-LV"/>
              </w:rPr>
              <w:t> 385 435</w:t>
            </w:r>
          </w:p>
        </w:tc>
        <w:tc>
          <w:tcPr>
            <w:tcW w:w="1326" w:type="dxa"/>
            <w:shd w:val="clear" w:color="auto" w:fill="BDD6EE" w:themeFill="accent1" w:themeFillTint="66"/>
            <w:vAlign w:val="center"/>
            <w:hideMark/>
          </w:tcPr>
          <w:p w14:paraId="0C305454" w14:textId="77777777" w:rsidR="00192E78" w:rsidRPr="00FC0326" w:rsidRDefault="00192E78" w:rsidP="000D4C76">
            <w:pPr>
              <w:jc w:val="center"/>
              <w:rPr>
                <w:rFonts w:eastAsia="Times New Roman"/>
                <w:b/>
                <w:bCs/>
                <w:sz w:val="18"/>
                <w:szCs w:val="18"/>
                <w:lang w:eastAsia="lv-LV"/>
              </w:rPr>
            </w:pPr>
            <w:r w:rsidRPr="00FC0326">
              <w:rPr>
                <w:rFonts w:eastAsia="Times New Roman"/>
                <w:b/>
                <w:bCs/>
                <w:sz w:val="18"/>
                <w:szCs w:val="18"/>
                <w:lang w:eastAsia="lv-LV"/>
              </w:rPr>
              <w:t>0</w:t>
            </w:r>
          </w:p>
        </w:tc>
      </w:tr>
      <w:tr w:rsidR="00192E78" w:rsidRPr="00FC0326" w14:paraId="6BA4CC8E" w14:textId="77777777" w:rsidTr="00214BEB">
        <w:trPr>
          <w:trHeight w:val="312"/>
        </w:trPr>
        <w:tc>
          <w:tcPr>
            <w:tcW w:w="1715" w:type="dxa"/>
            <w:shd w:val="clear" w:color="auto" w:fill="BDD6EE" w:themeFill="accent1" w:themeFillTint="66"/>
            <w:vAlign w:val="center"/>
            <w:hideMark/>
          </w:tcPr>
          <w:p w14:paraId="20597902" w14:textId="77777777" w:rsidR="00192E78" w:rsidRPr="00FC0326" w:rsidRDefault="00192E78" w:rsidP="000D4C76">
            <w:pPr>
              <w:jc w:val="center"/>
              <w:rPr>
                <w:rFonts w:eastAsia="Times New Roman"/>
                <w:i/>
                <w:iCs/>
                <w:sz w:val="18"/>
                <w:szCs w:val="18"/>
                <w:lang w:eastAsia="lv-LV"/>
              </w:rPr>
            </w:pPr>
            <w:r w:rsidRPr="00FC0326">
              <w:rPr>
                <w:rFonts w:eastAsia="Times New Roman"/>
                <w:i/>
                <w:iCs/>
                <w:sz w:val="18"/>
                <w:szCs w:val="18"/>
                <w:lang w:eastAsia="lv-LV"/>
              </w:rPr>
              <w:t>tai skaitā</w:t>
            </w:r>
          </w:p>
        </w:tc>
        <w:tc>
          <w:tcPr>
            <w:tcW w:w="2263" w:type="dxa"/>
            <w:shd w:val="clear" w:color="auto" w:fill="BDD6EE" w:themeFill="accent1" w:themeFillTint="66"/>
            <w:vAlign w:val="center"/>
            <w:hideMark/>
          </w:tcPr>
          <w:p w14:paraId="238403AA" w14:textId="77777777" w:rsidR="00192E78" w:rsidRPr="00FC0326" w:rsidRDefault="00192E78" w:rsidP="000D4C76">
            <w:pPr>
              <w:jc w:val="center"/>
              <w:rPr>
                <w:rFonts w:eastAsia="Times New Roman"/>
                <w:i/>
                <w:iCs/>
                <w:sz w:val="18"/>
                <w:szCs w:val="18"/>
                <w:lang w:eastAsia="lv-LV"/>
              </w:rPr>
            </w:pPr>
            <w:r w:rsidRPr="00FC0326">
              <w:rPr>
                <w:rFonts w:eastAsia="Times New Roman"/>
                <w:i/>
                <w:iCs/>
                <w:sz w:val="18"/>
                <w:szCs w:val="18"/>
                <w:lang w:eastAsia="lv-LV"/>
              </w:rPr>
              <w:t> </w:t>
            </w:r>
          </w:p>
        </w:tc>
        <w:tc>
          <w:tcPr>
            <w:tcW w:w="1139" w:type="dxa"/>
            <w:shd w:val="clear" w:color="auto" w:fill="BDD6EE" w:themeFill="accent1" w:themeFillTint="66"/>
            <w:vAlign w:val="center"/>
            <w:hideMark/>
          </w:tcPr>
          <w:p w14:paraId="1A8D649B" w14:textId="77777777" w:rsidR="00192E78" w:rsidRPr="00FC0326" w:rsidRDefault="00192E78" w:rsidP="000D4C76">
            <w:pPr>
              <w:jc w:val="center"/>
              <w:rPr>
                <w:rFonts w:eastAsia="Times New Roman"/>
                <w:i/>
                <w:iCs/>
                <w:sz w:val="18"/>
                <w:szCs w:val="18"/>
                <w:lang w:eastAsia="lv-LV"/>
              </w:rPr>
            </w:pPr>
            <w:r w:rsidRPr="00FC0326">
              <w:rPr>
                <w:rFonts w:eastAsia="Times New Roman"/>
                <w:i/>
                <w:iCs/>
                <w:sz w:val="18"/>
                <w:szCs w:val="18"/>
                <w:lang w:eastAsia="lv-LV"/>
              </w:rPr>
              <w:t> </w:t>
            </w:r>
          </w:p>
        </w:tc>
        <w:tc>
          <w:tcPr>
            <w:tcW w:w="987" w:type="dxa"/>
            <w:shd w:val="clear" w:color="auto" w:fill="BDD6EE" w:themeFill="accent1" w:themeFillTint="66"/>
            <w:vAlign w:val="center"/>
          </w:tcPr>
          <w:p w14:paraId="3D594B9A" w14:textId="77777777" w:rsidR="00192E78" w:rsidRPr="00FC0326" w:rsidRDefault="00192E78" w:rsidP="000D4C76">
            <w:pPr>
              <w:jc w:val="center"/>
              <w:rPr>
                <w:rFonts w:eastAsia="Times New Roman"/>
                <w:i/>
                <w:iCs/>
                <w:sz w:val="18"/>
                <w:szCs w:val="18"/>
                <w:lang w:eastAsia="lv-LV"/>
              </w:rPr>
            </w:pPr>
          </w:p>
        </w:tc>
        <w:tc>
          <w:tcPr>
            <w:tcW w:w="856" w:type="dxa"/>
            <w:shd w:val="clear" w:color="auto" w:fill="BDD6EE" w:themeFill="accent1" w:themeFillTint="66"/>
            <w:vAlign w:val="center"/>
            <w:hideMark/>
          </w:tcPr>
          <w:p w14:paraId="25B61CC0" w14:textId="77777777" w:rsidR="00192E78" w:rsidRPr="00FC0326" w:rsidRDefault="00192E78" w:rsidP="000D4C76">
            <w:pPr>
              <w:jc w:val="center"/>
              <w:rPr>
                <w:rFonts w:eastAsia="Times New Roman"/>
                <w:i/>
                <w:iCs/>
                <w:sz w:val="18"/>
                <w:szCs w:val="18"/>
                <w:lang w:eastAsia="lv-LV"/>
              </w:rPr>
            </w:pPr>
            <w:r w:rsidRPr="00FC0326">
              <w:rPr>
                <w:rFonts w:eastAsia="Times New Roman"/>
                <w:i/>
                <w:iCs/>
                <w:sz w:val="18"/>
                <w:szCs w:val="18"/>
                <w:lang w:eastAsia="lv-LV"/>
              </w:rPr>
              <w:t> </w:t>
            </w:r>
          </w:p>
        </w:tc>
        <w:tc>
          <w:tcPr>
            <w:tcW w:w="992" w:type="dxa"/>
            <w:shd w:val="clear" w:color="auto" w:fill="BDD6EE" w:themeFill="accent1" w:themeFillTint="66"/>
            <w:vAlign w:val="center"/>
            <w:hideMark/>
          </w:tcPr>
          <w:p w14:paraId="5679C85E" w14:textId="77777777" w:rsidR="00192E78" w:rsidRPr="00FC0326" w:rsidRDefault="00192E78" w:rsidP="000D4C76">
            <w:pPr>
              <w:jc w:val="center"/>
              <w:rPr>
                <w:rFonts w:eastAsia="Times New Roman"/>
                <w:i/>
                <w:iCs/>
                <w:sz w:val="18"/>
                <w:szCs w:val="18"/>
                <w:lang w:eastAsia="lv-LV"/>
              </w:rPr>
            </w:pPr>
            <w:r w:rsidRPr="00FC0326">
              <w:rPr>
                <w:rFonts w:eastAsia="Times New Roman"/>
                <w:i/>
                <w:iCs/>
                <w:sz w:val="18"/>
                <w:szCs w:val="18"/>
                <w:lang w:eastAsia="lv-LV"/>
              </w:rPr>
              <w:t> </w:t>
            </w:r>
          </w:p>
        </w:tc>
        <w:tc>
          <w:tcPr>
            <w:tcW w:w="992" w:type="dxa"/>
            <w:shd w:val="clear" w:color="auto" w:fill="BDD6EE" w:themeFill="accent1" w:themeFillTint="66"/>
            <w:vAlign w:val="center"/>
          </w:tcPr>
          <w:p w14:paraId="19089717" w14:textId="77777777" w:rsidR="00192E78" w:rsidRPr="00FC0326" w:rsidRDefault="00192E78" w:rsidP="000D4C76">
            <w:pPr>
              <w:jc w:val="center"/>
              <w:rPr>
                <w:rFonts w:eastAsia="Times New Roman"/>
                <w:i/>
                <w:iCs/>
                <w:sz w:val="18"/>
                <w:szCs w:val="18"/>
                <w:lang w:eastAsia="lv-LV"/>
              </w:rPr>
            </w:pPr>
          </w:p>
        </w:tc>
        <w:tc>
          <w:tcPr>
            <w:tcW w:w="993" w:type="dxa"/>
            <w:shd w:val="clear" w:color="auto" w:fill="BDD6EE" w:themeFill="accent1" w:themeFillTint="66"/>
            <w:vAlign w:val="center"/>
          </w:tcPr>
          <w:p w14:paraId="79991821" w14:textId="77777777" w:rsidR="00192E78" w:rsidRPr="00FC0326" w:rsidRDefault="00192E78" w:rsidP="000D4C76">
            <w:pPr>
              <w:jc w:val="center"/>
              <w:rPr>
                <w:rFonts w:eastAsia="Times New Roman"/>
                <w:i/>
                <w:iCs/>
                <w:sz w:val="18"/>
                <w:szCs w:val="18"/>
                <w:lang w:eastAsia="lv-LV"/>
              </w:rPr>
            </w:pPr>
          </w:p>
        </w:tc>
        <w:tc>
          <w:tcPr>
            <w:tcW w:w="992" w:type="dxa"/>
            <w:shd w:val="clear" w:color="auto" w:fill="BDD6EE" w:themeFill="accent1" w:themeFillTint="66"/>
            <w:vAlign w:val="center"/>
          </w:tcPr>
          <w:p w14:paraId="013FB4D6" w14:textId="77777777" w:rsidR="00192E78" w:rsidRPr="00FC0326" w:rsidRDefault="00192E78" w:rsidP="000D4C76">
            <w:pPr>
              <w:jc w:val="center"/>
              <w:rPr>
                <w:rFonts w:eastAsia="Times New Roman"/>
                <w:i/>
                <w:iCs/>
                <w:sz w:val="18"/>
                <w:szCs w:val="18"/>
                <w:lang w:eastAsia="lv-LV"/>
              </w:rPr>
            </w:pPr>
          </w:p>
        </w:tc>
        <w:tc>
          <w:tcPr>
            <w:tcW w:w="1134" w:type="dxa"/>
            <w:shd w:val="clear" w:color="auto" w:fill="BDD6EE" w:themeFill="accent1" w:themeFillTint="66"/>
            <w:hideMark/>
          </w:tcPr>
          <w:p w14:paraId="04091930" w14:textId="77777777" w:rsidR="00192E78" w:rsidRPr="00FC0326" w:rsidRDefault="00192E78" w:rsidP="000D4C76">
            <w:pPr>
              <w:jc w:val="center"/>
              <w:rPr>
                <w:rFonts w:eastAsia="Times New Roman"/>
                <w:i/>
                <w:iCs/>
                <w:sz w:val="18"/>
                <w:szCs w:val="18"/>
                <w:lang w:eastAsia="lv-LV"/>
              </w:rPr>
            </w:pPr>
            <w:r w:rsidRPr="00FC0326">
              <w:rPr>
                <w:rFonts w:eastAsia="Times New Roman"/>
                <w:i/>
                <w:iCs/>
                <w:sz w:val="18"/>
                <w:szCs w:val="18"/>
                <w:lang w:eastAsia="lv-LV"/>
              </w:rPr>
              <w:t> </w:t>
            </w:r>
          </w:p>
        </w:tc>
        <w:tc>
          <w:tcPr>
            <w:tcW w:w="1134" w:type="dxa"/>
            <w:shd w:val="clear" w:color="auto" w:fill="BDD6EE" w:themeFill="accent1" w:themeFillTint="66"/>
            <w:hideMark/>
          </w:tcPr>
          <w:p w14:paraId="6C17F6B1" w14:textId="77777777" w:rsidR="00192E78" w:rsidRPr="00FC0326" w:rsidRDefault="00192E78" w:rsidP="000D4C76">
            <w:pPr>
              <w:jc w:val="center"/>
              <w:rPr>
                <w:rFonts w:eastAsia="Times New Roman"/>
                <w:i/>
                <w:iCs/>
                <w:sz w:val="18"/>
                <w:szCs w:val="18"/>
                <w:lang w:eastAsia="lv-LV"/>
              </w:rPr>
            </w:pPr>
            <w:r w:rsidRPr="00FC0326">
              <w:rPr>
                <w:rFonts w:eastAsia="Times New Roman"/>
                <w:i/>
                <w:iCs/>
                <w:sz w:val="18"/>
                <w:szCs w:val="18"/>
                <w:lang w:eastAsia="lv-LV"/>
              </w:rPr>
              <w:t> </w:t>
            </w:r>
          </w:p>
        </w:tc>
        <w:tc>
          <w:tcPr>
            <w:tcW w:w="1326" w:type="dxa"/>
            <w:shd w:val="clear" w:color="auto" w:fill="BDD6EE" w:themeFill="accent1" w:themeFillTint="66"/>
            <w:hideMark/>
          </w:tcPr>
          <w:p w14:paraId="6E5FC8BC" w14:textId="77777777" w:rsidR="00192E78" w:rsidRPr="00FC0326" w:rsidRDefault="00192E78" w:rsidP="000D4C76">
            <w:pPr>
              <w:jc w:val="center"/>
              <w:rPr>
                <w:rFonts w:eastAsia="Times New Roman"/>
                <w:i/>
                <w:iCs/>
                <w:sz w:val="18"/>
                <w:szCs w:val="18"/>
                <w:lang w:eastAsia="lv-LV"/>
              </w:rPr>
            </w:pPr>
            <w:r w:rsidRPr="00FC0326">
              <w:rPr>
                <w:rFonts w:eastAsia="Times New Roman"/>
                <w:i/>
                <w:iCs/>
                <w:sz w:val="18"/>
                <w:szCs w:val="18"/>
                <w:lang w:eastAsia="lv-LV"/>
              </w:rPr>
              <w:t> </w:t>
            </w:r>
          </w:p>
        </w:tc>
      </w:tr>
      <w:tr w:rsidR="00192E78" w:rsidRPr="00FC0326" w14:paraId="767A8788" w14:textId="77777777" w:rsidTr="00214BEB">
        <w:trPr>
          <w:trHeight w:val="312"/>
        </w:trPr>
        <w:tc>
          <w:tcPr>
            <w:tcW w:w="1715" w:type="dxa"/>
            <w:shd w:val="clear" w:color="auto" w:fill="BDD6EE" w:themeFill="accent1" w:themeFillTint="66"/>
            <w:vAlign w:val="center"/>
          </w:tcPr>
          <w:p w14:paraId="2C4851F5" w14:textId="77777777" w:rsidR="00192E78" w:rsidRPr="00FC0326" w:rsidRDefault="00192E78" w:rsidP="000D4C76">
            <w:pPr>
              <w:jc w:val="center"/>
              <w:rPr>
                <w:rFonts w:eastAsia="Times New Roman"/>
                <w:i/>
                <w:iCs/>
                <w:sz w:val="18"/>
                <w:szCs w:val="18"/>
                <w:lang w:eastAsia="lv-LV"/>
              </w:rPr>
            </w:pPr>
            <w:r>
              <w:rPr>
                <w:rFonts w:eastAsia="Times New Roman"/>
                <w:i/>
                <w:iCs/>
                <w:sz w:val="18"/>
                <w:szCs w:val="18"/>
                <w:lang w:eastAsia="lv-LV"/>
              </w:rPr>
              <w:t>Tieslietu ministrija</w:t>
            </w:r>
          </w:p>
        </w:tc>
        <w:tc>
          <w:tcPr>
            <w:tcW w:w="2263" w:type="dxa"/>
            <w:shd w:val="clear" w:color="auto" w:fill="BDD6EE" w:themeFill="accent1" w:themeFillTint="66"/>
            <w:vAlign w:val="center"/>
          </w:tcPr>
          <w:p w14:paraId="6D7CECE8" w14:textId="77777777" w:rsidR="00192E78" w:rsidRPr="00FC0326" w:rsidRDefault="00192E78" w:rsidP="000D4C76">
            <w:pPr>
              <w:jc w:val="center"/>
              <w:rPr>
                <w:rFonts w:eastAsia="Times New Roman"/>
                <w:i/>
                <w:iCs/>
                <w:sz w:val="18"/>
                <w:szCs w:val="18"/>
                <w:lang w:eastAsia="lv-LV"/>
              </w:rPr>
            </w:pPr>
          </w:p>
        </w:tc>
        <w:tc>
          <w:tcPr>
            <w:tcW w:w="1139" w:type="dxa"/>
            <w:shd w:val="clear" w:color="auto" w:fill="BDD6EE" w:themeFill="accent1" w:themeFillTint="66"/>
            <w:vAlign w:val="center"/>
          </w:tcPr>
          <w:p w14:paraId="6C99765E" w14:textId="77777777" w:rsidR="00192E78" w:rsidRPr="00FC0326" w:rsidRDefault="00192E78" w:rsidP="000D4C76">
            <w:pPr>
              <w:jc w:val="center"/>
              <w:rPr>
                <w:rFonts w:eastAsia="Times New Roman"/>
                <w:i/>
                <w:iCs/>
                <w:sz w:val="18"/>
                <w:szCs w:val="18"/>
                <w:lang w:eastAsia="lv-LV"/>
              </w:rPr>
            </w:pPr>
          </w:p>
        </w:tc>
        <w:tc>
          <w:tcPr>
            <w:tcW w:w="987" w:type="dxa"/>
            <w:shd w:val="clear" w:color="auto" w:fill="BDD6EE" w:themeFill="accent1" w:themeFillTint="66"/>
            <w:vAlign w:val="bottom"/>
          </w:tcPr>
          <w:p w14:paraId="565ED82D" w14:textId="77777777" w:rsidR="00192E78" w:rsidRPr="00FC0326" w:rsidRDefault="00192E78" w:rsidP="000D4C76">
            <w:pPr>
              <w:jc w:val="center"/>
              <w:rPr>
                <w:rFonts w:eastAsia="Times New Roman"/>
                <w:i/>
                <w:iCs/>
                <w:sz w:val="18"/>
                <w:szCs w:val="18"/>
                <w:lang w:eastAsia="lv-LV"/>
              </w:rPr>
            </w:pPr>
            <w:r w:rsidRPr="0084195E">
              <w:rPr>
                <w:rFonts w:eastAsia="Times New Roman"/>
                <w:i/>
                <w:iCs/>
                <w:sz w:val="18"/>
                <w:szCs w:val="18"/>
                <w:lang w:eastAsia="lv-LV"/>
              </w:rPr>
              <w:t>1 053 455</w:t>
            </w:r>
          </w:p>
        </w:tc>
        <w:tc>
          <w:tcPr>
            <w:tcW w:w="856" w:type="dxa"/>
            <w:shd w:val="clear" w:color="auto" w:fill="BDD6EE" w:themeFill="accent1" w:themeFillTint="66"/>
            <w:vAlign w:val="bottom"/>
          </w:tcPr>
          <w:p w14:paraId="0F982312" w14:textId="77777777" w:rsidR="00192E78" w:rsidRPr="00FC0326" w:rsidRDefault="00192E78" w:rsidP="000D4C76">
            <w:pPr>
              <w:jc w:val="center"/>
              <w:rPr>
                <w:rFonts w:eastAsia="Times New Roman"/>
                <w:i/>
                <w:iCs/>
                <w:sz w:val="18"/>
                <w:szCs w:val="18"/>
                <w:lang w:eastAsia="lv-LV"/>
              </w:rPr>
            </w:pPr>
          </w:p>
        </w:tc>
        <w:tc>
          <w:tcPr>
            <w:tcW w:w="992" w:type="dxa"/>
            <w:shd w:val="clear" w:color="auto" w:fill="BDD6EE" w:themeFill="accent1" w:themeFillTint="66"/>
            <w:vAlign w:val="bottom"/>
          </w:tcPr>
          <w:p w14:paraId="5A863285" w14:textId="77777777" w:rsidR="00192E78" w:rsidRPr="00FC0326" w:rsidRDefault="00192E78" w:rsidP="000D4C76">
            <w:pPr>
              <w:jc w:val="center"/>
              <w:rPr>
                <w:rFonts w:eastAsia="Times New Roman"/>
                <w:i/>
                <w:iCs/>
                <w:sz w:val="18"/>
                <w:szCs w:val="18"/>
                <w:lang w:eastAsia="lv-LV"/>
              </w:rPr>
            </w:pPr>
          </w:p>
        </w:tc>
        <w:tc>
          <w:tcPr>
            <w:tcW w:w="992" w:type="dxa"/>
            <w:shd w:val="clear" w:color="auto" w:fill="BDD6EE" w:themeFill="accent1" w:themeFillTint="66"/>
            <w:vAlign w:val="bottom"/>
          </w:tcPr>
          <w:p w14:paraId="694CEF02" w14:textId="77777777" w:rsidR="00192E78" w:rsidRPr="00FC0326" w:rsidRDefault="00192E78" w:rsidP="004F2C70">
            <w:pPr>
              <w:jc w:val="center"/>
              <w:rPr>
                <w:rFonts w:eastAsia="Times New Roman"/>
                <w:i/>
                <w:iCs/>
                <w:sz w:val="18"/>
                <w:szCs w:val="18"/>
                <w:lang w:eastAsia="lv-LV"/>
              </w:rPr>
            </w:pPr>
            <w:r>
              <w:rPr>
                <w:rFonts w:eastAsia="Times New Roman"/>
                <w:i/>
                <w:iCs/>
                <w:sz w:val="18"/>
                <w:szCs w:val="18"/>
                <w:lang w:eastAsia="lv-LV"/>
              </w:rPr>
              <w:t>1</w:t>
            </w:r>
            <w:r w:rsidR="004F2C70">
              <w:rPr>
                <w:rFonts w:eastAsia="Times New Roman"/>
                <w:i/>
                <w:iCs/>
                <w:sz w:val="18"/>
                <w:szCs w:val="18"/>
                <w:lang w:eastAsia="lv-LV"/>
              </w:rPr>
              <w:t> 266 823</w:t>
            </w:r>
          </w:p>
        </w:tc>
        <w:tc>
          <w:tcPr>
            <w:tcW w:w="993" w:type="dxa"/>
            <w:shd w:val="clear" w:color="auto" w:fill="BDD6EE" w:themeFill="accent1" w:themeFillTint="66"/>
            <w:vAlign w:val="bottom"/>
          </w:tcPr>
          <w:p w14:paraId="4779FFA2" w14:textId="77777777" w:rsidR="00192E78" w:rsidRPr="0084195E" w:rsidRDefault="004F2C70" w:rsidP="000D4C76">
            <w:pPr>
              <w:jc w:val="center"/>
              <w:rPr>
                <w:rFonts w:eastAsia="Times New Roman"/>
                <w:i/>
                <w:iCs/>
                <w:sz w:val="18"/>
                <w:szCs w:val="18"/>
                <w:lang w:eastAsia="lv-LV"/>
              </w:rPr>
            </w:pPr>
            <w:r>
              <w:rPr>
                <w:rFonts w:eastAsia="Times New Roman"/>
                <w:i/>
                <w:iCs/>
                <w:sz w:val="18"/>
                <w:szCs w:val="18"/>
                <w:lang w:eastAsia="lv-LV"/>
              </w:rPr>
              <w:t>886 253</w:t>
            </w:r>
          </w:p>
        </w:tc>
        <w:tc>
          <w:tcPr>
            <w:tcW w:w="992" w:type="dxa"/>
            <w:shd w:val="clear" w:color="auto" w:fill="BDD6EE" w:themeFill="accent1" w:themeFillTint="66"/>
            <w:vAlign w:val="bottom"/>
          </w:tcPr>
          <w:p w14:paraId="2E50D6E0" w14:textId="77777777" w:rsidR="00192E78" w:rsidRPr="0084195E" w:rsidRDefault="004F2C70" w:rsidP="000D4C76">
            <w:pPr>
              <w:jc w:val="center"/>
              <w:rPr>
                <w:rFonts w:eastAsia="Times New Roman"/>
                <w:i/>
                <w:iCs/>
                <w:sz w:val="18"/>
                <w:szCs w:val="18"/>
                <w:lang w:eastAsia="lv-LV"/>
              </w:rPr>
            </w:pPr>
            <w:r>
              <w:rPr>
                <w:rFonts w:eastAsia="Times New Roman"/>
                <w:i/>
                <w:iCs/>
                <w:sz w:val="18"/>
                <w:szCs w:val="18"/>
                <w:lang w:eastAsia="lv-LV"/>
              </w:rPr>
              <w:t>686 253</w:t>
            </w:r>
          </w:p>
        </w:tc>
        <w:tc>
          <w:tcPr>
            <w:tcW w:w="1134" w:type="dxa"/>
            <w:shd w:val="clear" w:color="auto" w:fill="BDD6EE" w:themeFill="accent1" w:themeFillTint="66"/>
            <w:vAlign w:val="bottom"/>
          </w:tcPr>
          <w:p w14:paraId="6E500DDD" w14:textId="77777777" w:rsidR="00192E78" w:rsidRPr="00FC0326" w:rsidRDefault="00192E78" w:rsidP="000D4C76">
            <w:pPr>
              <w:jc w:val="center"/>
              <w:rPr>
                <w:rFonts w:eastAsia="Times New Roman"/>
                <w:i/>
                <w:iCs/>
                <w:sz w:val="18"/>
                <w:szCs w:val="18"/>
                <w:lang w:eastAsia="lv-LV"/>
              </w:rPr>
            </w:pPr>
          </w:p>
        </w:tc>
        <w:tc>
          <w:tcPr>
            <w:tcW w:w="1134" w:type="dxa"/>
            <w:shd w:val="clear" w:color="auto" w:fill="BDD6EE" w:themeFill="accent1" w:themeFillTint="66"/>
            <w:vAlign w:val="bottom"/>
          </w:tcPr>
          <w:p w14:paraId="1030C3DC" w14:textId="77777777" w:rsidR="00192E78" w:rsidRPr="00FC0326" w:rsidRDefault="00192E78" w:rsidP="000D4C76">
            <w:pPr>
              <w:jc w:val="center"/>
              <w:rPr>
                <w:rFonts w:eastAsia="Times New Roman"/>
                <w:i/>
                <w:iCs/>
                <w:sz w:val="18"/>
                <w:szCs w:val="18"/>
                <w:lang w:eastAsia="lv-LV"/>
              </w:rPr>
            </w:pPr>
            <w:r w:rsidRPr="0084195E">
              <w:rPr>
                <w:rFonts w:eastAsia="Times New Roman"/>
                <w:i/>
                <w:iCs/>
                <w:sz w:val="18"/>
                <w:szCs w:val="18"/>
                <w:lang w:eastAsia="lv-LV"/>
              </w:rPr>
              <w:t>191 000</w:t>
            </w:r>
          </w:p>
        </w:tc>
        <w:tc>
          <w:tcPr>
            <w:tcW w:w="1326" w:type="dxa"/>
            <w:shd w:val="clear" w:color="auto" w:fill="BDD6EE" w:themeFill="accent1" w:themeFillTint="66"/>
            <w:vAlign w:val="bottom"/>
          </w:tcPr>
          <w:p w14:paraId="39D68A0A" w14:textId="77777777" w:rsidR="00192E78" w:rsidRPr="00FC0326" w:rsidRDefault="00192E78" w:rsidP="000D4C76">
            <w:pPr>
              <w:jc w:val="center"/>
              <w:rPr>
                <w:rFonts w:eastAsia="Times New Roman"/>
                <w:i/>
                <w:iCs/>
                <w:sz w:val="18"/>
                <w:szCs w:val="18"/>
                <w:lang w:eastAsia="lv-LV"/>
              </w:rPr>
            </w:pPr>
          </w:p>
        </w:tc>
      </w:tr>
      <w:tr w:rsidR="00192E78" w:rsidRPr="00FC0326" w14:paraId="1DF794AC" w14:textId="77777777" w:rsidTr="00214BEB">
        <w:trPr>
          <w:trHeight w:val="312"/>
        </w:trPr>
        <w:tc>
          <w:tcPr>
            <w:tcW w:w="1715" w:type="dxa"/>
            <w:shd w:val="clear" w:color="auto" w:fill="BDD6EE" w:themeFill="accent1" w:themeFillTint="66"/>
            <w:vAlign w:val="center"/>
          </w:tcPr>
          <w:p w14:paraId="55AE6DCE" w14:textId="77777777" w:rsidR="00192E78" w:rsidRPr="00FC0326" w:rsidRDefault="00192E78" w:rsidP="000D4C76">
            <w:pPr>
              <w:jc w:val="center"/>
              <w:rPr>
                <w:rFonts w:eastAsia="Times New Roman"/>
                <w:i/>
                <w:iCs/>
                <w:sz w:val="18"/>
                <w:szCs w:val="18"/>
                <w:lang w:eastAsia="lv-LV"/>
              </w:rPr>
            </w:pPr>
            <w:r>
              <w:rPr>
                <w:rFonts w:eastAsia="Times New Roman"/>
                <w:i/>
                <w:iCs/>
                <w:sz w:val="18"/>
                <w:szCs w:val="18"/>
                <w:lang w:eastAsia="lv-LV"/>
              </w:rPr>
              <w:t>Finanšu ministrija</w:t>
            </w:r>
          </w:p>
        </w:tc>
        <w:tc>
          <w:tcPr>
            <w:tcW w:w="2263" w:type="dxa"/>
            <w:shd w:val="clear" w:color="auto" w:fill="BDD6EE" w:themeFill="accent1" w:themeFillTint="66"/>
            <w:vAlign w:val="center"/>
          </w:tcPr>
          <w:p w14:paraId="1FB76C5A" w14:textId="77777777" w:rsidR="00192E78" w:rsidRPr="00FC0326" w:rsidRDefault="00192E78" w:rsidP="000D4C76">
            <w:pPr>
              <w:jc w:val="center"/>
              <w:rPr>
                <w:rFonts w:eastAsia="Times New Roman"/>
                <w:i/>
                <w:iCs/>
                <w:sz w:val="18"/>
                <w:szCs w:val="18"/>
                <w:lang w:eastAsia="lv-LV"/>
              </w:rPr>
            </w:pPr>
          </w:p>
        </w:tc>
        <w:tc>
          <w:tcPr>
            <w:tcW w:w="1139" w:type="dxa"/>
            <w:shd w:val="clear" w:color="auto" w:fill="BDD6EE" w:themeFill="accent1" w:themeFillTint="66"/>
            <w:vAlign w:val="center"/>
          </w:tcPr>
          <w:p w14:paraId="5AC47D7A" w14:textId="77777777" w:rsidR="00192E78" w:rsidRPr="00FC0326" w:rsidRDefault="00192E78" w:rsidP="000D4C76">
            <w:pPr>
              <w:jc w:val="center"/>
              <w:rPr>
                <w:rFonts w:eastAsia="Times New Roman"/>
                <w:i/>
                <w:iCs/>
                <w:sz w:val="18"/>
                <w:szCs w:val="18"/>
                <w:lang w:eastAsia="lv-LV"/>
              </w:rPr>
            </w:pPr>
          </w:p>
        </w:tc>
        <w:tc>
          <w:tcPr>
            <w:tcW w:w="987" w:type="dxa"/>
            <w:shd w:val="clear" w:color="auto" w:fill="BDD6EE" w:themeFill="accent1" w:themeFillTint="66"/>
            <w:vAlign w:val="center"/>
          </w:tcPr>
          <w:p w14:paraId="3F0EA7C8" w14:textId="77777777" w:rsidR="00192E78" w:rsidRPr="00FC0326" w:rsidRDefault="00192E78" w:rsidP="000D4C76">
            <w:pPr>
              <w:jc w:val="center"/>
              <w:rPr>
                <w:rFonts w:eastAsia="Times New Roman"/>
                <w:i/>
                <w:iCs/>
                <w:sz w:val="18"/>
                <w:szCs w:val="18"/>
                <w:lang w:eastAsia="lv-LV"/>
              </w:rPr>
            </w:pPr>
            <w:r>
              <w:rPr>
                <w:rFonts w:eastAsia="Times New Roman"/>
                <w:i/>
                <w:iCs/>
                <w:sz w:val="18"/>
                <w:szCs w:val="18"/>
                <w:lang w:eastAsia="lv-LV"/>
              </w:rPr>
              <w:t>557</w:t>
            </w:r>
            <w:r w:rsidR="00F70623">
              <w:rPr>
                <w:rFonts w:eastAsia="Times New Roman"/>
                <w:i/>
                <w:iCs/>
                <w:sz w:val="18"/>
                <w:szCs w:val="18"/>
                <w:lang w:eastAsia="lv-LV"/>
              </w:rPr>
              <w:t xml:space="preserve"> </w:t>
            </w:r>
            <w:r>
              <w:rPr>
                <w:rFonts w:eastAsia="Times New Roman"/>
                <w:i/>
                <w:iCs/>
                <w:sz w:val="18"/>
                <w:szCs w:val="18"/>
                <w:lang w:eastAsia="lv-LV"/>
              </w:rPr>
              <w:t>762</w:t>
            </w:r>
          </w:p>
        </w:tc>
        <w:tc>
          <w:tcPr>
            <w:tcW w:w="856" w:type="dxa"/>
            <w:shd w:val="clear" w:color="auto" w:fill="BDD6EE" w:themeFill="accent1" w:themeFillTint="66"/>
            <w:vAlign w:val="center"/>
          </w:tcPr>
          <w:p w14:paraId="3047842A" w14:textId="77777777" w:rsidR="00192E78" w:rsidRPr="00FC0326" w:rsidRDefault="00192E78" w:rsidP="000D4C76">
            <w:pPr>
              <w:jc w:val="center"/>
              <w:rPr>
                <w:rFonts w:eastAsia="Times New Roman"/>
                <w:i/>
                <w:iCs/>
                <w:sz w:val="18"/>
                <w:szCs w:val="18"/>
                <w:lang w:eastAsia="lv-LV"/>
              </w:rPr>
            </w:pPr>
            <w:r>
              <w:rPr>
                <w:rFonts w:eastAsia="Times New Roman"/>
                <w:i/>
                <w:iCs/>
                <w:sz w:val="18"/>
                <w:szCs w:val="18"/>
                <w:lang w:eastAsia="lv-LV"/>
              </w:rPr>
              <w:t>555</w:t>
            </w:r>
            <w:r w:rsidR="00F70623">
              <w:rPr>
                <w:rFonts w:eastAsia="Times New Roman"/>
                <w:i/>
                <w:iCs/>
                <w:sz w:val="18"/>
                <w:szCs w:val="18"/>
                <w:lang w:eastAsia="lv-LV"/>
              </w:rPr>
              <w:t xml:space="preserve"> </w:t>
            </w:r>
            <w:r>
              <w:rPr>
                <w:rFonts w:eastAsia="Times New Roman"/>
                <w:i/>
                <w:iCs/>
                <w:sz w:val="18"/>
                <w:szCs w:val="18"/>
                <w:lang w:eastAsia="lv-LV"/>
              </w:rPr>
              <w:t>993</w:t>
            </w:r>
          </w:p>
        </w:tc>
        <w:tc>
          <w:tcPr>
            <w:tcW w:w="992" w:type="dxa"/>
            <w:shd w:val="clear" w:color="auto" w:fill="BDD6EE" w:themeFill="accent1" w:themeFillTint="66"/>
            <w:vAlign w:val="center"/>
          </w:tcPr>
          <w:p w14:paraId="42A6174C" w14:textId="77777777" w:rsidR="00192E78" w:rsidRPr="00FC0326" w:rsidRDefault="00192E78" w:rsidP="000D4C76">
            <w:pPr>
              <w:jc w:val="center"/>
              <w:rPr>
                <w:rFonts w:eastAsia="Times New Roman"/>
                <w:i/>
                <w:iCs/>
                <w:sz w:val="18"/>
                <w:szCs w:val="18"/>
                <w:lang w:eastAsia="lv-LV"/>
              </w:rPr>
            </w:pPr>
            <w:r>
              <w:rPr>
                <w:rFonts w:eastAsia="Times New Roman"/>
                <w:i/>
                <w:iCs/>
                <w:sz w:val="18"/>
                <w:szCs w:val="18"/>
                <w:lang w:eastAsia="lv-LV"/>
              </w:rPr>
              <w:t>555</w:t>
            </w:r>
            <w:r w:rsidR="00F70623">
              <w:rPr>
                <w:rFonts w:eastAsia="Times New Roman"/>
                <w:i/>
                <w:iCs/>
                <w:sz w:val="18"/>
                <w:szCs w:val="18"/>
                <w:lang w:eastAsia="lv-LV"/>
              </w:rPr>
              <w:t xml:space="preserve"> </w:t>
            </w:r>
            <w:r>
              <w:rPr>
                <w:rFonts w:eastAsia="Times New Roman"/>
                <w:i/>
                <w:iCs/>
                <w:sz w:val="18"/>
                <w:szCs w:val="18"/>
                <w:lang w:eastAsia="lv-LV"/>
              </w:rPr>
              <w:t>990</w:t>
            </w:r>
          </w:p>
        </w:tc>
        <w:tc>
          <w:tcPr>
            <w:tcW w:w="992" w:type="dxa"/>
            <w:shd w:val="clear" w:color="auto" w:fill="BDD6EE" w:themeFill="accent1" w:themeFillTint="66"/>
          </w:tcPr>
          <w:p w14:paraId="78D8A8DB" w14:textId="77777777" w:rsidR="00192E78" w:rsidRPr="00386560" w:rsidRDefault="00192E78" w:rsidP="000D4C76">
            <w:pPr>
              <w:jc w:val="center"/>
              <w:rPr>
                <w:rFonts w:eastAsia="Times New Roman"/>
                <w:i/>
                <w:iCs/>
                <w:sz w:val="18"/>
                <w:szCs w:val="18"/>
                <w:lang w:eastAsia="lv-LV"/>
              </w:rPr>
            </w:pPr>
            <w:r w:rsidRPr="00386560">
              <w:rPr>
                <w:i/>
                <w:sz w:val="18"/>
                <w:szCs w:val="18"/>
              </w:rPr>
              <w:t>2 827 551</w:t>
            </w:r>
          </w:p>
        </w:tc>
        <w:tc>
          <w:tcPr>
            <w:tcW w:w="993" w:type="dxa"/>
            <w:shd w:val="clear" w:color="auto" w:fill="BDD6EE" w:themeFill="accent1" w:themeFillTint="66"/>
          </w:tcPr>
          <w:p w14:paraId="2AD2C921" w14:textId="77777777" w:rsidR="00192E78" w:rsidRPr="00386560" w:rsidRDefault="00192E78" w:rsidP="000D4C76">
            <w:pPr>
              <w:jc w:val="center"/>
              <w:rPr>
                <w:rFonts w:eastAsia="Times New Roman"/>
                <w:i/>
                <w:iCs/>
                <w:sz w:val="18"/>
                <w:szCs w:val="18"/>
                <w:lang w:eastAsia="lv-LV"/>
              </w:rPr>
            </w:pPr>
            <w:r w:rsidRPr="00386560">
              <w:rPr>
                <w:i/>
                <w:sz w:val="18"/>
                <w:szCs w:val="18"/>
              </w:rPr>
              <w:t>2 224 807</w:t>
            </w:r>
          </w:p>
        </w:tc>
        <w:tc>
          <w:tcPr>
            <w:tcW w:w="992" w:type="dxa"/>
            <w:shd w:val="clear" w:color="auto" w:fill="BDD6EE" w:themeFill="accent1" w:themeFillTint="66"/>
          </w:tcPr>
          <w:p w14:paraId="737ABC4B" w14:textId="77777777" w:rsidR="00192E78" w:rsidRPr="00386560" w:rsidRDefault="00192E78" w:rsidP="000D4C76">
            <w:pPr>
              <w:jc w:val="center"/>
              <w:rPr>
                <w:rFonts w:eastAsia="Times New Roman"/>
                <w:i/>
                <w:iCs/>
                <w:sz w:val="18"/>
                <w:szCs w:val="18"/>
                <w:lang w:eastAsia="lv-LV"/>
              </w:rPr>
            </w:pPr>
            <w:r w:rsidRPr="00386560">
              <w:rPr>
                <w:i/>
                <w:sz w:val="18"/>
                <w:szCs w:val="18"/>
              </w:rPr>
              <w:t>2 224 807</w:t>
            </w:r>
          </w:p>
        </w:tc>
        <w:tc>
          <w:tcPr>
            <w:tcW w:w="1134" w:type="dxa"/>
            <w:shd w:val="clear" w:color="auto" w:fill="BDD6EE" w:themeFill="accent1" w:themeFillTint="66"/>
          </w:tcPr>
          <w:p w14:paraId="46968A1F" w14:textId="77777777" w:rsidR="00192E78" w:rsidRPr="00386560" w:rsidRDefault="00192E78" w:rsidP="000D4C76">
            <w:pPr>
              <w:jc w:val="center"/>
              <w:rPr>
                <w:rFonts w:eastAsia="Times New Roman"/>
                <w:i/>
                <w:iCs/>
                <w:sz w:val="18"/>
                <w:szCs w:val="18"/>
                <w:lang w:eastAsia="lv-LV"/>
              </w:rPr>
            </w:pPr>
            <w:r w:rsidRPr="00386560">
              <w:rPr>
                <w:i/>
                <w:sz w:val="18"/>
                <w:szCs w:val="18"/>
              </w:rPr>
              <w:t>0</w:t>
            </w:r>
          </w:p>
        </w:tc>
        <w:tc>
          <w:tcPr>
            <w:tcW w:w="1134" w:type="dxa"/>
            <w:shd w:val="clear" w:color="auto" w:fill="BDD6EE" w:themeFill="accent1" w:themeFillTint="66"/>
          </w:tcPr>
          <w:p w14:paraId="183DB14A" w14:textId="77777777" w:rsidR="00192E78" w:rsidRPr="00386560" w:rsidRDefault="00192E78" w:rsidP="000D4C76">
            <w:pPr>
              <w:jc w:val="center"/>
              <w:rPr>
                <w:rFonts w:eastAsia="Times New Roman"/>
                <w:i/>
                <w:iCs/>
                <w:sz w:val="18"/>
                <w:szCs w:val="18"/>
                <w:lang w:eastAsia="lv-LV"/>
              </w:rPr>
            </w:pPr>
            <w:r w:rsidRPr="00386560">
              <w:rPr>
                <w:i/>
                <w:sz w:val="18"/>
                <w:szCs w:val="18"/>
              </w:rPr>
              <w:t>2 224 807</w:t>
            </w:r>
          </w:p>
        </w:tc>
        <w:tc>
          <w:tcPr>
            <w:tcW w:w="1326" w:type="dxa"/>
            <w:shd w:val="clear" w:color="auto" w:fill="BDD6EE" w:themeFill="accent1" w:themeFillTint="66"/>
          </w:tcPr>
          <w:p w14:paraId="11C71830" w14:textId="77777777" w:rsidR="00192E78" w:rsidRPr="00386560" w:rsidRDefault="00192E78" w:rsidP="000D4C76">
            <w:pPr>
              <w:jc w:val="center"/>
              <w:rPr>
                <w:rFonts w:eastAsia="Times New Roman"/>
                <w:i/>
                <w:iCs/>
                <w:sz w:val="18"/>
                <w:szCs w:val="18"/>
                <w:lang w:eastAsia="lv-LV"/>
              </w:rPr>
            </w:pPr>
            <w:r w:rsidRPr="00386560">
              <w:rPr>
                <w:i/>
                <w:sz w:val="18"/>
                <w:szCs w:val="18"/>
              </w:rPr>
              <w:t>0</w:t>
            </w:r>
          </w:p>
        </w:tc>
      </w:tr>
      <w:tr w:rsidR="00192E78" w:rsidRPr="00FC0326" w14:paraId="2490536D" w14:textId="77777777" w:rsidTr="00214BEB">
        <w:trPr>
          <w:trHeight w:val="312"/>
        </w:trPr>
        <w:tc>
          <w:tcPr>
            <w:tcW w:w="1715" w:type="dxa"/>
            <w:shd w:val="clear" w:color="auto" w:fill="BDD6EE" w:themeFill="accent1" w:themeFillTint="66"/>
            <w:vAlign w:val="center"/>
          </w:tcPr>
          <w:p w14:paraId="3E0F5CE8" w14:textId="77777777" w:rsidR="00192E78" w:rsidRPr="00FC0326" w:rsidRDefault="00192E78" w:rsidP="000D4C76">
            <w:pPr>
              <w:jc w:val="center"/>
              <w:rPr>
                <w:rFonts w:eastAsia="Times New Roman"/>
                <w:i/>
                <w:iCs/>
                <w:sz w:val="18"/>
                <w:szCs w:val="18"/>
                <w:lang w:eastAsia="lv-LV"/>
              </w:rPr>
            </w:pPr>
            <w:r>
              <w:rPr>
                <w:rFonts w:eastAsia="Times New Roman"/>
                <w:i/>
                <w:iCs/>
                <w:sz w:val="18"/>
                <w:szCs w:val="18"/>
                <w:lang w:eastAsia="lv-LV"/>
              </w:rPr>
              <w:t>Ekonomikas ministrija</w:t>
            </w:r>
          </w:p>
        </w:tc>
        <w:tc>
          <w:tcPr>
            <w:tcW w:w="2263" w:type="dxa"/>
            <w:shd w:val="clear" w:color="auto" w:fill="BDD6EE" w:themeFill="accent1" w:themeFillTint="66"/>
            <w:vAlign w:val="center"/>
          </w:tcPr>
          <w:p w14:paraId="6E6C02A0" w14:textId="77777777" w:rsidR="00192E78" w:rsidRPr="00FC0326" w:rsidRDefault="00192E78" w:rsidP="000D4C76">
            <w:pPr>
              <w:jc w:val="center"/>
              <w:rPr>
                <w:rFonts w:eastAsia="Times New Roman"/>
                <w:i/>
                <w:iCs/>
                <w:sz w:val="18"/>
                <w:szCs w:val="18"/>
                <w:lang w:eastAsia="lv-LV"/>
              </w:rPr>
            </w:pPr>
          </w:p>
        </w:tc>
        <w:tc>
          <w:tcPr>
            <w:tcW w:w="1139" w:type="dxa"/>
            <w:shd w:val="clear" w:color="auto" w:fill="BDD6EE" w:themeFill="accent1" w:themeFillTint="66"/>
            <w:vAlign w:val="center"/>
          </w:tcPr>
          <w:p w14:paraId="40ADA5DE" w14:textId="77777777" w:rsidR="00192E78" w:rsidRPr="00FC0326" w:rsidRDefault="00192E78" w:rsidP="000D4C76">
            <w:pPr>
              <w:jc w:val="center"/>
              <w:rPr>
                <w:rFonts w:eastAsia="Times New Roman"/>
                <w:i/>
                <w:iCs/>
                <w:sz w:val="18"/>
                <w:szCs w:val="18"/>
                <w:lang w:eastAsia="lv-LV"/>
              </w:rPr>
            </w:pPr>
          </w:p>
        </w:tc>
        <w:tc>
          <w:tcPr>
            <w:tcW w:w="987" w:type="dxa"/>
            <w:shd w:val="clear" w:color="auto" w:fill="BDD6EE" w:themeFill="accent1" w:themeFillTint="66"/>
          </w:tcPr>
          <w:p w14:paraId="60C1054C" w14:textId="77777777" w:rsidR="00192E78" w:rsidRPr="00CD72B4" w:rsidRDefault="00192E78" w:rsidP="000D4C76">
            <w:pPr>
              <w:jc w:val="center"/>
              <w:rPr>
                <w:rFonts w:eastAsia="Times New Roman"/>
                <w:i/>
                <w:iCs/>
                <w:sz w:val="18"/>
                <w:szCs w:val="18"/>
                <w:lang w:eastAsia="lv-LV"/>
              </w:rPr>
            </w:pPr>
            <w:r w:rsidRPr="00CD72B4">
              <w:rPr>
                <w:i/>
                <w:sz w:val="18"/>
                <w:szCs w:val="18"/>
              </w:rPr>
              <w:t>277 142</w:t>
            </w:r>
          </w:p>
        </w:tc>
        <w:tc>
          <w:tcPr>
            <w:tcW w:w="856" w:type="dxa"/>
            <w:shd w:val="clear" w:color="auto" w:fill="BDD6EE" w:themeFill="accent1" w:themeFillTint="66"/>
          </w:tcPr>
          <w:p w14:paraId="67F511AB" w14:textId="77777777" w:rsidR="00192E78" w:rsidRPr="00CD72B4" w:rsidRDefault="00192E78" w:rsidP="000D4C76">
            <w:pPr>
              <w:jc w:val="center"/>
              <w:rPr>
                <w:rFonts w:eastAsia="Times New Roman"/>
                <w:i/>
                <w:iCs/>
                <w:sz w:val="18"/>
                <w:szCs w:val="18"/>
                <w:lang w:eastAsia="lv-LV"/>
              </w:rPr>
            </w:pPr>
            <w:r w:rsidRPr="00CD72B4">
              <w:rPr>
                <w:i/>
                <w:sz w:val="18"/>
                <w:szCs w:val="18"/>
              </w:rPr>
              <w:t>268 342</w:t>
            </w:r>
          </w:p>
        </w:tc>
        <w:tc>
          <w:tcPr>
            <w:tcW w:w="992" w:type="dxa"/>
            <w:shd w:val="clear" w:color="auto" w:fill="BDD6EE" w:themeFill="accent1" w:themeFillTint="66"/>
          </w:tcPr>
          <w:p w14:paraId="3FB3BDE3" w14:textId="77777777" w:rsidR="00192E78" w:rsidRPr="00CD72B4" w:rsidRDefault="00192E78" w:rsidP="000D4C76">
            <w:pPr>
              <w:jc w:val="center"/>
              <w:rPr>
                <w:rFonts w:eastAsia="Times New Roman"/>
                <w:i/>
                <w:iCs/>
                <w:sz w:val="18"/>
                <w:szCs w:val="18"/>
                <w:lang w:eastAsia="lv-LV"/>
              </w:rPr>
            </w:pPr>
            <w:r w:rsidRPr="00CD72B4">
              <w:rPr>
                <w:i/>
                <w:sz w:val="18"/>
                <w:szCs w:val="18"/>
              </w:rPr>
              <w:t>268 342</w:t>
            </w:r>
          </w:p>
        </w:tc>
        <w:tc>
          <w:tcPr>
            <w:tcW w:w="992" w:type="dxa"/>
            <w:shd w:val="clear" w:color="auto" w:fill="BDD6EE" w:themeFill="accent1" w:themeFillTint="66"/>
            <w:vAlign w:val="center"/>
          </w:tcPr>
          <w:p w14:paraId="6D889576" w14:textId="77777777" w:rsidR="00192E78" w:rsidRPr="00FC0326" w:rsidRDefault="00192E78" w:rsidP="000D4C76">
            <w:pPr>
              <w:jc w:val="center"/>
              <w:rPr>
                <w:rFonts w:eastAsia="Times New Roman"/>
                <w:i/>
                <w:iCs/>
                <w:sz w:val="18"/>
                <w:szCs w:val="18"/>
                <w:lang w:eastAsia="lv-LV"/>
              </w:rPr>
            </w:pPr>
          </w:p>
        </w:tc>
        <w:tc>
          <w:tcPr>
            <w:tcW w:w="993" w:type="dxa"/>
            <w:shd w:val="clear" w:color="auto" w:fill="BDD6EE" w:themeFill="accent1" w:themeFillTint="66"/>
            <w:vAlign w:val="center"/>
          </w:tcPr>
          <w:p w14:paraId="2BDAD491" w14:textId="77777777" w:rsidR="00192E78" w:rsidRPr="00FC0326" w:rsidRDefault="00192E78" w:rsidP="000D4C76">
            <w:pPr>
              <w:jc w:val="center"/>
              <w:rPr>
                <w:rFonts w:eastAsia="Times New Roman"/>
                <w:i/>
                <w:iCs/>
                <w:sz w:val="18"/>
                <w:szCs w:val="18"/>
                <w:lang w:eastAsia="lv-LV"/>
              </w:rPr>
            </w:pPr>
          </w:p>
        </w:tc>
        <w:tc>
          <w:tcPr>
            <w:tcW w:w="992" w:type="dxa"/>
            <w:shd w:val="clear" w:color="auto" w:fill="BDD6EE" w:themeFill="accent1" w:themeFillTint="66"/>
            <w:vAlign w:val="center"/>
          </w:tcPr>
          <w:p w14:paraId="05198C88" w14:textId="77777777" w:rsidR="00192E78" w:rsidRPr="00FC0326" w:rsidRDefault="00192E78" w:rsidP="000D4C76">
            <w:pPr>
              <w:jc w:val="center"/>
              <w:rPr>
                <w:rFonts w:eastAsia="Times New Roman"/>
                <w:i/>
                <w:iCs/>
                <w:sz w:val="18"/>
                <w:szCs w:val="18"/>
                <w:lang w:eastAsia="lv-LV"/>
              </w:rPr>
            </w:pPr>
          </w:p>
        </w:tc>
        <w:tc>
          <w:tcPr>
            <w:tcW w:w="1134" w:type="dxa"/>
            <w:shd w:val="clear" w:color="auto" w:fill="BDD6EE" w:themeFill="accent1" w:themeFillTint="66"/>
          </w:tcPr>
          <w:p w14:paraId="4030E651" w14:textId="77777777" w:rsidR="00192E78" w:rsidRPr="00FC0326" w:rsidRDefault="00192E78" w:rsidP="000D4C76">
            <w:pPr>
              <w:jc w:val="center"/>
              <w:rPr>
                <w:rFonts w:eastAsia="Times New Roman"/>
                <w:i/>
                <w:iCs/>
                <w:sz w:val="18"/>
                <w:szCs w:val="18"/>
                <w:lang w:eastAsia="lv-LV"/>
              </w:rPr>
            </w:pPr>
          </w:p>
        </w:tc>
        <w:tc>
          <w:tcPr>
            <w:tcW w:w="1134" w:type="dxa"/>
            <w:shd w:val="clear" w:color="auto" w:fill="BDD6EE" w:themeFill="accent1" w:themeFillTint="66"/>
          </w:tcPr>
          <w:p w14:paraId="2F009202" w14:textId="77777777" w:rsidR="00192E78" w:rsidRPr="00FC0326" w:rsidRDefault="00192E78" w:rsidP="000D4C76">
            <w:pPr>
              <w:jc w:val="center"/>
              <w:rPr>
                <w:rFonts w:eastAsia="Times New Roman"/>
                <w:i/>
                <w:iCs/>
                <w:sz w:val="18"/>
                <w:szCs w:val="18"/>
                <w:lang w:eastAsia="lv-LV"/>
              </w:rPr>
            </w:pPr>
          </w:p>
        </w:tc>
        <w:tc>
          <w:tcPr>
            <w:tcW w:w="1326" w:type="dxa"/>
            <w:shd w:val="clear" w:color="auto" w:fill="BDD6EE" w:themeFill="accent1" w:themeFillTint="66"/>
          </w:tcPr>
          <w:p w14:paraId="43EE35BC" w14:textId="77777777" w:rsidR="00192E78" w:rsidRPr="00FC0326" w:rsidRDefault="00192E78" w:rsidP="000D4C76">
            <w:pPr>
              <w:jc w:val="center"/>
              <w:rPr>
                <w:rFonts w:eastAsia="Times New Roman"/>
                <w:i/>
                <w:iCs/>
                <w:sz w:val="18"/>
                <w:szCs w:val="18"/>
                <w:lang w:eastAsia="lv-LV"/>
              </w:rPr>
            </w:pPr>
          </w:p>
        </w:tc>
      </w:tr>
      <w:tr w:rsidR="00192E78" w:rsidRPr="00FC0326" w14:paraId="14E22292" w14:textId="77777777" w:rsidTr="00214BEB">
        <w:trPr>
          <w:trHeight w:val="312"/>
        </w:trPr>
        <w:tc>
          <w:tcPr>
            <w:tcW w:w="1715" w:type="dxa"/>
            <w:shd w:val="clear" w:color="auto" w:fill="BDD6EE" w:themeFill="accent1" w:themeFillTint="66"/>
            <w:vAlign w:val="center"/>
          </w:tcPr>
          <w:p w14:paraId="4FDD462D" w14:textId="77777777" w:rsidR="00192E78" w:rsidRPr="00FC0326" w:rsidRDefault="00192E78" w:rsidP="000D4C76">
            <w:pPr>
              <w:jc w:val="center"/>
              <w:rPr>
                <w:rFonts w:eastAsia="Times New Roman"/>
                <w:i/>
                <w:iCs/>
                <w:sz w:val="18"/>
                <w:szCs w:val="18"/>
                <w:lang w:eastAsia="lv-LV"/>
              </w:rPr>
            </w:pPr>
            <w:r>
              <w:rPr>
                <w:rFonts w:eastAsia="Times New Roman"/>
                <w:i/>
                <w:iCs/>
                <w:sz w:val="18"/>
                <w:szCs w:val="18"/>
                <w:lang w:eastAsia="lv-LV"/>
              </w:rPr>
              <w:t>Prokuratūra</w:t>
            </w:r>
          </w:p>
        </w:tc>
        <w:tc>
          <w:tcPr>
            <w:tcW w:w="2263" w:type="dxa"/>
            <w:shd w:val="clear" w:color="auto" w:fill="BDD6EE" w:themeFill="accent1" w:themeFillTint="66"/>
            <w:vAlign w:val="center"/>
          </w:tcPr>
          <w:p w14:paraId="76DA146C" w14:textId="77777777" w:rsidR="00192E78" w:rsidRPr="00FC0326" w:rsidRDefault="00192E78" w:rsidP="000D4C76">
            <w:pPr>
              <w:jc w:val="center"/>
              <w:rPr>
                <w:rFonts w:eastAsia="Times New Roman"/>
                <w:i/>
                <w:iCs/>
                <w:sz w:val="18"/>
                <w:szCs w:val="18"/>
                <w:lang w:eastAsia="lv-LV"/>
              </w:rPr>
            </w:pPr>
          </w:p>
        </w:tc>
        <w:tc>
          <w:tcPr>
            <w:tcW w:w="1139" w:type="dxa"/>
            <w:shd w:val="clear" w:color="auto" w:fill="BDD6EE" w:themeFill="accent1" w:themeFillTint="66"/>
            <w:vAlign w:val="center"/>
          </w:tcPr>
          <w:p w14:paraId="274E588A" w14:textId="77777777" w:rsidR="00192E78" w:rsidRPr="00FC0326" w:rsidRDefault="00192E78" w:rsidP="000D4C76">
            <w:pPr>
              <w:jc w:val="center"/>
              <w:rPr>
                <w:rFonts w:eastAsia="Times New Roman"/>
                <w:i/>
                <w:iCs/>
                <w:sz w:val="18"/>
                <w:szCs w:val="18"/>
                <w:lang w:eastAsia="lv-LV"/>
              </w:rPr>
            </w:pPr>
          </w:p>
        </w:tc>
        <w:tc>
          <w:tcPr>
            <w:tcW w:w="987" w:type="dxa"/>
            <w:shd w:val="clear" w:color="auto" w:fill="BDD6EE" w:themeFill="accent1" w:themeFillTint="66"/>
          </w:tcPr>
          <w:p w14:paraId="03A76FCB" w14:textId="77777777" w:rsidR="00192E78" w:rsidRPr="00FC0326" w:rsidRDefault="00192E78" w:rsidP="000D4C76">
            <w:pPr>
              <w:jc w:val="center"/>
              <w:rPr>
                <w:rFonts w:eastAsia="Times New Roman"/>
                <w:i/>
                <w:iCs/>
                <w:sz w:val="18"/>
                <w:szCs w:val="18"/>
                <w:lang w:eastAsia="lv-LV"/>
              </w:rPr>
            </w:pPr>
            <w:r>
              <w:rPr>
                <w:rFonts w:eastAsia="Times New Roman"/>
                <w:i/>
                <w:iCs/>
                <w:sz w:val="18"/>
                <w:szCs w:val="18"/>
                <w:lang w:eastAsia="lv-LV"/>
              </w:rPr>
              <w:t>155 678</w:t>
            </w:r>
          </w:p>
        </w:tc>
        <w:tc>
          <w:tcPr>
            <w:tcW w:w="856" w:type="dxa"/>
            <w:shd w:val="clear" w:color="auto" w:fill="BDD6EE" w:themeFill="accent1" w:themeFillTint="66"/>
          </w:tcPr>
          <w:p w14:paraId="49786110" w14:textId="77777777" w:rsidR="00192E78" w:rsidRPr="00FC0326" w:rsidRDefault="00192E78" w:rsidP="000D4C76">
            <w:pPr>
              <w:jc w:val="center"/>
              <w:rPr>
                <w:rFonts w:eastAsia="Times New Roman"/>
                <w:i/>
                <w:iCs/>
                <w:sz w:val="18"/>
                <w:szCs w:val="18"/>
                <w:lang w:eastAsia="lv-LV"/>
              </w:rPr>
            </w:pPr>
            <w:r>
              <w:rPr>
                <w:rFonts w:eastAsia="Times New Roman"/>
                <w:i/>
                <w:iCs/>
                <w:sz w:val="18"/>
                <w:szCs w:val="18"/>
                <w:lang w:eastAsia="lv-LV"/>
              </w:rPr>
              <w:t>137 356</w:t>
            </w:r>
          </w:p>
        </w:tc>
        <w:tc>
          <w:tcPr>
            <w:tcW w:w="992" w:type="dxa"/>
            <w:shd w:val="clear" w:color="auto" w:fill="BDD6EE" w:themeFill="accent1" w:themeFillTint="66"/>
          </w:tcPr>
          <w:p w14:paraId="2A3083FF" w14:textId="77777777" w:rsidR="00192E78" w:rsidRPr="00FC0326" w:rsidRDefault="00192E78" w:rsidP="000D4C76">
            <w:pPr>
              <w:jc w:val="center"/>
              <w:rPr>
                <w:rFonts w:eastAsia="Times New Roman"/>
                <w:i/>
                <w:iCs/>
                <w:sz w:val="18"/>
                <w:szCs w:val="18"/>
                <w:lang w:eastAsia="lv-LV"/>
              </w:rPr>
            </w:pPr>
            <w:r>
              <w:rPr>
                <w:rFonts w:eastAsia="Times New Roman"/>
                <w:i/>
                <w:iCs/>
                <w:sz w:val="18"/>
                <w:szCs w:val="18"/>
                <w:lang w:eastAsia="lv-LV"/>
              </w:rPr>
              <w:t>107 536</w:t>
            </w:r>
          </w:p>
        </w:tc>
        <w:tc>
          <w:tcPr>
            <w:tcW w:w="992" w:type="dxa"/>
            <w:shd w:val="clear" w:color="auto" w:fill="BDD6EE" w:themeFill="accent1" w:themeFillTint="66"/>
          </w:tcPr>
          <w:p w14:paraId="224497AB" w14:textId="77777777" w:rsidR="00192E78" w:rsidRPr="00E26B4D" w:rsidRDefault="006467CB" w:rsidP="000D4C76">
            <w:pPr>
              <w:jc w:val="center"/>
              <w:rPr>
                <w:rFonts w:eastAsia="Times New Roman"/>
                <w:i/>
                <w:iCs/>
                <w:sz w:val="18"/>
                <w:szCs w:val="18"/>
                <w:lang w:eastAsia="lv-LV"/>
              </w:rPr>
            </w:pPr>
            <w:r>
              <w:rPr>
                <w:rFonts w:eastAsia="Times New Roman"/>
                <w:i/>
                <w:iCs/>
                <w:sz w:val="18"/>
                <w:szCs w:val="18"/>
                <w:lang w:eastAsia="lv-LV"/>
              </w:rPr>
              <w:t>3 423 179</w:t>
            </w:r>
          </w:p>
        </w:tc>
        <w:tc>
          <w:tcPr>
            <w:tcW w:w="993" w:type="dxa"/>
            <w:shd w:val="clear" w:color="auto" w:fill="BDD6EE" w:themeFill="accent1" w:themeFillTint="66"/>
          </w:tcPr>
          <w:p w14:paraId="3C7B4048" w14:textId="77777777" w:rsidR="00192E78" w:rsidRPr="00E26B4D" w:rsidRDefault="006467CB" w:rsidP="006467CB">
            <w:pPr>
              <w:jc w:val="center"/>
              <w:rPr>
                <w:rFonts w:eastAsia="Times New Roman"/>
                <w:i/>
                <w:iCs/>
                <w:sz w:val="18"/>
                <w:szCs w:val="18"/>
                <w:lang w:eastAsia="lv-LV"/>
              </w:rPr>
            </w:pPr>
            <w:r>
              <w:rPr>
                <w:i/>
                <w:sz w:val="18"/>
                <w:szCs w:val="18"/>
              </w:rPr>
              <w:t>2 467 179</w:t>
            </w:r>
          </w:p>
        </w:tc>
        <w:tc>
          <w:tcPr>
            <w:tcW w:w="992" w:type="dxa"/>
            <w:shd w:val="clear" w:color="auto" w:fill="BDD6EE" w:themeFill="accent1" w:themeFillTint="66"/>
          </w:tcPr>
          <w:p w14:paraId="5F5DD6BB" w14:textId="77777777" w:rsidR="00192E78" w:rsidRPr="00E26B4D" w:rsidRDefault="006467CB" w:rsidP="000D4C76">
            <w:pPr>
              <w:jc w:val="center"/>
              <w:rPr>
                <w:rFonts w:eastAsia="Times New Roman"/>
                <w:i/>
                <w:iCs/>
                <w:sz w:val="18"/>
                <w:szCs w:val="18"/>
                <w:lang w:eastAsia="lv-LV"/>
              </w:rPr>
            </w:pPr>
            <w:r>
              <w:rPr>
                <w:rFonts w:eastAsia="Times New Roman"/>
                <w:i/>
                <w:iCs/>
                <w:sz w:val="18"/>
                <w:szCs w:val="18"/>
                <w:lang w:eastAsia="lv-LV"/>
              </w:rPr>
              <w:t>1 757 179</w:t>
            </w:r>
          </w:p>
        </w:tc>
        <w:tc>
          <w:tcPr>
            <w:tcW w:w="1134" w:type="dxa"/>
            <w:shd w:val="clear" w:color="auto" w:fill="BDD6EE" w:themeFill="accent1" w:themeFillTint="66"/>
          </w:tcPr>
          <w:p w14:paraId="2E03B633" w14:textId="77777777" w:rsidR="00192E78" w:rsidRPr="00E26B4D" w:rsidRDefault="00192E78" w:rsidP="000D4C76">
            <w:pPr>
              <w:jc w:val="center"/>
              <w:rPr>
                <w:rFonts w:eastAsia="Times New Roman"/>
                <w:i/>
                <w:iCs/>
                <w:sz w:val="18"/>
                <w:szCs w:val="18"/>
                <w:lang w:eastAsia="lv-LV"/>
              </w:rPr>
            </w:pPr>
          </w:p>
        </w:tc>
        <w:tc>
          <w:tcPr>
            <w:tcW w:w="1134" w:type="dxa"/>
            <w:shd w:val="clear" w:color="auto" w:fill="BDD6EE" w:themeFill="accent1" w:themeFillTint="66"/>
          </w:tcPr>
          <w:p w14:paraId="5F719C71" w14:textId="77777777" w:rsidR="00192E78" w:rsidRPr="00E26B4D" w:rsidRDefault="00192E78" w:rsidP="00C409BB">
            <w:pPr>
              <w:jc w:val="center"/>
              <w:rPr>
                <w:rFonts w:eastAsia="Times New Roman"/>
                <w:i/>
                <w:iCs/>
                <w:sz w:val="18"/>
                <w:szCs w:val="18"/>
                <w:lang w:eastAsia="lv-LV"/>
              </w:rPr>
            </w:pPr>
            <w:r w:rsidRPr="005309C7">
              <w:rPr>
                <w:i/>
                <w:sz w:val="18"/>
                <w:szCs w:val="18"/>
              </w:rPr>
              <w:t>1</w:t>
            </w:r>
            <w:r w:rsidR="006467CB">
              <w:rPr>
                <w:i/>
                <w:sz w:val="18"/>
                <w:szCs w:val="18"/>
              </w:rPr>
              <w:t> 757 179</w:t>
            </w:r>
          </w:p>
        </w:tc>
        <w:tc>
          <w:tcPr>
            <w:tcW w:w="1326" w:type="dxa"/>
            <w:shd w:val="clear" w:color="auto" w:fill="BDD6EE" w:themeFill="accent1" w:themeFillTint="66"/>
          </w:tcPr>
          <w:p w14:paraId="248B73B1" w14:textId="77777777" w:rsidR="00192E78" w:rsidRPr="00E26B4D" w:rsidRDefault="00192E78" w:rsidP="000D4C76">
            <w:pPr>
              <w:jc w:val="center"/>
              <w:rPr>
                <w:rFonts w:eastAsia="Times New Roman"/>
                <w:i/>
                <w:iCs/>
                <w:sz w:val="18"/>
                <w:szCs w:val="18"/>
                <w:lang w:eastAsia="lv-LV"/>
              </w:rPr>
            </w:pPr>
          </w:p>
        </w:tc>
      </w:tr>
      <w:tr w:rsidR="00192E78" w:rsidRPr="00FC0326" w14:paraId="6E10C595" w14:textId="77777777" w:rsidTr="00214BEB">
        <w:trPr>
          <w:trHeight w:val="312"/>
        </w:trPr>
        <w:tc>
          <w:tcPr>
            <w:tcW w:w="1715" w:type="dxa"/>
            <w:shd w:val="clear" w:color="auto" w:fill="BDD6EE" w:themeFill="accent1" w:themeFillTint="66"/>
            <w:vAlign w:val="center"/>
          </w:tcPr>
          <w:p w14:paraId="425509A4" w14:textId="77777777" w:rsidR="00192E78" w:rsidRPr="00FC0326" w:rsidRDefault="00192E78" w:rsidP="000D4C76">
            <w:pPr>
              <w:jc w:val="center"/>
              <w:rPr>
                <w:rFonts w:eastAsia="Times New Roman"/>
                <w:i/>
                <w:iCs/>
                <w:sz w:val="18"/>
                <w:szCs w:val="18"/>
                <w:lang w:eastAsia="lv-LV"/>
              </w:rPr>
            </w:pPr>
            <w:r>
              <w:rPr>
                <w:rFonts w:eastAsia="Times New Roman"/>
                <w:i/>
                <w:iCs/>
                <w:sz w:val="18"/>
                <w:szCs w:val="18"/>
                <w:lang w:eastAsia="lv-LV"/>
              </w:rPr>
              <w:t>Kultūras ministrija</w:t>
            </w:r>
          </w:p>
        </w:tc>
        <w:tc>
          <w:tcPr>
            <w:tcW w:w="2263" w:type="dxa"/>
            <w:shd w:val="clear" w:color="auto" w:fill="BDD6EE" w:themeFill="accent1" w:themeFillTint="66"/>
            <w:vAlign w:val="center"/>
          </w:tcPr>
          <w:p w14:paraId="535FA0CF" w14:textId="77777777" w:rsidR="00192E78" w:rsidRPr="00FC0326" w:rsidRDefault="00192E78" w:rsidP="000D4C76">
            <w:pPr>
              <w:jc w:val="center"/>
              <w:rPr>
                <w:rFonts w:eastAsia="Times New Roman"/>
                <w:i/>
                <w:iCs/>
                <w:sz w:val="18"/>
                <w:szCs w:val="18"/>
                <w:lang w:eastAsia="lv-LV"/>
              </w:rPr>
            </w:pPr>
          </w:p>
        </w:tc>
        <w:tc>
          <w:tcPr>
            <w:tcW w:w="1139" w:type="dxa"/>
            <w:shd w:val="clear" w:color="auto" w:fill="BDD6EE" w:themeFill="accent1" w:themeFillTint="66"/>
            <w:vAlign w:val="center"/>
          </w:tcPr>
          <w:p w14:paraId="16A902F0" w14:textId="77777777" w:rsidR="00192E78" w:rsidRPr="00FC0326" w:rsidRDefault="00192E78" w:rsidP="000D4C76">
            <w:pPr>
              <w:jc w:val="center"/>
              <w:rPr>
                <w:rFonts w:eastAsia="Times New Roman"/>
                <w:i/>
                <w:iCs/>
                <w:sz w:val="18"/>
                <w:szCs w:val="18"/>
                <w:lang w:eastAsia="lv-LV"/>
              </w:rPr>
            </w:pPr>
          </w:p>
        </w:tc>
        <w:tc>
          <w:tcPr>
            <w:tcW w:w="987" w:type="dxa"/>
            <w:shd w:val="clear" w:color="auto" w:fill="BDD6EE" w:themeFill="accent1" w:themeFillTint="66"/>
            <w:vAlign w:val="center"/>
          </w:tcPr>
          <w:p w14:paraId="6CE26D94" w14:textId="77777777" w:rsidR="00192E78" w:rsidRPr="00FC0326" w:rsidRDefault="00192E78" w:rsidP="000D4C76">
            <w:pPr>
              <w:jc w:val="center"/>
              <w:rPr>
                <w:rFonts w:eastAsia="Times New Roman"/>
                <w:i/>
                <w:iCs/>
                <w:sz w:val="18"/>
                <w:szCs w:val="18"/>
                <w:lang w:eastAsia="lv-LV"/>
              </w:rPr>
            </w:pPr>
          </w:p>
        </w:tc>
        <w:tc>
          <w:tcPr>
            <w:tcW w:w="856" w:type="dxa"/>
            <w:shd w:val="clear" w:color="auto" w:fill="BDD6EE" w:themeFill="accent1" w:themeFillTint="66"/>
            <w:vAlign w:val="center"/>
          </w:tcPr>
          <w:p w14:paraId="4592B00A" w14:textId="77777777" w:rsidR="00192E78" w:rsidRPr="00FC0326" w:rsidRDefault="00192E78" w:rsidP="000D4C76">
            <w:pPr>
              <w:jc w:val="center"/>
              <w:rPr>
                <w:rFonts w:eastAsia="Times New Roman"/>
                <w:i/>
                <w:iCs/>
                <w:sz w:val="18"/>
                <w:szCs w:val="18"/>
                <w:lang w:eastAsia="lv-LV"/>
              </w:rPr>
            </w:pPr>
          </w:p>
        </w:tc>
        <w:tc>
          <w:tcPr>
            <w:tcW w:w="992" w:type="dxa"/>
            <w:shd w:val="clear" w:color="auto" w:fill="BDD6EE" w:themeFill="accent1" w:themeFillTint="66"/>
            <w:vAlign w:val="center"/>
          </w:tcPr>
          <w:p w14:paraId="2778516B" w14:textId="77777777" w:rsidR="00192E78" w:rsidRPr="00FC0326" w:rsidRDefault="00192E78" w:rsidP="000D4C76">
            <w:pPr>
              <w:jc w:val="center"/>
              <w:rPr>
                <w:rFonts w:eastAsia="Times New Roman"/>
                <w:i/>
                <w:iCs/>
                <w:sz w:val="18"/>
                <w:szCs w:val="18"/>
                <w:lang w:eastAsia="lv-LV"/>
              </w:rPr>
            </w:pPr>
          </w:p>
        </w:tc>
        <w:tc>
          <w:tcPr>
            <w:tcW w:w="992" w:type="dxa"/>
            <w:shd w:val="clear" w:color="auto" w:fill="BDD6EE" w:themeFill="accent1" w:themeFillTint="66"/>
          </w:tcPr>
          <w:p w14:paraId="4DD82AEB" w14:textId="77777777" w:rsidR="00192E78" w:rsidRPr="00386560" w:rsidRDefault="00192E78" w:rsidP="007504E1">
            <w:pPr>
              <w:jc w:val="center"/>
              <w:rPr>
                <w:rFonts w:eastAsia="Times New Roman"/>
                <w:i/>
                <w:iCs/>
                <w:sz w:val="18"/>
                <w:szCs w:val="18"/>
                <w:lang w:eastAsia="lv-LV"/>
              </w:rPr>
            </w:pPr>
            <w:r w:rsidRPr="00386560">
              <w:rPr>
                <w:i/>
                <w:sz w:val="18"/>
                <w:szCs w:val="18"/>
              </w:rPr>
              <w:t>6</w:t>
            </w:r>
            <w:r w:rsidR="007504E1">
              <w:rPr>
                <w:i/>
                <w:sz w:val="18"/>
                <w:szCs w:val="18"/>
              </w:rPr>
              <w:t>8</w:t>
            </w:r>
            <w:r w:rsidR="00F70623">
              <w:rPr>
                <w:i/>
                <w:sz w:val="18"/>
                <w:szCs w:val="18"/>
              </w:rPr>
              <w:t xml:space="preserve"> </w:t>
            </w:r>
            <w:r w:rsidR="007504E1">
              <w:rPr>
                <w:i/>
                <w:sz w:val="18"/>
                <w:szCs w:val="18"/>
              </w:rPr>
              <w:t>640</w:t>
            </w:r>
          </w:p>
        </w:tc>
        <w:tc>
          <w:tcPr>
            <w:tcW w:w="993" w:type="dxa"/>
            <w:shd w:val="clear" w:color="auto" w:fill="BDD6EE" w:themeFill="accent1" w:themeFillTint="66"/>
          </w:tcPr>
          <w:p w14:paraId="78F36A49" w14:textId="77777777" w:rsidR="00192E78" w:rsidRPr="00386560" w:rsidRDefault="00192E78" w:rsidP="007504E1">
            <w:pPr>
              <w:jc w:val="center"/>
              <w:rPr>
                <w:rFonts w:eastAsia="Times New Roman"/>
                <w:i/>
                <w:iCs/>
                <w:sz w:val="18"/>
                <w:szCs w:val="18"/>
                <w:lang w:eastAsia="lv-LV"/>
              </w:rPr>
            </w:pPr>
            <w:r w:rsidRPr="00386560">
              <w:rPr>
                <w:i/>
                <w:sz w:val="18"/>
                <w:szCs w:val="18"/>
              </w:rPr>
              <w:t>49</w:t>
            </w:r>
            <w:r w:rsidR="00F70623">
              <w:rPr>
                <w:i/>
                <w:sz w:val="18"/>
                <w:szCs w:val="18"/>
              </w:rPr>
              <w:t xml:space="preserve"> </w:t>
            </w:r>
            <w:r w:rsidRPr="00386560">
              <w:rPr>
                <w:i/>
                <w:sz w:val="18"/>
                <w:szCs w:val="18"/>
              </w:rPr>
              <w:t>1</w:t>
            </w:r>
            <w:r w:rsidR="007504E1">
              <w:rPr>
                <w:i/>
                <w:sz w:val="18"/>
                <w:szCs w:val="18"/>
              </w:rPr>
              <w:t>40</w:t>
            </w:r>
          </w:p>
        </w:tc>
        <w:tc>
          <w:tcPr>
            <w:tcW w:w="992" w:type="dxa"/>
            <w:shd w:val="clear" w:color="auto" w:fill="BDD6EE" w:themeFill="accent1" w:themeFillTint="66"/>
          </w:tcPr>
          <w:p w14:paraId="2D416875" w14:textId="77777777" w:rsidR="00192E78" w:rsidRPr="00386560" w:rsidRDefault="00192E78" w:rsidP="007504E1">
            <w:pPr>
              <w:jc w:val="center"/>
              <w:rPr>
                <w:rFonts w:eastAsia="Times New Roman"/>
                <w:i/>
                <w:iCs/>
                <w:sz w:val="18"/>
                <w:szCs w:val="18"/>
                <w:lang w:eastAsia="lv-LV"/>
              </w:rPr>
            </w:pPr>
            <w:r w:rsidRPr="00386560">
              <w:rPr>
                <w:i/>
                <w:sz w:val="18"/>
                <w:szCs w:val="18"/>
              </w:rPr>
              <w:t>49</w:t>
            </w:r>
            <w:r w:rsidR="00F70623">
              <w:rPr>
                <w:i/>
                <w:sz w:val="18"/>
                <w:szCs w:val="18"/>
              </w:rPr>
              <w:t xml:space="preserve"> </w:t>
            </w:r>
            <w:r w:rsidRPr="00386560">
              <w:rPr>
                <w:i/>
                <w:sz w:val="18"/>
                <w:szCs w:val="18"/>
              </w:rPr>
              <w:t>1</w:t>
            </w:r>
            <w:r w:rsidR="007504E1">
              <w:rPr>
                <w:i/>
                <w:sz w:val="18"/>
                <w:szCs w:val="18"/>
              </w:rPr>
              <w:t>40</w:t>
            </w:r>
          </w:p>
        </w:tc>
        <w:tc>
          <w:tcPr>
            <w:tcW w:w="1134" w:type="dxa"/>
            <w:shd w:val="clear" w:color="auto" w:fill="BDD6EE" w:themeFill="accent1" w:themeFillTint="66"/>
          </w:tcPr>
          <w:p w14:paraId="415126BF" w14:textId="77777777" w:rsidR="00192E78" w:rsidRPr="00386560" w:rsidRDefault="00192E78" w:rsidP="000D4C76">
            <w:pPr>
              <w:jc w:val="center"/>
              <w:rPr>
                <w:rFonts w:eastAsia="Times New Roman"/>
                <w:i/>
                <w:iCs/>
                <w:sz w:val="18"/>
                <w:szCs w:val="18"/>
                <w:lang w:eastAsia="lv-LV"/>
              </w:rPr>
            </w:pPr>
          </w:p>
        </w:tc>
        <w:tc>
          <w:tcPr>
            <w:tcW w:w="1134" w:type="dxa"/>
            <w:shd w:val="clear" w:color="auto" w:fill="BDD6EE" w:themeFill="accent1" w:themeFillTint="66"/>
          </w:tcPr>
          <w:p w14:paraId="614849D9" w14:textId="77777777" w:rsidR="00192E78" w:rsidRPr="00386560" w:rsidRDefault="00192E78" w:rsidP="007504E1">
            <w:pPr>
              <w:jc w:val="center"/>
              <w:rPr>
                <w:rFonts w:eastAsia="Times New Roman"/>
                <w:i/>
                <w:iCs/>
                <w:sz w:val="18"/>
                <w:szCs w:val="18"/>
                <w:lang w:eastAsia="lv-LV"/>
              </w:rPr>
            </w:pPr>
            <w:r w:rsidRPr="00386560">
              <w:rPr>
                <w:i/>
                <w:sz w:val="18"/>
                <w:szCs w:val="18"/>
              </w:rPr>
              <w:t>49</w:t>
            </w:r>
            <w:r w:rsidR="00F70623">
              <w:rPr>
                <w:i/>
                <w:sz w:val="18"/>
                <w:szCs w:val="18"/>
              </w:rPr>
              <w:t xml:space="preserve"> </w:t>
            </w:r>
            <w:r w:rsidRPr="00386560">
              <w:rPr>
                <w:i/>
                <w:sz w:val="18"/>
                <w:szCs w:val="18"/>
              </w:rPr>
              <w:t>1</w:t>
            </w:r>
            <w:r w:rsidR="007504E1">
              <w:rPr>
                <w:i/>
                <w:sz w:val="18"/>
                <w:szCs w:val="18"/>
              </w:rPr>
              <w:t>40</w:t>
            </w:r>
          </w:p>
        </w:tc>
        <w:tc>
          <w:tcPr>
            <w:tcW w:w="1326" w:type="dxa"/>
            <w:shd w:val="clear" w:color="auto" w:fill="BDD6EE" w:themeFill="accent1" w:themeFillTint="66"/>
          </w:tcPr>
          <w:p w14:paraId="2D45E938" w14:textId="77777777" w:rsidR="00192E78" w:rsidRPr="00386560" w:rsidRDefault="00192E78" w:rsidP="000D4C76">
            <w:pPr>
              <w:jc w:val="center"/>
              <w:rPr>
                <w:rFonts w:eastAsia="Times New Roman"/>
                <w:i/>
                <w:iCs/>
                <w:sz w:val="18"/>
                <w:szCs w:val="18"/>
                <w:lang w:eastAsia="lv-LV"/>
              </w:rPr>
            </w:pPr>
          </w:p>
        </w:tc>
      </w:tr>
      <w:tr w:rsidR="00700A0B" w:rsidRPr="00386560" w14:paraId="62A4157B" w14:textId="77777777" w:rsidTr="00214BEB">
        <w:trPr>
          <w:trHeight w:val="312"/>
        </w:trPr>
        <w:tc>
          <w:tcPr>
            <w:tcW w:w="1715" w:type="dxa"/>
            <w:shd w:val="clear" w:color="auto" w:fill="BDD6EE" w:themeFill="accent1" w:themeFillTint="66"/>
            <w:vAlign w:val="center"/>
          </w:tcPr>
          <w:p w14:paraId="1478E6D5" w14:textId="77777777" w:rsidR="00700A0B" w:rsidRPr="00FC0326" w:rsidRDefault="00700A0B" w:rsidP="00700A0B">
            <w:pPr>
              <w:jc w:val="center"/>
              <w:rPr>
                <w:rFonts w:eastAsia="Times New Roman"/>
                <w:i/>
                <w:iCs/>
                <w:sz w:val="18"/>
                <w:szCs w:val="18"/>
                <w:lang w:eastAsia="lv-LV"/>
              </w:rPr>
            </w:pPr>
            <w:r>
              <w:rPr>
                <w:rFonts w:eastAsia="Times New Roman"/>
                <w:i/>
                <w:iCs/>
                <w:sz w:val="18"/>
                <w:szCs w:val="18"/>
                <w:lang w:eastAsia="lv-LV"/>
              </w:rPr>
              <w:t>Iekšlietu ministrija</w:t>
            </w:r>
          </w:p>
        </w:tc>
        <w:tc>
          <w:tcPr>
            <w:tcW w:w="2263" w:type="dxa"/>
            <w:shd w:val="clear" w:color="auto" w:fill="BDD6EE" w:themeFill="accent1" w:themeFillTint="66"/>
            <w:vAlign w:val="center"/>
          </w:tcPr>
          <w:p w14:paraId="7D3C3D09" w14:textId="77777777" w:rsidR="00700A0B" w:rsidRPr="00FC0326" w:rsidRDefault="00700A0B" w:rsidP="00700A0B">
            <w:pPr>
              <w:jc w:val="center"/>
              <w:rPr>
                <w:rFonts w:eastAsia="Times New Roman"/>
                <w:i/>
                <w:iCs/>
                <w:sz w:val="18"/>
                <w:szCs w:val="18"/>
                <w:lang w:eastAsia="lv-LV"/>
              </w:rPr>
            </w:pPr>
          </w:p>
        </w:tc>
        <w:tc>
          <w:tcPr>
            <w:tcW w:w="1139" w:type="dxa"/>
            <w:shd w:val="clear" w:color="auto" w:fill="BDD6EE" w:themeFill="accent1" w:themeFillTint="66"/>
            <w:vAlign w:val="center"/>
          </w:tcPr>
          <w:p w14:paraId="0AFE834D" w14:textId="77777777" w:rsidR="00700A0B" w:rsidRPr="00FC0326" w:rsidRDefault="00700A0B" w:rsidP="00700A0B">
            <w:pPr>
              <w:jc w:val="center"/>
              <w:rPr>
                <w:rFonts w:eastAsia="Times New Roman"/>
                <w:i/>
                <w:iCs/>
                <w:sz w:val="18"/>
                <w:szCs w:val="18"/>
                <w:lang w:eastAsia="lv-LV"/>
              </w:rPr>
            </w:pPr>
          </w:p>
        </w:tc>
        <w:tc>
          <w:tcPr>
            <w:tcW w:w="987" w:type="dxa"/>
            <w:shd w:val="clear" w:color="auto" w:fill="BDD6EE" w:themeFill="accent1" w:themeFillTint="66"/>
            <w:vAlign w:val="center"/>
          </w:tcPr>
          <w:p w14:paraId="60FFCC5B" w14:textId="77777777" w:rsidR="00700A0B" w:rsidRPr="00FC0326" w:rsidRDefault="00700A0B" w:rsidP="00700A0B">
            <w:pPr>
              <w:jc w:val="center"/>
              <w:rPr>
                <w:rFonts w:eastAsia="Times New Roman"/>
                <w:i/>
                <w:iCs/>
                <w:sz w:val="18"/>
                <w:szCs w:val="18"/>
                <w:lang w:eastAsia="lv-LV"/>
              </w:rPr>
            </w:pPr>
          </w:p>
        </w:tc>
        <w:tc>
          <w:tcPr>
            <w:tcW w:w="856" w:type="dxa"/>
            <w:shd w:val="clear" w:color="auto" w:fill="BDD6EE" w:themeFill="accent1" w:themeFillTint="66"/>
            <w:vAlign w:val="center"/>
          </w:tcPr>
          <w:p w14:paraId="504F9F6A" w14:textId="77777777" w:rsidR="00700A0B" w:rsidRPr="00FC0326" w:rsidRDefault="00700A0B" w:rsidP="00700A0B">
            <w:pPr>
              <w:jc w:val="center"/>
              <w:rPr>
                <w:rFonts w:eastAsia="Times New Roman"/>
                <w:i/>
                <w:iCs/>
                <w:sz w:val="18"/>
                <w:szCs w:val="18"/>
                <w:lang w:eastAsia="lv-LV"/>
              </w:rPr>
            </w:pPr>
          </w:p>
        </w:tc>
        <w:tc>
          <w:tcPr>
            <w:tcW w:w="992" w:type="dxa"/>
            <w:shd w:val="clear" w:color="auto" w:fill="BDD6EE" w:themeFill="accent1" w:themeFillTint="66"/>
            <w:vAlign w:val="center"/>
          </w:tcPr>
          <w:p w14:paraId="19A395FA" w14:textId="77777777" w:rsidR="00700A0B" w:rsidRPr="00FC0326" w:rsidRDefault="00700A0B" w:rsidP="00700A0B">
            <w:pPr>
              <w:jc w:val="center"/>
              <w:rPr>
                <w:rFonts w:eastAsia="Times New Roman"/>
                <w:i/>
                <w:iCs/>
                <w:sz w:val="18"/>
                <w:szCs w:val="18"/>
                <w:lang w:eastAsia="lv-LV"/>
              </w:rPr>
            </w:pPr>
          </w:p>
        </w:tc>
        <w:tc>
          <w:tcPr>
            <w:tcW w:w="992" w:type="dxa"/>
            <w:shd w:val="clear" w:color="auto" w:fill="BDD6EE" w:themeFill="accent1" w:themeFillTint="66"/>
          </w:tcPr>
          <w:p w14:paraId="33BD63F3" w14:textId="77777777" w:rsidR="00700A0B" w:rsidRPr="00386560" w:rsidRDefault="00700A0B" w:rsidP="00700A0B">
            <w:pPr>
              <w:jc w:val="center"/>
              <w:rPr>
                <w:rFonts w:eastAsia="Times New Roman"/>
                <w:i/>
                <w:iCs/>
                <w:sz w:val="18"/>
                <w:szCs w:val="18"/>
                <w:lang w:eastAsia="lv-LV"/>
              </w:rPr>
            </w:pPr>
            <w:r w:rsidRPr="00B50FD0">
              <w:rPr>
                <w:rFonts w:eastAsia="Times New Roman"/>
                <w:i/>
                <w:iCs/>
                <w:sz w:val="18"/>
                <w:szCs w:val="18"/>
                <w:lang w:eastAsia="lv-LV"/>
              </w:rPr>
              <w:t>171 609</w:t>
            </w:r>
          </w:p>
        </w:tc>
        <w:tc>
          <w:tcPr>
            <w:tcW w:w="993" w:type="dxa"/>
            <w:shd w:val="clear" w:color="auto" w:fill="BDD6EE" w:themeFill="accent1" w:themeFillTint="66"/>
          </w:tcPr>
          <w:p w14:paraId="03B029BD" w14:textId="77777777" w:rsidR="00700A0B" w:rsidRPr="00386560" w:rsidRDefault="00700A0B" w:rsidP="00700A0B">
            <w:pPr>
              <w:jc w:val="center"/>
              <w:rPr>
                <w:rFonts w:eastAsia="Times New Roman"/>
                <w:i/>
                <w:iCs/>
                <w:sz w:val="18"/>
                <w:szCs w:val="18"/>
                <w:lang w:eastAsia="lv-LV"/>
              </w:rPr>
            </w:pPr>
            <w:r w:rsidRPr="00B50FD0">
              <w:rPr>
                <w:rFonts w:eastAsia="Times New Roman"/>
                <w:i/>
                <w:iCs/>
                <w:sz w:val="18"/>
                <w:szCs w:val="18"/>
                <w:lang w:eastAsia="lv-LV"/>
              </w:rPr>
              <w:t>163 309</w:t>
            </w:r>
          </w:p>
        </w:tc>
        <w:tc>
          <w:tcPr>
            <w:tcW w:w="992" w:type="dxa"/>
            <w:shd w:val="clear" w:color="auto" w:fill="BDD6EE" w:themeFill="accent1" w:themeFillTint="66"/>
          </w:tcPr>
          <w:p w14:paraId="183DDD94" w14:textId="77777777" w:rsidR="00700A0B" w:rsidRPr="00386560" w:rsidRDefault="00700A0B" w:rsidP="00700A0B">
            <w:pPr>
              <w:jc w:val="center"/>
              <w:rPr>
                <w:rFonts w:eastAsia="Times New Roman"/>
                <w:i/>
                <w:iCs/>
                <w:sz w:val="18"/>
                <w:szCs w:val="18"/>
                <w:lang w:eastAsia="lv-LV"/>
              </w:rPr>
            </w:pPr>
            <w:r w:rsidRPr="00B50FD0">
              <w:rPr>
                <w:rFonts w:eastAsia="Times New Roman"/>
                <w:i/>
                <w:iCs/>
                <w:sz w:val="18"/>
                <w:szCs w:val="18"/>
                <w:lang w:eastAsia="lv-LV"/>
              </w:rPr>
              <w:t>163 309</w:t>
            </w:r>
          </w:p>
        </w:tc>
        <w:tc>
          <w:tcPr>
            <w:tcW w:w="1134" w:type="dxa"/>
            <w:shd w:val="clear" w:color="auto" w:fill="BDD6EE" w:themeFill="accent1" w:themeFillTint="66"/>
          </w:tcPr>
          <w:p w14:paraId="186A26CC" w14:textId="77777777" w:rsidR="00700A0B" w:rsidRPr="00386560" w:rsidRDefault="00700A0B" w:rsidP="00700A0B">
            <w:pPr>
              <w:jc w:val="center"/>
              <w:rPr>
                <w:rFonts w:eastAsia="Times New Roman"/>
                <w:i/>
                <w:iCs/>
                <w:sz w:val="18"/>
                <w:szCs w:val="18"/>
                <w:lang w:eastAsia="lv-LV"/>
              </w:rPr>
            </w:pPr>
          </w:p>
        </w:tc>
        <w:tc>
          <w:tcPr>
            <w:tcW w:w="1134" w:type="dxa"/>
            <w:shd w:val="clear" w:color="auto" w:fill="BDD6EE" w:themeFill="accent1" w:themeFillTint="66"/>
          </w:tcPr>
          <w:p w14:paraId="3B5F2425" w14:textId="77777777" w:rsidR="00700A0B" w:rsidRPr="00386560" w:rsidRDefault="00700A0B" w:rsidP="00700A0B">
            <w:pPr>
              <w:jc w:val="center"/>
              <w:rPr>
                <w:rFonts w:eastAsia="Times New Roman"/>
                <w:i/>
                <w:iCs/>
                <w:sz w:val="18"/>
                <w:szCs w:val="18"/>
                <w:lang w:eastAsia="lv-LV"/>
              </w:rPr>
            </w:pPr>
            <w:r w:rsidRPr="00B50FD0">
              <w:rPr>
                <w:rFonts w:eastAsia="Times New Roman"/>
                <w:i/>
                <w:iCs/>
                <w:sz w:val="18"/>
                <w:szCs w:val="18"/>
                <w:lang w:eastAsia="lv-LV"/>
              </w:rPr>
              <w:t>163 309</w:t>
            </w:r>
          </w:p>
        </w:tc>
        <w:tc>
          <w:tcPr>
            <w:tcW w:w="1326" w:type="dxa"/>
            <w:shd w:val="clear" w:color="auto" w:fill="BDD6EE" w:themeFill="accent1" w:themeFillTint="66"/>
          </w:tcPr>
          <w:p w14:paraId="4BFA7695" w14:textId="77777777" w:rsidR="00700A0B" w:rsidRPr="00386560" w:rsidRDefault="00700A0B" w:rsidP="00700A0B">
            <w:pPr>
              <w:jc w:val="center"/>
              <w:rPr>
                <w:rFonts w:eastAsia="Times New Roman"/>
                <w:i/>
                <w:iCs/>
                <w:sz w:val="18"/>
                <w:szCs w:val="18"/>
                <w:lang w:eastAsia="lv-LV"/>
              </w:rPr>
            </w:pPr>
          </w:p>
        </w:tc>
      </w:tr>
      <w:tr w:rsidR="00700A0B" w:rsidRPr="00FC0326" w14:paraId="3F55FCAE" w14:textId="77777777" w:rsidTr="00214BEB">
        <w:trPr>
          <w:trHeight w:val="312"/>
        </w:trPr>
        <w:tc>
          <w:tcPr>
            <w:tcW w:w="1715" w:type="dxa"/>
            <w:shd w:val="clear" w:color="auto" w:fill="D9D9D9" w:themeFill="background1" w:themeFillShade="D9"/>
            <w:noWrap/>
            <w:vAlign w:val="bottom"/>
            <w:hideMark/>
          </w:tcPr>
          <w:p w14:paraId="4BD90A57" w14:textId="77777777" w:rsidR="00700A0B" w:rsidRPr="00FC0326" w:rsidRDefault="00700A0B" w:rsidP="00700A0B">
            <w:pPr>
              <w:rPr>
                <w:rFonts w:eastAsia="Times New Roman"/>
                <w:color w:val="000000"/>
                <w:sz w:val="18"/>
                <w:szCs w:val="18"/>
                <w:lang w:eastAsia="lv-LV"/>
              </w:rPr>
            </w:pPr>
          </w:p>
        </w:tc>
        <w:tc>
          <w:tcPr>
            <w:tcW w:w="2263" w:type="dxa"/>
            <w:shd w:val="clear" w:color="auto" w:fill="D9D9D9" w:themeFill="background1" w:themeFillShade="D9"/>
            <w:hideMark/>
          </w:tcPr>
          <w:p w14:paraId="606E92B5" w14:textId="77777777" w:rsidR="00700A0B" w:rsidRPr="00FC0326" w:rsidRDefault="00700A0B" w:rsidP="00700A0B">
            <w:pPr>
              <w:jc w:val="both"/>
              <w:rPr>
                <w:rFonts w:eastAsia="Times New Roman"/>
                <w:sz w:val="18"/>
                <w:szCs w:val="18"/>
                <w:lang w:eastAsia="lv-LV"/>
              </w:rPr>
            </w:pPr>
            <w:r>
              <w:rPr>
                <w:rFonts w:eastAsia="Times New Roman"/>
                <w:sz w:val="18"/>
                <w:szCs w:val="18"/>
                <w:lang w:eastAsia="lv-LV"/>
              </w:rPr>
              <w:t>Tieslietu ministrija</w:t>
            </w:r>
          </w:p>
        </w:tc>
        <w:tc>
          <w:tcPr>
            <w:tcW w:w="1139" w:type="dxa"/>
            <w:shd w:val="clear" w:color="auto" w:fill="D9D9D9" w:themeFill="background1" w:themeFillShade="D9"/>
            <w:hideMark/>
          </w:tcPr>
          <w:p w14:paraId="0CFF0133" w14:textId="77777777" w:rsidR="00700A0B" w:rsidRDefault="00700A0B" w:rsidP="00700A0B">
            <w:pPr>
              <w:jc w:val="center"/>
              <w:rPr>
                <w:rFonts w:eastAsia="Times New Roman"/>
                <w:sz w:val="18"/>
                <w:szCs w:val="18"/>
                <w:lang w:eastAsia="lv-LV"/>
              </w:rPr>
            </w:pPr>
            <w:r w:rsidRPr="00924532">
              <w:rPr>
                <w:rFonts w:eastAsia="Times New Roman"/>
                <w:sz w:val="18"/>
                <w:szCs w:val="18"/>
                <w:lang w:eastAsia="lv-LV"/>
              </w:rPr>
              <w:t xml:space="preserve">06.01.00 </w:t>
            </w:r>
          </w:p>
          <w:p w14:paraId="2DDDB408" w14:textId="77777777" w:rsidR="00700A0B" w:rsidRPr="00924532" w:rsidRDefault="00700A0B" w:rsidP="00700A0B">
            <w:pPr>
              <w:jc w:val="center"/>
              <w:rPr>
                <w:rFonts w:eastAsia="Times New Roman"/>
                <w:sz w:val="18"/>
                <w:szCs w:val="18"/>
                <w:lang w:eastAsia="lv-LV"/>
              </w:rPr>
            </w:pPr>
            <w:r>
              <w:rPr>
                <w:rFonts w:eastAsia="Times New Roman"/>
                <w:sz w:val="18"/>
                <w:szCs w:val="18"/>
                <w:lang w:eastAsia="lv-LV"/>
              </w:rPr>
              <w:t>Juridisko personu reģistrācija</w:t>
            </w:r>
          </w:p>
        </w:tc>
        <w:tc>
          <w:tcPr>
            <w:tcW w:w="987" w:type="dxa"/>
            <w:shd w:val="clear" w:color="auto" w:fill="D9D9D9" w:themeFill="background1" w:themeFillShade="D9"/>
            <w:noWrap/>
            <w:vAlign w:val="bottom"/>
            <w:hideMark/>
          </w:tcPr>
          <w:p w14:paraId="2D505AB8" w14:textId="77777777" w:rsidR="00700A0B" w:rsidRPr="00FC0326" w:rsidRDefault="00700A0B" w:rsidP="00700A0B">
            <w:pPr>
              <w:jc w:val="right"/>
              <w:rPr>
                <w:rFonts w:eastAsia="Times New Roman"/>
                <w:color w:val="000000"/>
                <w:sz w:val="18"/>
                <w:szCs w:val="18"/>
                <w:lang w:eastAsia="lv-LV"/>
              </w:rPr>
            </w:pPr>
            <w:r>
              <w:rPr>
                <w:rFonts w:eastAsia="Times New Roman"/>
                <w:color w:val="000000"/>
                <w:sz w:val="18"/>
                <w:szCs w:val="18"/>
                <w:lang w:eastAsia="lv-LV"/>
              </w:rPr>
              <w:t>1 053 455</w:t>
            </w:r>
          </w:p>
        </w:tc>
        <w:tc>
          <w:tcPr>
            <w:tcW w:w="856" w:type="dxa"/>
            <w:shd w:val="clear" w:color="auto" w:fill="D9D9D9" w:themeFill="background1" w:themeFillShade="D9"/>
            <w:noWrap/>
            <w:vAlign w:val="bottom"/>
            <w:hideMark/>
          </w:tcPr>
          <w:p w14:paraId="7EB50714" w14:textId="77777777" w:rsidR="00700A0B" w:rsidRPr="00FC0326" w:rsidRDefault="00700A0B" w:rsidP="00700A0B">
            <w:pPr>
              <w:jc w:val="right"/>
              <w:rPr>
                <w:rFonts w:eastAsia="Times New Roman"/>
                <w:color w:val="000000"/>
                <w:sz w:val="18"/>
                <w:szCs w:val="18"/>
                <w:lang w:eastAsia="lv-LV"/>
              </w:rPr>
            </w:pPr>
            <w:r>
              <w:rPr>
                <w:rFonts w:eastAsia="Times New Roman"/>
                <w:color w:val="000000"/>
                <w:sz w:val="18"/>
                <w:szCs w:val="18"/>
                <w:lang w:eastAsia="lv-LV"/>
              </w:rPr>
              <w:t>0</w:t>
            </w:r>
          </w:p>
        </w:tc>
        <w:tc>
          <w:tcPr>
            <w:tcW w:w="992" w:type="dxa"/>
            <w:shd w:val="clear" w:color="auto" w:fill="D9D9D9" w:themeFill="background1" w:themeFillShade="D9"/>
            <w:noWrap/>
            <w:vAlign w:val="bottom"/>
            <w:hideMark/>
          </w:tcPr>
          <w:p w14:paraId="01DD79FD" w14:textId="77777777" w:rsidR="00700A0B" w:rsidRPr="00FC0326" w:rsidRDefault="00700A0B" w:rsidP="00700A0B">
            <w:pPr>
              <w:jc w:val="right"/>
              <w:rPr>
                <w:rFonts w:eastAsia="Times New Roman"/>
                <w:color w:val="000000"/>
                <w:sz w:val="18"/>
                <w:szCs w:val="18"/>
                <w:lang w:eastAsia="lv-LV"/>
              </w:rPr>
            </w:pPr>
            <w:r>
              <w:rPr>
                <w:rFonts w:eastAsia="Times New Roman"/>
                <w:color w:val="000000"/>
                <w:sz w:val="18"/>
                <w:szCs w:val="18"/>
                <w:lang w:eastAsia="lv-LV"/>
              </w:rPr>
              <w:t>0</w:t>
            </w:r>
          </w:p>
        </w:tc>
        <w:tc>
          <w:tcPr>
            <w:tcW w:w="992" w:type="dxa"/>
            <w:shd w:val="clear" w:color="auto" w:fill="D9D9D9" w:themeFill="background1" w:themeFillShade="D9"/>
            <w:noWrap/>
            <w:vAlign w:val="bottom"/>
            <w:hideMark/>
          </w:tcPr>
          <w:p w14:paraId="289D8BCB" w14:textId="77777777" w:rsidR="00700A0B" w:rsidRPr="00FC0326" w:rsidRDefault="004F2C70" w:rsidP="004F2C70">
            <w:pPr>
              <w:jc w:val="right"/>
              <w:rPr>
                <w:rFonts w:eastAsia="Times New Roman"/>
                <w:color w:val="000000"/>
                <w:sz w:val="18"/>
                <w:szCs w:val="18"/>
                <w:lang w:eastAsia="lv-LV"/>
              </w:rPr>
            </w:pPr>
            <w:r>
              <w:rPr>
                <w:rFonts w:eastAsia="Times New Roman"/>
                <w:color w:val="000000"/>
                <w:sz w:val="18"/>
                <w:szCs w:val="18"/>
                <w:lang w:eastAsia="lv-LV"/>
              </w:rPr>
              <w:t>1 266 823</w:t>
            </w:r>
          </w:p>
        </w:tc>
        <w:tc>
          <w:tcPr>
            <w:tcW w:w="993" w:type="dxa"/>
            <w:shd w:val="clear" w:color="auto" w:fill="D9D9D9" w:themeFill="background1" w:themeFillShade="D9"/>
            <w:noWrap/>
            <w:vAlign w:val="bottom"/>
            <w:hideMark/>
          </w:tcPr>
          <w:p w14:paraId="3F08BD05" w14:textId="77777777" w:rsidR="00700A0B" w:rsidRPr="00FC0326" w:rsidRDefault="004F2C70" w:rsidP="00700A0B">
            <w:pPr>
              <w:jc w:val="right"/>
              <w:rPr>
                <w:rFonts w:eastAsia="Times New Roman"/>
                <w:color w:val="000000"/>
                <w:sz w:val="18"/>
                <w:szCs w:val="18"/>
                <w:lang w:eastAsia="lv-LV"/>
              </w:rPr>
            </w:pPr>
            <w:r>
              <w:rPr>
                <w:rFonts w:eastAsia="Times New Roman"/>
                <w:color w:val="000000"/>
                <w:sz w:val="18"/>
                <w:szCs w:val="18"/>
                <w:lang w:eastAsia="lv-LV"/>
              </w:rPr>
              <w:t>886 253</w:t>
            </w:r>
          </w:p>
        </w:tc>
        <w:tc>
          <w:tcPr>
            <w:tcW w:w="992" w:type="dxa"/>
            <w:shd w:val="clear" w:color="auto" w:fill="D9D9D9" w:themeFill="background1" w:themeFillShade="D9"/>
            <w:noWrap/>
            <w:vAlign w:val="bottom"/>
          </w:tcPr>
          <w:p w14:paraId="4D48443A" w14:textId="77777777" w:rsidR="00700A0B" w:rsidRPr="00FC0326" w:rsidRDefault="004F2C70" w:rsidP="00700A0B">
            <w:pPr>
              <w:jc w:val="right"/>
              <w:rPr>
                <w:rFonts w:eastAsia="Times New Roman"/>
                <w:color w:val="000000"/>
                <w:sz w:val="18"/>
                <w:szCs w:val="18"/>
                <w:lang w:eastAsia="lv-LV"/>
              </w:rPr>
            </w:pPr>
            <w:r>
              <w:rPr>
                <w:rFonts w:eastAsia="Times New Roman"/>
                <w:color w:val="000000"/>
                <w:sz w:val="18"/>
                <w:szCs w:val="18"/>
                <w:lang w:eastAsia="lv-LV"/>
              </w:rPr>
              <w:t>686 253</w:t>
            </w:r>
          </w:p>
        </w:tc>
        <w:tc>
          <w:tcPr>
            <w:tcW w:w="1134" w:type="dxa"/>
            <w:shd w:val="clear" w:color="auto" w:fill="D9D9D9" w:themeFill="background1" w:themeFillShade="D9"/>
            <w:noWrap/>
            <w:vAlign w:val="bottom"/>
            <w:hideMark/>
          </w:tcPr>
          <w:p w14:paraId="686E55FC" w14:textId="77777777" w:rsidR="00700A0B" w:rsidRPr="00FC0326" w:rsidRDefault="00700A0B" w:rsidP="00700A0B">
            <w:pPr>
              <w:jc w:val="right"/>
              <w:rPr>
                <w:rFonts w:eastAsia="Times New Roman"/>
                <w:color w:val="000000"/>
                <w:sz w:val="18"/>
                <w:szCs w:val="18"/>
                <w:lang w:eastAsia="lv-LV"/>
              </w:rPr>
            </w:pPr>
            <w:r>
              <w:rPr>
                <w:rFonts w:eastAsia="Times New Roman"/>
                <w:color w:val="000000"/>
                <w:sz w:val="18"/>
                <w:szCs w:val="18"/>
                <w:lang w:eastAsia="lv-LV"/>
              </w:rPr>
              <w:t>0</w:t>
            </w:r>
          </w:p>
        </w:tc>
        <w:tc>
          <w:tcPr>
            <w:tcW w:w="1134" w:type="dxa"/>
            <w:shd w:val="clear" w:color="auto" w:fill="D9D9D9" w:themeFill="background1" w:themeFillShade="D9"/>
            <w:noWrap/>
            <w:vAlign w:val="bottom"/>
            <w:hideMark/>
          </w:tcPr>
          <w:p w14:paraId="6BE59A7B" w14:textId="77777777" w:rsidR="00700A0B" w:rsidRPr="00FC0326" w:rsidRDefault="00700A0B" w:rsidP="00700A0B">
            <w:pPr>
              <w:jc w:val="right"/>
              <w:rPr>
                <w:rFonts w:eastAsia="Times New Roman"/>
                <w:color w:val="000000"/>
                <w:sz w:val="18"/>
                <w:szCs w:val="18"/>
                <w:lang w:eastAsia="lv-LV"/>
              </w:rPr>
            </w:pPr>
            <w:r>
              <w:rPr>
                <w:rFonts w:eastAsia="Times New Roman"/>
                <w:color w:val="000000"/>
                <w:sz w:val="18"/>
                <w:szCs w:val="18"/>
                <w:lang w:eastAsia="lv-LV"/>
              </w:rPr>
              <w:t>191 000</w:t>
            </w:r>
          </w:p>
        </w:tc>
        <w:tc>
          <w:tcPr>
            <w:tcW w:w="1326" w:type="dxa"/>
            <w:shd w:val="clear" w:color="auto" w:fill="D9D9D9" w:themeFill="background1" w:themeFillShade="D9"/>
            <w:noWrap/>
            <w:vAlign w:val="bottom"/>
            <w:hideMark/>
          </w:tcPr>
          <w:p w14:paraId="62645D23" w14:textId="77777777" w:rsidR="00700A0B" w:rsidRPr="00FC0326" w:rsidRDefault="00700A0B" w:rsidP="00700A0B">
            <w:pPr>
              <w:jc w:val="right"/>
              <w:rPr>
                <w:rFonts w:eastAsia="Times New Roman"/>
                <w:color w:val="000000"/>
                <w:sz w:val="18"/>
                <w:szCs w:val="18"/>
                <w:lang w:eastAsia="lv-LV"/>
              </w:rPr>
            </w:pPr>
            <w:r>
              <w:rPr>
                <w:rFonts w:eastAsia="Times New Roman"/>
                <w:color w:val="000000"/>
                <w:sz w:val="18"/>
                <w:szCs w:val="18"/>
                <w:lang w:eastAsia="lv-LV"/>
              </w:rPr>
              <w:t>-</w:t>
            </w:r>
          </w:p>
        </w:tc>
      </w:tr>
      <w:tr w:rsidR="00700A0B" w14:paraId="586DC4C9" w14:textId="77777777" w:rsidTr="00214BEB">
        <w:trPr>
          <w:trHeight w:val="312"/>
        </w:trPr>
        <w:tc>
          <w:tcPr>
            <w:tcW w:w="1715" w:type="dxa"/>
            <w:shd w:val="clear" w:color="auto" w:fill="auto"/>
            <w:noWrap/>
            <w:vAlign w:val="bottom"/>
          </w:tcPr>
          <w:p w14:paraId="60CB6771" w14:textId="77777777" w:rsidR="00700A0B" w:rsidRDefault="00700A0B" w:rsidP="00700A0B">
            <w:pPr>
              <w:jc w:val="both"/>
              <w:rPr>
                <w:rFonts w:eastAsia="Times New Roman"/>
                <w:color w:val="000000"/>
                <w:sz w:val="18"/>
                <w:szCs w:val="18"/>
                <w:lang w:eastAsia="lv-LV"/>
              </w:rPr>
            </w:pPr>
          </w:p>
        </w:tc>
        <w:tc>
          <w:tcPr>
            <w:tcW w:w="2263" w:type="dxa"/>
            <w:shd w:val="clear" w:color="auto" w:fill="auto"/>
            <w:hideMark/>
          </w:tcPr>
          <w:p w14:paraId="764C37C8" w14:textId="77777777" w:rsidR="00700A0B" w:rsidRPr="00A67818" w:rsidRDefault="00700A0B" w:rsidP="00700A0B">
            <w:pPr>
              <w:jc w:val="both"/>
              <w:rPr>
                <w:rFonts w:cs="Times New Roman"/>
                <w:b/>
                <w:sz w:val="18"/>
                <w:szCs w:val="18"/>
              </w:rPr>
            </w:pPr>
            <w:r w:rsidRPr="00A67818">
              <w:rPr>
                <w:rFonts w:cs="Times New Roman"/>
                <w:b/>
                <w:sz w:val="18"/>
                <w:szCs w:val="18"/>
              </w:rPr>
              <w:t>5.2.pasākums</w:t>
            </w:r>
          </w:p>
          <w:p w14:paraId="6504FCC6" w14:textId="77777777" w:rsidR="00700A0B" w:rsidRPr="00A67818" w:rsidRDefault="00700A0B" w:rsidP="00700A0B">
            <w:pPr>
              <w:jc w:val="both"/>
              <w:rPr>
                <w:rFonts w:eastAsia="Times New Roman"/>
                <w:sz w:val="18"/>
                <w:szCs w:val="18"/>
                <w:lang w:eastAsia="lv-LV"/>
              </w:rPr>
            </w:pPr>
            <w:r w:rsidRPr="00A67818">
              <w:rPr>
                <w:rFonts w:eastAsia="Times New Roman"/>
                <w:sz w:val="18"/>
                <w:szCs w:val="18"/>
                <w:lang w:eastAsia="lv-LV"/>
              </w:rPr>
              <w:t>Atbilstoši 5.1. punktā veiktajam izvērtējumam, nodrošinot UR reģistru modernizāciju, izstrādāta riskos balstīta pieeja UR attiecībā uz patieso labuma guvēju informācijas pārbaudi.</w:t>
            </w:r>
          </w:p>
        </w:tc>
        <w:tc>
          <w:tcPr>
            <w:tcW w:w="1139" w:type="dxa"/>
            <w:shd w:val="clear" w:color="auto" w:fill="auto"/>
            <w:hideMark/>
          </w:tcPr>
          <w:p w14:paraId="0B62215B" w14:textId="77777777" w:rsidR="00700A0B" w:rsidRPr="00416312" w:rsidRDefault="00700A0B" w:rsidP="00700A0B">
            <w:pPr>
              <w:jc w:val="both"/>
              <w:rPr>
                <w:rFonts w:eastAsia="Times New Roman"/>
                <w:szCs w:val="24"/>
                <w:lang w:eastAsia="lv-LV"/>
              </w:rPr>
            </w:pPr>
          </w:p>
        </w:tc>
        <w:tc>
          <w:tcPr>
            <w:tcW w:w="987" w:type="dxa"/>
            <w:shd w:val="clear" w:color="auto" w:fill="auto"/>
            <w:noWrap/>
            <w:vAlign w:val="bottom"/>
            <w:hideMark/>
          </w:tcPr>
          <w:p w14:paraId="4EA66957" w14:textId="77777777" w:rsidR="00700A0B" w:rsidRDefault="00700A0B" w:rsidP="00700A0B">
            <w:pPr>
              <w:jc w:val="right"/>
              <w:rPr>
                <w:rFonts w:eastAsia="Times New Roman"/>
                <w:color w:val="000000"/>
                <w:sz w:val="18"/>
                <w:szCs w:val="18"/>
                <w:lang w:eastAsia="lv-LV"/>
              </w:rPr>
            </w:pPr>
            <w:r>
              <w:rPr>
                <w:rFonts w:eastAsia="Times New Roman"/>
                <w:color w:val="000000"/>
                <w:sz w:val="18"/>
                <w:szCs w:val="18"/>
                <w:lang w:eastAsia="lv-LV"/>
              </w:rPr>
              <w:t>1 053 455</w:t>
            </w:r>
          </w:p>
        </w:tc>
        <w:tc>
          <w:tcPr>
            <w:tcW w:w="856" w:type="dxa"/>
            <w:shd w:val="clear" w:color="auto" w:fill="auto"/>
            <w:noWrap/>
            <w:vAlign w:val="bottom"/>
            <w:hideMark/>
          </w:tcPr>
          <w:p w14:paraId="6123FACE" w14:textId="77777777" w:rsidR="00700A0B" w:rsidRDefault="00700A0B" w:rsidP="00700A0B">
            <w:pPr>
              <w:jc w:val="right"/>
              <w:rPr>
                <w:rFonts w:eastAsia="Times New Roman"/>
                <w:color w:val="000000"/>
                <w:sz w:val="18"/>
                <w:szCs w:val="18"/>
                <w:lang w:eastAsia="lv-LV"/>
              </w:rPr>
            </w:pPr>
            <w:r>
              <w:rPr>
                <w:rFonts w:eastAsia="Times New Roman"/>
                <w:color w:val="000000"/>
                <w:sz w:val="18"/>
                <w:szCs w:val="18"/>
                <w:lang w:eastAsia="lv-LV"/>
              </w:rPr>
              <w:t>0</w:t>
            </w:r>
          </w:p>
        </w:tc>
        <w:tc>
          <w:tcPr>
            <w:tcW w:w="992" w:type="dxa"/>
            <w:shd w:val="clear" w:color="auto" w:fill="auto"/>
            <w:noWrap/>
            <w:vAlign w:val="bottom"/>
            <w:hideMark/>
          </w:tcPr>
          <w:p w14:paraId="3C59A6A0" w14:textId="77777777" w:rsidR="00700A0B" w:rsidRDefault="00700A0B" w:rsidP="00700A0B">
            <w:pPr>
              <w:jc w:val="right"/>
              <w:rPr>
                <w:rFonts w:eastAsia="Times New Roman"/>
                <w:color w:val="000000"/>
                <w:sz w:val="18"/>
                <w:szCs w:val="18"/>
                <w:lang w:eastAsia="lv-LV"/>
              </w:rPr>
            </w:pPr>
            <w:r>
              <w:rPr>
                <w:rFonts w:eastAsia="Times New Roman"/>
                <w:color w:val="000000"/>
                <w:sz w:val="18"/>
                <w:szCs w:val="18"/>
                <w:lang w:eastAsia="lv-LV"/>
              </w:rPr>
              <w:t>0</w:t>
            </w:r>
          </w:p>
        </w:tc>
        <w:tc>
          <w:tcPr>
            <w:tcW w:w="992" w:type="dxa"/>
            <w:shd w:val="clear" w:color="auto" w:fill="auto"/>
            <w:noWrap/>
            <w:vAlign w:val="bottom"/>
            <w:hideMark/>
          </w:tcPr>
          <w:p w14:paraId="565A1048" w14:textId="77777777" w:rsidR="00700A0B" w:rsidRDefault="00700A0B" w:rsidP="00700A0B">
            <w:pPr>
              <w:jc w:val="right"/>
              <w:rPr>
                <w:rFonts w:eastAsia="Times New Roman"/>
                <w:color w:val="000000"/>
                <w:sz w:val="18"/>
                <w:szCs w:val="18"/>
                <w:lang w:eastAsia="lv-LV"/>
              </w:rPr>
            </w:pPr>
            <w:r>
              <w:rPr>
                <w:rFonts w:eastAsia="Times New Roman"/>
                <w:color w:val="000000"/>
                <w:sz w:val="18"/>
                <w:szCs w:val="18"/>
                <w:lang w:eastAsia="lv-LV"/>
              </w:rPr>
              <w:t>988 211</w:t>
            </w:r>
          </w:p>
        </w:tc>
        <w:tc>
          <w:tcPr>
            <w:tcW w:w="993" w:type="dxa"/>
            <w:shd w:val="clear" w:color="auto" w:fill="auto"/>
            <w:noWrap/>
            <w:vAlign w:val="bottom"/>
            <w:hideMark/>
          </w:tcPr>
          <w:p w14:paraId="582F70EC" w14:textId="77777777" w:rsidR="00700A0B" w:rsidRDefault="00700A0B" w:rsidP="00700A0B">
            <w:pPr>
              <w:jc w:val="right"/>
              <w:rPr>
                <w:rFonts w:eastAsia="Times New Roman"/>
                <w:color w:val="000000"/>
                <w:sz w:val="18"/>
                <w:szCs w:val="18"/>
                <w:lang w:eastAsia="lv-LV"/>
              </w:rPr>
            </w:pPr>
            <w:r>
              <w:rPr>
                <w:rFonts w:eastAsia="Times New Roman"/>
                <w:color w:val="000000"/>
                <w:sz w:val="18"/>
                <w:szCs w:val="18"/>
                <w:lang w:eastAsia="lv-LV"/>
              </w:rPr>
              <w:t>391 000</w:t>
            </w:r>
          </w:p>
        </w:tc>
        <w:tc>
          <w:tcPr>
            <w:tcW w:w="992" w:type="dxa"/>
            <w:shd w:val="clear" w:color="auto" w:fill="auto"/>
            <w:noWrap/>
            <w:vAlign w:val="bottom"/>
            <w:hideMark/>
          </w:tcPr>
          <w:p w14:paraId="2F0BF49D" w14:textId="77777777" w:rsidR="00700A0B" w:rsidRDefault="00700A0B" w:rsidP="00700A0B">
            <w:pPr>
              <w:jc w:val="right"/>
              <w:rPr>
                <w:rFonts w:eastAsia="Times New Roman"/>
                <w:color w:val="000000"/>
                <w:sz w:val="18"/>
                <w:szCs w:val="18"/>
                <w:lang w:eastAsia="lv-LV"/>
              </w:rPr>
            </w:pPr>
            <w:r>
              <w:rPr>
                <w:rFonts w:eastAsia="Times New Roman"/>
                <w:color w:val="000000"/>
                <w:sz w:val="18"/>
                <w:szCs w:val="18"/>
                <w:lang w:eastAsia="lv-LV"/>
              </w:rPr>
              <w:t>191 000</w:t>
            </w:r>
          </w:p>
        </w:tc>
        <w:tc>
          <w:tcPr>
            <w:tcW w:w="1134" w:type="dxa"/>
            <w:shd w:val="clear" w:color="auto" w:fill="auto"/>
            <w:noWrap/>
            <w:vAlign w:val="bottom"/>
            <w:hideMark/>
          </w:tcPr>
          <w:p w14:paraId="78B3ED91" w14:textId="77777777" w:rsidR="00700A0B" w:rsidRDefault="00700A0B" w:rsidP="00700A0B">
            <w:pPr>
              <w:jc w:val="right"/>
              <w:rPr>
                <w:rFonts w:eastAsia="Times New Roman"/>
                <w:color w:val="000000"/>
                <w:sz w:val="18"/>
                <w:szCs w:val="18"/>
                <w:lang w:eastAsia="lv-LV"/>
              </w:rPr>
            </w:pPr>
            <w:r>
              <w:rPr>
                <w:rFonts w:eastAsia="Times New Roman"/>
                <w:color w:val="000000"/>
                <w:sz w:val="18"/>
                <w:szCs w:val="18"/>
                <w:lang w:eastAsia="lv-LV"/>
              </w:rPr>
              <w:t>0</w:t>
            </w:r>
          </w:p>
        </w:tc>
        <w:tc>
          <w:tcPr>
            <w:tcW w:w="1134" w:type="dxa"/>
            <w:shd w:val="clear" w:color="auto" w:fill="auto"/>
            <w:noWrap/>
            <w:vAlign w:val="bottom"/>
            <w:hideMark/>
          </w:tcPr>
          <w:p w14:paraId="29ADDF45" w14:textId="77777777" w:rsidR="00700A0B" w:rsidRDefault="00700A0B" w:rsidP="00700A0B">
            <w:pPr>
              <w:jc w:val="right"/>
              <w:rPr>
                <w:rFonts w:eastAsia="Times New Roman"/>
                <w:color w:val="000000"/>
                <w:sz w:val="18"/>
                <w:szCs w:val="18"/>
                <w:lang w:eastAsia="lv-LV"/>
              </w:rPr>
            </w:pPr>
            <w:r>
              <w:rPr>
                <w:rFonts w:eastAsia="Times New Roman"/>
                <w:color w:val="000000"/>
                <w:sz w:val="18"/>
                <w:szCs w:val="18"/>
                <w:lang w:eastAsia="lv-LV"/>
              </w:rPr>
              <w:t>191 000</w:t>
            </w:r>
          </w:p>
        </w:tc>
        <w:tc>
          <w:tcPr>
            <w:tcW w:w="1326" w:type="dxa"/>
            <w:shd w:val="clear" w:color="auto" w:fill="auto"/>
            <w:noWrap/>
            <w:vAlign w:val="bottom"/>
            <w:hideMark/>
          </w:tcPr>
          <w:p w14:paraId="0E5B1CD5" w14:textId="77777777" w:rsidR="00700A0B" w:rsidRDefault="00700A0B" w:rsidP="00700A0B">
            <w:pPr>
              <w:jc w:val="right"/>
              <w:rPr>
                <w:rFonts w:eastAsia="Times New Roman"/>
                <w:color w:val="000000"/>
                <w:sz w:val="18"/>
                <w:szCs w:val="18"/>
                <w:lang w:eastAsia="lv-LV"/>
              </w:rPr>
            </w:pPr>
            <w:r>
              <w:rPr>
                <w:rFonts w:eastAsia="Times New Roman"/>
                <w:color w:val="000000"/>
                <w:sz w:val="18"/>
                <w:szCs w:val="18"/>
                <w:lang w:eastAsia="lv-LV"/>
              </w:rPr>
              <w:t>-</w:t>
            </w:r>
          </w:p>
        </w:tc>
      </w:tr>
      <w:tr w:rsidR="00700A0B" w:rsidRPr="00FC0326" w14:paraId="51ED6EC8" w14:textId="77777777" w:rsidTr="00214BEB">
        <w:trPr>
          <w:trHeight w:val="312"/>
        </w:trPr>
        <w:tc>
          <w:tcPr>
            <w:tcW w:w="1715" w:type="dxa"/>
            <w:shd w:val="clear" w:color="auto" w:fill="auto"/>
            <w:noWrap/>
            <w:vAlign w:val="bottom"/>
            <w:hideMark/>
          </w:tcPr>
          <w:p w14:paraId="06232FB6" w14:textId="77777777" w:rsidR="00700A0B" w:rsidRPr="00FC0326" w:rsidRDefault="00700A0B" w:rsidP="00700A0B">
            <w:pPr>
              <w:rPr>
                <w:rFonts w:eastAsia="Times New Roman"/>
                <w:color w:val="000000"/>
                <w:sz w:val="18"/>
                <w:szCs w:val="18"/>
                <w:lang w:eastAsia="lv-LV"/>
              </w:rPr>
            </w:pPr>
          </w:p>
        </w:tc>
        <w:tc>
          <w:tcPr>
            <w:tcW w:w="2263" w:type="dxa"/>
            <w:shd w:val="clear" w:color="auto" w:fill="auto"/>
            <w:hideMark/>
          </w:tcPr>
          <w:p w14:paraId="0EEA00AF" w14:textId="77777777" w:rsidR="00700A0B" w:rsidRPr="00FC0326" w:rsidRDefault="00700A0B" w:rsidP="00700A0B">
            <w:pPr>
              <w:jc w:val="both"/>
              <w:rPr>
                <w:rFonts w:eastAsia="Times New Roman"/>
                <w:sz w:val="18"/>
                <w:szCs w:val="18"/>
                <w:lang w:eastAsia="lv-LV"/>
              </w:rPr>
            </w:pPr>
            <w:r>
              <w:rPr>
                <w:rFonts w:eastAsia="Times New Roman"/>
                <w:sz w:val="18"/>
                <w:szCs w:val="18"/>
                <w:lang w:eastAsia="lv-LV"/>
              </w:rPr>
              <w:t>Tieslietu ministrija</w:t>
            </w:r>
          </w:p>
        </w:tc>
        <w:tc>
          <w:tcPr>
            <w:tcW w:w="1139" w:type="dxa"/>
            <w:shd w:val="clear" w:color="auto" w:fill="auto"/>
            <w:hideMark/>
          </w:tcPr>
          <w:p w14:paraId="4228E974" w14:textId="77777777" w:rsidR="00700A0B" w:rsidRPr="00FC0326" w:rsidRDefault="00700A0B" w:rsidP="00700A0B">
            <w:pPr>
              <w:jc w:val="both"/>
              <w:rPr>
                <w:rFonts w:eastAsia="Times New Roman"/>
                <w:sz w:val="18"/>
                <w:szCs w:val="18"/>
                <w:lang w:eastAsia="lv-LV"/>
              </w:rPr>
            </w:pPr>
            <w:r w:rsidRPr="00FC0326">
              <w:rPr>
                <w:rFonts w:eastAsia="Times New Roman"/>
                <w:sz w:val="18"/>
                <w:szCs w:val="18"/>
                <w:lang w:eastAsia="lv-LV"/>
              </w:rPr>
              <w:t> </w:t>
            </w:r>
          </w:p>
        </w:tc>
        <w:tc>
          <w:tcPr>
            <w:tcW w:w="987" w:type="dxa"/>
            <w:shd w:val="clear" w:color="auto" w:fill="auto"/>
            <w:noWrap/>
            <w:vAlign w:val="bottom"/>
          </w:tcPr>
          <w:p w14:paraId="3690E39A" w14:textId="77777777" w:rsidR="00700A0B" w:rsidRPr="00FC0326" w:rsidRDefault="00700A0B" w:rsidP="00700A0B">
            <w:pPr>
              <w:jc w:val="right"/>
              <w:rPr>
                <w:rFonts w:eastAsia="Times New Roman"/>
                <w:color w:val="000000"/>
                <w:sz w:val="18"/>
                <w:szCs w:val="18"/>
                <w:lang w:eastAsia="lv-LV"/>
              </w:rPr>
            </w:pPr>
          </w:p>
        </w:tc>
        <w:tc>
          <w:tcPr>
            <w:tcW w:w="856" w:type="dxa"/>
            <w:shd w:val="clear" w:color="auto" w:fill="auto"/>
            <w:noWrap/>
            <w:vAlign w:val="bottom"/>
          </w:tcPr>
          <w:p w14:paraId="6F786A54" w14:textId="77777777" w:rsidR="00700A0B" w:rsidRPr="00FC0326" w:rsidRDefault="00700A0B" w:rsidP="00700A0B">
            <w:pPr>
              <w:jc w:val="right"/>
              <w:rPr>
                <w:rFonts w:eastAsia="Times New Roman"/>
                <w:color w:val="000000"/>
                <w:sz w:val="18"/>
                <w:szCs w:val="18"/>
                <w:lang w:eastAsia="lv-LV"/>
              </w:rPr>
            </w:pPr>
          </w:p>
        </w:tc>
        <w:tc>
          <w:tcPr>
            <w:tcW w:w="992" w:type="dxa"/>
            <w:shd w:val="clear" w:color="auto" w:fill="auto"/>
            <w:noWrap/>
            <w:vAlign w:val="bottom"/>
          </w:tcPr>
          <w:p w14:paraId="7993FB1E" w14:textId="77777777" w:rsidR="00700A0B" w:rsidRPr="00FC0326" w:rsidRDefault="00700A0B" w:rsidP="00700A0B">
            <w:pPr>
              <w:jc w:val="right"/>
              <w:rPr>
                <w:rFonts w:eastAsia="Times New Roman"/>
                <w:color w:val="000000"/>
                <w:sz w:val="18"/>
                <w:szCs w:val="18"/>
                <w:lang w:eastAsia="lv-LV"/>
              </w:rPr>
            </w:pPr>
          </w:p>
        </w:tc>
        <w:tc>
          <w:tcPr>
            <w:tcW w:w="992" w:type="dxa"/>
            <w:shd w:val="clear" w:color="auto" w:fill="auto"/>
            <w:noWrap/>
            <w:vAlign w:val="bottom"/>
          </w:tcPr>
          <w:p w14:paraId="3D15AF9A" w14:textId="77777777" w:rsidR="00700A0B" w:rsidRPr="00FC0326" w:rsidRDefault="00700A0B" w:rsidP="00700A0B">
            <w:pPr>
              <w:jc w:val="right"/>
              <w:rPr>
                <w:rFonts w:eastAsia="Times New Roman"/>
                <w:color w:val="000000"/>
                <w:sz w:val="18"/>
                <w:szCs w:val="18"/>
                <w:lang w:eastAsia="lv-LV"/>
              </w:rPr>
            </w:pPr>
          </w:p>
        </w:tc>
        <w:tc>
          <w:tcPr>
            <w:tcW w:w="993" w:type="dxa"/>
            <w:shd w:val="clear" w:color="auto" w:fill="auto"/>
            <w:noWrap/>
            <w:vAlign w:val="bottom"/>
          </w:tcPr>
          <w:p w14:paraId="03FE6A9C" w14:textId="77777777" w:rsidR="00700A0B" w:rsidRPr="00FC0326" w:rsidRDefault="00700A0B" w:rsidP="00700A0B">
            <w:pPr>
              <w:jc w:val="right"/>
              <w:rPr>
                <w:rFonts w:eastAsia="Times New Roman"/>
                <w:color w:val="000000"/>
                <w:sz w:val="18"/>
                <w:szCs w:val="18"/>
                <w:lang w:eastAsia="lv-LV"/>
              </w:rPr>
            </w:pPr>
          </w:p>
        </w:tc>
        <w:tc>
          <w:tcPr>
            <w:tcW w:w="992" w:type="dxa"/>
            <w:shd w:val="clear" w:color="auto" w:fill="auto"/>
            <w:noWrap/>
            <w:vAlign w:val="bottom"/>
          </w:tcPr>
          <w:p w14:paraId="524C96F9" w14:textId="77777777" w:rsidR="00700A0B" w:rsidRPr="00FC0326" w:rsidRDefault="00700A0B" w:rsidP="00700A0B">
            <w:pPr>
              <w:jc w:val="right"/>
              <w:rPr>
                <w:rFonts w:eastAsia="Times New Roman"/>
                <w:color w:val="000000"/>
                <w:sz w:val="18"/>
                <w:szCs w:val="18"/>
                <w:lang w:eastAsia="lv-LV"/>
              </w:rPr>
            </w:pPr>
          </w:p>
        </w:tc>
        <w:tc>
          <w:tcPr>
            <w:tcW w:w="1134" w:type="dxa"/>
            <w:shd w:val="clear" w:color="auto" w:fill="auto"/>
            <w:noWrap/>
            <w:vAlign w:val="bottom"/>
          </w:tcPr>
          <w:p w14:paraId="5F48A00D" w14:textId="77777777" w:rsidR="00700A0B" w:rsidRPr="00FC0326" w:rsidRDefault="00700A0B" w:rsidP="00700A0B">
            <w:pPr>
              <w:jc w:val="right"/>
              <w:rPr>
                <w:rFonts w:eastAsia="Times New Roman"/>
                <w:color w:val="000000"/>
                <w:sz w:val="18"/>
                <w:szCs w:val="18"/>
                <w:lang w:eastAsia="lv-LV"/>
              </w:rPr>
            </w:pPr>
          </w:p>
        </w:tc>
        <w:tc>
          <w:tcPr>
            <w:tcW w:w="1134" w:type="dxa"/>
            <w:shd w:val="clear" w:color="auto" w:fill="auto"/>
            <w:noWrap/>
            <w:vAlign w:val="bottom"/>
          </w:tcPr>
          <w:p w14:paraId="00310B83" w14:textId="77777777" w:rsidR="00700A0B" w:rsidRPr="00FC0326" w:rsidRDefault="00700A0B" w:rsidP="00700A0B">
            <w:pPr>
              <w:jc w:val="right"/>
              <w:rPr>
                <w:rFonts w:eastAsia="Times New Roman"/>
                <w:color w:val="000000"/>
                <w:sz w:val="18"/>
                <w:szCs w:val="18"/>
                <w:lang w:eastAsia="lv-LV"/>
              </w:rPr>
            </w:pPr>
          </w:p>
        </w:tc>
        <w:tc>
          <w:tcPr>
            <w:tcW w:w="1326" w:type="dxa"/>
            <w:shd w:val="clear" w:color="auto" w:fill="auto"/>
            <w:noWrap/>
            <w:vAlign w:val="bottom"/>
          </w:tcPr>
          <w:p w14:paraId="74934C92" w14:textId="77777777" w:rsidR="00700A0B" w:rsidRPr="00FC0326" w:rsidRDefault="00700A0B" w:rsidP="00700A0B">
            <w:pPr>
              <w:jc w:val="right"/>
              <w:rPr>
                <w:rFonts w:eastAsia="Times New Roman"/>
                <w:color w:val="000000"/>
                <w:sz w:val="18"/>
                <w:szCs w:val="18"/>
                <w:lang w:eastAsia="lv-LV"/>
              </w:rPr>
            </w:pPr>
          </w:p>
        </w:tc>
      </w:tr>
      <w:tr w:rsidR="00A6488C" w:rsidRPr="00747B8C" w14:paraId="0406BA10" w14:textId="77777777" w:rsidTr="00214BEB">
        <w:trPr>
          <w:trHeight w:val="558"/>
        </w:trPr>
        <w:tc>
          <w:tcPr>
            <w:tcW w:w="1715" w:type="dxa"/>
            <w:shd w:val="clear" w:color="auto" w:fill="auto"/>
            <w:noWrap/>
            <w:vAlign w:val="bottom"/>
          </w:tcPr>
          <w:p w14:paraId="1CBFCC8B" w14:textId="77777777" w:rsidR="00A6488C" w:rsidRDefault="00A6488C" w:rsidP="00700A0B">
            <w:pPr>
              <w:rPr>
                <w:rFonts w:eastAsia="Times New Roman"/>
                <w:color w:val="000000"/>
                <w:lang w:eastAsia="lv-LV"/>
              </w:rPr>
            </w:pPr>
          </w:p>
        </w:tc>
        <w:tc>
          <w:tcPr>
            <w:tcW w:w="2263" w:type="dxa"/>
            <w:shd w:val="clear" w:color="auto" w:fill="auto"/>
          </w:tcPr>
          <w:p w14:paraId="0516BAD4" w14:textId="77777777" w:rsidR="00A6488C" w:rsidRDefault="00A6488C" w:rsidP="00A6488C">
            <w:pPr>
              <w:jc w:val="both"/>
              <w:rPr>
                <w:rFonts w:cs="Times New Roman"/>
                <w:b/>
                <w:sz w:val="18"/>
                <w:szCs w:val="18"/>
              </w:rPr>
            </w:pPr>
            <w:r w:rsidRPr="00A67818">
              <w:rPr>
                <w:rFonts w:cs="Times New Roman"/>
                <w:b/>
                <w:sz w:val="18"/>
                <w:szCs w:val="18"/>
              </w:rPr>
              <w:t>5.2.</w:t>
            </w:r>
            <w:r>
              <w:rPr>
                <w:rFonts w:cs="Times New Roman"/>
                <w:b/>
                <w:sz w:val="18"/>
                <w:szCs w:val="18"/>
              </w:rPr>
              <w:t xml:space="preserve"> (3) </w:t>
            </w:r>
            <w:r w:rsidRPr="00A67818">
              <w:rPr>
                <w:rFonts w:cs="Times New Roman"/>
                <w:b/>
                <w:sz w:val="18"/>
                <w:szCs w:val="18"/>
              </w:rPr>
              <w:t>pasākums</w:t>
            </w:r>
          </w:p>
          <w:p w14:paraId="540A11AF" w14:textId="77777777" w:rsidR="00A6488C" w:rsidRPr="009B21A8" w:rsidRDefault="00A6488C" w:rsidP="00700A0B">
            <w:pPr>
              <w:jc w:val="both"/>
              <w:rPr>
                <w:rFonts w:cs="Times New Roman"/>
                <w:b/>
                <w:sz w:val="18"/>
                <w:szCs w:val="18"/>
              </w:rPr>
            </w:pPr>
            <w:r w:rsidRPr="00A6488C">
              <w:rPr>
                <w:rFonts w:cs="Times New Roman"/>
                <w:sz w:val="18"/>
                <w:szCs w:val="18"/>
              </w:rPr>
              <w:t>UR izveidota riskos balstīta pieeja, pārbaudot reģistrācijai iesniegto informāciju par patiesajiem labuma guvējiem, kas ietver automatizētu risku izvērtējumu, definētus riskus, kuriem iestājoties tiek: 1.ziņots par neparastu vai aizdomīgu darījumu; 2.tiek pagarināts reģistrācijas termiņš; 3.tiek atlikta vai atteikta reģistrācija.</w:t>
            </w:r>
          </w:p>
        </w:tc>
        <w:tc>
          <w:tcPr>
            <w:tcW w:w="1139" w:type="dxa"/>
            <w:shd w:val="clear" w:color="auto" w:fill="auto"/>
          </w:tcPr>
          <w:p w14:paraId="21554908" w14:textId="77777777" w:rsidR="00A6488C" w:rsidRPr="007A603E" w:rsidRDefault="00A6488C" w:rsidP="00700A0B">
            <w:pPr>
              <w:jc w:val="both"/>
              <w:rPr>
                <w:rFonts w:eastAsia="Times New Roman"/>
                <w:sz w:val="20"/>
                <w:szCs w:val="20"/>
                <w:lang w:eastAsia="lv-LV"/>
              </w:rPr>
            </w:pPr>
          </w:p>
        </w:tc>
        <w:tc>
          <w:tcPr>
            <w:tcW w:w="987" w:type="dxa"/>
            <w:shd w:val="clear" w:color="auto" w:fill="auto"/>
            <w:noWrap/>
            <w:vAlign w:val="bottom"/>
          </w:tcPr>
          <w:p w14:paraId="5FDF854E" w14:textId="77777777" w:rsidR="00A6488C" w:rsidRPr="007A603E" w:rsidRDefault="00A6488C" w:rsidP="00700A0B">
            <w:pPr>
              <w:jc w:val="right"/>
              <w:rPr>
                <w:rFonts w:eastAsia="Times New Roman"/>
                <w:color w:val="000000"/>
                <w:sz w:val="20"/>
                <w:lang w:eastAsia="lv-LV"/>
              </w:rPr>
            </w:pPr>
          </w:p>
        </w:tc>
        <w:tc>
          <w:tcPr>
            <w:tcW w:w="856" w:type="dxa"/>
            <w:shd w:val="clear" w:color="auto" w:fill="auto"/>
            <w:noWrap/>
            <w:vAlign w:val="bottom"/>
          </w:tcPr>
          <w:p w14:paraId="1D09F387" w14:textId="77777777" w:rsidR="00A6488C" w:rsidRPr="007A603E" w:rsidRDefault="00A6488C" w:rsidP="00700A0B">
            <w:pPr>
              <w:jc w:val="right"/>
              <w:rPr>
                <w:rFonts w:eastAsia="Times New Roman"/>
                <w:color w:val="000000"/>
                <w:sz w:val="20"/>
                <w:lang w:eastAsia="lv-LV"/>
              </w:rPr>
            </w:pPr>
          </w:p>
        </w:tc>
        <w:tc>
          <w:tcPr>
            <w:tcW w:w="992" w:type="dxa"/>
            <w:shd w:val="clear" w:color="auto" w:fill="auto"/>
            <w:noWrap/>
            <w:vAlign w:val="bottom"/>
          </w:tcPr>
          <w:p w14:paraId="21D054FE" w14:textId="77777777" w:rsidR="00A6488C" w:rsidRPr="007A603E" w:rsidRDefault="00A6488C" w:rsidP="00700A0B">
            <w:pPr>
              <w:jc w:val="right"/>
              <w:rPr>
                <w:rFonts w:eastAsia="Times New Roman"/>
                <w:color w:val="000000"/>
                <w:sz w:val="20"/>
                <w:lang w:eastAsia="lv-LV"/>
              </w:rPr>
            </w:pPr>
          </w:p>
        </w:tc>
        <w:tc>
          <w:tcPr>
            <w:tcW w:w="992" w:type="dxa"/>
            <w:shd w:val="clear" w:color="auto" w:fill="auto"/>
            <w:noWrap/>
            <w:vAlign w:val="bottom"/>
          </w:tcPr>
          <w:p w14:paraId="50594AAC" w14:textId="77777777" w:rsidR="00A6488C" w:rsidRPr="007A603E" w:rsidRDefault="00A6488C" w:rsidP="00700A0B">
            <w:pPr>
              <w:jc w:val="right"/>
              <w:rPr>
                <w:rFonts w:eastAsia="Times New Roman"/>
                <w:color w:val="000000"/>
                <w:sz w:val="20"/>
                <w:lang w:eastAsia="lv-LV"/>
              </w:rPr>
            </w:pPr>
            <w:r>
              <w:rPr>
                <w:rFonts w:eastAsia="Times New Roman"/>
                <w:color w:val="000000"/>
                <w:sz w:val="20"/>
                <w:lang w:eastAsia="lv-LV"/>
              </w:rPr>
              <w:t>247 627</w:t>
            </w:r>
          </w:p>
        </w:tc>
        <w:tc>
          <w:tcPr>
            <w:tcW w:w="993" w:type="dxa"/>
            <w:shd w:val="clear" w:color="auto" w:fill="auto"/>
            <w:noWrap/>
            <w:vAlign w:val="bottom"/>
          </w:tcPr>
          <w:p w14:paraId="0C927D62" w14:textId="77777777" w:rsidR="00A6488C" w:rsidRPr="007A603E" w:rsidRDefault="00A6488C" w:rsidP="00700A0B">
            <w:pPr>
              <w:jc w:val="right"/>
              <w:rPr>
                <w:rFonts w:eastAsia="Times New Roman"/>
                <w:color w:val="000000"/>
                <w:sz w:val="20"/>
                <w:lang w:eastAsia="lv-LV"/>
              </w:rPr>
            </w:pPr>
            <w:r>
              <w:rPr>
                <w:rFonts w:eastAsia="Times New Roman"/>
                <w:color w:val="000000"/>
                <w:sz w:val="20"/>
                <w:lang w:eastAsia="lv-LV"/>
              </w:rPr>
              <w:t>495 253</w:t>
            </w:r>
          </w:p>
        </w:tc>
        <w:tc>
          <w:tcPr>
            <w:tcW w:w="992" w:type="dxa"/>
            <w:shd w:val="clear" w:color="auto" w:fill="auto"/>
            <w:noWrap/>
            <w:vAlign w:val="bottom"/>
          </w:tcPr>
          <w:p w14:paraId="6AE0C45B" w14:textId="77777777" w:rsidR="00A6488C" w:rsidRPr="007A603E" w:rsidRDefault="00A6488C" w:rsidP="00700A0B">
            <w:pPr>
              <w:jc w:val="right"/>
              <w:rPr>
                <w:rFonts w:eastAsia="Times New Roman"/>
                <w:color w:val="000000"/>
                <w:sz w:val="20"/>
                <w:lang w:eastAsia="lv-LV"/>
              </w:rPr>
            </w:pPr>
            <w:r>
              <w:rPr>
                <w:rFonts w:eastAsia="Times New Roman"/>
                <w:color w:val="000000"/>
                <w:sz w:val="20"/>
                <w:lang w:eastAsia="lv-LV"/>
              </w:rPr>
              <w:t>495 253</w:t>
            </w:r>
          </w:p>
        </w:tc>
        <w:tc>
          <w:tcPr>
            <w:tcW w:w="1134" w:type="dxa"/>
            <w:shd w:val="clear" w:color="auto" w:fill="auto"/>
            <w:noWrap/>
            <w:vAlign w:val="bottom"/>
          </w:tcPr>
          <w:p w14:paraId="4BD9DA42" w14:textId="77777777" w:rsidR="00A6488C" w:rsidRPr="007A603E" w:rsidRDefault="00A6488C" w:rsidP="00700A0B">
            <w:pPr>
              <w:jc w:val="right"/>
              <w:rPr>
                <w:rFonts w:eastAsia="Times New Roman"/>
                <w:color w:val="000000"/>
                <w:sz w:val="20"/>
                <w:lang w:eastAsia="lv-LV"/>
              </w:rPr>
            </w:pPr>
          </w:p>
        </w:tc>
        <w:tc>
          <w:tcPr>
            <w:tcW w:w="1134" w:type="dxa"/>
            <w:shd w:val="clear" w:color="auto" w:fill="auto"/>
            <w:noWrap/>
            <w:vAlign w:val="bottom"/>
          </w:tcPr>
          <w:p w14:paraId="7F96F1E9" w14:textId="77777777" w:rsidR="00A6488C" w:rsidRPr="007A603E" w:rsidRDefault="00A6488C" w:rsidP="00700A0B">
            <w:pPr>
              <w:jc w:val="right"/>
              <w:rPr>
                <w:rFonts w:eastAsia="Times New Roman"/>
                <w:color w:val="000000"/>
                <w:sz w:val="20"/>
                <w:lang w:eastAsia="lv-LV"/>
              </w:rPr>
            </w:pPr>
          </w:p>
        </w:tc>
        <w:tc>
          <w:tcPr>
            <w:tcW w:w="1326" w:type="dxa"/>
            <w:shd w:val="clear" w:color="auto" w:fill="auto"/>
            <w:noWrap/>
            <w:vAlign w:val="bottom"/>
          </w:tcPr>
          <w:p w14:paraId="5CCB72FA" w14:textId="77777777" w:rsidR="00A6488C" w:rsidRPr="007A603E" w:rsidRDefault="00A6488C" w:rsidP="00700A0B">
            <w:pPr>
              <w:jc w:val="right"/>
              <w:rPr>
                <w:rFonts w:eastAsia="Times New Roman"/>
                <w:color w:val="000000"/>
                <w:sz w:val="20"/>
                <w:lang w:eastAsia="lv-LV"/>
              </w:rPr>
            </w:pPr>
          </w:p>
        </w:tc>
      </w:tr>
      <w:tr w:rsidR="00A6488C" w:rsidRPr="00FC0326" w14:paraId="26A09F14" w14:textId="77777777" w:rsidTr="00214BEB">
        <w:trPr>
          <w:trHeight w:val="312"/>
        </w:trPr>
        <w:tc>
          <w:tcPr>
            <w:tcW w:w="1715" w:type="dxa"/>
            <w:shd w:val="clear" w:color="auto" w:fill="auto"/>
            <w:noWrap/>
            <w:vAlign w:val="bottom"/>
            <w:hideMark/>
          </w:tcPr>
          <w:p w14:paraId="111CB81B" w14:textId="77777777" w:rsidR="00A6488C" w:rsidRPr="00FC0326" w:rsidRDefault="00A6488C" w:rsidP="00317653">
            <w:pPr>
              <w:rPr>
                <w:rFonts w:eastAsia="Times New Roman"/>
                <w:color w:val="000000"/>
                <w:sz w:val="18"/>
                <w:szCs w:val="18"/>
                <w:lang w:eastAsia="lv-LV"/>
              </w:rPr>
            </w:pPr>
          </w:p>
        </w:tc>
        <w:tc>
          <w:tcPr>
            <w:tcW w:w="2263" w:type="dxa"/>
            <w:shd w:val="clear" w:color="auto" w:fill="auto"/>
            <w:hideMark/>
          </w:tcPr>
          <w:p w14:paraId="15CF9171" w14:textId="77777777" w:rsidR="00A6488C" w:rsidRPr="00FC0326" w:rsidRDefault="00A6488C" w:rsidP="00317653">
            <w:pPr>
              <w:jc w:val="both"/>
              <w:rPr>
                <w:rFonts w:eastAsia="Times New Roman"/>
                <w:sz w:val="18"/>
                <w:szCs w:val="18"/>
                <w:lang w:eastAsia="lv-LV"/>
              </w:rPr>
            </w:pPr>
            <w:r>
              <w:rPr>
                <w:rFonts w:eastAsia="Times New Roman"/>
                <w:sz w:val="18"/>
                <w:szCs w:val="18"/>
                <w:lang w:eastAsia="lv-LV"/>
              </w:rPr>
              <w:t>Tieslietu ministrija</w:t>
            </w:r>
          </w:p>
        </w:tc>
        <w:tc>
          <w:tcPr>
            <w:tcW w:w="1139" w:type="dxa"/>
            <w:shd w:val="clear" w:color="auto" w:fill="auto"/>
            <w:hideMark/>
          </w:tcPr>
          <w:p w14:paraId="570B6747" w14:textId="77777777" w:rsidR="00A6488C" w:rsidRPr="00FC0326" w:rsidRDefault="00A6488C" w:rsidP="00317653">
            <w:pPr>
              <w:jc w:val="both"/>
              <w:rPr>
                <w:rFonts w:eastAsia="Times New Roman"/>
                <w:sz w:val="18"/>
                <w:szCs w:val="18"/>
                <w:lang w:eastAsia="lv-LV"/>
              </w:rPr>
            </w:pPr>
            <w:r w:rsidRPr="00FC0326">
              <w:rPr>
                <w:rFonts w:eastAsia="Times New Roman"/>
                <w:sz w:val="18"/>
                <w:szCs w:val="18"/>
                <w:lang w:eastAsia="lv-LV"/>
              </w:rPr>
              <w:t> </w:t>
            </w:r>
          </w:p>
        </w:tc>
        <w:tc>
          <w:tcPr>
            <w:tcW w:w="987" w:type="dxa"/>
            <w:shd w:val="clear" w:color="auto" w:fill="auto"/>
            <w:noWrap/>
            <w:vAlign w:val="bottom"/>
          </w:tcPr>
          <w:p w14:paraId="6B85F6B7" w14:textId="77777777" w:rsidR="00A6488C" w:rsidRPr="00FC0326" w:rsidRDefault="00A6488C" w:rsidP="00317653">
            <w:pPr>
              <w:jc w:val="right"/>
              <w:rPr>
                <w:rFonts w:eastAsia="Times New Roman"/>
                <w:color w:val="000000"/>
                <w:sz w:val="18"/>
                <w:szCs w:val="18"/>
                <w:lang w:eastAsia="lv-LV"/>
              </w:rPr>
            </w:pPr>
          </w:p>
        </w:tc>
        <w:tc>
          <w:tcPr>
            <w:tcW w:w="856" w:type="dxa"/>
            <w:shd w:val="clear" w:color="auto" w:fill="auto"/>
            <w:noWrap/>
            <w:vAlign w:val="bottom"/>
          </w:tcPr>
          <w:p w14:paraId="0D56C837" w14:textId="77777777" w:rsidR="00A6488C" w:rsidRPr="00FC0326" w:rsidRDefault="00A6488C" w:rsidP="00317653">
            <w:pPr>
              <w:jc w:val="right"/>
              <w:rPr>
                <w:rFonts w:eastAsia="Times New Roman"/>
                <w:color w:val="000000"/>
                <w:sz w:val="18"/>
                <w:szCs w:val="18"/>
                <w:lang w:eastAsia="lv-LV"/>
              </w:rPr>
            </w:pPr>
          </w:p>
        </w:tc>
        <w:tc>
          <w:tcPr>
            <w:tcW w:w="992" w:type="dxa"/>
            <w:shd w:val="clear" w:color="auto" w:fill="auto"/>
            <w:noWrap/>
            <w:vAlign w:val="bottom"/>
          </w:tcPr>
          <w:p w14:paraId="554B91AA" w14:textId="77777777" w:rsidR="00A6488C" w:rsidRPr="00FC0326" w:rsidRDefault="00A6488C" w:rsidP="00317653">
            <w:pPr>
              <w:jc w:val="right"/>
              <w:rPr>
                <w:rFonts w:eastAsia="Times New Roman"/>
                <w:color w:val="000000"/>
                <w:sz w:val="18"/>
                <w:szCs w:val="18"/>
                <w:lang w:eastAsia="lv-LV"/>
              </w:rPr>
            </w:pPr>
          </w:p>
        </w:tc>
        <w:tc>
          <w:tcPr>
            <w:tcW w:w="992" w:type="dxa"/>
            <w:shd w:val="clear" w:color="auto" w:fill="auto"/>
            <w:noWrap/>
            <w:vAlign w:val="bottom"/>
          </w:tcPr>
          <w:p w14:paraId="4F1FFCA0" w14:textId="77777777" w:rsidR="00A6488C" w:rsidRPr="00FC0326" w:rsidRDefault="00A6488C" w:rsidP="00317653">
            <w:pPr>
              <w:jc w:val="right"/>
              <w:rPr>
                <w:rFonts w:eastAsia="Times New Roman"/>
                <w:color w:val="000000"/>
                <w:sz w:val="18"/>
                <w:szCs w:val="18"/>
                <w:lang w:eastAsia="lv-LV"/>
              </w:rPr>
            </w:pPr>
          </w:p>
        </w:tc>
        <w:tc>
          <w:tcPr>
            <w:tcW w:w="993" w:type="dxa"/>
            <w:shd w:val="clear" w:color="auto" w:fill="auto"/>
            <w:noWrap/>
            <w:vAlign w:val="bottom"/>
          </w:tcPr>
          <w:p w14:paraId="192B661C" w14:textId="77777777" w:rsidR="00A6488C" w:rsidRPr="00FC0326" w:rsidRDefault="00A6488C" w:rsidP="00317653">
            <w:pPr>
              <w:jc w:val="right"/>
              <w:rPr>
                <w:rFonts w:eastAsia="Times New Roman"/>
                <w:color w:val="000000"/>
                <w:sz w:val="18"/>
                <w:szCs w:val="18"/>
                <w:lang w:eastAsia="lv-LV"/>
              </w:rPr>
            </w:pPr>
          </w:p>
        </w:tc>
        <w:tc>
          <w:tcPr>
            <w:tcW w:w="992" w:type="dxa"/>
            <w:shd w:val="clear" w:color="auto" w:fill="auto"/>
            <w:noWrap/>
            <w:vAlign w:val="bottom"/>
          </w:tcPr>
          <w:p w14:paraId="30F90DCD" w14:textId="77777777" w:rsidR="00A6488C" w:rsidRPr="00FC0326" w:rsidRDefault="00A6488C" w:rsidP="00317653">
            <w:pPr>
              <w:jc w:val="right"/>
              <w:rPr>
                <w:rFonts w:eastAsia="Times New Roman"/>
                <w:color w:val="000000"/>
                <w:sz w:val="18"/>
                <w:szCs w:val="18"/>
                <w:lang w:eastAsia="lv-LV"/>
              </w:rPr>
            </w:pPr>
          </w:p>
        </w:tc>
        <w:tc>
          <w:tcPr>
            <w:tcW w:w="1134" w:type="dxa"/>
            <w:shd w:val="clear" w:color="auto" w:fill="auto"/>
            <w:noWrap/>
            <w:vAlign w:val="bottom"/>
          </w:tcPr>
          <w:p w14:paraId="5D932BD7" w14:textId="77777777" w:rsidR="00A6488C" w:rsidRPr="00FC0326" w:rsidRDefault="00A6488C" w:rsidP="00317653">
            <w:pPr>
              <w:jc w:val="right"/>
              <w:rPr>
                <w:rFonts w:eastAsia="Times New Roman"/>
                <w:color w:val="000000"/>
                <w:sz w:val="18"/>
                <w:szCs w:val="18"/>
                <w:lang w:eastAsia="lv-LV"/>
              </w:rPr>
            </w:pPr>
          </w:p>
        </w:tc>
        <w:tc>
          <w:tcPr>
            <w:tcW w:w="1134" w:type="dxa"/>
            <w:shd w:val="clear" w:color="auto" w:fill="auto"/>
            <w:noWrap/>
            <w:vAlign w:val="bottom"/>
          </w:tcPr>
          <w:p w14:paraId="7205C40C" w14:textId="77777777" w:rsidR="00A6488C" w:rsidRPr="00FC0326" w:rsidRDefault="00A6488C" w:rsidP="00317653">
            <w:pPr>
              <w:jc w:val="right"/>
              <w:rPr>
                <w:rFonts w:eastAsia="Times New Roman"/>
                <w:color w:val="000000"/>
                <w:sz w:val="18"/>
                <w:szCs w:val="18"/>
                <w:lang w:eastAsia="lv-LV"/>
              </w:rPr>
            </w:pPr>
          </w:p>
        </w:tc>
        <w:tc>
          <w:tcPr>
            <w:tcW w:w="1326" w:type="dxa"/>
            <w:shd w:val="clear" w:color="auto" w:fill="auto"/>
            <w:noWrap/>
            <w:vAlign w:val="bottom"/>
          </w:tcPr>
          <w:p w14:paraId="623F049B" w14:textId="77777777" w:rsidR="00A6488C" w:rsidRPr="00FC0326" w:rsidRDefault="00A6488C" w:rsidP="00317653">
            <w:pPr>
              <w:jc w:val="right"/>
              <w:rPr>
                <w:rFonts w:eastAsia="Times New Roman"/>
                <w:color w:val="000000"/>
                <w:sz w:val="18"/>
                <w:szCs w:val="18"/>
                <w:lang w:eastAsia="lv-LV"/>
              </w:rPr>
            </w:pPr>
          </w:p>
        </w:tc>
      </w:tr>
      <w:tr w:rsidR="00700A0B" w:rsidRPr="00747B8C" w14:paraId="09E03C4F" w14:textId="77777777" w:rsidTr="002D0B4A">
        <w:trPr>
          <w:trHeight w:val="1326"/>
        </w:trPr>
        <w:tc>
          <w:tcPr>
            <w:tcW w:w="1715" w:type="dxa"/>
            <w:shd w:val="clear" w:color="auto" w:fill="auto"/>
            <w:noWrap/>
            <w:vAlign w:val="bottom"/>
            <w:hideMark/>
          </w:tcPr>
          <w:p w14:paraId="7B0383E6" w14:textId="77777777" w:rsidR="00700A0B" w:rsidRDefault="00700A0B" w:rsidP="00700A0B">
            <w:pPr>
              <w:rPr>
                <w:rFonts w:eastAsia="Times New Roman"/>
                <w:color w:val="000000"/>
                <w:lang w:eastAsia="lv-LV"/>
              </w:rPr>
            </w:pPr>
          </w:p>
        </w:tc>
        <w:tc>
          <w:tcPr>
            <w:tcW w:w="2263" w:type="dxa"/>
            <w:shd w:val="clear" w:color="auto" w:fill="auto"/>
          </w:tcPr>
          <w:p w14:paraId="50E81341" w14:textId="77777777" w:rsidR="00700A0B" w:rsidRPr="009B21A8" w:rsidRDefault="00700A0B" w:rsidP="00700A0B">
            <w:pPr>
              <w:jc w:val="both"/>
              <w:rPr>
                <w:rFonts w:cs="Times New Roman"/>
                <w:b/>
                <w:sz w:val="18"/>
                <w:szCs w:val="18"/>
              </w:rPr>
            </w:pPr>
            <w:r w:rsidRPr="009B21A8">
              <w:rPr>
                <w:rFonts w:cs="Times New Roman"/>
                <w:b/>
                <w:sz w:val="18"/>
                <w:szCs w:val="18"/>
              </w:rPr>
              <w:t>5.8.</w:t>
            </w:r>
            <w:r w:rsidR="006F6605">
              <w:rPr>
                <w:rFonts w:cs="Times New Roman"/>
                <w:b/>
                <w:sz w:val="18"/>
                <w:szCs w:val="18"/>
              </w:rPr>
              <w:t>(3)</w:t>
            </w:r>
            <w:r w:rsidRPr="009B21A8">
              <w:rPr>
                <w:rFonts w:cs="Times New Roman"/>
                <w:b/>
                <w:sz w:val="18"/>
                <w:szCs w:val="18"/>
              </w:rPr>
              <w:t xml:space="preserve">pasākums </w:t>
            </w:r>
          </w:p>
          <w:p w14:paraId="72377276" w14:textId="77777777" w:rsidR="00700A0B" w:rsidRPr="009B21A8" w:rsidRDefault="00700A0B" w:rsidP="00700A0B">
            <w:pPr>
              <w:jc w:val="both"/>
              <w:rPr>
                <w:rFonts w:eastAsia="Times New Roman"/>
                <w:sz w:val="18"/>
                <w:szCs w:val="18"/>
                <w:lang w:eastAsia="lv-LV"/>
              </w:rPr>
            </w:pPr>
            <w:r w:rsidRPr="009B21A8">
              <w:rPr>
                <w:rFonts w:cs="Times New Roman"/>
                <w:sz w:val="18"/>
                <w:szCs w:val="18"/>
              </w:rPr>
              <w:t>No UR vestā komercreģistra izslēgtas īpaši augsta riska komercsabiedrības, kas nav atklājušas to patiesos labuma guvējus</w:t>
            </w:r>
            <w:r>
              <w:rPr>
                <w:rFonts w:cs="Times New Roman"/>
                <w:sz w:val="18"/>
                <w:szCs w:val="18"/>
              </w:rPr>
              <w:t>.</w:t>
            </w:r>
          </w:p>
        </w:tc>
        <w:tc>
          <w:tcPr>
            <w:tcW w:w="1139" w:type="dxa"/>
            <w:shd w:val="clear" w:color="auto" w:fill="auto"/>
          </w:tcPr>
          <w:p w14:paraId="542F0E81" w14:textId="77777777" w:rsidR="00700A0B" w:rsidRPr="007A603E" w:rsidRDefault="00700A0B" w:rsidP="00700A0B">
            <w:pPr>
              <w:jc w:val="both"/>
              <w:rPr>
                <w:rFonts w:eastAsia="Times New Roman"/>
                <w:sz w:val="20"/>
                <w:szCs w:val="20"/>
                <w:lang w:eastAsia="lv-LV"/>
              </w:rPr>
            </w:pPr>
          </w:p>
        </w:tc>
        <w:tc>
          <w:tcPr>
            <w:tcW w:w="987" w:type="dxa"/>
            <w:shd w:val="clear" w:color="auto" w:fill="auto"/>
            <w:noWrap/>
            <w:vAlign w:val="bottom"/>
          </w:tcPr>
          <w:p w14:paraId="2C4C4B99" w14:textId="77777777" w:rsidR="00700A0B" w:rsidRPr="007A603E" w:rsidRDefault="00700A0B" w:rsidP="00700A0B">
            <w:pPr>
              <w:jc w:val="right"/>
              <w:rPr>
                <w:rFonts w:eastAsia="Times New Roman"/>
                <w:color w:val="000000"/>
                <w:sz w:val="20"/>
                <w:lang w:eastAsia="lv-LV"/>
              </w:rPr>
            </w:pPr>
            <w:r w:rsidRPr="007A603E">
              <w:rPr>
                <w:rFonts w:eastAsia="Times New Roman"/>
                <w:color w:val="000000"/>
                <w:sz w:val="20"/>
                <w:lang w:eastAsia="lv-LV"/>
              </w:rPr>
              <w:t>0</w:t>
            </w:r>
          </w:p>
        </w:tc>
        <w:tc>
          <w:tcPr>
            <w:tcW w:w="856" w:type="dxa"/>
            <w:shd w:val="clear" w:color="auto" w:fill="auto"/>
            <w:noWrap/>
            <w:vAlign w:val="bottom"/>
          </w:tcPr>
          <w:p w14:paraId="05FCF32B" w14:textId="77777777" w:rsidR="00700A0B" w:rsidRPr="007A603E" w:rsidRDefault="00700A0B" w:rsidP="00700A0B">
            <w:pPr>
              <w:jc w:val="right"/>
              <w:rPr>
                <w:rFonts w:eastAsia="Times New Roman"/>
                <w:color w:val="000000"/>
                <w:sz w:val="20"/>
                <w:lang w:eastAsia="lv-LV"/>
              </w:rPr>
            </w:pPr>
            <w:r w:rsidRPr="007A603E">
              <w:rPr>
                <w:rFonts w:eastAsia="Times New Roman"/>
                <w:color w:val="000000"/>
                <w:sz w:val="20"/>
                <w:lang w:eastAsia="lv-LV"/>
              </w:rPr>
              <w:t>0</w:t>
            </w:r>
          </w:p>
        </w:tc>
        <w:tc>
          <w:tcPr>
            <w:tcW w:w="992" w:type="dxa"/>
            <w:shd w:val="clear" w:color="auto" w:fill="auto"/>
            <w:noWrap/>
            <w:vAlign w:val="bottom"/>
          </w:tcPr>
          <w:p w14:paraId="54097024" w14:textId="77777777" w:rsidR="00700A0B" w:rsidRPr="007A603E" w:rsidRDefault="00700A0B" w:rsidP="00700A0B">
            <w:pPr>
              <w:jc w:val="right"/>
              <w:rPr>
                <w:rFonts w:eastAsia="Times New Roman"/>
                <w:color w:val="000000"/>
                <w:sz w:val="20"/>
                <w:lang w:eastAsia="lv-LV"/>
              </w:rPr>
            </w:pPr>
            <w:r w:rsidRPr="007A603E">
              <w:rPr>
                <w:rFonts w:eastAsia="Times New Roman"/>
                <w:color w:val="000000"/>
                <w:sz w:val="20"/>
                <w:lang w:eastAsia="lv-LV"/>
              </w:rPr>
              <w:t>0</w:t>
            </w:r>
          </w:p>
        </w:tc>
        <w:tc>
          <w:tcPr>
            <w:tcW w:w="992" w:type="dxa"/>
            <w:shd w:val="clear" w:color="auto" w:fill="auto"/>
            <w:noWrap/>
            <w:vAlign w:val="bottom"/>
          </w:tcPr>
          <w:p w14:paraId="092005C6" w14:textId="77777777" w:rsidR="00700A0B" w:rsidRPr="007A603E" w:rsidRDefault="00700A0B" w:rsidP="00700A0B">
            <w:pPr>
              <w:jc w:val="right"/>
              <w:rPr>
                <w:rFonts w:eastAsia="Times New Roman"/>
                <w:color w:val="000000"/>
                <w:sz w:val="20"/>
                <w:lang w:eastAsia="lv-LV"/>
              </w:rPr>
            </w:pPr>
            <w:r w:rsidRPr="007A603E">
              <w:rPr>
                <w:rFonts w:eastAsia="Times New Roman"/>
                <w:color w:val="000000"/>
                <w:sz w:val="20"/>
                <w:lang w:eastAsia="lv-LV"/>
              </w:rPr>
              <w:t>30985</w:t>
            </w:r>
          </w:p>
        </w:tc>
        <w:tc>
          <w:tcPr>
            <w:tcW w:w="993" w:type="dxa"/>
            <w:shd w:val="clear" w:color="auto" w:fill="auto"/>
            <w:noWrap/>
            <w:vAlign w:val="bottom"/>
          </w:tcPr>
          <w:p w14:paraId="2C8A379A" w14:textId="77777777" w:rsidR="00700A0B" w:rsidRPr="007A603E" w:rsidRDefault="00700A0B" w:rsidP="00700A0B">
            <w:pPr>
              <w:jc w:val="right"/>
              <w:rPr>
                <w:rFonts w:eastAsia="Times New Roman"/>
                <w:color w:val="000000"/>
                <w:sz w:val="20"/>
                <w:lang w:eastAsia="lv-LV"/>
              </w:rPr>
            </w:pPr>
            <w:r w:rsidRPr="007A603E">
              <w:rPr>
                <w:rFonts w:eastAsia="Times New Roman"/>
                <w:color w:val="000000"/>
                <w:sz w:val="20"/>
                <w:lang w:eastAsia="lv-LV"/>
              </w:rPr>
              <w:t>0</w:t>
            </w:r>
          </w:p>
        </w:tc>
        <w:tc>
          <w:tcPr>
            <w:tcW w:w="992" w:type="dxa"/>
            <w:shd w:val="clear" w:color="auto" w:fill="auto"/>
            <w:noWrap/>
            <w:vAlign w:val="bottom"/>
          </w:tcPr>
          <w:p w14:paraId="4D83CB0A" w14:textId="77777777" w:rsidR="00700A0B" w:rsidRPr="007A603E" w:rsidRDefault="00700A0B" w:rsidP="00700A0B">
            <w:pPr>
              <w:jc w:val="right"/>
              <w:rPr>
                <w:rFonts w:eastAsia="Times New Roman"/>
                <w:color w:val="000000"/>
                <w:sz w:val="20"/>
                <w:lang w:eastAsia="lv-LV"/>
              </w:rPr>
            </w:pPr>
            <w:r w:rsidRPr="007A603E">
              <w:rPr>
                <w:rFonts w:eastAsia="Times New Roman"/>
                <w:color w:val="000000"/>
                <w:sz w:val="20"/>
                <w:lang w:eastAsia="lv-LV"/>
              </w:rPr>
              <w:t>0</w:t>
            </w:r>
          </w:p>
        </w:tc>
        <w:tc>
          <w:tcPr>
            <w:tcW w:w="1134" w:type="dxa"/>
            <w:shd w:val="clear" w:color="auto" w:fill="auto"/>
            <w:noWrap/>
            <w:vAlign w:val="bottom"/>
          </w:tcPr>
          <w:p w14:paraId="54110C08" w14:textId="77777777" w:rsidR="00700A0B" w:rsidRPr="007A603E" w:rsidRDefault="00700A0B" w:rsidP="00700A0B">
            <w:pPr>
              <w:jc w:val="right"/>
              <w:rPr>
                <w:rFonts w:eastAsia="Times New Roman"/>
                <w:color w:val="000000"/>
                <w:sz w:val="20"/>
                <w:lang w:eastAsia="lv-LV"/>
              </w:rPr>
            </w:pPr>
            <w:r w:rsidRPr="007A603E">
              <w:rPr>
                <w:rFonts w:eastAsia="Times New Roman"/>
                <w:color w:val="000000"/>
                <w:sz w:val="20"/>
                <w:lang w:eastAsia="lv-LV"/>
              </w:rPr>
              <w:t>0</w:t>
            </w:r>
          </w:p>
        </w:tc>
        <w:tc>
          <w:tcPr>
            <w:tcW w:w="1134" w:type="dxa"/>
            <w:shd w:val="clear" w:color="auto" w:fill="auto"/>
            <w:noWrap/>
            <w:vAlign w:val="bottom"/>
          </w:tcPr>
          <w:p w14:paraId="2D078119" w14:textId="77777777" w:rsidR="00700A0B" w:rsidRPr="007A603E" w:rsidRDefault="00700A0B" w:rsidP="00700A0B">
            <w:pPr>
              <w:jc w:val="right"/>
              <w:rPr>
                <w:rFonts w:eastAsia="Times New Roman"/>
                <w:color w:val="000000"/>
                <w:sz w:val="20"/>
                <w:lang w:eastAsia="lv-LV"/>
              </w:rPr>
            </w:pPr>
            <w:r w:rsidRPr="007A603E">
              <w:rPr>
                <w:rFonts w:eastAsia="Times New Roman"/>
                <w:color w:val="000000"/>
                <w:sz w:val="20"/>
                <w:lang w:eastAsia="lv-LV"/>
              </w:rPr>
              <w:t>0</w:t>
            </w:r>
          </w:p>
        </w:tc>
        <w:tc>
          <w:tcPr>
            <w:tcW w:w="1326" w:type="dxa"/>
            <w:shd w:val="clear" w:color="auto" w:fill="auto"/>
            <w:noWrap/>
            <w:vAlign w:val="bottom"/>
          </w:tcPr>
          <w:p w14:paraId="13F06F08" w14:textId="77777777" w:rsidR="00700A0B" w:rsidRPr="00747B8C" w:rsidRDefault="00700A0B" w:rsidP="00700A0B">
            <w:pPr>
              <w:jc w:val="right"/>
              <w:rPr>
                <w:rFonts w:eastAsia="Times New Roman"/>
                <w:color w:val="000000"/>
                <w:sz w:val="20"/>
                <w:lang w:eastAsia="lv-LV"/>
              </w:rPr>
            </w:pPr>
            <w:r w:rsidRPr="007A603E">
              <w:rPr>
                <w:rFonts w:eastAsia="Times New Roman"/>
                <w:color w:val="000000"/>
                <w:sz w:val="20"/>
                <w:lang w:eastAsia="lv-LV"/>
              </w:rPr>
              <w:t>2019.gads</w:t>
            </w:r>
          </w:p>
        </w:tc>
      </w:tr>
      <w:tr w:rsidR="00700A0B" w:rsidRPr="00FC0326" w14:paraId="5D09A49A" w14:textId="77777777" w:rsidTr="00214BEB">
        <w:trPr>
          <w:trHeight w:val="221"/>
        </w:trPr>
        <w:tc>
          <w:tcPr>
            <w:tcW w:w="1715" w:type="dxa"/>
            <w:shd w:val="clear" w:color="auto" w:fill="auto"/>
            <w:noWrap/>
            <w:vAlign w:val="bottom"/>
          </w:tcPr>
          <w:p w14:paraId="7A76513A" w14:textId="77777777" w:rsidR="00700A0B" w:rsidRPr="00454DBB" w:rsidRDefault="00700A0B" w:rsidP="00700A0B">
            <w:pPr>
              <w:rPr>
                <w:rFonts w:eastAsia="Times New Roman"/>
                <w:color w:val="000000"/>
                <w:sz w:val="18"/>
                <w:szCs w:val="18"/>
                <w:lang w:eastAsia="lv-LV"/>
              </w:rPr>
            </w:pPr>
          </w:p>
        </w:tc>
        <w:tc>
          <w:tcPr>
            <w:tcW w:w="2263" w:type="dxa"/>
            <w:shd w:val="clear" w:color="auto" w:fill="auto"/>
          </w:tcPr>
          <w:p w14:paraId="2817168F" w14:textId="77777777" w:rsidR="00700A0B" w:rsidRPr="00464103" w:rsidRDefault="00700A0B" w:rsidP="00700A0B">
            <w:pPr>
              <w:jc w:val="both"/>
              <w:rPr>
                <w:rFonts w:eastAsia="Times New Roman"/>
                <w:sz w:val="18"/>
                <w:szCs w:val="18"/>
                <w:lang w:eastAsia="lv-LV"/>
              </w:rPr>
            </w:pPr>
            <w:r w:rsidRPr="00464103">
              <w:rPr>
                <w:rFonts w:eastAsia="Times New Roman"/>
                <w:sz w:val="18"/>
                <w:szCs w:val="18"/>
                <w:lang w:eastAsia="lv-LV"/>
              </w:rPr>
              <w:t>Tieslietu ministrija</w:t>
            </w:r>
          </w:p>
        </w:tc>
        <w:tc>
          <w:tcPr>
            <w:tcW w:w="1139" w:type="dxa"/>
            <w:shd w:val="clear" w:color="auto" w:fill="auto"/>
          </w:tcPr>
          <w:p w14:paraId="18C9226D" w14:textId="77777777" w:rsidR="00700A0B" w:rsidRPr="007A603E" w:rsidRDefault="00700A0B" w:rsidP="00700A0B">
            <w:pPr>
              <w:jc w:val="both"/>
              <w:rPr>
                <w:rFonts w:eastAsia="Times New Roman"/>
                <w:sz w:val="18"/>
                <w:szCs w:val="18"/>
                <w:lang w:eastAsia="lv-LV"/>
              </w:rPr>
            </w:pPr>
          </w:p>
        </w:tc>
        <w:tc>
          <w:tcPr>
            <w:tcW w:w="987" w:type="dxa"/>
            <w:shd w:val="clear" w:color="auto" w:fill="auto"/>
            <w:noWrap/>
            <w:vAlign w:val="center"/>
          </w:tcPr>
          <w:p w14:paraId="773A6518" w14:textId="77777777" w:rsidR="00700A0B" w:rsidRDefault="00700A0B" w:rsidP="00700A0B">
            <w:pPr>
              <w:jc w:val="right"/>
              <w:rPr>
                <w:rFonts w:eastAsia="Times New Roman"/>
                <w:color w:val="000000"/>
                <w:sz w:val="18"/>
                <w:szCs w:val="18"/>
                <w:lang w:eastAsia="lv-LV"/>
              </w:rPr>
            </w:pPr>
          </w:p>
        </w:tc>
        <w:tc>
          <w:tcPr>
            <w:tcW w:w="856" w:type="dxa"/>
            <w:shd w:val="clear" w:color="auto" w:fill="auto"/>
            <w:noWrap/>
            <w:vAlign w:val="center"/>
          </w:tcPr>
          <w:p w14:paraId="16453E16" w14:textId="77777777" w:rsidR="00700A0B" w:rsidRDefault="00700A0B" w:rsidP="00700A0B">
            <w:pPr>
              <w:jc w:val="right"/>
              <w:rPr>
                <w:rFonts w:eastAsia="Times New Roman"/>
                <w:color w:val="000000"/>
                <w:sz w:val="18"/>
                <w:szCs w:val="18"/>
                <w:lang w:eastAsia="lv-LV"/>
              </w:rPr>
            </w:pPr>
          </w:p>
        </w:tc>
        <w:tc>
          <w:tcPr>
            <w:tcW w:w="992" w:type="dxa"/>
            <w:shd w:val="clear" w:color="auto" w:fill="auto"/>
            <w:noWrap/>
            <w:vAlign w:val="center"/>
          </w:tcPr>
          <w:p w14:paraId="796B88E9" w14:textId="77777777" w:rsidR="00700A0B" w:rsidRDefault="00700A0B" w:rsidP="00700A0B">
            <w:pPr>
              <w:jc w:val="right"/>
              <w:rPr>
                <w:rFonts w:eastAsia="Times New Roman"/>
                <w:color w:val="000000"/>
                <w:sz w:val="18"/>
                <w:szCs w:val="18"/>
                <w:lang w:eastAsia="lv-LV"/>
              </w:rPr>
            </w:pPr>
          </w:p>
        </w:tc>
        <w:tc>
          <w:tcPr>
            <w:tcW w:w="992" w:type="dxa"/>
            <w:shd w:val="clear" w:color="auto" w:fill="auto"/>
            <w:noWrap/>
            <w:vAlign w:val="center"/>
          </w:tcPr>
          <w:p w14:paraId="2D705851" w14:textId="77777777" w:rsidR="00700A0B" w:rsidRPr="007A603E" w:rsidRDefault="00700A0B" w:rsidP="00700A0B">
            <w:pPr>
              <w:jc w:val="right"/>
              <w:rPr>
                <w:sz w:val="18"/>
                <w:szCs w:val="18"/>
              </w:rPr>
            </w:pPr>
          </w:p>
        </w:tc>
        <w:tc>
          <w:tcPr>
            <w:tcW w:w="993" w:type="dxa"/>
            <w:shd w:val="clear" w:color="auto" w:fill="auto"/>
            <w:noWrap/>
            <w:vAlign w:val="center"/>
          </w:tcPr>
          <w:p w14:paraId="49F8F710" w14:textId="77777777" w:rsidR="00700A0B" w:rsidRPr="007A603E" w:rsidRDefault="00700A0B" w:rsidP="00700A0B">
            <w:pPr>
              <w:jc w:val="right"/>
              <w:rPr>
                <w:sz w:val="18"/>
                <w:szCs w:val="18"/>
              </w:rPr>
            </w:pPr>
          </w:p>
        </w:tc>
        <w:tc>
          <w:tcPr>
            <w:tcW w:w="992" w:type="dxa"/>
            <w:shd w:val="clear" w:color="auto" w:fill="auto"/>
            <w:noWrap/>
            <w:vAlign w:val="center"/>
          </w:tcPr>
          <w:p w14:paraId="6F2B0045" w14:textId="77777777" w:rsidR="00700A0B" w:rsidRPr="007A603E" w:rsidRDefault="00700A0B" w:rsidP="00700A0B">
            <w:pPr>
              <w:jc w:val="right"/>
              <w:rPr>
                <w:sz w:val="18"/>
                <w:szCs w:val="18"/>
              </w:rPr>
            </w:pPr>
          </w:p>
        </w:tc>
        <w:tc>
          <w:tcPr>
            <w:tcW w:w="1134" w:type="dxa"/>
            <w:shd w:val="clear" w:color="auto" w:fill="auto"/>
            <w:noWrap/>
            <w:vAlign w:val="center"/>
          </w:tcPr>
          <w:p w14:paraId="5FB640A4" w14:textId="77777777" w:rsidR="00700A0B" w:rsidRPr="007A603E" w:rsidRDefault="00700A0B" w:rsidP="00700A0B">
            <w:pPr>
              <w:jc w:val="right"/>
              <w:rPr>
                <w:rFonts w:eastAsia="Times New Roman"/>
                <w:color w:val="000000"/>
                <w:sz w:val="18"/>
                <w:szCs w:val="18"/>
                <w:lang w:eastAsia="lv-LV"/>
              </w:rPr>
            </w:pPr>
          </w:p>
        </w:tc>
        <w:tc>
          <w:tcPr>
            <w:tcW w:w="1134" w:type="dxa"/>
            <w:shd w:val="clear" w:color="auto" w:fill="auto"/>
            <w:noWrap/>
            <w:vAlign w:val="center"/>
          </w:tcPr>
          <w:p w14:paraId="6DDAAADE" w14:textId="77777777" w:rsidR="00700A0B" w:rsidRPr="007A603E" w:rsidRDefault="00700A0B" w:rsidP="00700A0B">
            <w:pPr>
              <w:jc w:val="right"/>
              <w:rPr>
                <w:sz w:val="18"/>
                <w:szCs w:val="18"/>
              </w:rPr>
            </w:pPr>
          </w:p>
        </w:tc>
        <w:tc>
          <w:tcPr>
            <w:tcW w:w="1326" w:type="dxa"/>
            <w:shd w:val="clear" w:color="auto" w:fill="auto"/>
            <w:noWrap/>
            <w:vAlign w:val="center"/>
          </w:tcPr>
          <w:p w14:paraId="78D9F7F0" w14:textId="77777777" w:rsidR="00700A0B" w:rsidRPr="007A603E" w:rsidRDefault="00700A0B" w:rsidP="00700A0B">
            <w:pPr>
              <w:jc w:val="right"/>
              <w:rPr>
                <w:rFonts w:eastAsia="Times New Roman"/>
                <w:color w:val="000000"/>
                <w:sz w:val="18"/>
                <w:szCs w:val="18"/>
                <w:lang w:eastAsia="lv-LV"/>
              </w:rPr>
            </w:pPr>
          </w:p>
        </w:tc>
      </w:tr>
      <w:tr w:rsidR="00700A0B" w:rsidRPr="00FC0326" w14:paraId="6E742E8B" w14:textId="77777777" w:rsidTr="00214BEB">
        <w:trPr>
          <w:trHeight w:val="953"/>
        </w:trPr>
        <w:tc>
          <w:tcPr>
            <w:tcW w:w="1715" w:type="dxa"/>
            <w:shd w:val="clear" w:color="auto" w:fill="D9D9D9" w:themeFill="background1" w:themeFillShade="D9"/>
            <w:noWrap/>
            <w:vAlign w:val="bottom"/>
          </w:tcPr>
          <w:p w14:paraId="55FC8FDF" w14:textId="77777777" w:rsidR="00700A0B" w:rsidRPr="00454DBB" w:rsidRDefault="00700A0B" w:rsidP="00700A0B">
            <w:pPr>
              <w:rPr>
                <w:rFonts w:eastAsia="Times New Roman"/>
                <w:color w:val="000000"/>
                <w:sz w:val="18"/>
                <w:szCs w:val="18"/>
                <w:lang w:eastAsia="lv-LV"/>
              </w:rPr>
            </w:pPr>
          </w:p>
        </w:tc>
        <w:tc>
          <w:tcPr>
            <w:tcW w:w="2263" w:type="dxa"/>
            <w:shd w:val="clear" w:color="auto" w:fill="D9D9D9" w:themeFill="background1" w:themeFillShade="D9"/>
          </w:tcPr>
          <w:p w14:paraId="55283561" w14:textId="77777777" w:rsidR="00700A0B" w:rsidRPr="00FC0326" w:rsidRDefault="00700A0B" w:rsidP="00700A0B">
            <w:pPr>
              <w:jc w:val="both"/>
              <w:rPr>
                <w:rFonts w:eastAsia="Times New Roman"/>
                <w:lang w:eastAsia="lv-LV"/>
              </w:rPr>
            </w:pPr>
          </w:p>
        </w:tc>
        <w:tc>
          <w:tcPr>
            <w:tcW w:w="1139" w:type="dxa"/>
            <w:shd w:val="clear" w:color="auto" w:fill="D9D9D9" w:themeFill="background1" w:themeFillShade="D9"/>
          </w:tcPr>
          <w:p w14:paraId="02949C24" w14:textId="77777777" w:rsidR="00700A0B" w:rsidRDefault="00700A0B" w:rsidP="00700A0B">
            <w:pPr>
              <w:jc w:val="center"/>
              <w:rPr>
                <w:rFonts w:cs="Times New Roman"/>
                <w:sz w:val="18"/>
                <w:szCs w:val="18"/>
              </w:rPr>
            </w:pPr>
            <w:r w:rsidRPr="007A603E">
              <w:rPr>
                <w:rFonts w:cs="Times New Roman"/>
                <w:sz w:val="18"/>
                <w:szCs w:val="18"/>
              </w:rPr>
              <w:t>33.00.00</w:t>
            </w:r>
          </w:p>
          <w:p w14:paraId="1A36B2A6" w14:textId="77777777" w:rsidR="00700A0B" w:rsidRPr="007A603E" w:rsidRDefault="00700A0B" w:rsidP="00700A0B">
            <w:pPr>
              <w:jc w:val="center"/>
              <w:rPr>
                <w:rFonts w:eastAsia="Times New Roman"/>
                <w:sz w:val="18"/>
                <w:szCs w:val="18"/>
                <w:lang w:eastAsia="lv-LV"/>
              </w:rPr>
            </w:pPr>
            <w:r w:rsidRPr="007A603E">
              <w:rPr>
                <w:rFonts w:cs="Times New Roman"/>
                <w:sz w:val="18"/>
                <w:szCs w:val="18"/>
              </w:rPr>
              <w:t>Valsts ieņēmumu un muitas politikas nodrošināšana</w:t>
            </w:r>
          </w:p>
        </w:tc>
        <w:tc>
          <w:tcPr>
            <w:tcW w:w="987" w:type="dxa"/>
            <w:shd w:val="clear" w:color="auto" w:fill="D9D9D9" w:themeFill="background1" w:themeFillShade="D9"/>
            <w:noWrap/>
            <w:vAlign w:val="center"/>
          </w:tcPr>
          <w:p w14:paraId="3F704C2B" w14:textId="77777777" w:rsidR="00700A0B" w:rsidRPr="007A603E" w:rsidRDefault="00700A0B" w:rsidP="00700A0B">
            <w:pPr>
              <w:jc w:val="right"/>
              <w:rPr>
                <w:rFonts w:eastAsia="Times New Roman"/>
                <w:color w:val="000000"/>
                <w:sz w:val="18"/>
                <w:szCs w:val="18"/>
                <w:lang w:eastAsia="lv-LV"/>
              </w:rPr>
            </w:pPr>
            <w:r>
              <w:rPr>
                <w:rFonts w:eastAsia="Times New Roman"/>
                <w:color w:val="000000"/>
                <w:sz w:val="18"/>
                <w:szCs w:val="18"/>
                <w:lang w:eastAsia="lv-LV"/>
              </w:rPr>
              <w:t>533 182</w:t>
            </w:r>
          </w:p>
        </w:tc>
        <w:tc>
          <w:tcPr>
            <w:tcW w:w="856" w:type="dxa"/>
            <w:shd w:val="clear" w:color="auto" w:fill="D9D9D9" w:themeFill="background1" w:themeFillShade="D9"/>
            <w:noWrap/>
            <w:vAlign w:val="center"/>
          </w:tcPr>
          <w:p w14:paraId="5226F180" w14:textId="77777777" w:rsidR="00700A0B" w:rsidRPr="007A603E" w:rsidRDefault="00700A0B" w:rsidP="00700A0B">
            <w:pPr>
              <w:jc w:val="right"/>
              <w:rPr>
                <w:rFonts w:eastAsia="Times New Roman"/>
                <w:color w:val="000000"/>
                <w:sz w:val="18"/>
                <w:szCs w:val="18"/>
                <w:lang w:eastAsia="lv-LV"/>
              </w:rPr>
            </w:pPr>
            <w:r>
              <w:rPr>
                <w:rFonts w:eastAsia="Times New Roman"/>
                <w:color w:val="000000"/>
                <w:sz w:val="18"/>
                <w:szCs w:val="18"/>
                <w:lang w:eastAsia="lv-LV"/>
              </w:rPr>
              <w:t>533 163</w:t>
            </w:r>
          </w:p>
        </w:tc>
        <w:tc>
          <w:tcPr>
            <w:tcW w:w="992" w:type="dxa"/>
            <w:shd w:val="clear" w:color="auto" w:fill="D9D9D9" w:themeFill="background1" w:themeFillShade="D9"/>
            <w:noWrap/>
            <w:vAlign w:val="center"/>
          </w:tcPr>
          <w:p w14:paraId="3B0B9A36" w14:textId="77777777" w:rsidR="00700A0B" w:rsidRPr="007A603E" w:rsidRDefault="00700A0B" w:rsidP="00700A0B">
            <w:pPr>
              <w:jc w:val="right"/>
              <w:rPr>
                <w:rFonts w:eastAsia="Times New Roman"/>
                <w:color w:val="000000"/>
                <w:sz w:val="18"/>
                <w:szCs w:val="18"/>
                <w:lang w:eastAsia="lv-LV"/>
              </w:rPr>
            </w:pPr>
            <w:r>
              <w:rPr>
                <w:rFonts w:eastAsia="Times New Roman"/>
                <w:color w:val="000000"/>
                <w:sz w:val="18"/>
                <w:szCs w:val="18"/>
                <w:lang w:eastAsia="lv-LV"/>
              </w:rPr>
              <w:t>533 160</w:t>
            </w:r>
          </w:p>
        </w:tc>
        <w:tc>
          <w:tcPr>
            <w:tcW w:w="992" w:type="dxa"/>
            <w:shd w:val="clear" w:color="auto" w:fill="D9D9D9" w:themeFill="background1" w:themeFillShade="D9"/>
            <w:noWrap/>
            <w:vAlign w:val="center"/>
          </w:tcPr>
          <w:p w14:paraId="4727D3DF" w14:textId="77777777" w:rsidR="00700A0B" w:rsidRPr="007A603E" w:rsidRDefault="00700A0B" w:rsidP="00700A0B">
            <w:pPr>
              <w:jc w:val="right"/>
              <w:rPr>
                <w:rFonts w:eastAsia="Times New Roman"/>
                <w:color w:val="000000"/>
                <w:sz w:val="18"/>
                <w:szCs w:val="18"/>
                <w:lang w:eastAsia="lv-LV"/>
              </w:rPr>
            </w:pPr>
            <w:r w:rsidRPr="007A603E">
              <w:rPr>
                <w:sz w:val="18"/>
                <w:szCs w:val="18"/>
              </w:rPr>
              <w:t>2 827 551</w:t>
            </w:r>
          </w:p>
        </w:tc>
        <w:tc>
          <w:tcPr>
            <w:tcW w:w="993" w:type="dxa"/>
            <w:shd w:val="clear" w:color="auto" w:fill="D9D9D9" w:themeFill="background1" w:themeFillShade="D9"/>
            <w:noWrap/>
            <w:vAlign w:val="center"/>
          </w:tcPr>
          <w:p w14:paraId="5DF7EC13" w14:textId="77777777" w:rsidR="00700A0B" w:rsidRPr="007A603E" w:rsidRDefault="00700A0B" w:rsidP="00700A0B">
            <w:pPr>
              <w:jc w:val="right"/>
              <w:rPr>
                <w:rFonts w:eastAsia="Times New Roman"/>
                <w:color w:val="000000"/>
                <w:sz w:val="18"/>
                <w:szCs w:val="18"/>
                <w:lang w:eastAsia="lv-LV"/>
              </w:rPr>
            </w:pPr>
            <w:r w:rsidRPr="007A603E">
              <w:rPr>
                <w:sz w:val="18"/>
                <w:szCs w:val="18"/>
              </w:rPr>
              <w:t>2 224 807</w:t>
            </w:r>
          </w:p>
        </w:tc>
        <w:tc>
          <w:tcPr>
            <w:tcW w:w="992" w:type="dxa"/>
            <w:shd w:val="clear" w:color="auto" w:fill="D9D9D9" w:themeFill="background1" w:themeFillShade="D9"/>
            <w:noWrap/>
            <w:vAlign w:val="center"/>
          </w:tcPr>
          <w:p w14:paraId="0B287B7C" w14:textId="77777777" w:rsidR="00700A0B" w:rsidRPr="007A603E" w:rsidRDefault="00700A0B" w:rsidP="00700A0B">
            <w:pPr>
              <w:jc w:val="right"/>
              <w:rPr>
                <w:rFonts w:eastAsia="Times New Roman"/>
                <w:color w:val="000000"/>
                <w:sz w:val="18"/>
                <w:szCs w:val="18"/>
                <w:lang w:eastAsia="lv-LV"/>
              </w:rPr>
            </w:pPr>
            <w:r w:rsidRPr="007A603E">
              <w:rPr>
                <w:sz w:val="18"/>
                <w:szCs w:val="18"/>
              </w:rPr>
              <w:t>2 224 807</w:t>
            </w:r>
          </w:p>
        </w:tc>
        <w:tc>
          <w:tcPr>
            <w:tcW w:w="1134" w:type="dxa"/>
            <w:shd w:val="clear" w:color="auto" w:fill="D9D9D9" w:themeFill="background1" w:themeFillShade="D9"/>
            <w:noWrap/>
            <w:vAlign w:val="center"/>
          </w:tcPr>
          <w:p w14:paraId="2B15EAB6" w14:textId="77777777" w:rsidR="00700A0B" w:rsidRPr="007A603E" w:rsidRDefault="00700A0B" w:rsidP="00700A0B">
            <w:pPr>
              <w:jc w:val="right"/>
              <w:rPr>
                <w:rFonts w:eastAsia="Times New Roman"/>
                <w:color w:val="000000"/>
                <w:sz w:val="18"/>
                <w:szCs w:val="18"/>
                <w:lang w:eastAsia="lv-LV"/>
              </w:rPr>
            </w:pPr>
            <w:r w:rsidRPr="007A603E">
              <w:rPr>
                <w:rFonts w:eastAsia="Times New Roman"/>
                <w:color w:val="000000"/>
                <w:sz w:val="18"/>
                <w:szCs w:val="18"/>
                <w:lang w:eastAsia="lv-LV"/>
              </w:rPr>
              <w:t>0</w:t>
            </w:r>
          </w:p>
        </w:tc>
        <w:tc>
          <w:tcPr>
            <w:tcW w:w="1134" w:type="dxa"/>
            <w:shd w:val="clear" w:color="auto" w:fill="D9D9D9" w:themeFill="background1" w:themeFillShade="D9"/>
            <w:noWrap/>
            <w:vAlign w:val="center"/>
          </w:tcPr>
          <w:p w14:paraId="02DA1778" w14:textId="77777777" w:rsidR="00700A0B" w:rsidRPr="007A603E" w:rsidRDefault="00700A0B" w:rsidP="00700A0B">
            <w:pPr>
              <w:jc w:val="right"/>
              <w:rPr>
                <w:rFonts w:eastAsia="Times New Roman"/>
                <w:color w:val="000000"/>
                <w:sz w:val="18"/>
                <w:szCs w:val="18"/>
                <w:lang w:eastAsia="lv-LV"/>
              </w:rPr>
            </w:pPr>
            <w:r w:rsidRPr="007A603E">
              <w:rPr>
                <w:sz w:val="18"/>
                <w:szCs w:val="18"/>
              </w:rPr>
              <w:t>2 224 807</w:t>
            </w:r>
          </w:p>
        </w:tc>
        <w:tc>
          <w:tcPr>
            <w:tcW w:w="1326" w:type="dxa"/>
            <w:shd w:val="clear" w:color="auto" w:fill="D9D9D9" w:themeFill="background1" w:themeFillShade="D9"/>
            <w:noWrap/>
            <w:vAlign w:val="center"/>
          </w:tcPr>
          <w:p w14:paraId="03C317C9" w14:textId="77777777" w:rsidR="00700A0B" w:rsidRPr="007A603E" w:rsidRDefault="00700A0B" w:rsidP="00700A0B">
            <w:pPr>
              <w:jc w:val="right"/>
              <w:rPr>
                <w:rFonts w:eastAsia="Times New Roman"/>
                <w:color w:val="000000"/>
                <w:sz w:val="18"/>
                <w:szCs w:val="18"/>
                <w:lang w:eastAsia="lv-LV"/>
              </w:rPr>
            </w:pPr>
            <w:r w:rsidRPr="007A603E">
              <w:rPr>
                <w:rFonts w:eastAsia="Times New Roman"/>
                <w:color w:val="000000"/>
                <w:sz w:val="18"/>
                <w:szCs w:val="18"/>
                <w:lang w:eastAsia="lv-LV"/>
              </w:rPr>
              <w:t>0</w:t>
            </w:r>
          </w:p>
        </w:tc>
      </w:tr>
      <w:tr w:rsidR="00700A0B" w:rsidRPr="00FC0326" w14:paraId="04953C0A" w14:textId="77777777" w:rsidTr="00214BEB">
        <w:trPr>
          <w:trHeight w:val="312"/>
        </w:trPr>
        <w:tc>
          <w:tcPr>
            <w:tcW w:w="1715" w:type="dxa"/>
            <w:shd w:val="clear" w:color="auto" w:fill="FFFFFF"/>
          </w:tcPr>
          <w:p w14:paraId="7A2A87FD" w14:textId="77777777" w:rsidR="00700A0B" w:rsidRPr="00FC0326" w:rsidRDefault="00700A0B" w:rsidP="00700A0B">
            <w:pPr>
              <w:jc w:val="both"/>
              <w:rPr>
                <w:rFonts w:eastAsia="Times New Roman"/>
                <w:i/>
                <w:iCs/>
                <w:sz w:val="20"/>
                <w:szCs w:val="20"/>
                <w:lang w:eastAsia="lv-LV"/>
              </w:rPr>
            </w:pPr>
          </w:p>
        </w:tc>
        <w:tc>
          <w:tcPr>
            <w:tcW w:w="2263" w:type="dxa"/>
            <w:shd w:val="clear" w:color="auto" w:fill="FFFFFF"/>
          </w:tcPr>
          <w:p w14:paraId="4CAFEF6B" w14:textId="77777777" w:rsidR="00700A0B" w:rsidRPr="007A603E" w:rsidRDefault="00700A0B" w:rsidP="00700A0B">
            <w:pPr>
              <w:jc w:val="both"/>
              <w:rPr>
                <w:rFonts w:eastAsia="Times New Roman"/>
                <w:b/>
                <w:bCs/>
                <w:sz w:val="18"/>
                <w:szCs w:val="18"/>
                <w:lang w:eastAsia="lv-LV"/>
              </w:rPr>
            </w:pPr>
            <w:r w:rsidRPr="007A603E">
              <w:rPr>
                <w:rFonts w:eastAsia="Times New Roman"/>
                <w:b/>
                <w:bCs/>
                <w:sz w:val="18"/>
                <w:szCs w:val="18"/>
                <w:lang w:eastAsia="lv-LV"/>
              </w:rPr>
              <w:t>8.</w:t>
            </w:r>
            <w:r w:rsidR="00D26092">
              <w:rPr>
                <w:rFonts w:eastAsia="Times New Roman"/>
                <w:b/>
                <w:bCs/>
                <w:sz w:val="18"/>
                <w:szCs w:val="18"/>
                <w:lang w:eastAsia="lv-LV"/>
              </w:rPr>
              <w:t>6</w:t>
            </w:r>
            <w:r w:rsidRPr="007A603E">
              <w:rPr>
                <w:rFonts w:eastAsia="Times New Roman"/>
                <w:b/>
                <w:bCs/>
                <w:sz w:val="18"/>
                <w:szCs w:val="18"/>
                <w:lang w:eastAsia="lv-LV"/>
              </w:rPr>
              <w:t>. pasākums</w:t>
            </w:r>
          </w:p>
          <w:p w14:paraId="1480B51D" w14:textId="77777777" w:rsidR="00700A0B" w:rsidRPr="00FC0326" w:rsidRDefault="00700A0B" w:rsidP="00700A0B">
            <w:pPr>
              <w:jc w:val="both"/>
              <w:rPr>
                <w:rFonts w:eastAsia="Times New Roman"/>
                <w:i/>
                <w:iCs/>
                <w:sz w:val="20"/>
                <w:szCs w:val="20"/>
                <w:lang w:eastAsia="lv-LV"/>
              </w:rPr>
            </w:pPr>
            <w:r w:rsidRPr="00FF3595">
              <w:rPr>
                <w:rFonts w:eastAsia="Times New Roman"/>
                <w:bCs/>
                <w:sz w:val="18"/>
                <w:szCs w:val="18"/>
                <w:lang w:eastAsia="lv-LV"/>
              </w:rPr>
              <w:t>Nodrošināt pastiprinātus deklarētas/nedeklarētas skaidras naudas pārvietošanas kontroles pasākumus un tās aizturēšanu uz Eiropas</w:t>
            </w:r>
            <w:r>
              <w:rPr>
                <w:rFonts w:eastAsia="Times New Roman"/>
                <w:bCs/>
                <w:sz w:val="18"/>
                <w:szCs w:val="18"/>
                <w:lang w:eastAsia="lv-LV"/>
              </w:rPr>
              <w:t xml:space="preserve"> Savienības iekšējām robežām.</w:t>
            </w:r>
          </w:p>
        </w:tc>
        <w:tc>
          <w:tcPr>
            <w:tcW w:w="1139" w:type="dxa"/>
            <w:shd w:val="clear" w:color="auto" w:fill="FFFFFF"/>
          </w:tcPr>
          <w:p w14:paraId="28B0D9D3" w14:textId="77777777" w:rsidR="00700A0B" w:rsidRPr="007A603E" w:rsidRDefault="00700A0B" w:rsidP="00700A0B">
            <w:pPr>
              <w:jc w:val="both"/>
              <w:rPr>
                <w:rFonts w:eastAsia="Times New Roman"/>
                <w:i/>
                <w:iCs/>
                <w:sz w:val="18"/>
                <w:szCs w:val="18"/>
                <w:lang w:eastAsia="lv-LV"/>
              </w:rPr>
            </w:pPr>
          </w:p>
        </w:tc>
        <w:tc>
          <w:tcPr>
            <w:tcW w:w="987" w:type="dxa"/>
            <w:shd w:val="clear" w:color="auto" w:fill="FFFFFF"/>
            <w:noWrap/>
            <w:vAlign w:val="bottom"/>
          </w:tcPr>
          <w:p w14:paraId="23A147A6" w14:textId="77777777" w:rsidR="00700A0B" w:rsidRPr="007A603E" w:rsidRDefault="00700A0B" w:rsidP="00700A0B">
            <w:pPr>
              <w:jc w:val="right"/>
              <w:rPr>
                <w:rFonts w:eastAsia="Times New Roman"/>
                <w:color w:val="000000"/>
                <w:sz w:val="18"/>
                <w:szCs w:val="18"/>
                <w:lang w:eastAsia="lv-LV"/>
              </w:rPr>
            </w:pPr>
          </w:p>
        </w:tc>
        <w:tc>
          <w:tcPr>
            <w:tcW w:w="856" w:type="dxa"/>
            <w:shd w:val="clear" w:color="auto" w:fill="FFFFFF"/>
            <w:noWrap/>
            <w:vAlign w:val="bottom"/>
          </w:tcPr>
          <w:p w14:paraId="7D467687" w14:textId="77777777" w:rsidR="00700A0B" w:rsidRPr="007A603E" w:rsidRDefault="00700A0B" w:rsidP="00700A0B">
            <w:pPr>
              <w:jc w:val="right"/>
              <w:rPr>
                <w:rFonts w:eastAsia="Times New Roman"/>
                <w:color w:val="000000"/>
                <w:sz w:val="18"/>
                <w:szCs w:val="18"/>
                <w:lang w:eastAsia="lv-LV"/>
              </w:rPr>
            </w:pPr>
          </w:p>
        </w:tc>
        <w:tc>
          <w:tcPr>
            <w:tcW w:w="992" w:type="dxa"/>
            <w:shd w:val="clear" w:color="auto" w:fill="FFFFFF"/>
            <w:noWrap/>
            <w:vAlign w:val="bottom"/>
          </w:tcPr>
          <w:p w14:paraId="133E2756" w14:textId="77777777" w:rsidR="00700A0B" w:rsidRPr="007A603E" w:rsidRDefault="00700A0B" w:rsidP="00700A0B">
            <w:pPr>
              <w:jc w:val="right"/>
              <w:rPr>
                <w:rFonts w:eastAsia="Times New Roman"/>
                <w:color w:val="000000"/>
                <w:sz w:val="18"/>
                <w:szCs w:val="18"/>
                <w:lang w:eastAsia="lv-LV"/>
              </w:rPr>
            </w:pPr>
          </w:p>
        </w:tc>
        <w:tc>
          <w:tcPr>
            <w:tcW w:w="992" w:type="dxa"/>
            <w:shd w:val="clear" w:color="auto" w:fill="FFFFFF"/>
            <w:noWrap/>
            <w:vAlign w:val="center"/>
          </w:tcPr>
          <w:p w14:paraId="5277BF52" w14:textId="77777777" w:rsidR="00700A0B" w:rsidRPr="007A603E" w:rsidRDefault="00700A0B" w:rsidP="00700A0B">
            <w:pPr>
              <w:jc w:val="right"/>
              <w:rPr>
                <w:rFonts w:eastAsia="Times New Roman"/>
                <w:color w:val="000000"/>
                <w:sz w:val="18"/>
                <w:szCs w:val="18"/>
                <w:lang w:eastAsia="lv-LV"/>
              </w:rPr>
            </w:pPr>
            <w:r w:rsidRPr="007A603E">
              <w:rPr>
                <w:sz w:val="18"/>
                <w:szCs w:val="18"/>
              </w:rPr>
              <w:t>2 504 198</w:t>
            </w:r>
          </w:p>
        </w:tc>
        <w:tc>
          <w:tcPr>
            <w:tcW w:w="993" w:type="dxa"/>
            <w:shd w:val="clear" w:color="auto" w:fill="FFFFFF"/>
            <w:noWrap/>
            <w:vAlign w:val="center"/>
          </w:tcPr>
          <w:p w14:paraId="56F385A7" w14:textId="77777777" w:rsidR="00700A0B" w:rsidRPr="007A603E" w:rsidRDefault="00700A0B" w:rsidP="00700A0B">
            <w:pPr>
              <w:jc w:val="right"/>
              <w:rPr>
                <w:rFonts w:eastAsia="Times New Roman"/>
                <w:color w:val="000000"/>
                <w:sz w:val="18"/>
                <w:szCs w:val="18"/>
                <w:lang w:eastAsia="lv-LV"/>
              </w:rPr>
            </w:pPr>
            <w:r w:rsidRPr="007A603E">
              <w:rPr>
                <w:sz w:val="18"/>
                <w:szCs w:val="18"/>
              </w:rPr>
              <w:t>1 912 530</w:t>
            </w:r>
          </w:p>
        </w:tc>
        <w:tc>
          <w:tcPr>
            <w:tcW w:w="992" w:type="dxa"/>
            <w:shd w:val="clear" w:color="auto" w:fill="FFFFFF"/>
            <w:noWrap/>
            <w:vAlign w:val="center"/>
          </w:tcPr>
          <w:p w14:paraId="575B41D7" w14:textId="77777777" w:rsidR="00700A0B" w:rsidRPr="007A603E" w:rsidRDefault="00700A0B" w:rsidP="00700A0B">
            <w:pPr>
              <w:jc w:val="right"/>
              <w:rPr>
                <w:rFonts w:eastAsia="Times New Roman"/>
                <w:color w:val="000000"/>
                <w:sz w:val="18"/>
                <w:szCs w:val="18"/>
                <w:lang w:eastAsia="lv-LV"/>
              </w:rPr>
            </w:pPr>
            <w:r w:rsidRPr="007A603E">
              <w:rPr>
                <w:sz w:val="18"/>
                <w:szCs w:val="18"/>
              </w:rPr>
              <w:t>1 912 530</w:t>
            </w:r>
          </w:p>
        </w:tc>
        <w:tc>
          <w:tcPr>
            <w:tcW w:w="1134" w:type="dxa"/>
            <w:shd w:val="clear" w:color="auto" w:fill="FFFFFF"/>
            <w:noWrap/>
          </w:tcPr>
          <w:p w14:paraId="62F9BDB4" w14:textId="77777777" w:rsidR="00700A0B" w:rsidRPr="007A603E" w:rsidRDefault="00700A0B" w:rsidP="00700A0B">
            <w:pPr>
              <w:jc w:val="right"/>
              <w:rPr>
                <w:rFonts w:eastAsia="Times New Roman"/>
                <w:color w:val="000000"/>
                <w:sz w:val="18"/>
                <w:szCs w:val="18"/>
                <w:lang w:eastAsia="lv-LV"/>
              </w:rPr>
            </w:pPr>
          </w:p>
        </w:tc>
        <w:tc>
          <w:tcPr>
            <w:tcW w:w="1134" w:type="dxa"/>
            <w:shd w:val="clear" w:color="auto" w:fill="FFFFFF"/>
            <w:noWrap/>
            <w:vAlign w:val="center"/>
          </w:tcPr>
          <w:p w14:paraId="21EF921C" w14:textId="77777777" w:rsidR="00700A0B" w:rsidRPr="007A603E" w:rsidRDefault="00700A0B" w:rsidP="00700A0B">
            <w:pPr>
              <w:jc w:val="center"/>
              <w:rPr>
                <w:rFonts w:eastAsia="Times New Roman"/>
                <w:bCs/>
                <w:sz w:val="18"/>
                <w:szCs w:val="18"/>
                <w:lang w:eastAsia="lv-LV"/>
              </w:rPr>
            </w:pPr>
            <w:r w:rsidRPr="007A603E">
              <w:rPr>
                <w:rFonts w:eastAsia="Times New Roman"/>
                <w:bCs/>
                <w:sz w:val="18"/>
                <w:szCs w:val="18"/>
                <w:lang w:eastAsia="lv-LV"/>
              </w:rPr>
              <w:t>1 912 530</w:t>
            </w:r>
          </w:p>
          <w:p w14:paraId="7EC50F57" w14:textId="77777777" w:rsidR="00700A0B" w:rsidRPr="007A603E" w:rsidRDefault="00700A0B" w:rsidP="00700A0B">
            <w:pPr>
              <w:jc w:val="right"/>
              <w:rPr>
                <w:rFonts w:eastAsia="Times New Roman"/>
                <w:color w:val="000000"/>
                <w:sz w:val="18"/>
                <w:szCs w:val="18"/>
                <w:lang w:eastAsia="lv-LV"/>
              </w:rPr>
            </w:pPr>
          </w:p>
        </w:tc>
        <w:tc>
          <w:tcPr>
            <w:tcW w:w="1326" w:type="dxa"/>
            <w:shd w:val="clear" w:color="auto" w:fill="FFFFFF"/>
            <w:noWrap/>
            <w:vAlign w:val="bottom"/>
          </w:tcPr>
          <w:p w14:paraId="68EA6E45" w14:textId="77777777" w:rsidR="00700A0B" w:rsidRPr="007A603E" w:rsidRDefault="00700A0B" w:rsidP="00700A0B">
            <w:pPr>
              <w:jc w:val="right"/>
              <w:rPr>
                <w:rFonts w:eastAsia="Times New Roman"/>
                <w:color w:val="000000"/>
                <w:sz w:val="18"/>
                <w:szCs w:val="18"/>
                <w:lang w:eastAsia="lv-LV"/>
              </w:rPr>
            </w:pPr>
          </w:p>
        </w:tc>
      </w:tr>
      <w:tr w:rsidR="00700A0B" w:rsidRPr="00FC0326" w14:paraId="333E8A78" w14:textId="77777777" w:rsidTr="00214BEB">
        <w:trPr>
          <w:trHeight w:val="187"/>
        </w:trPr>
        <w:tc>
          <w:tcPr>
            <w:tcW w:w="1715" w:type="dxa"/>
            <w:shd w:val="clear" w:color="auto" w:fill="FFFFFF"/>
          </w:tcPr>
          <w:p w14:paraId="6C2CFF7B" w14:textId="77777777" w:rsidR="00700A0B" w:rsidRPr="00FC0326" w:rsidRDefault="00700A0B" w:rsidP="00700A0B">
            <w:pPr>
              <w:jc w:val="center"/>
              <w:rPr>
                <w:rFonts w:eastAsia="Times New Roman"/>
                <w:sz w:val="20"/>
                <w:szCs w:val="20"/>
                <w:lang w:eastAsia="lv-LV"/>
              </w:rPr>
            </w:pPr>
          </w:p>
        </w:tc>
        <w:tc>
          <w:tcPr>
            <w:tcW w:w="2263" w:type="dxa"/>
            <w:shd w:val="clear" w:color="auto" w:fill="FFFFFF"/>
          </w:tcPr>
          <w:p w14:paraId="15520633" w14:textId="77777777" w:rsidR="00700A0B" w:rsidRPr="00CC1B24" w:rsidRDefault="00700A0B" w:rsidP="00700A0B">
            <w:pPr>
              <w:jc w:val="both"/>
              <w:rPr>
                <w:rFonts w:eastAsia="Times New Roman"/>
                <w:bCs/>
                <w:sz w:val="18"/>
                <w:szCs w:val="18"/>
                <w:lang w:eastAsia="lv-LV"/>
              </w:rPr>
            </w:pPr>
            <w:r w:rsidRPr="00CC1B24">
              <w:rPr>
                <w:rFonts w:eastAsia="Times New Roman"/>
                <w:bCs/>
                <w:sz w:val="18"/>
                <w:szCs w:val="18"/>
                <w:lang w:eastAsia="lv-LV"/>
              </w:rPr>
              <w:t>Finanšu ministrija</w:t>
            </w:r>
          </w:p>
        </w:tc>
        <w:tc>
          <w:tcPr>
            <w:tcW w:w="1139" w:type="dxa"/>
            <w:shd w:val="clear" w:color="auto" w:fill="FFFFFF"/>
          </w:tcPr>
          <w:p w14:paraId="06C49764" w14:textId="77777777" w:rsidR="00700A0B" w:rsidRPr="007A603E" w:rsidRDefault="00700A0B" w:rsidP="00700A0B">
            <w:pPr>
              <w:jc w:val="center"/>
              <w:rPr>
                <w:rFonts w:eastAsia="Times New Roman"/>
                <w:sz w:val="18"/>
                <w:szCs w:val="18"/>
                <w:lang w:eastAsia="lv-LV"/>
              </w:rPr>
            </w:pPr>
          </w:p>
        </w:tc>
        <w:tc>
          <w:tcPr>
            <w:tcW w:w="987" w:type="dxa"/>
            <w:shd w:val="clear" w:color="auto" w:fill="FFFFFF"/>
            <w:noWrap/>
            <w:vAlign w:val="center"/>
          </w:tcPr>
          <w:p w14:paraId="3EF08808" w14:textId="77777777" w:rsidR="00700A0B" w:rsidRPr="007A603E" w:rsidRDefault="00700A0B" w:rsidP="00700A0B">
            <w:pPr>
              <w:jc w:val="right"/>
              <w:rPr>
                <w:rFonts w:eastAsia="Times New Roman"/>
                <w:color w:val="000000"/>
                <w:sz w:val="18"/>
                <w:szCs w:val="18"/>
                <w:lang w:eastAsia="lv-LV"/>
              </w:rPr>
            </w:pPr>
          </w:p>
        </w:tc>
        <w:tc>
          <w:tcPr>
            <w:tcW w:w="856" w:type="dxa"/>
            <w:shd w:val="clear" w:color="auto" w:fill="FFFFFF"/>
            <w:noWrap/>
            <w:vAlign w:val="center"/>
          </w:tcPr>
          <w:p w14:paraId="2C9F774B" w14:textId="77777777" w:rsidR="00700A0B" w:rsidRPr="007A603E" w:rsidRDefault="00700A0B" w:rsidP="00700A0B">
            <w:pPr>
              <w:jc w:val="right"/>
              <w:rPr>
                <w:rFonts w:eastAsia="Times New Roman"/>
                <w:color w:val="000000"/>
                <w:sz w:val="18"/>
                <w:szCs w:val="18"/>
                <w:lang w:eastAsia="lv-LV"/>
              </w:rPr>
            </w:pPr>
          </w:p>
        </w:tc>
        <w:tc>
          <w:tcPr>
            <w:tcW w:w="992" w:type="dxa"/>
            <w:shd w:val="clear" w:color="auto" w:fill="FFFFFF"/>
            <w:noWrap/>
            <w:vAlign w:val="center"/>
          </w:tcPr>
          <w:p w14:paraId="7CB050A8" w14:textId="77777777" w:rsidR="00700A0B" w:rsidRPr="007A603E" w:rsidRDefault="00700A0B" w:rsidP="00700A0B">
            <w:pPr>
              <w:jc w:val="right"/>
              <w:rPr>
                <w:rFonts w:eastAsia="Times New Roman"/>
                <w:color w:val="000000"/>
                <w:sz w:val="18"/>
                <w:szCs w:val="18"/>
                <w:lang w:eastAsia="lv-LV"/>
              </w:rPr>
            </w:pPr>
          </w:p>
        </w:tc>
        <w:tc>
          <w:tcPr>
            <w:tcW w:w="992" w:type="dxa"/>
            <w:shd w:val="clear" w:color="auto" w:fill="FFFFFF"/>
            <w:noWrap/>
            <w:vAlign w:val="center"/>
          </w:tcPr>
          <w:p w14:paraId="13134A20" w14:textId="77777777" w:rsidR="00700A0B" w:rsidRPr="007A603E" w:rsidRDefault="00700A0B" w:rsidP="00700A0B">
            <w:pPr>
              <w:jc w:val="right"/>
              <w:rPr>
                <w:sz w:val="18"/>
                <w:szCs w:val="18"/>
              </w:rPr>
            </w:pPr>
          </w:p>
        </w:tc>
        <w:tc>
          <w:tcPr>
            <w:tcW w:w="993" w:type="dxa"/>
            <w:shd w:val="clear" w:color="auto" w:fill="FFFFFF"/>
            <w:noWrap/>
            <w:vAlign w:val="center"/>
          </w:tcPr>
          <w:p w14:paraId="660F624C" w14:textId="77777777" w:rsidR="00700A0B" w:rsidRPr="007A603E" w:rsidRDefault="00700A0B" w:rsidP="00700A0B">
            <w:pPr>
              <w:jc w:val="right"/>
              <w:rPr>
                <w:sz w:val="18"/>
                <w:szCs w:val="18"/>
              </w:rPr>
            </w:pPr>
          </w:p>
        </w:tc>
        <w:tc>
          <w:tcPr>
            <w:tcW w:w="992" w:type="dxa"/>
            <w:shd w:val="clear" w:color="auto" w:fill="FFFFFF"/>
            <w:noWrap/>
            <w:vAlign w:val="center"/>
          </w:tcPr>
          <w:p w14:paraId="773AF20B" w14:textId="77777777" w:rsidR="00700A0B" w:rsidRPr="007A603E" w:rsidRDefault="00700A0B" w:rsidP="00700A0B">
            <w:pPr>
              <w:jc w:val="right"/>
              <w:rPr>
                <w:sz w:val="18"/>
                <w:szCs w:val="18"/>
              </w:rPr>
            </w:pPr>
          </w:p>
        </w:tc>
        <w:tc>
          <w:tcPr>
            <w:tcW w:w="1134" w:type="dxa"/>
            <w:shd w:val="clear" w:color="auto" w:fill="FFFFFF"/>
            <w:noWrap/>
            <w:vAlign w:val="center"/>
          </w:tcPr>
          <w:p w14:paraId="2B649A8A" w14:textId="77777777" w:rsidR="00700A0B" w:rsidRPr="007A603E" w:rsidRDefault="00700A0B" w:rsidP="00700A0B">
            <w:pPr>
              <w:jc w:val="right"/>
              <w:rPr>
                <w:rFonts w:eastAsia="Times New Roman"/>
                <w:color w:val="000000"/>
                <w:sz w:val="18"/>
                <w:szCs w:val="18"/>
                <w:lang w:eastAsia="lv-LV"/>
              </w:rPr>
            </w:pPr>
          </w:p>
        </w:tc>
        <w:tc>
          <w:tcPr>
            <w:tcW w:w="1134" w:type="dxa"/>
            <w:shd w:val="clear" w:color="auto" w:fill="FFFFFF"/>
            <w:noWrap/>
            <w:vAlign w:val="center"/>
          </w:tcPr>
          <w:p w14:paraId="4D89746D" w14:textId="77777777" w:rsidR="00700A0B" w:rsidRPr="007A603E" w:rsidRDefault="00700A0B" w:rsidP="00700A0B">
            <w:pPr>
              <w:jc w:val="right"/>
              <w:rPr>
                <w:sz w:val="18"/>
                <w:szCs w:val="18"/>
              </w:rPr>
            </w:pPr>
          </w:p>
        </w:tc>
        <w:tc>
          <w:tcPr>
            <w:tcW w:w="1326" w:type="dxa"/>
            <w:shd w:val="clear" w:color="auto" w:fill="FFFFFF"/>
            <w:noWrap/>
            <w:vAlign w:val="bottom"/>
          </w:tcPr>
          <w:p w14:paraId="2D4460B3" w14:textId="77777777" w:rsidR="00700A0B" w:rsidRPr="007A603E" w:rsidRDefault="00700A0B" w:rsidP="00700A0B">
            <w:pPr>
              <w:jc w:val="right"/>
              <w:rPr>
                <w:rFonts w:eastAsia="Times New Roman"/>
                <w:color w:val="000000"/>
                <w:sz w:val="18"/>
                <w:szCs w:val="18"/>
                <w:lang w:eastAsia="lv-LV"/>
              </w:rPr>
            </w:pPr>
          </w:p>
        </w:tc>
      </w:tr>
      <w:tr w:rsidR="00700A0B" w:rsidRPr="00FC0326" w14:paraId="35EB703B" w14:textId="77777777" w:rsidTr="00214BEB">
        <w:trPr>
          <w:trHeight w:val="312"/>
        </w:trPr>
        <w:tc>
          <w:tcPr>
            <w:tcW w:w="1715" w:type="dxa"/>
            <w:shd w:val="clear" w:color="auto" w:fill="FFFFFF"/>
          </w:tcPr>
          <w:p w14:paraId="0152F676" w14:textId="77777777" w:rsidR="00700A0B" w:rsidRPr="00FC0326" w:rsidRDefault="00700A0B" w:rsidP="00700A0B">
            <w:pPr>
              <w:jc w:val="center"/>
              <w:rPr>
                <w:rFonts w:eastAsia="Times New Roman"/>
                <w:sz w:val="20"/>
                <w:szCs w:val="20"/>
                <w:lang w:eastAsia="lv-LV"/>
              </w:rPr>
            </w:pPr>
          </w:p>
        </w:tc>
        <w:tc>
          <w:tcPr>
            <w:tcW w:w="2263" w:type="dxa"/>
            <w:shd w:val="clear" w:color="auto" w:fill="FFFFFF"/>
          </w:tcPr>
          <w:p w14:paraId="66C5D0AD" w14:textId="77777777" w:rsidR="00700A0B" w:rsidRPr="007A603E" w:rsidRDefault="00700A0B" w:rsidP="00700A0B">
            <w:pPr>
              <w:jc w:val="both"/>
              <w:rPr>
                <w:rFonts w:eastAsia="Times New Roman"/>
                <w:b/>
                <w:bCs/>
                <w:sz w:val="18"/>
                <w:szCs w:val="18"/>
                <w:lang w:eastAsia="lv-LV"/>
              </w:rPr>
            </w:pPr>
            <w:r w:rsidRPr="007A603E">
              <w:rPr>
                <w:rFonts w:eastAsia="Times New Roman"/>
                <w:b/>
                <w:bCs/>
                <w:sz w:val="18"/>
                <w:szCs w:val="18"/>
                <w:lang w:eastAsia="lv-LV"/>
              </w:rPr>
              <w:t>3.</w:t>
            </w:r>
            <w:r w:rsidR="00D26092">
              <w:rPr>
                <w:rFonts w:eastAsia="Times New Roman"/>
                <w:b/>
                <w:bCs/>
                <w:sz w:val="18"/>
                <w:szCs w:val="18"/>
                <w:lang w:eastAsia="lv-LV"/>
              </w:rPr>
              <w:t>3.(2)</w:t>
            </w:r>
            <w:r w:rsidRPr="007A603E">
              <w:rPr>
                <w:rFonts w:eastAsia="Times New Roman"/>
                <w:b/>
                <w:bCs/>
                <w:sz w:val="18"/>
                <w:szCs w:val="18"/>
                <w:lang w:eastAsia="lv-LV"/>
              </w:rPr>
              <w:t>.pasākums</w:t>
            </w:r>
          </w:p>
          <w:p w14:paraId="4DE36573" w14:textId="77777777" w:rsidR="00700A0B" w:rsidRPr="00FC0326" w:rsidRDefault="00700A0B" w:rsidP="00700A0B">
            <w:pPr>
              <w:jc w:val="both"/>
              <w:rPr>
                <w:rFonts w:eastAsia="Times New Roman"/>
                <w:sz w:val="20"/>
                <w:szCs w:val="20"/>
                <w:lang w:eastAsia="lv-LV"/>
              </w:rPr>
            </w:pPr>
            <w:r>
              <w:rPr>
                <w:rFonts w:eastAsia="Times New Roman"/>
                <w:bCs/>
                <w:sz w:val="18"/>
                <w:szCs w:val="18"/>
                <w:lang w:eastAsia="lv-LV"/>
              </w:rPr>
              <w:t>Nodrošināt n</w:t>
            </w:r>
            <w:r w:rsidRPr="00843659">
              <w:rPr>
                <w:rFonts w:eastAsia="Times New Roman"/>
                <w:bCs/>
                <w:sz w:val="18"/>
                <w:szCs w:val="18"/>
                <w:lang w:eastAsia="lv-LV"/>
              </w:rPr>
              <w:t xml:space="preserve">elegāli iegūtu līdzekļu legalizācijas novēršanas </w:t>
            </w:r>
            <w:r>
              <w:rPr>
                <w:rFonts w:eastAsia="Times New Roman"/>
                <w:bCs/>
                <w:sz w:val="18"/>
                <w:szCs w:val="18"/>
                <w:lang w:eastAsia="lv-LV"/>
              </w:rPr>
              <w:t>uz riska analīzi balstītas uzraudzības funkcijas stiprināšanu VID 25 amata vietām.</w:t>
            </w:r>
          </w:p>
        </w:tc>
        <w:tc>
          <w:tcPr>
            <w:tcW w:w="1139" w:type="dxa"/>
            <w:shd w:val="clear" w:color="auto" w:fill="FFFFFF"/>
          </w:tcPr>
          <w:p w14:paraId="27B7C199" w14:textId="77777777" w:rsidR="00700A0B" w:rsidRPr="007A603E" w:rsidRDefault="00700A0B" w:rsidP="00700A0B">
            <w:pPr>
              <w:jc w:val="center"/>
              <w:rPr>
                <w:rFonts w:eastAsia="Times New Roman"/>
                <w:sz w:val="18"/>
                <w:szCs w:val="18"/>
                <w:lang w:eastAsia="lv-LV"/>
              </w:rPr>
            </w:pPr>
          </w:p>
        </w:tc>
        <w:tc>
          <w:tcPr>
            <w:tcW w:w="987" w:type="dxa"/>
            <w:shd w:val="clear" w:color="auto" w:fill="FFFFFF"/>
            <w:noWrap/>
            <w:vAlign w:val="center"/>
          </w:tcPr>
          <w:p w14:paraId="4F8AD5BC" w14:textId="77777777" w:rsidR="00700A0B" w:rsidRPr="007A603E" w:rsidRDefault="00700A0B" w:rsidP="00700A0B">
            <w:pPr>
              <w:jc w:val="right"/>
              <w:rPr>
                <w:rFonts w:eastAsia="Times New Roman"/>
                <w:color w:val="000000"/>
                <w:sz w:val="18"/>
                <w:szCs w:val="18"/>
                <w:lang w:eastAsia="lv-LV"/>
              </w:rPr>
            </w:pPr>
          </w:p>
        </w:tc>
        <w:tc>
          <w:tcPr>
            <w:tcW w:w="856" w:type="dxa"/>
            <w:shd w:val="clear" w:color="auto" w:fill="FFFFFF"/>
            <w:noWrap/>
            <w:vAlign w:val="center"/>
          </w:tcPr>
          <w:p w14:paraId="1C366E42" w14:textId="77777777" w:rsidR="00700A0B" w:rsidRPr="007A603E" w:rsidRDefault="00700A0B" w:rsidP="00700A0B">
            <w:pPr>
              <w:jc w:val="right"/>
              <w:rPr>
                <w:rFonts w:eastAsia="Times New Roman"/>
                <w:color w:val="000000"/>
                <w:sz w:val="18"/>
                <w:szCs w:val="18"/>
                <w:lang w:eastAsia="lv-LV"/>
              </w:rPr>
            </w:pPr>
          </w:p>
        </w:tc>
        <w:tc>
          <w:tcPr>
            <w:tcW w:w="992" w:type="dxa"/>
            <w:shd w:val="clear" w:color="auto" w:fill="FFFFFF"/>
            <w:noWrap/>
            <w:vAlign w:val="center"/>
          </w:tcPr>
          <w:p w14:paraId="6F308F19" w14:textId="77777777" w:rsidR="00700A0B" w:rsidRPr="007A603E" w:rsidRDefault="00700A0B" w:rsidP="00700A0B">
            <w:pPr>
              <w:jc w:val="right"/>
              <w:rPr>
                <w:rFonts w:eastAsia="Times New Roman"/>
                <w:color w:val="000000"/>
                <w:sz w:val="18"/>
                <w:szCs w:val="18"/>
                <w:lang w:eastAsia="lv-LV"/>
              </w:rPr>
            </w:pPr>
          </w:p>
        </w:tc>
        <w:tc>
          <w:tcPr>
            <w:tcW w:w="992" w:type="dxa"/>
            <w:shd w:val="clear" w:color="auto" w:fill="FFFFFF"/>
            <w:noWrap/>
            <w:vAlign w:val="center"/>
          </w:tcPr>
          <w:p w14:paraId="34EEA9F8" w14:textId="77777777" w:rsidR="00700A0B" w:rsidRPr="007A603E" w:rsidRDefault="00700A0B" w:rsidP="00700A0B">
            <w:pPr>
              <w:jc w:val="right"/>
              <w:rPr>
                <w:rFonts w:eastAsia="Times New Roman"/>
                <w:color w:val="000000"/>
                <w:sz w:val="18"/>
                <w:szCs w:val="18"/>
                <w:lang w:eastAsia="lv-LV"/>
              </w:rPr>
            </w:pPr>
            <w:r w:rsidRPr="007A603E">
              <w:rPr>
                <w:sz w:val="18"/>
                <w:szCs w:val="18"/>
              </w:rPr>
              <w:t>323 353</w:t>
            </w:r>
          </w:p>
        </w:tc>
        <w:tc>
          <w:tcPr>
            <w:tcW w:w="993" w:type="dxa"/>
            <w:shd w:val="clear" w:color="auto" w:fill="FFFFFF"/>
            <w:noWrap/>
            <w:vAlign w:val="center"/>
          </w:tcPr>
          <w:p w14:paraId="42FB5A8C" w14:textId="77777777" w:rsidR="00700A0B" w:rsidRPr="007A603E" w:rsidRDefault="00700A0B" w:rsidP="00700A0B">
            <w:pPr>
              <w:jc w:val="right"/>
              <w:rPr>
                <w:rFonts w:eastAsia="Times New Roman"/>
                <w:color w:val="000000"/>
                <w:sz w:val="18"/>
                <w:szCs w:val="18"/>
                <w:lang w:eastAsia="lv-LV"/>
              </w:rPr>
            </w:pPr>
            <w:r w:rsidRPr="007A603E">
              <w:rPr>
                <w:sz w:val="18"/>
                <w:szCs w:val="18"/>
              </w:rPr>
              <w:t>312 277</w:t>
            </w:r>
          </w:p>
        </w:tc>
        <w:tc>
          <w:tcPr>
            <w:tcW w:w="992" w:type="dxa"/>
            <w:shd w:val="clear" w:color="auto" w:fill="FFFFFF"/>
            <w:noWrap/>
            <w:vAlign w:val="center"/>
          </w:tcPr>
          <w:p w14:paraId="3FCD8354" w14:textId="77777777" w:rsidR="00700A0B" w:rsidRPr="007A603E" w:rsidRDefault="00700A0B" w:rsidP="00700A0B">
            <w:pPr>
              <w:jc w:val="right"/>
              <w:rPr>
                <w:rFonts w:eastAsia="Times New Roman"/>
                <w:color w:val="000000"/>
                <w:sz w:val="18"/>
                <w:szCs w:val="18"/>
                <w:lang w:eastAsia="lv-LV"/>
              </w:rPr>
            </w:pPr>
            <w:r w:rsidRPr="007A603E">
              <w:rPr>
                <w:sz w:val="18"/>
                <w:szCs w:val="18"/>
              </w:rPr>
              <w:t>312 277</w:t>
            </w:r>
          </w:p>
        </w:tc>
        <w:tc>
          <w:tcPr>
            <w:tcW w:w="1134" w:type="dxa"/>
            <w:shd w:val="clear" w:color="auto" w:fill="FFFFFF"/>
            <w:noWrap/>
            <w:vAlign w:val="center"/>
          </w:tcPr>
          <w:p w14:paraId="4A33F885" w14:textId="77777777" w:rsidR="00700A0B" w:rsidRPr="007A603E" w:rsidRDefault="00700A0B" w:rsidP="00700A0B">
            <w:pPr>
              <w:jc w:val="right"/>
              <w:rPr>
                <w:rFonts w:eastAsia="Times New Roman"/>
                <w:color w:val="000000"/>
                <w:sz w:val="18"/>
                <w:szCs w:val="18"/>
                <w:lang w:eastAsia="lv-LV"/>
              </w:rPr>
            </w:pPr>
          </w:p>
        </w:tc>
        <w:tc>
          <w:tcPr>
            <w:tcW w:w="1134" w:type="dxa"/>
            <w:shd w:val="clear" w:color="auto" w:fill="FFFFFF"/>
            <w:noWrap/>
            <w:vAlign w:val="center"/>
          </w:tcPr>
          <w:p w14:paraId="46D1D956" w14:textId="77777777" w:rsidR="00700A0B" w:rsidRPr="007A603E" w:rsidRDefault="00700A0B" w:rsidP="00700A0B">
            <w:pPr>
              <w:jc w:val="right"/>
              <w:rPr>
                <w:rFonts w:eastAsia="Times New Roman"/>
                <w:color w:val="000000"/>
                <w:sz w:val="18"/>
                <w:szCs w:val="18"/>
                <w:lang w:eastAsia="lv-LV"/>
              </w:rPr>
            </w:pPr>
            <w:r w:rsidRPr="007A603E">
              <w:rPr>
                <w:sz w:val="18"/>
                <w:szCs w:val="18"/>
              </w:rPr>
              <w:t>312 277</w:t>
            </w:r>
          </w:p>
        </w:tc>
        <w:tc>
          <w:tcPr>
            <w:tcW w:w="1326" w:type="dxa"/>
            <w:shd w:val="clear" w:color="auto" w:fill="FFFFFF"/>
            <w:noWrap/>
            <w:vAlign w:val="bottom"/>
          </w:tcPr>
          <w:p w14:paraId="7B8B9BF8" w14:textId="77777777" w:rsidR="00700A0B" w:rsidRPr="007A603E" w:rsidRDefault="00700A0B" w:rsidP="00700A0B">
            <w:pPr>
              <w:jc w:val="right"/>
              <w:rPr>
                <w:rFonts w:eastAsia="Times New Roman"/>
                <w:color w:val="000000"/>
                <w:sz w:val="18"/>
                <w:szCs w:val="18"/>
                <w:lang w:eastAsia="lv-LV"/>
              </w:rPr>
            </w:pPr>
          </w:p>
        </w:tc>
      </w:tr>
      <w:tr w:rsidR="00700A0B" w:rsidRPr="00FC0326" w14:paraId="07582B40" w14:textId="77777777" w:rsidTr="00214BEB">
        <w:trPr>
          <w:trHeight w:val="312"/>
        </w:trPr>
        <w:tc>
          <w:tcPr>
            <w:tcW w:w="1715" w:type="dxa"/>
            <w:shd w:val="clear" w:color="auto" w:fill="auto"/>
          </w:tcPr>
          <w:p w14:paraId="243D5A15" w14:textId="77777777" w:rsidR="00700A0B" w:rsidRPr="00FC0326" w:rsidRDefault="00700A0B" w:rsidP="00700A0B">
            <w:pPr>
              <w:jc w:val="center"/>
              <w:rPr>
                <w:rFonts w:eastAsia="Times New Roman"/>
                <w:sz w:val="20"/>
                <w:szCs w:val="20"/>
                <w:lang w:eastAsia="lv-LV"/>
              </w:rPr>
            </w:pPr>
          </w:p>
        </w:tc>
        <w:tc>
          <w:tcPr>
            <w:tcW w:w="2263" w:type="dxa"/>
            <w:shd w:val="clear" w:color="auto" w:fill="auto"/>
          </w:tcPr>
          <w:p w14:paraId="60B59884" w14:textId="77777777" w:rsidR="00700A0B" w:rsidRPr="00CC1B24" w:rsidRDefault="00700A0B" w:rsidP="00700A0B">
            <w:pPr>
              <w:jc w:val="both"/>
              <w:rPr>
                <w:rFonts w:cs="Times New Roman"/>
                <w:sz w:val="18"/>
                <w:szCs w:val="18"/>
                <w:lang w:eastAsia="lv-LV"/>
              </w:rPr>
            </w:pPr>
            <w:r w:rsidRPr="00CC1B24">
              <w:rPr>
                <w:rFonts w:cs="Times New Roman"/>
                <w:sz w:val="18"/>
                <w:szCs w:val="18"/>
                <w:lang w:eastAsia="lv-LV"/>
              </w:rPr>
              <w:t>Finanšu ministrija</w:t>
            </w:r>
          </w:p>
        </w:tc>
        <w:tc>
          <w:tcPr>
            <w:tcW w:w="1139" w:type="dxa"/>
            <w:shd w:val="clear" w:color="auto" w:fill="auto"/>
          </w:tcPr>
          <w:p w14:paraId="31A8E555" w14:textId="77777777" w:rsidR="00700A0B" w:rsidRPr="00FC0326" w:rsidRDefault="00700A0B" w:rsidP="00700A0B">
            <w:pPr>
              <w:jc w:val="center"/>
              <w:rPr>
                <w:rFonts w:eastAsia="Times New Roman"/>
                <w:sz w:val="20"/>
                <w:szCs w:val="20"/>
                <w:lang w:eastAsia="lv-LV"/>
              </w:rPr>
            </w:pPr>
          </w:p>
        </w:tc>
        <w:tc>
          <w:tcPr>
            <w:tcW w:w="987" w:type="dxa"/>
            <w:shd w:val="clear" w:color="auto" w:fill="auto"/>
            <w:noWrap/>
            <w:vAlign w:val="bottom"/>
          </w:tcPr>
          <w:p w14:paraId="3772BE81" w14:textId="77777777" w:rsidR="00700A0B" w:rsidRPr="00924532" w:rsidRDefault="00700A0B" w:rsidP="00700A0B">
            <w:pPr>
              <w:jc w:val="right"/>
              <w:rPr>
                <w:sz w:val="18"/>
                <w:szCs w:val="18"/>
              </w:rPr>
            </w:pPr>
          </w:p>
        </w:tc>
        <w:tc>
          <w:tcPr>
            <w:tcW w:w="856" w:type="dxa"/>
            <w:shd w:val="clear" w:color="auto" w:fill="auto"/>
            <w:noWrap/>
            <w:vAlign w:val="bottom"/>
          </w:tcPr>
          <w:p w14:paraId="48031F6C" w14:textId="77777777" w:rsidR="00700A0B" w:rsidRPr="00924532" w:rsidRDefault="00700A0B" w:rsidP="00700A0B">
            <w:pPr>
              <w:jc w:val="right"/>
              <w:rPr>
                <w:sz w:val="18"/>
                <w:szCs w:val="18"/>
              </w:rPr>
            </w:pPr>
          </w:p>
        </w:tc>
        <w:tc>
          <w:tcPr>
            <w:tcW w:w="992" w:type="dxa"/>
            <w:shd w:val="clear" w:color="auto" w:fill="auto"/>
            <w:noWrap/>
            <w:vAlign w:val="bottom"/>
          </w:tcPr>
          <w:p w14:paraId="3AD953CB" w14:textId="77777777" w:rsidR="00700A0B" w:rsidRPr="00924532" w:rsidRDefault="00700A0B" w:rsidP="00700A0B">
            <w:pPr>
              <w:jc w:val="right"/>
              <w:rPr>
                <w:sz w:val="18"/>
                <w:szCs w:val="18"/>
              </w:rPr>
            </w:pPr>
          </w:p>
        </w:tc>
        <w:tc>
          <w:tcPr>
            <w:tcW w:w="992" w:type="dxa"/>
            <w:shd w:val="clear" w:color="auto" w:fill="auto"/>
            <w:noWrap/>
            <w:vAlign w:val="bottom"/>
          </w:tcPr>
          <w:p w14:paraId="3E705941" w14:textId="77777777" w:rsidR="00700A0B" w:rsidRPr="00FC0326" w:rsidRDefault="00700A0B" w:rsidP="00700A0B">
            <w:pPr>
              <w:rPr>
                <w:rFonts w:eastAsia="Times New Roman"/>
                <w:color w:val="000000"/>
                <w:sz w:val="18"/>
                <w:szCs w:val="18"/>
                <w:lang w:eastAsia="lv-LV"/>
              </w:rPr>
            </w:pPr>
          </w:p>
        </w:tc>
        <w:tc>
          <w:tcPr>
            <w:tcW w:w="993" w:type="dxa"/>
            <w:shd w:val="clear" w:color="auto" w:fill="auto"/>
            <w:noWrap/>
            <w:vAlign w:val="bottom"/>
          </w:tcPr>
          <w:p w14:paraId="771CE987"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2B37D4DC"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tcPr>
          <w:p w14:paraId="17EDB64B"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vAlign w:val="bottom"/>
          </w:tcPr>
          <w:p w14:paraId="157721D5" w14:textId="77777777" w:rsidR="00700A0B" w:rsidRPr="00FC0326"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16599FE7" w14:textId="77777777" w:rsidR="00700A0B" w:rsidRPr="00FC0326" w:rsidRDefault="00700A0B" w:rsidP="00700A0B">
            <w:pPr>
              <w:rPr>
                <w:rFonts w:eastAsia="Times New Roman"/>
                <w:color w:val="000000"/>
                <w:sz w:val="18"/>
                <w:szCs w:val="18"/>
                <w:lang w:eastAsia="lv-LV"/>
              </w:rPr>
            </w:pPr>
          </w:p>
        </w:tc>
      </w:tr>
      <w:tr w:rsidR="00700A0B" w:rsidRPr="00FC0326" w14:paraId="3E3F62A2" w14:textId="77777777" w:rsidTr="00214BEB">
        <w:trPr>
          <w:trHeight w:val="312"/>
        </w:trPr>
        <w:tc>
          <w:tcPr>
            <w:tcW w:w="1715" w:type="dxa"/>
            <w:shd w:val="clear" w:color="auto" w:fill="auto"/>
          </w:tcPr>
          <w:p w14:paraId="5C7FF0EB" w14:textId="77777777" w:rsidR="00700A0B" w:rsidRPr="00FC0326" w:rsidRDefault="00700A0B" w:rsidP="00700A0B">
            <w:pPr>
              <w:jc w:val="center"/>
              <w:rPr>
                <w:rFonts w:eastAsia="Times New Roman"/>
                <w:sz w:val="20"/>
                <w:szCs w:val="20"/>
                <w:lang w:eastAsia="lv-LV"/>
              </w:rPr>
            </w:pPr>
          </w:p>
        </w:tc>
        <w:tc>
          <w:tcPr>
            <w:tcW w:w="2263" w:type="dxa"/>
            <w:shd w:val="clear" w:color="auto" w:fill="auto"/>
          </w:tcPr>
          <w:p w14:paraId="334A49D4" w14:textId="77777777" w:rsidR="00700A0B" w:rsidRDefault="00700A0B" w:rsidP="00700A0B">
            <w:pPr>
              <w:jc w:val="both"/>
              <w:rPr>
                <w:rFonts w:cs="Times New Roman"/>
                <w:b/>
                <w:sz w:val="18"/>
                <w:szCs w:val="18"/>
                <w:lang w:eastAsia="lv-LV"/>
              </w:rPr>
            </w:pPr>
            <w:r w:rsidRPr="00CC1B24">
              <w:rPr>
                <w:rFonts w:cs="Times New Roman"/>
                <w:b/>
                <w:sz w:val="18"/>
                <w:szCs w:val="18"/>
                <w:lang w:eastAsia="lv-LV"/>
              </w:rPr>
              <w:t>3.</w:t>
            </w:r>
            <w:r w:rsidR="00D26092">
              <w:rPr>
                <w:rFonts w:cs="Times New Roman"/>
                <w:b/>
                <w:sz w:val="18"/>
                <w:szCs w:val="18"/>
                <w:lang w:eastAsia="lv-LV"/>
              </w:rPr>
              <w:t>3.(2)</w:t>
            </w:r>
            <w:r w:rsidRPr="00CC1B24">
              <w:rPr>
                <w:rFonts w:cs="Times New Roman"/>
                <w:b/>
                <w:sz w:val="18"/>
                <w:szCs w:val="18"/>
                <w:lang w:eastAsia="lv-LV"/>
              </w:rPr>
              <w:t xml:space="preserve"> pasākums</w:t>
            </w:r>
          </w:p>
          <w:p w14:paraId="43FF176B" w14:textId="77777777" w:rsidR="00700A0B" w:rsidRPr="00CC1B24" w:rsidRDefault="00700A0B" w:rsidP="00700A0B">
            <w:pPr>
              <w:jc w:val="both"/>
              <w:rPr>
                <w:rFonts w:eastAsia="Times New Roman"/>
                <w:sz w:val="18"/>
                <w:szCs w:val="18"/>
                <w:lang w:eastAsia="lv-LV"/>
              </w:rPr>
            </w:pPr>
            <w:r w:rsidRPr="00CC1B24">
              <w:rPr>
                <w:rFonts w:eastAsia="Times New Roman"/>
                <w:sz w:val="18"/>
                <w:szCs w:val="18"/>
                <w:lang w:eastAsia="lv-LV"/>
              </w:rPr>
              <w:t>Pārskatīt uzraugošo iestāžu darbinieku skaitu un resursus, lai nodrošinātu, ka tās spēj adekvāti pārvaldīt identificētos riskus un uzraudzīt likuma subjektu rīcību attiecībā uz riskiem</w:t>
            </w:r>
            <w:r>
              <w:rPr>
                <w:rFonts w:eastAsia="Times New Roman"/>
                <w:sz w:val="18"/>
                <w:szCs w:val="18"/>
                <w:lang w:eastAsia="lv-LV"/>
              </w:rPr>
              <w:t>.</w:t>
            </w:r>
          </w:p>
        </w:tc>
        <w:tc>
          <w:tcPr>
            <w:tcW w:w="1139" w:type="dxa"/>
            <w:shd w:val="clear" w:color="auto" w:fill="auto"/>
          </w:tcPr>
          <w:p w14:paraId="2C322FB3" w14:textId="77777777" w:rsidR="00700A0B" w:rsidRPr="00FC0326" w:rsidRDefault="00700A0B" w:rsidP="00700A0B">
            <w:pPr>
              <w:jc w:val="center"/>
              <w:rPr>
                <w:rFonts w:eastAsia="Times New Roman"/>
                <w:sz w:val="20"/>
                <w:szCs w:val="20"/>
                <w:lang w:eastAsia="lv-LV"/>
              </w:rPr>
            </w:pPr>
          </w:p>
        </w:tc>
        <w:tc>
          <w:tcPr>
            <w:tcW w:w="987" w:type="dxa"/>
            <w:shd w:val="clear" w:color="auto" w:fill="auto"/>
            <w:noWrap/>
            <w:vAlign w:val="bottom"/>
          </w:tcPr>
          <w:p w14:paraId="1C5CB8FA" w14:textId="77777777" w:rsidR="00700A0B" w:rsidRPr="00924532" w:rsidRDefault="00700A0B" w:rsidP="00700A0B">
            <w:pPr>
              <w:jc w:val="right"/>
              <w:rPr>
                <w:sz w:val="18"/>
                <w:szCs w:val="18"/>
              </w:rPr>
            </w:pPr>
            <w:r w:rsidRPr="00924532">
              <w:rPr>
                <w:sz w:val="18"/>
                <w:szCs w:val="18"/>
              </w:rPr>
              <w:t>533 182</w:t>
            </w:r>
          </w:p>
        </w:tc>
        <w:tc>
          <w:tcPr>
            <w:tcW w:w="856" w:type="dxa"/>
            <w:shd w:val="clear" w:color="auto" w:fill="auto"/>
            <w:noWrap/>
            <w:vAlign w:val="bottom"/>
          </w:tcPr>
          <w:p w14:paraId="2C310538" w14:textId="77777777" w:rsidR="00700A0B" w:rsidRPr="00924532" w:rsidRDefault="00700A0B" w:rsidP="00700A0B">
            <w:pPr>
              <w:jc w:val="right"/>
              <w:rPr>
                <w:sz w:val="18"/>
                <w:szCs w:val="18"/>
              </w:rPr>
            </w:pPr>
            <w:r w:rsidRPr="00924532">
              <w:rPr>
                <w:sz w:val="18"/>
                <w:szCs w:val="18"/>
              </w:rPr>
              <w:t>533 163</w:t>
            </w:r>
          </w:p>
        </w:tc>
        <w:tc>
          <w:tcPr>
            <w:tcW w:w="992" w:type="dxa"/>
            <w:shd w:val="clear" w:color="auto" w:fill="auto"/>
            <w:noWrap/>
            <w:vAlign w:val="bottom"/>
          </w:tcPr>
          <w:p w14:paraId="6FA20A3C" w14:textId="77777777" w:rsidR="00700A0B" w:rsidRPr="00924532" w:rsidRDefault="00700A0B" w:rsidP="00700A0B">
            <w:pPr>
              <w:jc w:val="right"/>
              <w:rPr>
                <w:sz w:val="18"/>
                <w:szCs w:val="18"/>
              </w:rPr>
            </w:pPr>
            <w:r w:rsidRPr="00924532">
              <w:rPr>
                <w:sz w:val="18"/>
                <w:szCs w:val="18"/>
              </w:rPr>
              <w:t>533 160</w:t>
            </w:r>
          </w:p>
        </w:tc>
        <w:tc>
          <w:tcPr>
            <w:tcW w:w="992" w:type="dxa"/>
            <w:shd w:val="clear" w:color="auto" w:fill="auto"/>
            <w:noWrap/>
            <w:vAlign w:val="bottom"/>
          </w:tcPr>
          <w:p w14:paraId="366F9848" w14:textId="77777777" w:rsidR="00700A0B" w:rsidRPr="00FC0326" w:rsidRDefault="00700A0B" w:rsidP="00700A0B">
            <w:pPr>
              <w:rPr>
                <w:rFonts w:eastAsia="Times New Roman"/>
                <w:color w:val="000000"/>
                <w:sz w:val="18"/>
                <w:szCs w:val="18"/>
                <w:lang w:eastAsia="lv-LV"/>
              </w:rPr>
            </w:pPr>
          </w:p>
        </w:tc>
        <w:tc>
          <w:tcPr>
            <w:tcW w:w="993" w:type="dxa"/>
            <w:shd w:val="clear" w:color="auto" w:fill="auto"/>
            <w:noWrap/>
            <w:vAlign w:val="bottom"/>
          </w:tcPr>
          <w:p w14:paraId="7231DEFD"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7E449222"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tcPr>
          <w:p w14:paraId="27A716DE"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vAlign w:val="bottom"/>
          </w:tcPr>
          <w:p w14:paraId="50250782" w14:textId="77777777" w:rsidR="00700A0B" w:rsidRPr="00FC0326"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379DDD4B" w14:textId="77777777" w:rsidR="00700A0B" w:rsidRPr="00FC0326" w:rsidRDefault="00700A0B" w:rsidP="00700A0B">
            <w:pPr>
              <w:rPr>
                <w:rFonts w:eastAsia="Times New Roman"/>
                <w:color w:val="000000"/>
                <w:sz w:val="18"/>
                <w:szCs w:val="18"/>
                <w:lang w:eastAsia="lv-LV"/>
              </w:rPr>
            </w:pPr>
          </w:p>
        </w:tc>
      </w:tr>
      <w:tr w:rsidR="00700A0B" w:rsidRPr="00FC0326" w14:paraId="109D4604" w14:textId="77777777" w:rsidTr="00214BEB">
        <w:trPr>
          <w:trHeight w:val="234"/>
        </w:trPr>
        <w:tc>
          <w:tcPr>
            <w:tcW w:w="1715" w:type="dxa"/>
            <w:shd w:val="clear" w:color="auto" w:fill="auto"/>
          </w:tcPr>
          <w:p w14:paraId="20B7B945" w14:textId="77777777" w:rsidR="00700A0B" w:rsidRPr="00FC0326" w:rsidRDefault="00700A0B" w:rsidP="00700A0B">
            <w:pPr>
              <w:jc w:val="center"/>
              <w:rPr>
                <w:rFonts w:eastAsia="Times New Roman"/>
                <w:sz w:val="20"/>
                <w:szCs w:val="20"/>
                <w:lang w:eastAsia="lv-LV"/>
              </w:rPr>
            </w:pPr>
          </w:p>
        </w:tc>
        <w:tc>
          <w:tcPr>
            <w:tcW w:w="2263" w:type="dxa"/>
            <w:shd w:val="clear" w:color="auto" w:fill="auto"/>
          </w:tcPr>
          <w:p w14:paraId="434B4C6E" w14:textId="77777777" w:rsidR="00700A0B" w:rsidRPr="00924532" w:rsidRDefault="00700A0B" w:rsidP="00700A0B">
            <w:pPr>
              <w:jc w:val="both"/>
              <w:rPr>
                <w:rFonts w:cs="Times New Roman"/>
                <w:sz w:val="18"/>
                <w:szCs w:val="18"/>
                <w:lang w:eastAsia="lv-LV"/>
              </w:rPr>
            </w:pPr>
            <w:r>
              <w:rPr>
                <w:rFonts w:cs="Times New Roman"/>
                <w:sz w:val="18"/>
                <w:szCs w:val="18"/>
                <w:lang w:eastAsia="lv-LV"/>
              </w:rPr>
              <w:t>Finanšu ministrija</w:t>
            </w:r>
          </w:p>
        </w:tc>
        <w:tc>
          <w:tcPr>
            <w:tcW w:w="1139" w:type="dxa"/>
            <w:shd w:val="clear" w:color="auto" w:fill="auto"/>
          </w:tcPr>
          <w:p w14:paraId="3ABFF2ED" w14:textId="77777777" w:rsidR="00700A0B" w:rsidRPr="00766590" w:rsidRDefault="00700A0B" w:rsidP="00700A0B">
            <w:pPr>
              <w:jc w:val="center"/>
              <w:rPr>
                <w:rFonts w:eastAsia="Times New Roman"/>
                <w:sz w:val="18"/>
                <w:szCs w:val="18"/>
                <w:lang w:eastAsia="lv-LV"/>
              </w:rPr>
            </w:pPr>
          </w:p>
        </w:tc>
        <w:tc>
          <w:tcPr>
            <w:tcW w:w="987" w:type="dxa"/>
            <w:shd w:val="clear" w:color="auto" w:fill="auto"/>
            <w:noWrap/>
            <w:vAlign w:val="bottom"/>
          </w:tcPr>
          <w:p w14:paraId="70D73534" w14:textId="77777777" w:rsidR="00700A0B" w:rsidRPr="00454DBB" w:rsidRDefault="00700A0B" w:rsidP="00700A0B">
            <w:pPr>
              <w:jc w:val="center"/>
              <w:rPr>
                <w:sz w:val="18"/>
                <w:szCs w:val="18"/>
              </w:rPr>
            </w:pPr>
          </w:p>
        </w:tc>
        <w:tc>
          <w:tcPr>
            <w:tcW w:w="856" w:type="dxa"/>
            <w:shd w:val="clear" w:color="auto" w:fill="auto"/>
            <w:noWrap/>
            <w:vAlign w:val="bottom"/>
          </w:tcPr>
          <w:p w14:paraId="0B20F432" w14:textId="77777777" w:rsidR="00700A0B" w:rsidRPr="00454DBB" w:rsidRDefault="00700A0B" w:rsidP="00700A0B">
            <w:pPr>
              <w:jc w:val="center"/>
              <w:rPr>
                <w:sz w:val="18"/>
                <w:szCs w:val="18"/>
              </w:rPr>
            </w:pPr>
          </w:p>
        </w:tc>
        <w:tc>
          <w:tcPr>
            <w:tcW w:w="992" w:type="dxa"/>
            <w:shd w:val="clear" w:color="auto" w:fill="auto"/>
            <w:noWrap/>
            <w:vAlign w:val="bottom"/>
          </w:tcPr>
          <w:p w14:paraId="0A44CFA6" w14:textId="77777777" w:rsidR="00700A0B" w:rsidRPr="00454DBB" w:rsidRDefault="00700A0B" w:rsidP="00700A0B">
            <w:pPr>
              <w:jc w:val="center"/>
              <w:rPr>
                <w:sz w:val="18"/>
                <w:szCs w:val="18"/>
              </w:rPr>
            </w:pPr>
          </w:p>
        </w:tc>
        <w:tc>
          <w:tcPr>
            <w:tcW w:w="992" w:type="dxa"/>
            <w:shd w:val="clear" w:color="auto" w:fill="auto"/>
            <w:noWrap/>
            <w:vAlign w:val="bottom"/>
          </w:tcPr>
          <w:p w14:paraId="0CDED099" w14:textId="77777777" w:rsidR="00700A0B" w:rsidRPr="00FC0326" w:rsidRDefault="00700A0B" w:rsidP="00700A0B">
            <w:pPr>
              <w:rPr>
                <w:rFonts w:eastAsia="Times New Roman"/>
                <w:color w:val="000000"/>
                <w:sz w:val="18"/>
                <w:szCs w:val="18"/>
                <w:lang w:eastAsia="lv-LV"/>
              </w:rPr>
            </w:pPr>
          </w:p>
        </w:tc>
        <w:tc>
          <w:tcPr>
            <w:tcW w:w="993" w:type="dxa"/>
            <w:shd w:val="clear" w:color="auto" w:fill="auto"/>
            <w:noWrap/>
            <w:vAlign w:val="bottom"/>
          </w:tcPr>
          <w:p w14:paraId="5AF54763"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0EC07796"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tcPr>
          <w:p w14:paraId="08B86813"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vAlign w:val="bottom"/>
          </w:tcPr>
          <w:p w14:paraId="257D4552" w14:textId="77777777" w:rsidR="00700A0B" w:rsidRPr="00FC0326"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51D918E7" w14:textId="77777777" w:rsidR="00700A0B" w:rsidRPr="00FC0326" w:rsidRDefault="00700A0B" w:rsidP="00700A0B">
            <w:pPr>
              <w:rPr>
                <w:rFonts w:eastAsia="Times New Roman"/>
                <w:color w:val="000000"/>
                <w:sz w:val="18"/>
                <w:szCs w:val="18"/>
                <w:lang w:eastAsia="lv-LV"/>
              </w:rPr>
            </w:pPr>
          </w:p>
        </w:tc>
      </w:tr>
      <w:tr w:rsidR="00700A0B" w:rsidRPr="00FC0326" w14:paraId="3615F1BB" w14:textId="77777777" w:rsidTr="00A5486B">
        <w:trPr>
          <w:trHeight w:val="1271"/>
        </w:trPr>
        <w:tc>
          <w:tcPr>
            <w:tcW w:w="1715" w:type="dxa"/>
            <w:shd w:val="clear" w:color="auto" w:fill="D9D9D9" w:themeFill="background1" w:themeFillShade="D9"/>
          </w:tcPr>
          <w:p w14:paraId="7C93B0BC" w14:textId="77777777" w:rsidR="00700A0B" w:rsidRPr="00FC0326" w:rsidRDefault="00700A0B" w:rsidP="00700A0B">
            <w:pPr>
              <w:jc w:val="center"/>
              <w:rPr>
                <w:rFonts w:eastAsia="Times New Roman"/>
                <w:sz w:val="20"/>
                <w:szCs w:val="20"/>
                <w:lang w:eastAsia="lv-LV"/>
              </w:rPr>
            </w:pPr>
          </w:p>
        </w:tc>
        <w:tc>
          <w:tcPr>
            <w:tcW w:w="2263" w:type="dxa"/>
            <w:shd w:val="clear" w:color="auto" w:fill="D9D9D9" w:themeFill="background1" w:themeFillShade="D9"/>
          </w:tcPr>
          <w:p w14:paraId="48F01FB9" w14:textId="77777777" w:rsidR="00700A0B" w:rsidRPr="00924532" w:rsidRDefault="00700A0B" w:rsidP="00700A0B">
            <w:pPr>
              <w:jc w:val="both"/>
              <w:rPr>
                <w:rFonts w:cs="Times New Roman"/>
                <w:sz w:val="18"/>
                <w:szCs w:val="18"/>
                <w:lang w:eastAsia="lv-LV"/>
              </w:rPr>
            </w:pPr>
          </w:p>
        </w:tc>
        <w:tc>
          <w:tcPr>
            <w:tcW w:w="1139" w:type="dxa"/>
            <w:shd w:val="clear" w:color="auto" w:fill="D9D9D9" w:themeFill="background1" w:themeFillShade="D9"/>
          </w:tcPr>
          <w:p w14:paraId="3EFDC6C3" w14:textId="77777777" w:rsidR="00700A0B" w:rsidRDefault="00700A0B" w:rsidP="00700A0B">
            <w:pPr>
              <w:jc w:val="center"/>
              <w:rPr>
                <w:rFonts w:eastAsia="Times New Roman"/>
                <w:sz w:val="18"/>
                <w:szCs w:val="18"/>
                <w:lang w:eastAsia="lv-LV"/>
              </w:rPr>
            </w:pPr>
            <w:r w:rsidRPr="00766590">
              <w:rPr>
                <w:rFonts w:eastAsia="Times New Roman"/>
                <w:sz w:val="18"/>
                <w:szCs w:val="18"/>
                <w:lang w:eastAsia="lv-LV"/>
              </w:rPr>
              <w:t xml:space="preserve">39.02.00 </w:t>
            </w:r>
          </w:p>
          <w:p w14:paraId="28BEF66A" w14:textId="77777777" w:rsidR="00700A0B" w:rsidRPr="00766590" w:rsidRDefault="00700A0B" w:rsidP="00700A0B">
            <w:pPr>
              <w:jc w:val="center"/>
              <w:rPr>
                <w:rFonts w:eastAsia="Times New Roman"/>
                <w:sz w:val="18"/>
                <w:szCs w:val="18"/>
                <w:lang w:eastAsia="lv-LV"/>
              </w:rPr>
            </w:pPr>
            <w:r w:rsidRPr="00766590">
              <w:rPr>
                <w:rFonts w:eastAsia="Times New Roman"/>
                <w:sz w:val="18"/>
                <w:szCs w:val="18"/>
                <w:lang w:eastAsia="lv-LV"/>
              </w:rPr>
              <w:t>Izložu un azartspēļu organizēšanas un norises uzraudzība</w:t>
            </w:r>
          </w:p>
        </w:tc>
        <w:tc>
          <w:tcPr>
            <w:tcW w:w="987" w:type="dxa"/>
            <w:shd w:val="clear" w:color="auto" w:fill="D9D9D9" w:themeFill="background1" w:themeFillShade="D9"/>
            <w:noWrap/>
            <w:vAlign w:val="bottom"/>
          </w:tcPr>
          <w:p w14:paraId="4100169A" w14:textId="77777777" w:rsidR="00700A0B" w:rsidRPr="00454DBB" w:rsidRDefault="00700A0B" w:rsidP="00700A0B">
            <w:pPr>
              <w:jc w:val="center"/>
              <w:rPr>
                <w:sz w:val="18"/>
                <w:szCs w:val="18"/>
              </w:rPr>
            </w:pPr>
            <w:r w:rsidRPr="00454DBB">
              <w:rPr>
                <w:sz w:val="18"/>
                <w:szCs w:val="18"/>
              </w:rPr>
              <w:t>24 580</w:t>
            </w:r>
          </w:p>
        </w:tc>
        <w:tc>
          <w:tcPr>
            <w:tcW w:w="856" w:type="dxa"/>
            <w:shd w:val="clear" w:color="auto" w:fill="D9D9D9" w:themeFill="background1" w:themeFillShade="D9"/>
            <w:noWrap/>
            <w:vAlign w:val="bottom"/>
          </w:tcPr>
          <w:p w14:paraId="3B6FE079" w14:textId="77777777" w:rsidR="00700A0B" w:rsidRPr="00454DBB" w:rsidRDefault="00700A0B" w:rsidP="00700A0B">
            <w:pPr>
              <w:jc w:val="center"/>
              <w:rPr>
                <w:sz w:val="18"/>
                <w:szCs w:val="18"/>
              </w:rPr>
            </w:pPr>
            <w:r w:rsidRPr="00454DBB">
              <w:rPr>
                <w:sz w:val="18"/>
                <w:szCs w:val="18"/>
              </w:rPr>
              <w:t>22 830</w:t>
            </w:r>
          </w:p>
        </w:tc>
        <w:tc>
          <w:tcPr>
            <w:tcW w:w="992" w:type="dxa"/>
            <w:shd w:val="clear" w:color="auto" w:fill="D9D9D9" w:themeFill="background1" w:themeFillShade="D9"/>
            <w:noWrap/>
            <w:vAlign w:val="bottom"/>
          </w:tcPr>
          <w:p w14:paraId="4E034338" w14:textId="77777777" w:rsidR="00700A0B" w:rsidRPr="00454DBB" w:rsidRDefault="00700A0B" w:rsidP="00700A0B">
            <w:pPr>
              <w:jc w:val="center"/>
              <w:rPr>
                <w:sz w:val="18"/>
                <w:szCs w:val="18"/>
              </w:rPr>
            </w:pPr>
            <w:r w:rsidRPr="00454DBB">
              <w:rPr>
                <w:sz w:val="18"/>
                <w:szCs w:val="18"/>
              </w:rPr>
              <w:t>22 830</w:t>
            </w:r>
          </w:p>
        </w:tc>
        <w:tc>
          <w:tcPr>
            <w:tcW w:w="992" w:type="dxa"/>
            <w:shd w:val="clear" w:color="auto" w:fill="D9D9D9" w:themeFill="background1" w:themeFillShade="D9"/>
            <w:noWrap/>
            <w:vAlign w:val="bottom"/>
          </w:tcPr>
          <w:p w14:paraId="6E369D33" w14:textId="77777777" w:rsidR="00700A0B" w:rsidRPr="00FC0326" w:rsidRDefault="00700A0B" w:rsidP="00700A0B">
            <w:pPr>
              <w:rPr>
                <w:rFonts w:eastAsia="Times New Roman"/>
                <w:color w:val="000000"/>
                <w:sz w:val="18"/>
                <w:szCs w:val="18"/>
                <w:lang w:eastAsia="lv-LV"/>
              </w:rPr>
            </w:pPr>
          </w:p>
        </w:tc>
        <w:tc>
          <w:tcPr>
            <w:tcW w:w="993" w:type="dxa"/>
            <w:shd w:val="clear" w:color="auto" w:fill="D9D9D9" w:themeFill="background1" w:themeFillShade="D9"/>
            <w:noWrap/>
            <w:vAlign w:val="bottom"/>
          </w:tcPr>
          <w:p w14:paraId="40398FE9" w14:textId="77777777" w:rsidR="00700A0B" w:rsidRPr="00FC0326" w:rsidRDefault="00700A0B" w:rsidP="00700A0B">
            <w:pPr>
              <w:rPr>
                <w:rFonts w:eastAsia="Times New Roman"/>
                <w:color w:val="000000"/>
                <w:sz w:val="18"/>
                <w:szCs w:val="18"/>
                <w:lang w:eastAsia="lv-LV"/>
              </w:rPr>
            </w:pPr>
          </w:p>
        </w:tc>
        <w:tc>
          <w:tcPr>
            <w:tcW w:w="992" w:type="dxa"/>
            <w:shd w:val="clear" w:color="auto" w:fill="D9D9D9" w:themeFill="background1" w:themeFillShade="D9"/>
            <w:noWrap/>
            <w:vAlign w:val="bottom"/>
          </w:tcPr>
          <w:p w14:paraId="7B52A426" w14:textId="77777777" w:rsidR="00700A0B" w:rsidRPr="00FC0326" w:rsidRDefault="00700A0B" w:rsidP="00700A0B">
            <w:pPr>
              <w:rPr>
                <w:rFonts w:eastAsia="Times New Roman"/>
                <w:color w:val="000000"/>
                <w:sz w:val="18"/>
                <w:szCs w:val="18"/>
                <w:lang w:eastAsia="lv-LV"/>
              </w:rPr>
            </w:pPr>
          </w:p>
        </w:tc>
        <w:tc>
          <w:tcPr>
            <w:tcW w:w="1134" w:type="dxa"/>
            <w:shd w:val="clear" w:color="auto" w:fill="D9D9D9" w:themeFill="background1" w:themeFillShade="D9"/>
            <w:noWrap/>
          </w:tcPr>
          <w:p w14:paraId="2C704316" w14:textId="77777777" w:rsidR="00700A0B" w:rsidRPr="00FC0326" w:rsidRDefault="00700A0B" w:rsidP="00700A0B">
            <w:pPr>
              <w:rPr>
                <w:rFonts w:eastAsia="Times New Roman"/>
                <w:color w:val="000000"/>
                <w:sz w:val="18"/>
                <w:szCs w:val="18"/>
                <w:lang w:eastAsia="lv-LV"/>
              </w:rPr>
            </w:pPr>
          </w:p>
        </w:tc>
        <w:tc>
          <w:tcPr>
            <w:tcW w:w="1134" w:type="dxa"/>
            <w:shd w:val="clear" w:color="auto" w:fill="D9D9D9" w:themeFill="background1" w:themeFillShade="D9"/>
            <w:noWrap/>
            <w:vAlign w:val="bottom"/>
          </w:tcPr>
          <w:p w14:paraId="69CA7171" w14:textId="77777777" w:rsidR="00700A0B" w:rsidRPr="00FC0326" w:rsidRDefault="00700A0B" w:rsidP="00700A0B">
            <w:pPr>
              <w:jc w:val="center"/>
              <w:rPr>
                <w:rFonts w:eastAsia="Times New Roman"/>
                <w:color w:val="000000"/>
                <w:sz w:val="18"/>
                <w:szCs w:val="18"/>
                <w:lang w:eastAsia="lv-LV"/>
              </w:rPr>
            </w:pPr>
          </w:p>
        </w:tc>
        <w:tc>
          <w:tcPr>
            <w:tcW w:w="1326" w:type="dxa"/>
            <w:shd w:val="clear" w:color="auto" w:fill="D9D9D9" w:themeFill="background1" w:themeFillShade="D9"/>
            <w:noWrap/>
            <w:vAlign w:val="bottom"/>
          </w:tcPr>
          <w:p w14:paraId="166EDCB6" w14:textId="77777777" w:rsidR="00700A0B" w:rsidRPr="00FC0326" w:rsidRDefault="00700A0B" w:rsidP="00700A0B">
            <w:pPr>
              <w:rPr>
                <w:rFonts w:eastAsia="Times New Roman"/>
                <w:color w:val="000000"/>
                <w:sz w:val="18"/>
                <w:szCs w:val="18"/>
                <w:lang w:eastAsia="lv-LV"/>
              </w:rPr>
            </w:pPr>
          </w:p>
        </w:tc>
      </w:tr>
      <w:tr w:rsidR="00700A0B" w:rsidRPr="00FC0326" w14:paraId="476B9ECF" w14:textId="77777777" w:rsidTr="00214BEB">
        <w:trPr>
          <w:trHeight w:val="312"/>
        </w:trPr>
        <w:tc>
          <w:tcPr>
            <w:tcW w:w="1715" w:type="dxa"/>
            <w:shd w:val="clear" w:color="auto" w:fill="auto"/>
          </w:tcPr>
          <w:p w14:paraId="02E774F2" w14:textId="77777777" w:rsidR="00700A0B" w:rsidRPr="00FC0326" w:rsidRDefault="00700A0B" w:rsidP="00700A0B">
            <w:pPr>
              <w:jc w:val="center"/>
              <w:rPr>
                <w:rFonts w:eastAsia="Times New Roman"/>
                <w:sz w:val="20"/>
                <w:szCs w:val="20"/>
                <w:lang w:eastAsia="lv-LV"/>
              </w:rPr>
            </w:pPr>
          </w:p>
        </w:tc>
        <w:tc>
          <w:tcPr>
            <w:tcW w:w="2263" w:type="dxa"/>
            <w:shd w:val="clear" w:color="auto" w:fill="auto"/>
          </w:tcPr>
          <w:p w14:paraId="047E0B82" w14:textId="77777777" w:rsidR="00700A0B" w:rsidRPr="00562E9C" w:rsidRDefault="00700A0B" w:rsidP="00700A0B">
            <w:pPr>
              <w:jc w:val="both"/>
              <w:rPr>
                <w:rFonts w:cs="Times New Roman"/>
                <w:b/>
                <w:sz w:val="18"/>
                <w:szCs w:val="18"/>
                <w:lang w:eastAsia="lv-LV"/>
              </w:rPr>
            </w:pPr>
            <w:r w:rsidRPr="00562E9C">
              <w:rPr>
                <w:rFonts w:cs="Times New Roman"/>
                <w:b/>
                <w:sz w:val="18"/>
                <w:szCs w:val="18"/>
                <w:lang w:eastAsia="lv-LV"/>
              </w:rPr>
              <w:t>3.</w:t>
            </w:r>
            <w:r w:rsidR="006F6605">
              <w:rPr>
                <w:rFonts w:cs="Times New Roman"/>
                <w:b/>
                <w:sz w:val="18"/>
                <w:szCs w:val="18"/>
                <w:lang w:eastAsia="lv-LV"/>
              </w:rPr>
              <w:t>3.(4)</w:t>
            </w:r>
            <w:r w:rsidRPr="00562E9C">
              <w:rPr>
                <w:rFonts w:cs="Times New Roman"/>
                <w:b/>
                <w:sz w:val="18"/>
                <w:szCs w:val="18"/>
                <w:lang w:eastAsia="lv-LV"/>
              </w:rPr>
              <w:t xml:space="preserve"> pasākums</w:t>
            </w:r>
          </w:p>
          <w:p w14:paraId="728C386B" w14:textId="77777777" w:rsidR="00700A0B" w:rsidRPr="00F83A17" w:rsidRDefault="00700A0B" w:rsidP="00700A0B">
            <w:pPr>
              <w:jc w:val="both"/>
              <w:rPr>
                <w:rFonts w:cs="Times New Roman"/>
                <w:sz w:val="18"/>
                <w:szCs w:val="18"/>
                <w:lang w:eastAsia="lv-LV"/>
              </w:rPr>
            </w:pPr>
            <w:r w:rsidRPr="00CC1B24">
              <w:rPr>
                <w:rFonts w:cs="Times New Roman"/>
                <w:sz w:val="18"/>
                <w:szCs w:val="18"/>
                <w:lang w:eastAsia="lv-LV"/>
              </w:rPr>
              <w:t>Pārskatīt uzraugošo iestāžu darbinieku skaitu un resursus, lai nodrošinātu, ka tās spēj adekvāti pārvaldīt identificētos riskus un uzraudzīt likuma subjektu rīcību attiecībā uz riskiem.</w:t>
            </w:r>
          </w:p>
        </w:tc>
        <w:tc>
          <w:tcPr>
            <w:tcW w:w="1139" w:type="dxa"/>
            <w:shd w:val="clear" w:color="auto" w:fill="auto"/>
          </w:tcPr>
          <w:p w14:paraId="085D4891" w14:textId="77777777" w:rsidR="00700A0B" w:rsidRPr="00766590" w:rsidRDefault="00700A0B" w:rsidP="00700A0B">
            <w:pPr>
              <w:jc w:val="center"/>
              <w:rPr>
                <w:rFonts w:eastAsia="Times New Roman"/>
                <w:sz w:val="18"/>
                <w:szCs w:val="18"/>
                <w:lang w:eastAsia="lv-LV"/>
              </w:rPr>
            </w:pPr>
          </w:p>
        </w:tc>
        <w:tc>
          <w:tcPr>
            <w:tcW w:w="987" w:type="dxa"/>
            <w:shd w:val="clear" w:color="auto" w:fill="auto"/>
            <w:noWrap/>
          </w:tcPr>
          <w:p w14:paraId="7DB59600" w14:textId="77777777" w:rsidR="00700A0B" w:rsidRPr="00CC1B24" w:rsidRDefault="00700A0B" w:rsidP="00700A0B">
            <w:pPr>
              <w:jc w:val="center"/>
              <w:rPr>
                <w:sz w:val="18"/>
                <w:szCs w:val="18"/>
              </w:rPr>
            </w:pPr>
            <w:r w:rsidRPr="00CC1B24">
              <w:rPr>
                <w:sz w:val="18"/>
                <w:szCs w:val="18"/>
              </w:rPr>
              <w:t>24 580</w:t>
            </w:r>
          </w:p>
        </w:tc>
        <w:tc>
          <w:tcPr>
            <w:tcW w:w="856" w:type="dxa"/>
            <w:shd w:val="clear" w:color="auto" w:fill="auto"/>
            <w:noWrap/>
          </w:tcPr>
          <w:p w14:paraId="3A486819" w14:textId="77777777" w:rsidR="00700A0B" w:rsidRPr="00CC1B24" w:rsidRDefault="00700A0B" w:rsidP="00700A0B">
            <w:pPr>
              <w:jc w:val="center"/>
              <w:rPr>
                <w:sz w:val="18"/>
                <w:szCs w:val="18"/>
              </w:rPr>
            </w:pPr>
            <w:r w:rsidRPr="00CC1B24">
              <w:rPr>
                <w:sz w:val="18"/>
                <w:szCs w:val="18"/>
              </w:rPr>
              <w:t>22 830</w:t>
            </w:r>
          </w:p>
        </w:tc>
        <w:tc>
          <w:tcPr>
            <w:tcW w:w="992" w:type="dxa"/>
            <w:shd w:val="clear" w:color="auto" w:fill="auto"/>
            <w:noWrap/>
          </w:tcPr>
          <w:p w14:paraId="06CE68B8" w14:textId="77777777" w:rsidR="00700A0B" w:rsidRPr="00CC1B24" w:rsidRDefault="00700A0B" w:rsidP="00700A0B">
            <w:pPr>
              <w:jc w:val="center"/>
              <w:rPr>
                <w:sz w:val="18"/>
                <w:szCs w:val="18"/>
              </w:rPr>
            </w:pPr>
            <w:r w:rsidRPr="00CC1B24">
              <w:rPr>
                <w:sz w:val="18"/>
                <w:szCs w:val="18"/>
              </w:rPr>
              <w:t>22 830</w:t>
            </w:r>
          </w:p>
        </w:tc>
        <w:tc>
          <w:tcPr>
            <w:tcW w:w="992" w:type="dxa"/>
            <w:shd w:val="clear" w:color="auto" w:fill="auto"/>
            <w:noWrap/>
            <w:vAlign w:val="bottom"/>
          </w:tcPr>
          <w:p w14:paraId="379401F5" w14:textId="77777777" w:rsidR="00700A0B" w:rsidRPr="00FC0326" w:rsidRDefault="00700A0B" w:rsidP="00700A0B">
            <w:pPr>
              <w:rPr>
                <w:rFonts w:eastAsia="Times New Roman"/>
                <w:color w:val="000000"/>
                <w:sz w:val="18"/>
                <w:szCs w:val="18"/>
                <w:lang w:eastAsia="lv-LV"/>
              </w:rPr>
            </w:pPr>
          </w:p>
        </w:tc>
        <w:tc>
          <w:tcPr>
            <w:tcW w:w="993" w:type="dxa"/>
            <w:shd w:val="clear" w:color="auto" w:fill="auto"/>
            <w:noWrap/>
            <w:vAlign w:val="bottom"/>
          </w:tcPr>
          <w:p w14:paraId="441BE6CD"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7D72154B"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tcPr>
          <w:p w14:paraId="1CA7E1BF"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vAlign w:val="bottom"/>
          </w:tcPr>
          <w:p w14:paraId="6F8C2DD5" w14:textId="77777777" w:rsidR="00700A0B" w:rsidRPr="00FC0326"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6FC72F39" w14:textId="77777777" w:rsidR="00700A0B" w:rsidRPr="00FC0326" w:rsidRDefault="00700A0B" w:rsidP="00700A0B">
            <w:pPr>
              <w:rPr>
                <w:rFonts w:eastAsia="Times New Roman"/>
                <w:color w:val="000000"/>
                <w:sz w:val="18"/>
                <w:szCs w:val="18"/>
                <w:lang w:eastAsia="lv-LV"/>
              </w:rPr>
            </w:pPr>
          </w:p>
        </w:tc>
      </w:tr>
      <w:tr w:rsidR="00700A0B" w:rsidRPr="00FC0326" w14:paraId="2791B449" w14:textId="77777777" w:rsidTr="00A5486B">
        <w:trPr>
          <w:trHeight w:val="126"/>
        </w:trPr>
        <w:tc>
          <w:tcPr>
            <w:tcW w:w="1715" w:type="dxa"/>
            <w:shd w:val="clear" w:color="auto" w:fill="auto"/>
          </w:tcPr>
          <w:p w14:paraId="06B843D8" w14:textId="77777777" w:rsidR="00700A0B" w:rsidRPr="00FC0326" w:rsidRDefault="00700A0B" w:rsidP="00700A0B">
            <w:pPr>
              <w:jc w:val="center"/>
              <w:rPr>
                <w:rFonts w:eastAsia="Times New Roman"/>
                <w:sz w:val="20"/>
                <w:szCs w:val="20"/>
                <w:lang w:eastAsia="lv-LV"/>
              </w:rPr>
            </w:pPr>
          </w:p>
        </w:tc>
        <w:tc>
          <w:tcPr>
            <w:tcW w:w="2263" w:type="dxa"/>
            <w:shd w:val="clear" w:color="auto" w:fill="auto"/>
          </w:tcPr>
          <w:p w14:paraId="660F645F" w14:textId="77777777" w:rsidR="00700A0B" w:rsidRPr="00F83A17" w:rsidRDefault="00700A0B" w:rsidP="00700A0B">
            <w:pPr>
              <w:jc w:val="both"/>
              <w:rPr>
                <w:rFonts w:cs="Times New Roman"/>
                <w:sz w:val="18"/>
                <w:szCs w:val="18"/>
                <w:lang w:eastAsia="lv-LV"/>
              </w:rPr>
            </w:pPr>
            <w:r w:rsidRPr="00CC1B24">
              <w:rPr>
                <w:rFonts w:cs="Times New Roman"/>
                <w:sz w:val="18"/>
                <w:szCs w:val="18"/>
                <w:lang w:eastAsia="lv-LV"/>
              </w:rPr>
              <w:t>Finanšu ministrija</w:t>
            </w:r>
          </w:p>
        </w:tc>
        <w:tc>
          <w:tcPr>
            <w:tcW w:w="1139" w:type="dxa"/>
            <w:shd w:val="clear" w:color="auto" w:fill="auto"/>
          </w:tcPr>
          <w:p w14:paraId="778A8579" w14:textId="77777777" w:rsidR="00700A0B" w:rsidRPr="00766590" w:rsidRDefault="00700A0B" w:rsidP="00700A0B">
            <w:pPr>
              <w:jc w:val="center"/>
              <w:rPr>
                <w:rFonts w:eastAsia="Times New Roman"/>
                <w:sz w:val="18"/>
                <w:szCs w:val="18"/>
                <w:lang w:eastAsia="lv-LV"/>
              </w:rPr>
            </w:pPr>
          </w:p>
        </w:tc>
        <w:tc>
          <w:tcPr>
            <w:tcW w:w="987" w:type="dxa"/>
            <w:shd w:val="clear" w:color="auto" w:fill="auto"/>
            <w:noWrap/>
            <w:vAlign w:val="bottom"/>
          </w:tcPr>
          <w:p w14:paraId="182F618E" w14:textId="77777777" w:rsidR="00700A0B" w:rsidRPr="00454DBB" w:rsidRDefault="00700A0B" w:rsidP="00700A0B">
            <w:pPr>
              <w:jc w:val="center"/>
              <w:rPr>
                <w:sz w:val="18"/>
                <w:szCs w:val="18"/>
              </w:rPr>
            </w:pPr>
          </w:p>
        </w:tc>
        <w:tc>
          <w:tcPr>
            <w:tcW w:w="856" w:type="dxa"/>
            <w:shd w:val="clear" w:color="auto" w:fill="auto"/>
            <w:noWrap/>
            <w:vAlign w:val="bottom"/>
          </w:tcPr>
          <w:p w14:paraId="6CBE3BF5" w14:textId="77777777" w:rsidR="00700A0B" w:rsidRPr="00454DBB" w:rsidRDefault="00700A0B" w:rsidP="00700A0B">
            <w:pPr>
              <w:jc w:val="center"/>
              <w:rPr>
                <w:sz w:val="18"/>
                <w:szCs w:val="18"/>
              </w:rPr>
            </w:pPr>
          </w:p>
        </w:tc>
        <w:tc>
          <w:tcPr>
            <w:tcW w:w="992" w:type="dxa"/>
            <w:shd w:val="clear" w:color="auto" w:fill="auto"/>
            <w:noWrap/>
            <w:vAlign w:val="bottom"/>
          </w:tcPr>
          <w:p w14:paraId="590F08C2" w14:textId="77777777" w:rsidR="00700A0B" w:rsidRPr="00454DBB" w:rsidRDefault="00700A0B" w:rsidP="00700A0B">
            <w:pPr>
              <w:jc w:val="center"/>
              <w:rPr>
                <w:sz w:val="18"/>
                <w:szCs w:val="18"/>
              </w:rPr>
            </w:pPr>
          </w:p>
        </w:tc>
        <w:tc>
          <w:tcPr>
            <w:tcW w:w="992" w:type="dxa"/>
            <w:shd w:val="clear" w:color="auto" w:fill="auto"/>
            <w:noWrap/>
            <w:vAlign w:val="bottom"/>
          </w:tcPr>
          <w:p w14:paraId="30CFE3E7" w14:textId="77777777" w:rsidR="00700A0B" w:rsidRPr="00FC0326" w:rsidRDefault="00700A0B" w:rsidP="00700A0B">
            <w:pPr>
              <w:rPr>
                <w:rFonts w:eastAsia="Times New Roman"/>
                <w:color w:val="000000"/>
                <w:sz w:val="18"/>
                <w:szCs w:val="18"/>
                <w:lang w:eastAsia="lv-LV"/>
              </w:rPr>
            </w:pPr>
          </w:p>
        </w:tc>
        <w:tc>
          <w:tcPr>
            <w:tcW w:w="993" w:type="dxa"/>
            <w:shd w:val="clear" w:color="auto" w:fill="auto"/>
            <w:noWrap/>
            <w:vAlign w:val="bottom"/>
          </w:tcPr>
          <w:p w14:paraId="3266DE33"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2F6716BB"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tcPr>
          <w:p w14:paraId="20DFD35C"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vAlign w:val="bottom"/>
          </w:tcPr>
          <w:p w14:paraId="45BC3894" w14:textId="77777777" w:rsidR="00700A0B" w:rsidRPr="00FC0326"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60D35C88" w14:textId="77777777" w:rsidR="00700A0B" w:rsidRPr="00FC0326" w:rsidRDefault="00700A0B" w:rsidP="00700A0B">
            <w:pPr>
              <w:rPr>
                <w:rFonts w:eastAsia="Times New Roman"/>
                <w:color w:val="000000"/>
                <w:sz w:val="18"/>
                <w:szCs w:val="18"/>
                <w:lang w:eastAsia="lv-LV"/>
              </w:rPr>
            </w:pPr>
          </w:p>
        </w:tc>
      </w:tr>
      <w:tr w:rsidR="00700A0B" w:rsidRPr="00FC0326" w14:paraId="52717D27" w14:textId="77777777" w:rsidTr="00A5486B">
        <w:trPr>
          <w:trHeight w:val="1121"/>
        </w:trPr>
        <w:tc>
          <w:tcPr>
            <w:tcW w:w="1715" w:type="dxa"/>
            <w:shd w:val="clear" w:color="auto" w:fill="D9D9D9" w:themeFill="background1" w:themeFillShade="D9"/>
          </w:tcPr>
          <w:p w14:paraId="1BBE170F" w14:textId="77777777" w:rsidR="00700A0B" w:rsidRPr="00FC0326" w:rsidRDefault="00700A0B" w:rsidP="00700A0B">
            <w:pPr>
              <w:jc w:val="center"/>
              <w:rPr>
                <w:rFonts w:eastAsia="Times New Roman"/>
                <w:sz w:val="20"/>
                <w:szCs w:val="20"/>
                <w:lang w:eastAsia="lv-LV"/>
              </w:rPr>
            </w:pPr>
          </w:p>
        </w:tc>
        <w:tc>
          <w:tcPr>
            <w:tcW w:w="2263" w:type="dxa"/>
            <w:shd w:val="clear" w:color="auto" w:fill="D9D9D9" w:themeFill="background1" w:themeFillShade="D9"/>
          </w:tcPr>
          <w:p w14:paraId="66875950" w14:textId="77777777" w:rsidR="00700A0B" w:rsidRPr="00924532" w:rsidRDefault="00700A0B" w:rsidP="00700A0B">
            <w:pPr>
              <w:jc w:val="both"/>
              <w:rPr>
                <w:rFonts w:cs="Times New Roman"/>
                <w:sz w:val="18"/>
                <w:szCs w:val="18"/>
                <w:lang w:eastAsia="lv-LV"/>
              </w:rPr>
            </w:pPr>
          </w:p>
        </w:tc>
        <w:tc>
          <w:tcPr>
            <w:tcW w:w="1139" w:type="dxa"/>
            <w:shd w:val="clear" w:color="auto" w:fill="D9D9D9" w:themeFill="background1" w:themeFillShade="D9"/>
          </w:tcPr>
          <w:p w14:paraId="717A3B1C" w14:textId="77777777" w:rsidR="00700A0B" w:rsidRDefault="00700A0B" w:rsidP="00700A0B">
            <w:pPr>
              <w:jc w:val="center"/>
              <w:rPr>
                <w:rFonts w:eastAsia="Times New Roman"/>
                <w:sz w:val="18"/>
                <w:szCs w:val="18"/>
                <w:lang w:eastAsia="lv-LV"/>
              </w:rPr>
            </w:pPr>
            <w:r w:rsidRPr="001F7F5D">
              <w:rPr>
                <w:rFonts w:eastAsia="Times New Roman"/>
                <w:sz w:val="18"/>
                <w:szCs w:val="18"/>
                <w:lang w:eastAsia="lv-LV"/>
              </w:rPr>
              <w:t xml:space="preserve">26.01.00 </w:t>
            </w:r>
          </w:p>
          <w:p w14:paraId="793A9455" w14:textId="77777777" w:rsidR="00700A0B" w:rsidRPr="00766590" w:rsidRDefault="00700A0B" w:rsidP="00700A0B">
            <w:pPr>
              <w:jc w:val="center"/>
              <w:rPr>
                <w:rFonts w:eastAsia="Times New Roman"/>
                <w:sz w:val="18"/>
                <w:szCs w:val="18"/>
                <w:lang w:eastAsia="lv-LV"/>
              </w:rPr>
            </w:pPr>
            <w:r w:rsidRPr="001F7F5D">
              <w:rPr>
                <w:rFonts w:eastAsia="Times New Roman"/>
                <w:sz w:val="18"/>
                <w:szCs w:val="18"/>
                <w:lang w:eastAsia="lv-LV"/>
              </w:rPr>
              <w:t>Iekšējais tirgus un patērētāju tiesību aizsardzība</w:t>
            </w:r>
          </w:p>
        </w:tc>
        <w:tc>
          <w:tcPr>
            <w:tcW w:w="987" w:type="dxa"/>
            <w:shd w:val="clear" w:color="auto" w:fill="D9D9D9" w:themeFill="background1" w:themeFillShade="D9"/>
            <w:noWrap/>
            <w:vAlign w:val="bottom"/>
          </w:tcPr>
          <w:p w14:paraId="57598820" w14:textId="77777777" w:rsidR="00700A0B" w:rsidRPr="001F7F5D" w:rsidRDefault="00700A0B" w:rsidP="00700A0B">
            <w:pPr>
              <w:jc w:val="center"/>
              <w:rPr>
                <w:sz w:val="18"/>
                <w:szCs w:val="18"/>
              </w:rPr>
            </w:pPr>
            <w:r w:rsidRPr="001F7F5D">
              <w:rPr>
                <w:sz w:val="18"/>
                <w:szCs w:val="18"/>
              </w:rPr>
              <w:t>277 142</w:t>
            </w:r>
          </w:p>
        </w:tc>
        <w:tc>
          <w:tcPr>
            <w:tcW w:w="856" w:type="dxa"/>
            <w:shd w:val="clear" w:color="auto" w:fill="D9D9D9" w:themeFill="background1" w:themeFillShade="D9"/>
            <w:noWrap/>
            <w:vAlign w:val="bottom"/>
          </w:tcPr>
          <w:p w14:paraId="20C80839" w14:textId="77777777" w:rsidR="00700A0B" w:rsidRPr="001F7F5D" w:rsidRDefault="00700A0B" w:rsidP="00700A0B">
            <w:pPr>
              <w:jc w:val="center"/>
              <w:rPr>
                <w:sz w:val="18"/>
                <w:szCs w:val="18"/>
              </w:rPr>
            </w:pPr>
            <w:r w:rsidRPr="001F7F5D">
              <w:rPr>
                <w:sz w:val="18"/>
                <w:szCs w:val="18"/>
              </w:rPr>
              <w:t>268 342</w:t>
            </w:r>
          </w:p>
        </w:tc>
        <w:tc>
          <w:tcPr>
            <w:tcW w:w="992" w:type="dxa"/>
            <w:shd w:val="clear" w:color="auto" w:fill="D9D9D9" w:themeFill="background1" w:themeFillShade="D9"/>
            <w:noWrap/>
            <w:vAlign w:val="bottom"/>
          </w:tcPr>
          <w:p w14:paraId="34F028F5" w14:textId="77777777" w:rsidR="00700A0B" w:rsidRPr="001F7F5D" w:rsidRDefault="00700A0B" w:rsidP="00700A0B">
            <w:pPr>
              <w:jc w:val="center"/>
              <w:rPr>
                <w:sz w:val="18"/>
                <w:szCs w:val="18"/>
              </w:rPr>
            </w:pPr>
            <w:r w:rsidRPr="001F7F5D">
              <w:rPr>
                <w:sz w:val="18"/>
                <w:szCs w:val="18"/>
              </w:rPr>
              <w:t>268 342</w:t>
            </w:r>
          </w:p>
        </w:tc>
        <w:tc>
          <w:tcPr>
            <w:tcW w:w="992" w:type="dxa"/>
            <w:shd w:val="clear" w:color="auto" w:fill="D9D9D9" w:themeFill="background1" w:themeFillShade="D9"/>
            <w:noWrap/>
            <w:vAlign w:val="bottom"/>
          </w:tcPr>
          <w:p w14:paraId="7C6005F5" w14:textId="77777777" w:rsidR="00700A0B" w:rsidRPr="00FC0326" w:rsidRDefault="00700A0B" w:rsidP="00700A0B">
            <w:pPr>
              <w:rPr>
                <w:rFonts w:eastAsia="Times New Roman"/>
                <w:color w:val="000000"/>
                <w:sz w:val="18"/>
                <w:szCs w:val="18"/>
                <w:lang w:eastAsia="lv-LV"/>
              </w:rPr>
            </w:pPr>
          </w:p>
        </w:tc>
        <w:tc>
          <w:tcPr>
            <w:tcW w:w="993" w:type="dxa"/>
            <w:shd w:val="clear" w:color="auto" w:fill="D9D9D9" w:themeFill="background1" w:themeFillShade="D9"/>
            <w:noWrap/>
            <w:vAlign w:val="bottom"/>
          </w:tcPr>
          <w:p w14:paraId="0AD188BC" w14:textId="77777777" w:rsidR="00700A0B" w:rsidRPr="00FC0326" w:rsidRDefault="00700A0B" w:rsidP="00700A0B">
            <w:pPr>
              <w:rPr>
                <w:rFonts w:eastAsia="Times New Roman"/>
                <w:color w:val="000000"/>
                <w:sz w:val="18"/>
                <w:szCs w:val="18"/>
                <w:lang w:eastAsia="lv-LV"/>
              </w:rPr>
            </w:pPr>
          </w:p>
        </w:tc>
        <w:tc>
          <w:tcPr>
            <w:tcW w:w="992" w:type="dxa"/>
            <w:shd w:val="clear" w:color="auto" w:fill="D9D9D9" w:themeFill="background1" w:themeFillShade="D9"/>
            <w:noWrap/>
            <w:vAlign w:val="bottom"/>
          </w:tcPr>
          <w:p w14:paraId="23774A2C" w14:textId="77777777" w:rsidR="00700A0B" w:rsidRPr="00FC0326" w:rsidRDefault="00700A0B" w:rsidP="00700A0B">
            <w:pPr>
              <w:rPr>
                <w:rFonts w:eastAsia="Times New Roman"/>
                <w:color w:val="000000"/>
                <w:sz w:val="18"/>
                <w:szCs w:val="18"/>
                <w:lang w:eastAsia="lv-LV"/>
              </w:rPr>
            </w:pPr>
          </w:p>
        </w:tc>
        <w:tc>
          <w:tcPr>
            <w:tcW w:w="1134" w:type="dxa"/>
            <w:shd w:val="clear" w:color="auto" w:fill="D9D9D9" w:themeFill="background1" w:themeFillShade="D9"/>
            <w:noWrap/>
          </w:tcPr>
          <w:p w14:paraId="32654477" w14:textId="77777777" w:rsidR="00700A0B" w:rsidRPr="00FC0326" w:rsidRDefault="00700A0B" w:rsidP="00700A0B">
            <w:pPr>
              <w:rPr>
                <w:rFonts w:eastAsia="Times New Roman"/>
                <w:color w:val="000000"/>
                <w:sz w:val="18"/>
                <w:szCs w:val="18"/>
                <w:lang w:eastAsia="lv-LV"/>
              </w:rPr>
            </w:pPr>
          </w:p>
        </w:tc>
        <w:tc>
          <w:tcPr>
            <w:tcW w:w="1134" w:type="dxa"/>
            <w:shd w:val="clear" w:color="auto" w:fill="D9D9D9" w:themeFill="background1" w:themeFillShade="D9"/>
            <w:noWrap/>
            <w:vAlign w:val="bottom"/>
          </w:tcPr>
          <w:p w14:paraId="720051D5" w14:textId="77777777" w:rsidR="00700A0B" w:rsidRPr="00FC0326" w:rsidRDefault="00700A0B" w:rsidP="00700A0B">
            <w:pPr>
              <w:jc w:val="center"/>
              <w:rPr>
                <w:rFonts w:eastAsia="Times New Roman"/>
                <w:color w:val="000000"/>
                <w:sz w:val="18"/>
                <w:szCs w:val="18"/>
                <w:lang w:eastAsia="lv-LV"/>
              </w:rPr>
            </w:pPr>
          </w:p>
        </w:tc>
        <w:tc>
          <w:tcPr>
            <w:tcW w:w="1326" w:type="dxa"/>
            <w:shd w:val="clear" w:color="auto" w:fill="D9D9D9" w:themeFill="background1" w:themeFillShade="D9"/>
            <w:noWrap/>
            <w:vAlign w:val="bottom"/>
          </w:tcPr>
          <w:p w14:paraId="115058F6" w14:textId="77777777" w:rsidR="00700A0B" w:rsidRPr="00FC0326" w:rsidRDefault="00700A0B" w:rsidP="00700A0B">
            <w:pPr>
              <w:rPr>
                <w:rFonts w:eastAsia="Times New Roman"/>
                <w:color w:val="000000"/>
                <w:sz w:val="18"/>
                <w:szCs w:val="18"/>
                <w:lang w:eastAsia="lv-LV"/>
              </w:rPr>
            </w:pPr>
          </w:p>
        </w:tc>
      </w:tr>
      <w:tr w:rsidR="00700A0B" w:rsidRPr="00FC0326" w14:paraId="68BE5F41" w14:textId="77777777" w:rsidTr="00214BEB">
        <w:trPr>
          <w:trHeight w:val="312"/>
        </w:trPr>
        <w:tc>
          <w:tcPr>
            <w:tcW w:w="1715" w:type="dxa"/>
            <w:shd w:val="clear" w:color="auto" w:fill="auto"/>
          </w:tcPr>
          <w:p w14:paraId="66DB2C50" w14:textId="77777777" w:rsidR="00700A0B" w:rsidRPr="00FC0326" w:rsidRDefault="00700A0B" w:rsidP="00700A0B">
            <w:pPr>
              <w:jc w:val="center"/>
              <w:rPr>
                <w:rFonts w:eastAsia="Times New Roman"/>
                <w:sz w:val="20"/>
                <w:szCs w:val="20"/>
                <w:lang w:eastAsia="lv-LV"/>
              </w:rPr>
            </w:pPr>
          </w:p>
        </w:tc>
        <w:tc>
          <w:tcPr>
            <w:tcW w:w="2263" w:type="dxa"/>
            <w:shd w:val="clear" w:color="auto" w:fill="auto"/>
          </w:tcPr>
          <w:p w14:paraId="013FEF87" w14:textId="77777777" w:rsidR="00700A0B" w:rsidRPr="00562E9C" w:rsidRDefault="00700A0B" w:rsidP="00700A0B">
            <w:pPr>
              <w:jc w:val="both"/>
              <w:rPr>
                <w:rFonts w:cs="Times New Roman"/>
                <w:b/>
                <w:sz w:val="18"/>
                <w:szCs w:val="18"/>
                <w:lang w:eastAsia="lv-LV"/>
              </w:rPr>
            </w:pPr>
            <w:r w:rsidRPr="00562E9C">
              <w:rPr>
                <w:rFonts w:cs="Times New Roman"/>
                <w:b/>
                <w:sz w:val="18"/>
                <w:szCs w:val="18"/>
                <w:lang w:eastAsia="lv-LV"/>
              </w:rPr>
              <w:t>3.</w:t>
            </w:r>
            <w:r w:rsidR="00570FED">
              <w:rPr>
                <w:rFonts w:cs="Times New Roman"/>
                <w:b/>
                <w:sz w:val="18"/>
                <w:szCs w:val="18"/>
                <w:lang w:eastAsia="lv-LV"/>
              </w:rPr>
              <w:t>3.(3)</w:t>
            </w:r>
            <w:r w:rsidRPr="00562E9C">
              <w:rPr>
                <w:rFonts w:cs="Times New Roman"/>
                <w:b/>
                <w:sz w:val="18"/>
                <w:szCs w:val="18"/>
                <w:lang w:eastAsia="lv-LV"/>
              </w:rPr>
              <w:t xml:space="preserve"> pasākums</w:t>
            </w:r>
          </w:p>
          <w:p w14:paraId="0CD4C831" w14:textId="77777777" w:rsidR="00700A0B" w:rsidRPr="00562E9C" w:rsidRDefault="00700A0B" w:rsidP="00700A0B">
            <w:pPr>
              <w:jc w:val="both"/>
              <w:rPr>
                <w:rFonts w:cs="Times New Roman"/>
                <w:sz w:val="18"/>
                <w:szCs w:val="18"/>
                <w:lang w:eastAsia="lv-LV"/>
              </w:rPr>
            </w:pPr>
            <w:r w:rsidRPr="00562E9C">
              <w:rPr>
                <w:rFonts w:cs="Times New Roman"/>
                <w:sz w:val="18"/>
                <w:szCs w:val="18"/>
                <w:lang w:eastAsia="lv-LV"/>
              </w:rPr>
              <w:t>Pārskatīt uzraugošo iestāžu darbinieku skaitu un resursus, lai nodrošinātu, ka tās spēj adekvāti pārvaldīt identificētos riskus un uzraudzīt likuma subjektu rīcību attiecībā uz riskiem.</w:t>
            </w:r>
          </w:p>
        </w:tc>
        <w:tc>
          <w:tcPr>
            <w:tcW w:w="1139" w:type="dxa"/>
            <w:shd w:val="clear" w:color="auto" w:fill="auto"/>
          </w:tcPr>
          <w:p w14:paraId="5A10B17A" w14:textId="77777777" w:rsidR="00700A0B" w:rsidRPr="00766590" w:rsidRDefault="00700A0B" w:rsidP="00700A0B">
            <w:pPr>
              <w:jc w:val="center"/>
              <w:rPr>
                <w:rFonts w:eastAsia="Times New Roman"/>
                <w:sz w:val="18"/>
                <w:szCs w:val="18"/>
                <w:lang w:eastAsia="lv-LV"/>
              </w:rPr>
            </w:pPr>
          </w:p>
        </w:tc>
        <w:tc>
          <w:tcPr>
            <w:tcW w:w="987" w:type="dxa"/>
            <w:shd w:val="clear" w:color="auto" w:fill="auto"/>
            <w:noWrap/>
          </w:tcPr>
          <w:p w14:paraId="4D758B12" w14:textId="77777777" w:rsidR="00700A0B" w:rsidRPr="00562E9C" w:rsidRDefault="00700A0B" w:rsidP="00700A0B">
            <w:pPr>
              <w:jc w:val="center"/>
              <w:rPr>
                <w:sz w:val="18"/>
                <w:szCs w:val="18"/>
              </w:rPr>
            </w:pPr>
            <w:r w:rsidRPr="00562E9C">
              <w:rPr>
                <w:sz w:val="18"/>
                <w:szCs w:val="18"/>
              </w:rPr>
              <w:t>277 142</w:t>
            </w:r>
          </w:p>
        </w:tc>
        <w:tc>
          <w:tcPr>
            <w:tcW w:w="856" w:type="dxa"/>
            <w:shd w:val="clear" w:color="auto" w:fill="auto"/>
            <w:noWrap/>
          </w:tcPr>
          <w:p w14:paraId="3165095B" w14:textId="77777777" w:rsidR="00700A0B" w:rsidRPr="00562E9C" w:rsidRDefault="00700A0B" w:rsidP="00700A0B">
            <w:pPr>
              <w:jc w:val="center"/>
              <w:rPr>
                <w:sz w:val="18"/>
                <w:szCs w:val="18"/>
              </w:rPr>
            </w:pPr>
            <w:r w:rsidRPr="00562E9C">
              <w:rPr>
                <w:sz w:val="18"/>
                <w:szCs w:val="18"/>
              </w:rPr>
              <w:t>268 342</w:t>
            </w:r>
          </w:p>
        </w:tc>
        <w:tc>
          <w:tcPr>
            <w:tcW w:w="992" w:type="dxa"/>
            <w:shd w:val="clear" w:color="auto" w:fill="auto"/>
            <w:noWrap/>
          </w:tcPr>
          <w:p w14:paraId="0C24BD68" w14:textId="77777777" w:rsidR="00700A0B" w:rsidRPr="00562E9C" w:rsidRDefault="00700A0B" w:rsidP="00700A0B">
            <w:pPr>
              <w:jc w:val="center"/>
              <w:rPr>
                <w:sz w:val="18"/>
                <w:szCs w:val="18"/>
              </w:rPr>
            </w:pPr>
            <w:r w:rsidRPr="00562E9C">
              <w:rPr>
                <w:sz w:val="18"/>
                <w:szCs w:val="18"/>
              </w:rPr>
              <w:t>268 342</w:t>
            </w:r>
          </w:p>
        </w:tc>
        <w:tc>
          <w:tcPr>
            <w:tcW w:w="992" w:type="dxa"/>
            <w:shd w:val="clear" w:color="auto" w:fill="auto"/>
            <w:noWrap/>
            <w:vAlign w:val="bottom"/>
          </w:tcPr>
          <w:p w14:paraId="7882EDFC" w14:textId="77777777" w:rsidR="00700A0B" w:rsidRPr="00FC0326" w:rsidRDefault="00700A0B" w:rsidP="00700A0B">
            <w:pPr>
              <w:rPr>
                <w:rFonts w:eastAsia="Times New Roman"/>
                <w:color w:val="000000"/>
                <w:sz w:val="18"/>
                <w:szCs w:val="18"/>
                <w:lang w:eastAsia="lv-LV"/>
              </w:rPr>
            </w:pPr>
          </w:p>
        </w:tc>
        <w:tc>
          <w:tcPr>
            <w:tcW w:w="993" w:type="dxa"/>
            <w:shd w:val="clear" w:color="auto" w:fill="auto"/>
            <w:noWrap/>
            <w:vAlign w:val="bottom"/>
          </w:tcPr>
          <w:p w14:paraId="51F0C705"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1D0FE901"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tcPr>
          <w:p w14:paraId="066A8B35"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vAlign w:val="bottom"/>
          </w:tcPr>
          <w:p w14:paraId="406B1A70" w14:textId="77777777" w:rsidR="00700A0B" w:rsidRPr="00FC0326"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67E21EA4" w14:textId="77777777" w:rsidR="00700A0B" w:rsidRPr="00FC0326" w:rsidRDefault="00700A0B" w:rsidP="00700A0B">
            <w:pPr>
              <w:rPr>
                <w:rFonts w:eastAsia="Times New Roman"/>
                <w:color w:val="000000"/>
                <w:sz w:val="18"/>
                <w:szCs w:val="18"/>
                <w:lang w:eastAsia="lv-LV"/>
              </w:rPr>
            </w:pPr>
          </w:p>
        </w:tc>
      </w:tr>
      <w:tr w:rsidR="00700A0B" w:rsidRPr="00FC0326" w14:paraId="57927902" w14:textId="77777777" w:rsidTr="00214BEB">
        <w:trPr>
          <w:trHeight w:val="312"/>
        </w:trPr>
        <w:tc>
          <w:tcPr>
            <w:tcW w:w="1715" w:type="dxa"/>
            <w:shd w:val="clear" w:color="auto" w:fill="auto"/>
          </w:tcPr>
          <w:p w14:paraId="6A592D1B" w14:textId="77777777" w:rsidR="00700A0B" w:rsidRPr="00FC0326" w:rsidRDefault="00700A0B" w:rsidP="00700A0B">
            <w:pPr>
              <w:jc w:val="center"/>
              <w:rPr>
                <w:rFonts w:eastAsia="Times New Roman"/>
                <w:sz w:val="20"/>
                <w:szCs w:val="20"/>
                <w:lang w:eastAsia="lv-LV"/>
              </w:rPr>
            </w:pPr>
          </w:p>
        </w:tc>
        <w:tc>
          <w:tcPr>
            <w:tcW w:w="2263" w:type="dxa"/>
            <w:shd w:val="clear" w:color="auto" w:fill="auto"/>
          </w:tcPr>
          <w:p w14:paraId="7A24659B" w14:textId="77777777" w:rsidR="00700A0B" w:rsidRDefault="00700A0B" w:rsidP="00700A0B">
            <w:pPr>
              <w:jc w:val="both"/>
              <w:rPr>
                <w:rFonts w:cs="Times New Roman"/>
                <w:sz w:val="18"/>
                <w:szCs w:val="18"/>
                <w:lang w:eastAsia="lv-LV"/>
              </w:rPr>
            </w:pPr>
            <w:r w:rsidRPr="00562E9C">
              <w:rPr>
                <w:rFonts w:cs="Times New Roman"/>
                <w:sz w:val="18"/>
                <w:szCs w:val="18"/>
                <w:lang w:eastAsia="lv-LV"/>
              </w:rPr>
              <w:t>Ekonomikas ministrija</w:t>
            </w:r>
          </w:p>
        </w:tc>
        <w:tc>
          <w:tcPr>
            <w:tcW w:w="1139" w:type="dxa"/>
            <w:shd w:val="clear" w:color="auto" w:fill="auto"/>
          </w:tcPr>
          <w:p w14:paraId="615AF4BA" w14:textId="77777777" w:rsidR="00700A0B" w:rsidRPr="00766590" w:rsidRDefault="00700A0B" w:rsidP="00700A0B">
            <w:pPr>
              <w:jc w:val="center"/>
              <w:rPr>
                <w:rFonts w:eastAsia="Times New Roman"/>
                <w:sz w:val="18"/>
                <w:szCs w:val="18"/>
                <w:lang w:eastAsia="lv-LV"/>
              </w:rPr>
            </w:pPr>
          </w:p>
        </w:tc>
        <w:tc>
          <w:tcPr>
            <w:tcW w:w="987" w:type="dxa"/>
            <w:shd w:val="clear" w:color="auto" w:fill="auto"/>
            <w:noWrap/>
            <w:vAlign w:val="bottom"/>
          </w:tcPr>
          <w:p w14:paraId="796B6280" w14:textId="77777777" w:rsidR="00700A0B" w:rsidRPr="00454DBB" w:rsidRDefault="00700A0B" w:rsidP="00700A0B">
            <w:pPr>
              <w:jc w:val="center"/>
              <w:rPr>
                <w:sz w:val="18"/>
                <w:szCs w:val="18"/>
              </w:rPr>
            </w:pPr>
          </w:p>
        </w:tc>
        <w:tc>
          <w:tcPr>
            <w:tcW w:w="856" w:type="dxa"/>
            <w:shd w:val="clear" w:color="auto" w:fill="auto"/>
            <w:noWrap/>
            <w:vAlign w:val="bottom"/>
          </w:tcPr>
          <w:p w14:paraId="27AECE06" w14:textId="77777777" w:rsidR="00700A0B" w:rsidRPr="00454DBB" w:rsidRDefault="00700A0B" w:rsidP="00700A0B">
            <w:pPr>
              <w:jc w:val="center"/>
              <w:rPr>
                <w:sz w:val="18"/>
                <w:szCs w:val="18"/>
              </w:rPr>
            </w:pPr>
          </w:p>
        </w:tc>
        <w:tc>
          <w:tcPr>
            <w:tcW w:w="992" w:type="dxa"/>
            <w:shd w:val="clear" w:color="auto" w:fill="auto"/>
            <w:noWrap/>
            <w:vAlign w:val="bottom"/>
          </w:tcPr>
          <w:p w14:paraId="78228A07" w14:textId="77777777" w:rsidR="00700A0B" w:rsidRPr="00454DBB" w:rsidRDefault="00700A0B" w:rsidP="00700A0B">
            <w:pPr>
              <w:jc w:val="center"/>
              <w:rPr>
                <w:sz w:val="18"/>
                <w:szCs w:val="18"/>
              </w:rPr>
            </w:pPr>
          </w:p>
        </w:tc>
        <w:tc>
          <w:tcPr>
            <w:tcW w:w="992" w:type="dxa"/>
            <w:shd w:val="clear" w:color="auto" w:fill="auto"/>
            <w:noWrap/>
            <w:vAlign w:val="bottom"/>
          </w:tcPr>
          <w:p w14:paraId="6016242E" w14:textId="77777777" w:rsidR="00700A0B" w:rsidRPr="00FC0326" w:rsidRDefault="00700A0B" w:rsidP="00700A0B">
            <w:pPr>
              <w:rPr>
                <w:rFonts w:eastAsia="Times New Roman"/>
                <w:color w:val="000000"/>
                <w:sz w:val="18"/>
                <w:szCs w:val="18"/>
                <w:lang w:eastAsia="lv-LV"/>
              </w:rPr>
            </w:pPr>
          </w:p>
        </w:tc>
        <w:tc>
          <w:tcPr>
            <w:tcW w:w="993" w:type="dxa"/>
            <w:shd w:val="clear" w:color="auto" w:fill="auto"/>
            <w:noWrap/>
            <w:vAlign w:val="bottom"/>
          </w:tcPr>
          <w:p w14:paraId="4C76D971"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0680B100"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tcPr>
          <w:p w14:paraId="12130486"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vAlign w:val="bottom"/>
          </w:tcPr>
          <w:p w14:paraId="7EA15301" w14:textId="77777777" w:rsidR="00700A0B" w:rsidRPr="00FC0326"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0DFA54C3" w14:textId="77777777" w:rsidR="00700A0B" w:rsidRPr="00FC0326" w:rsidRDefault="00700A0B" w:rsidP="00700A0B">
            <w:pPr>
              <w:rPr>
                <w:rFonts w:eastAsia="Times New Roman"/>
                <w:color w:val="000000"/>
                <w:sz w:val="18"/>
                <w:szCs w:val="18"/>
                <w:lang w:eastAsia="lv-LV"/>
              </w:rPr>
            </w:pPr>
          </w:p>
        </w:tc>
      </w:tr>
      <w:tr w:rsidR="00700A0B" w:rsidRPr="00FC0326" w14:paraId="7207A915" w14:textId="77777777" w:rsidTr="00214BEB">
        <w:trPr>
          <w:trHeight w:val="523"/>
        </w:trPr>
        <w:tc>
          <w:tcPr>
            <w:tcW w:w="1715" w:type="dxa"/>
            <w:shd w:val="clear" w:color="auto" w:fill="D9D9D9" w:themeFill="background1" w:themeFillShade="D9"/>
            <w:noWrap/>
            <w:vAlign w:val="bottom"/>
          </w:tcPr>
          <w:p w14:paraId="29391619" w14:textId="77777777" w:rsidR="00700A0B" w:rsidRPr="0028077E" w:rsidRDefault="00700A0B" w:rsidP="00700A0B">
            <w:pPr>
              <w:rPr>
                <w:rFonts w:eastAsia="Times New Roman"/>
                <w:color w:val="000000"/>
                <w:sz w:val="18"/>
                <w:szCs w:val="18"/>
                <w:lang w:eastAsia="lv-LV"/>
              </w:rPr>
            </w:pPr>
          </w:p>
        </w:tc>
        <w:tc>
          <w:tcPr>
            <w:tcW w:w="2263" w:type="dxa"/>
            <w:shd w:val="clear" w:color="auto" w:fill="D9D9D9" w:themeFill="background1" w:themeFillShade="D9"/>
          </w:tcPr>
          <w:p w14:paraId="0E1184CB" w14:textId="77777777" w:rsidR="00700A0B" w:rsidRPr="00F41DF3" w:rsidRDefault="00700A0B" w:rsidP="00700A0B">
            <w:pPr>
              <w:jc w:val="both"/>
              <w:rPr>
                <w:rFonts w:eastAsia="Times New Roman"/>
                <w:sz w:val="18"/>
                <w:szCs w:val="18"/>
                <w:lang w:eastAsia="lv-LV"/>
              </w:rPr>
            </w:pPr>
          </w:p>
        </w:tc>
        <w:tc>
          <w:tcPr>
            <w:tcW w:w="1139" w:type="dxa"/>
            <w:shd w:val="clear" w:color="auto" w:fill="D9D9D9" w:themeFill="background1" w:themeFillShade="D9"/>
          </w:tcPr>
          <w:p w14:paraId="51200CB4" w14:textId="77777777" w:rsidR="00700A0B" w:rsidRPr="00F41DF3" w:rsidRDefault="00700A0B" w:rsidP="00700A0B">
            <w:pPr>
              <w:jc w:val="center"/>
              <w:rPr>
                <w:rFonts w:eastAsia="Times New Roman"/>
                <w:sz w:val="18"/>
                <w:szCs w:val="18"/>
                <w:lang w:eastAsia="lv-LV"/>
              </w:rPr>
            </w:pPr>
            <w:r w:rsidRPr="00454DBB">
              <w:rPr>
                <w:rFonts w:eastAsia="Times New Roman"/>
                <w:sz w:val="18"/>
                <w:szCs w:val="18"/>
                <w:lang w:eastAsia="lv-LV"/>
              </w:rPr>
              <w:t>02.00.00 Noziedzīgi iegūtu līdzekļu legalizācijas novēršana</w:t>
            </w:r>
          </w:p>
        </w:tc>
        <w:tc>
          <w:tcPr>
            <w:tcW w:w="987" w:type="dxa"/>
            <w:shd w:val="clear" w:color="auto" w:fill="D9D9D9" w:themeFill="background1" w:themeFillShade="D9"/>
            <w:noWrap/>
            <w:vAlign w:val="bottom"/>
          </w:tcPr>
          <w:p w14:paraId="55942EA1" w14:textId="77777777" w:rsidR="00700A0B" w:rsidRPr="00FE492B" w:rsidRDefault="00700A0B" w:rsidP="00700A0B">
            <w:pPr>
              <w:jc w:val="center"/>
              <w:rPr>
                <w:rFonts w:eastAsia="Times New Roman"/>
                <w:color w:val="000000"/>
                <w:sz w:val="18"/>
                <w:szCs w:val="18"/>
                <w:lang w:eastAsia="lv-LV"/>
              </w:rPr>
            </w:pPr>
            <w:r w:rsidRPr="00FE492B">
              <w:rPr>
                <w:rFonts w:eastAsia="Times New Roman"/>
                <w:color w:val="000000"/>
                <w:sz w:val="18"/>
                <w:szCs w:val="18"/>
                <w:lang w:eastAsia="lv-LV"/>
              </w:rPr>
              <w:t>155</w:t>
            </w:r>
            <w:r w:rsidR="001C1822">
              <w:rPr>
                <w:rFonts w:eastAsia="Times New Roman"/>
                <w:color w:val="000000"/>
                <w:sz w:val="18"/>
                <w:szCs w:val="18"/>
                <w:lang w:eastAsia="lv-LV"/>
              </w:rPr>
              <w:t xml:space="preserve"> </w:t>
            </w:r>
            <w:r w:rsidRPr="00FE492B">
              <w:rPr>
                <w:rFonts w:eastAsia="Times New Roman"/>
                <w:color w:val="000000"/>
                <w:sz w:val="18"/>
                <w:szCs w:val="18"/>
                <w:lang w:eastAsia="lv-LV"/>
              </w:rPr>
              <w:t>678</w:t>
            </w:r>
          </w:p>
        </w:tc>
        <w:tc>
          <w:tcPr>
            <w:tcW w:w="856" w:type="dxa"/>
            <w:shd w:val="clear" w:color="auto" w:fill="D9D9D9" w:themeFill="background1" w:themeFillShade="D9"/>
            <w:noWrap/>
            <w:vAlign w:val="bottom"/>
          </w:tcPr>
          <w:p w14:paraId="30CDBD24" w14:textId="77777777" w:rsidR="00700A0B" w:rsidRPr="00FE492B" w:rsidRDefault="00700A0B" w:rsidP="00700A0B">
            <w:pPr>
              <w:jc w:val="center"/>
              <w:rPr>
                <w:rFonts w:eastAsia="Times New Roman"/>
                <w:color w:val="000000"/>
                <w:sz w:val="18"/>
                <w:szCs w:val="18"/>
                <w:lang w:eastAsia="lv-LV"/>
              </w:rPr>
            </w:pPr>
            <w:r w:rsidRPr="00FE492B">
              <w:rPr>
                <w:rFonts w:eastAsia="Times New Roman"/>
                <w:color w:val="000000"/>
                <w:sz w:val="18"/>
                <w:szCs w:val="18"/>
                <w:lang w:eastAsia="lv-LV"/>
              </w:rPr>
              <w:t>137</w:t>
            </w:r>
            <w:r w:rsidR="001C1822">
              <w:rPr>
                <w:rFonts w:eastAsia="Times New Roman"/>
                <w:color w:val="000000"/>
                <w:sz w:val="18"/>
                <w:szCs w:val="18"/>
                <w:lang w:eastAsia="lv-LV"/>
              </w:rPr>
              <w:t xml:space="preserve"> </w:t>
            </w:r>
            <w:r w:rsidRPr="00FE492B">
              <w:rPr>
                <w:rFonts w:eastAsia="Times New Roman"/>
                <w:color w:val="000000"/>
                <w:sz w:val="18"/>
                <w:szCs w:val="18"/>
                <w:lang w:eastAsia="lv-LV"/>
              </w:rPr>
              <w:t>536</w:t>
            </w:r>
          </w:p>
        </w:tc>
        <w:tc>
          <w:tcPr>
            <w:tcW w:w="992" w:type="dxa"/>
            <w:shd w:val="clear" w:color="auto" w:fill="D9D9D9" w:themeFill="background1" w:themeFillShade="D9"/>
            <w:noWrap/>
            <w:vAlign w:val="bottom"/>
          </w:tcPr>
          <w:p w14:paraId="5FDDE212" w14:textId="77777777" w:rsidR="00700A0B" w:rsidRPr="00FE492B" w:rsidRDefault="00700A0B" w:rsidP="00700A0B">
            <w:pPr>
              <w:jc w:val="center"/>
              <w:rPr>
                <w:rFonts w:eastAsia="Times New Roman"/>
                <w:color w:val="000000"/>
                <w:sz w:val="18"/>
                <w:szCs w:val="18"/>
                <w:lang w:eastAsia="lv-LV"/>
              </w:rPr>
            </w:pPr>
            <w:r w:rsidRPr="00FE492B">
              <w:rPr>
                <w:rFonts w:eastAsia="Times New Roman"/>
                <w:color w:val="000000"/>
                <w:sz w:val="18"/>
                <w:szCs w:val="18"/>
                <w:lang w:eastAsia="lv-LV"/>
              </w:rPr>
              <w:t>107</w:t>
            </w:r>
            <w:r w:rsidR="001C1822">
              <w:rPr>
                <w:rFonts w:eastAsia="Times New Roman"/>
                <w:color w:val="000000"/>
                <w:sz w:val="18"/>
                <w:szCs w:val="18"/>
                <w:lang w:eastAsia="lv-LV"/>
              </w:rPr>
              <w:t xml:space="preserve"> </w:t>
            </w:r>
            <w:r w:rsidRPr="00FE492B">
              <w:rPr>
                <w:rFonts w:eastAsia="Times New Roman"/>
                <w:color w:val="000000"/>
                <w:sz w:val="18"/>
                <w:szCs w:val="18"/>
                <w:lang w:eastAsia="lv-LV"/>
              </w:rPr>
              <w:t>536</w:t>
            </w:r>
          </w:p>
        </w:tc>
        <w:tc>
          <w:tcPr>
            <w:tcW w:w="992" w:type="dxa"/>
            <w:shd w:val="clear" w:color="auto" w:fill="D9D9D9" w:themeFill="background1" w:themeFillShade="D9"/>
            <w:noWrap/>
            <w:vAlign w:val="bottom"/>
          </w:tcPr>
          <w:p w14:paraId="5E36BE21" w14:textId="77777777" w:rsidR="00D6568B" w:rsidRPr="00FE492B" w:rsidRDefault="00D6568B" w:rsidP="00D6568B">
            <w:pPr>
              <w:jc w:val="center"/>
              <w:rPr>
                <w:rFonts w:eastAsia="Times New Roman"/>
                <w:color w:val="000000"/>
                <w:sz w:val="18"/>
                <w:szCs w:val="18"/>
                <w:lang w:eastAsia="lv-LV"/>
              </w:rPr>
            </w:pPr>
            <w:r>
              <w:rPr>
                <w:rFonts w:eastAsia="Times New Roman"/>
                <w:color w:val="000000"/>
                <w:sz w:val="18"/>
                <w:szCs w:val="18"/>
                <w:lang w:eastAsia="lv-LV"/>
              </w:rPr>
              <w:t>3</w:t>
            </w:r>
            <w:r w:rsidR="001C1822">
              <w:rPr>
                <w:rFonts w:eastAsia="Times New Roman"/>
                <w:color w:val="000000"/>
                <w:sz w:val="18"/>
                <w:szCs w:val="18"/>
                <w:lang w:eastAsia="lv-LV"/>
              </w:rPr>
              <w:t xml:space="preserve"> </w:t>
            </w:r>
            <w:r>
              <w:rPr>
                <w:rFonts w:eastAsia="Times New Roman"/>
                <w:color w:val="000000"/>
                <w:sz w:val="18"/>
                <w:szCs w:val="18"/>
                <w:lang w:eastAsia="lv-LV"/>
              </w:rPr>
              <w:t>423</w:t>
            </w:r>
            <w:r w:rsidR="001C1822">
              <w:rPr>
                <w:rFonts w:eastAsia="Times New Roman"/>
                <w:color w:val="000000"/>
                <w:sz w:val="18"/>
                <w:szCs w:val="18"/>
                <w:lang w:eastAsia="lv-LV"/>
              </w:rPr>
              <w:t xml:space="preserve"> </w:t>
            </w:r>
            <w:r>
              <w:rPr>
                <w:rFonts w:eastAsia="Times New Roman"/>
                <w:color w:val="000000"/>
                <w:sz w:val="18"/>
                <w:szCs w:val="18"/>
                <w:lang w:eastAsia="lv-LV"/>
              </w:rPr>
              <w:t>179</w:t>
            </w:r>
          </w:p>
        </w:tc>
        <w:tc>
          <w:tcPr>
            <w:tcW w:w="993" w:type="dxa"/>
            <w:shd w:val="clear" w:color="auto" w:fill="D9D9D9" w:themeFill="background1" w:themeFillShade="D9"/>
            <w:noWrap/>
            <w:vAlign w:val="bottom"/>
          </w:tcPr>
          <w:p w14:paraId="7528DFE9" w14:textId="77777777" w:rsidR="00700A0B" w:rsidRPr="00FE492B" w:rsidRDefault="00D6568B" w:rsidP="00700A0B">
            <w:pPr>
              <w:jc w:val="center"/>
              <w:rPr>
                <w:rFonts w:eastAsia="Times New Roman"/>
                <w:color w:val="000000"/>
                <w:sz w:val="18"/>
                <w:szCs w:val="18"/>
                <w:lang w:eastAsia="lv-LV"/>
              </w:rPr>
            </w:pPr>
            <w:r>
              <w:rPr>
                <w:rFonts w:eastAsia="Times New Roman"/>
                <w:color w:val="000000"/>
                <w:sz w:val="18"/>
                <w:szCs w:val="18"/>
                <w:lang w:eastAsia="lv-LV"/>
              </w:rPr>
              <w:t>2</w:t>
            </w:r>
            <w:r w:rsidR="001C1822">
              <w:rPr>
                <w:rFonts w:eastAsia="Times New Roman"/>
                <w:color w:val="000000"/>
                <w:sz w:val="18"/>
                <w:szCs w:val="18"/>
                <w:lang w:eastAsia="lv-LV"/>
              </w:rPr>
              <w:t xml:space="preserve"> </w:t>
            </w:r>
            <w:r>
              <w:rPr>
                <w:rFonts w:eastAsia="Times New Roman"/>
                <w:color w:val="000000"/>
                <w:sz w:val="18"/>
                <w:szCs w:val="18"/>
                <w:lang w:eastAsia="lv-LV"/>
              </w:rPr>
              <w:t>467</w:t>
            </w:r>
            <w:r w:rsidR="001C1822">
              <w:rPr>
                <w:rFonts w:eastAsia="Times New Roman"/>
                <w:color w:val="000000"/>
                <w:sz w:val="18"/>
                <w:szCs w:val="18"/>
                <w:lang w:eastAsia="lv-LV"/>
              </w:rPr>
              <w:t xml:space="preserve"> </w:t>
            </w:r>
            <w:r>
              <w:rPr>
                <w:rFonts w:eastAsia="Times New Roman"/>
                <w:color w:val="000000"/>
                <w:sz w:val="18"/>
                <w:szCs w:val="18"/>
                <w:lang w:eastAsia="lv-LV"/>
              </w:rPr>
              <w:t>179</w:t>
            </w:r>
          </w:p>
        </w:tc>
        <w:tc>
          <w:tcPr>
            <w:tcW w:w="992" w:type="dxa"/>
            <w:shd w:val="clear" w:color="auto" w:fill="D9D9D9" w:themeFill="background1" w:themeFillShade="D9"/>
            <w:noWrap/>
            <w:vAlign w:val="bottom"/>
          </w:tcPr>
          <w:p w14:paraId="3C22EB60" w14:textId="77777777" w:rsidR="00700A0B" w:rsidRPr="00FE492B" w:rsidRDefault="00D6568B" w:rsidP="00700A0B">
            <w:pPr>
              <w:jc w:val="center"/>
              <w:rPr>
                <w:rFonts w:eastAsia="Times New Roman"/>
                <w:color w:val="000000"/>
                <w:sz w:val="18"/>
                <w:szCs w:val="18"/>
                <w:lang w:eastAsia="lv-LV"/>
              </w:rPr>
            </w:pPr>
            <w:r>
              <w:rPr>
                <w:rFonts w:eastAsia="Times New Roman"/>
                <w:color w:val="000000"/>
                <w:sz w:val="18"/>
                <w:szCs w:val="18"/>
                <w:lang w:eastAsia="lv-LV"/>
              </w:rPr>
              <w:t>1</w:t>
            </w:r>
            <w:r w:rsidR="001C1822">
              <w:rPr>
                <w:rFonts w:eastAsia="Times New Roman"/>
                <w:color w:val="000000"/>
                <w:sz w:val="18"/>
                <w:szCs w:val="18"/>
                <w:lang w:eastAsia="lv-LV"/>
              </w:rPr>
              <w:t xml:space="preserve"> </w:t>
            </w:r>
            <w:r>
              <w:rPr>
                <w:rFonts w:eastAsia="Times New Roman"/>
                <w:color w:val="000000"/>
                <w:sz w:val="18"/>
                <w:szCs w:val="18"/>
                <w:lang w:eastAsia="lv-LV"/>
              </w:rPr>
              <w:t>757</w:t>
            </w:r>
            <w:r w:rsidR="001C1822">
              <w:rPr>
                <w:rFonts w:eastAsia="Times New Roman"/>
                <w:color w:val="000000"/>
                <w:sz w:val="18"/>
                <w:szCs w:val="18"/>
                <w:lang w:eastAsia="lv-LV"/>
              </w:rPr>
              <w:t xml:space="preserve"> </w:t>
            </w:r>
            <w:r>
              <w:rPr>
                <w:rFonts w:eastAsia="Times New Roman"/>
                <w:color w:val="000000"/>
                <w:sz w:val="18"/>
                <w:szCs w:val="18"/>
                <w:lang w:eastAsia="lv-LV"/>
              </w:rPr>
              <w:t>179</w:t>
            </w:r>
          </w:p>
        </w:tc>
        <w:tc>
          <w:tcPr>
            <w:tcW w:w="1134" w:type="dxa"/>
            <w:shd w:val="clear" w:color="auto" w:fill="D9D9D9" w:themeFill="background1" w:themeFillShade="D9"/>
            <w:noWrap/>
            <w:vAlign w:val="bottom"/>
          </w:tcPr>
          <w:p w14:paraId="22AC93EC" w14:textId="77777777" w:rsidR="00700A0B" w:rsidRPr="00FE492B" w:rsidRDefault="00700A0B" w:rsidP="00700A0B">
            <w:pPr>
              <w:jc w:val="center"/>
              <w:rPr>
                <w:rFonts w:eastAsia="Times New Roman"/>
                <w:color w:val="000000"/>
                <w:sz w:val="18"/>
                <w:szCs w:val="18"/>
                <w:lang w:eastAsia="lv-LV"/>
              </w:rPr>
            </w:pPr>
          </w:p>
        </w:tc>
        <w:tc>
          <w:tcPr>
            <w:tcW w:w="1134" w:type="dxa"/>
            <w:shd w:val="clear" w:color="auto" w:fill="D9D9D9" w:themeFill="background1" w:themeFillShade="D9"/>
            <w:noWrap/>
            <w:vAlign w:val="bottom"/>
          </w:tcPr>
          <w:p w14:paraId="51B39A9A" w14:textId="77777777" w:rsidR="00700A0B" w:rsidRPr="00FE492B" w:rsidRDefault="00D6568B" w:rsidP="00700A0B">
            <w:pPr>
              <w:jc w:val="center"/>
              <w:rPr>
                <w:rFonts w:eastAsia="Times New Roman"/>
                <w:color w:val="000000"/>
                <w:sz w:val="18"/>
                <w:szCs w:val="18"/>
                <w:lang w:eastAsia="lv-LV"/>
              </w:rPr>
            </w:pPr>
            <w:r>
              <w:rPr>
                <w:rFonts w:eastAsia="Times New Roman"/>
                <w:color w:val="000000"/>
                <w:sz w:val="18"/>
                <w:szCs w:val="18"/>
                <w:lang w:eastAsia="lv-LV"/>
              </w:rPr>
              <w:t>1</w:t>
            </w:r>
            <w:r w:rsidR="001C1822">
              <w:rPr>
                <w:rFonts w:eastAsia="Times New Roman"/>
                <w:color w:val="000000"/>
                <w:sz w:val="18"/>
                <w:szCs w:val="18"/>
                <w:lang w:eastAsia="lv-LV"/>
              </w:rPr>
              <w:t xml:space="preserve"> </w:t>
            </w:r>
            <w:r>
              <w:rPr>
                <w:rFonts w:eastAsia="Times New Roman"/>
                <w:color w:val="000000"/>
                <w:sz w:val="18"/>
                <w:szCs w:val="18"/>
                <w:lang w:eastAsia="lv-LV"/>
              </w:rPr>
              <w:t>757</w:t>
            </w:r>
            <w:r w:rsidR="001C1822">
              <w:rPr>
                <w:rFonts w:eastAsia="Times New Roman"/>
                <w:color w:val="000000"/>
                <w:sz w:val="18"/>
                <w:szCs w:val="18"/>
                <w:lang w:eastAsia="lv-LV"/>
              </w:rPr>
              <w:t xml:space="preserve"> </w:t>
            </w:r>
            <w:r>
              <w:rPr>
                <w:rFonts w:eastAsia="Times New Roman"/>
                <w:color w:val="000000"/>
                <w:sz w:val="18"/>
                <w:szCs w:val="18"/>
                <w:lang w:eastAsia="lv-LV"/>
              </w:rPr>
              <w:t>179</w:t>
            </w:r>
          </w:p>
        </w:tc>
        <w:tc>
          <w:tcPr>
            <w:tcW w:w="1326" w:type="dxa"/>
            <w:shd w:val="clear" w:color="auto" w:fill="D9D9D9" w:themeFill="background1" w:themeFillShade="D9"/>
            <w:noWrap/>
            <w:vAlign w:val="bottom"/>
          </w:tcPr>
          <w:p w14:paraId="723EE5ED" w14:textId="77777777" w:rsidR="00700A0B" w:rsidRPr="00FC0326" w:rsidRDefault="00700A0B" w:rsidP="00700A0B">
            <w:pPr>
              <w:rPr>
                <w:rFonts w:eastAsia="Times New Roman"/>
                <w:color w:val="000000"/>
                <w:lang w:eastAsia="lv-LV"/>
              </w:rPr>
            </w:pPr>
          </w:p>
        </w:tc>
      </w:tr>
      <w:tr w:rsidR="00700A0B" w:rsidRPr="00FC0326" w14:paraId="770A8A4D" w14:textId="77777777" w:rsidTr="00A5486B">
        <w:trPr>
          <w:trHeight w:val="160"/>
        </w:trPr>
        <w:tc>
          <w:tcPr>
            <w:tcW w:w="1715" w:type="dxa"/>
            <w:shd w:val="clear" w:color="auto" w:fill="auto"/>
          </w:tcPr>
          <w:p w14:paraId="2AEE91BA" w14:textId="77777777" w:rsidR="00700A0B" w:rsidRPr="00FC0326" w:rsidRDefault="00700A0B" w:rsidP="00700A0B">
            <w:pPr>
              <w:jc w:val="both"/>
              <w:rPr>
                <w:rFonts w:eastAsia="Times New Roman"/>
                <w:i/>
                <w:iCs/>
                <w:sz w:val="20"/>
                <w:szCs w:val="20"/>
                <w:lang w:eastAsia="lv-LV"/>
              </w:rPr>
            </w:pPr>
          </w:p>
        </w:tc>
        <w:tc>
          <w:tcPr>
            <w:tcW w:w="2263" w:type="dxa"/>
            <w:shd w:val="clear" w:color="auto" w:fill="auto"/>
          </w:tcPr>
          <w:p w14:paraId="1D59533B" w14:textId="77777777" w:rsidR="00700A0B" w:rsidRPr="00F83A17" w:rsidRDefault="00700A0B" w:rsidP="00700A0B">
            <w:pPr>
              <w:jc w:val="both"/>
              <w:rPr>
                <w:rFonts w:eastAsia="Times New Roman"/>
                <w:iCs/>
                <w:sz w:val="18"/>
                <w:szCs w:val="18"/>
                <w:lang w:eastAsia="lv-LV"/>
              </w:rPr>
            </w:pPr>
            <w:r w:rsidRPr="00F83A17">
              <w:rPr>
                <w:rFonts w:eastAsia="Times New Roman"/>
                <w:iCs/>
                <w:sz w:val="18"/>
                <w:szCs w:val="18"/>
                <w:lang w:eastAsia="lv-LV"/>
              </w:rPr>
              <w:t>Prokuratūra</w:t>
            </w:r>
          </w:p>
        </w:tc>
        <w:tc>
          <w:tcPr>
            <w:tcW w:w="1139" w:type="dxa"/>
            <w:shd w:val="clear" w:color="auto" w:fill="auto"/>
            <w:vAlign w:val="bottom"/>
          </w:tcPr>
          <w:p w14:paraId="06DABCED" w14:textId="77777777" w:rsidR="00700A0B" w:rsidRPr="0028077E" w:rsidRDefault="00700A0B" w:rsidP="00700A0B">
            <w:pPr>
              <w:jc w:val="center"/>
              <w:rPr>
                <w:rFonts w:eastAsia="Times New Roman"/>
                <w:iCs/>
                <w:sz w:val="18"/>
                <w:szCs w:val="18"/>
                <w:lang w:eastAsia="lv-LV"/>
              </w:rPr>
            </w:pPr>
          </w:p>
        </w:tc>
        <w:tc>
          <w:tcPr>
            <w:tcW w:w="987" w:type="dxa"/>
            <w:shd w:val="clear" w:color="auto" w:fill="auto"/>
            <w:noWrap/>
            <w:vAlign w:val="bottom"/>
          </w:tcPr>
          <w:p w14:paraId="108E964F" w14:textId="77777777" w:rsidR="00700A0B" w:rsidRPr="00FC0326" w:rsidRDefault="00700A0B" w:rsidP="00700A0B">
            <w:pPr>
              <w:jc w:val="center"/>
              <w:rPr>
                <w:rFonts w:eastAsia="Times New Roman"/>
                <w:color w:val="000000"/>
                <w:sz w:val="18"/>
                <w:szCs w:val="18"/>
                <w:lang w:eastAsia="lv-LV"/>
              </w:rPr>
            </w:pPr>
          </w:p>
        </w:tc>
        <w:tc>
          <w:tcPr>
            <w:tcW w:w="856" w:type="dxa"/>
            <w:shd w:val="clear" w:color="auto" w:fill="auto"/>
            <w:noWrap/>
            <w:vAlign w:val="bottom"/>
          </w:tcPr>
          <w:p w14:paraId="49290FBE" w14:textId="77777777" w:rsidR="00700A0B" w:rsidRPr="00FC0326"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474DCAF5" w14:textId="77777777" w:rsidR="00700A0B" w:rsidRPr="00FC0326"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0E6FF82B" w14:textId="77777777" w:rsidR="00700A0B" w:rsidRPr="0028077E" w:rsidRDefault="00700A0B" w:rsidP="00700A0B">
            <w:pPr>
              <w:jc w:val="center"/>
              <w:rPr>
                <w:rFonts w:eastAsia="Times New Roman"/>
                <w:color w:val="000000"/>
                <w:sz w:val="18"/>
                <w:szCs w:val="18"/>
                <w:lang w:eastAsia="lv-LV"/>
              </w:rPr>
            </w:pPr>
          </w:p>
        </w:tc>
        <w:tc>
          <w:tcPr>
            <w:tcW w:w="993" w:type="dxa"/>
            <w:shd w:val="clear" w:color="auto" w:fill="auto"/>
            <w:noWrap/>
            <w:vAlign w:val="bottom"/>
          </w:tcPr>
          <w:p w14:paraId="789030F5" w14:textId="77777777" w:rsidR="00700A0B" w:rsidRPr="008929A5" w:rsidRDefault="00700A0B" w:rsidP="00700A0B">
            <w:pPr>
              <w:jc w:val="center"/>
              <w:rPr>
                <w:sz w:val="18"/>
                <w:szCs w:val="18"/>
              </w:rPr>
            </w:pPr>
          </w:p>
        </w:tc>
        <w:tc>
          <w:tcPr>
            <w:tcW w:w="992" w:type="dxa"/>
            <w:shd w:val="clear" w:color="auto" w:fill="auto"/>
            <w:noWrap/>
            <w:vAlign w:val="bottom"/>
          </w:tcPr>
          <w:p w14:paraId="4EB30EB4" w14:textId="77777777" w:rsidR="00700A0B" w:rsidRDefault="00700A0B" w:rsidP="00700A0B">
            <w:pPr>
              <w:jc w:val="center"/>
              <w:rPr>
                <w:sz w:val="18"/>
                <w:szCs w:val="18"/>
              </w:rPr>
            </w:pPr>
          </w:p>
        </w:tc>
        <w:tc>
          <w:tcPr>
            <w:tcW w:w="1134" w:type="dxa"/>
            <w:shd w:val="clear" w:color="auto" w:fill="auto"/>
            <w:noWrap/>
            <w:vAlign w:val="bottom"/>
          </w:tcPr>
          <w:p w14:paraId="4647F837" w14:textId="77777777" w:rsidR="00700A0B" w:rsidRPr="00FC0326"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520A343D" w14:textId="77777777" w:rsidR="00700A0B"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6C82F554" w14:textId="77777777" w:rsidR="00700A0B" w:rsidRPr="00FC0326" w:rsidRDefault="00700A0B" w:rsidP="00700A0B">
            <w:pPr>
              <w:jc w:val="center"/>
              <w:rPr>
                <w:rFonts w:eastAsia="Times New Roman"/>
                <w:color w:val="000000"/>
                <w:sz w:val="18"/>
                <w:szCs w:val="18"/>
                <w:lang w:eastAsia="lv-LV"/>
              </w:rPr>
            </w:pPr>
          </w:p>
        </w:tc>
      </w:tr>
      <w:tr w:rsidR="00700A0B" w:rsidRPr="00FC0326" w14:paraId="0EFF365D" w14:textId="77777777" w:rsidTr="00214BEB">
        <w:trPr>
          <w:trHeight w:val="312"/>
        </w:trPr>
        <w:tc>
          <w:tcPr>
            <w:tcW w:w="1715" w:type="dxa"/>
            <w:shd w:val="clear" w:color="auto" w:fill="auto"/>
          </w:tcPr>
          <w:p w14:paraId="6A68B6AA" w14:textId="77777777" w:rsidR="00700A0B" w:rsidRPr="00FC0326" w:rsidRDefault="00700A0B" w:rsidP="00700A0B">
            <w:pPr>
              <w:jc w:val="both"/>
              <w:rPr>
                <w:rFonts w:eastAsia="Times New Roman"/>
                <w:i/>
                <w:iCs/>
                <w:sz w:val="20"/>
                <w:szCs w:val="20"/>
                <w:lang w:eastAsia="lv-LV"/>
              </w:rPr>
            </w:pPr>
          </w:p>
        </w:tc>
        <w:tc>
          <w:tcPr>
            <w:tcW w:w="2263" w:type="dxa"/>
            <w:shd w:val="clear" w:color="auto" w:fill="auto"/>
          </w:tcPr>
          <w:p w14:paraId="4E3479FD" w14:textId="77777777" w:rsidR="00700A0B" w:rsidRPr="00454DBB" w:rsidRDefault="00700A0B" w:rsidP="00700A0B">
            <w:pPr>
              <w:jc w:val="both"/>
              <w:rPr>
                <w:rFonts w:eastAsia="Times New Roman"/>
                <w:b/>
                <w:iCs/>
                <w:sz w:val="18"/>
                <w:szCs w:val="18"/>
                <w:lang w:eastAsia="lv-LV"/>
              </w:rPr>
            </w:pPr>
            <w:r w:rsidRPr="00454DBB">
              <w:rPr>
                <w:rFonts w:eastAsia="Times New Roman"/>
                <w:b/>
                <w:iCs/>
                <w:sz w:val="18"/>
                <w:szCs w:val="18"/>
                <w:lang w:eastAsia="lv-LV"/>
              </w:rPr>
              <w:t>6.</w:t>
            </w:r>
            <w:r w:rsidR="0014039B">
              <w:rPr>
                <w:rFonts w:eastAsia="Times New Roman"/>
                <w:b/>
                <w:iCs/>
                <w:sz w:val="18"/>
                <w:szCs w:val="18"/>
                <w:lang w:eastAsia="lv-LV"/>
              </w:rPr>
              <w:t>5.(</w:t>
            </w:r>
            <w:r w:rsidR="00E42972">
              <w:rPr>
                <w:rFonts w:eastAsia="Times New Roman"/>
                <w:b/>
                <w:iCs/>
                <w:sz w:val="18"/>
                <w:szCs w:val="18"/>
                <w:lang w:eastAsia="lv-LV"/>
              </w:rPr>
              <w:t>1</w:t>
            </w:r>
            <w:r w:rsidR="0014039B">
              <w:rPr>
                <w:rFonts w:eastAsia="Times New Roman"/>
                <w:b/>
                <w:iCs/>
                <w:sz w:val="18"/>
                <w:szCs w:val="18"/>
                <w:lang w:eastAsia="lv-LV"/>
              </w:rPr>
              <w:t>)</w:t>
            </w:r>
            <w:r w:rsidRPr="00454DBB">
              <w:rPr>
                <w:rFonts w:eastAsia="Times New Roman"/>
                <w:b/>
                <w:iCs/>
                <w:sz w:val="18"/>
                <w:szCs w:val="18"/>
                <w:lang w:eastAsia="lv-LV"/>
              </w:rPr>
              <w:t xml:space="preserve"> pasākums</w:t>
            </w:r>
          </w:p>
          <w:p w14:paraId="4E38BDC5" w14:textId="77777777" w:rsidR="000E4D3A" w:rsidRPr="00C409BB" w:rsidRDefault="000E4D3A" w:rsidP="00E42972">
            <w:pPr>
              <w:pStyle w:val="ListParagraph"/>
              <w:ind w:left="33"/>
              <w:jc w:val="both"/>
              <w:rPr>
                <w:rFonts w:eastAsia="Times New Roman"/>
                <w:sz w:val="18"/>
                <w:szCs w:val="18"/>
                <w:lang w:eastAsia="lv-LV"/>
              </w:rPr>
            </w:pPr>
            <w:r w:rsidRPr="00C409BB">
              <w:rPr>
                <w:rFonts w:eastAsia="Times New Roman"/>
                <w:sz w:val="18"/>
                <w:szCs w:val="18"/>
                <w:lang w:eastAsia="lv-LV"/>
              </w:rPr>
              <w:t>Stiprināta KD kapacitāte gan stratēģiskās analīzes, gan operacionālās analīzes jomā.</w:t>
            </w:r>
          </w:p>
          <w:p w14:paraId="71D506C1" w14:textId="77777777" w:rsidR="00E42972" w:rsidRPr="00C409BB" w:rsidRDefault="00E42972" w:rsidP="00E42972">
            <w:pPr>
              <w:pStyle w:val="ListParagraph"/>
              <w:ind w:left="33"/>
              <w:jc w:val="both"/>
              <w:rPr>
                <w:rFonts w:eastAsia="Times New Roman"/>
                <w:sz w:val="18"/>
                <w:szCs w:val="18"/>
                <w:lang w:eastAsia="lv-LV"/>
              </w:rPr>
            </w:pPr>
            <w:r w:rsidRPr="00C409BB">
              <w:rPr>
                <w:rFonts w:eastAsia="Times New Roman"/>
                <w:sz w:val="18"/>
                <w:szCs w:val="18"/>
                <w:lang w:eastAsia="lv-LV"/>
              </w:rPr>
              <w:t xml:space="preserve">2018.gadā izveidotas 2 papildu amata vietas. </w:t>
            </w:r>
          </w:p>
          <w:p w14:paraId="1471124D" w14:textId="77777777" w:rsidR="00E42972" w:rsidRPr="00C409BB" w:rsidRDefault="00E42972" w:rsidP="00E42972">
            <w:pPr>
              <w:pStyle w:val="ListParagraph"/>
              <w:ind w:left="33"/>
              <w:jc w:val="both"/>
              <w:rPr>
                <w:rFonts w:eastAsia="Times New Roman"/>
                <w:sz w:val="18"/>
                <w:szCs w:val="18"/>
                <w:lang w:eastAsia="lv-LV"/>
              </w:rPr>
            </w:pPr>
            <w:r w:rsidRPr="00C409BB">
              <w:rPr>
                <w:rFonts w:eastAsia="Times New Roman"/>
                <w:sz w:val="18"/>
                <w:szCs w:val="18"/>
                <w:lang w:eastAsia="lv-LV"/>
              </w:rPr>
              <w:t>2019.gadā izveidotas 16 jaunas amata vietas;</w:t>
            </w:r>
          </w:p>
          <w:p w14:paraId="50D7D4EF" w14:textId="77777777" w:rsidR="00700A0B" w:rsidRPr="00E42972" w:rsidRDefault="00E42972" w:rsidP="00E42972">
            <w:pPr>
              <w:jc w:val="both"/>
              <w:rPr>
                <w:rFonts w:eastAsia="Times New Roman"/>
                <w:iCs/>
                <w:sz w:val="18"/>
                <w:szCs w:val="18"/>
                <w:lang w:eastAsia="lv-LV"/>
              </w:rPr>
            </w:pPr>
            <w:r w:rsidRPr="00C409BB">
              <w:rPr>
                <w:rFonts w:eastAsia="Times New Roman"/>
                <w:sz w:val="18"/>
                <w:szCs w:val="18"/>
                <w:lang w:eastAsia="lv-LV"/>
              </w:rPr>
              <w:lastRenderedPageBreak/>
              <w:t>veiktas izmaiņas attiecībā uz darbinieku atlīdzību.</w:t>
            </w:r>
          </w:p>
        </w:tc>
        <w:tc>
          <w:tcPr>
            <w:tcW w:w="1139" w:type="dxa"/>
            <w:shd w:val="clear" w:color="auto" w:fill="auto"/>
            <w:vAlign w:val="bottom"/>
          </w:tcPr>
          <w:p w14:paraId="0310C12D" w14:textId="77777777" w:rsidR="00700A0B" w:rsidRPr="0028077E" w:rsidRDefault="00700A0B" w:rsidP="00700A0B">
            <w:pPr>
              <w:jc w:val="center"/>
              <w:rPr>
                <w:rFonts w:eastAsia="Times New Roman"/>
                <w:iCs/>
                <w:sz w:val="18"/>
                <w:szCs w:val="18"/>
                <w:lang w:eastAsia="lv-LV"/>
              </w:rPr>
            </w:pPr>
          </w:p>
        </w:tc>
        <w:tc>
          <w:tcPr>
            <w:tcW w:w="987" w:type="dxa"/>
            <w:shd w:val="clear" w:color="auto" w:fill="auto"/>
            <w:noWrap/>
            <w:vAlign w:val="bottom"/>
          </w:tcPr>
          <w:p w14:paraId="34CF817D" w14:textId="77777777" w:rsidR="00700A0B" w:rsidRPr="00FC0326" w:rsidRDefault="00700A0B" w:rsidP="00700A0B">
            <w:pPr>
              <w:jc w:val="center"/>
              <w:rPr>
                <w:rFonts w:eastAsia="Times New Roman"/>
                <w:color w:val="000000"/>
                <w:sz w:val="18"/>
                <w:szCs w:val="18"/>
                <w:lang w:eastAsia="lv-LV"/>
              </w:rPr>
            </w:pPr>
          </w:p>
        </w:tc>
        <w:tc>
          <w:tcPr>
            <w:tcW w:w="856" w:type="dxa"/>
            <w:shd w:val="clear" w:color="auto" w:fill="auto"/>
            <w:noWrap/>
            <w:vAlign w:val="bottom"/>
          </w:tcPr>
          <w:p w14:paraId="17A75D59" w14:textId="77777777" w:rsidR="00700A0B" w:rsidRPr="00FC0326"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0AB4EE03" w14:textId="77777777" w:rsidR="00700A0B" w:rsidRPr="00FC0326" w:rsidRDefault="00700A0B" w:rsidP="00700A0B">
            <w:pPr>
              <w:jc w:val="center"/>
              <w:rPr>
                <w:rFonts w:eastAsia="Times New Roman"/>
                <w:color w:val="000000"/>
                <w:sz w:val="18"/>
                <w:szCs w:val="18"/>
                <w:lang w:eastAsia="lv-LV"/>
              </w:rPr>
            </w:pPr>
          </w:p>
        </w:tc>
        <w:tc>
          <w:tcPr>
            <w:tcW w:w="992" w:type="dxa"/>
            <w:shd w:val="clear" w:color="auto" w:fill="auto"/>
            <w:noWrap/>
            <w:vAlign w:val="center"/>
          </w:tcPr>
          <w:p w14:paraId="5A1B91ED" w14:textId="77777777" w:rsidR="00700A0B" w:rsidRPr="00FC0326" w:rsidRDefault="00700A0B" w:rsidP="00700A0B">
            <w:pPr>
              <w:jc w:val="center"/>
              <w:rPr>
                <w:rFonts w:eastAsia="Times New Roman"/>
                <w:color w:val="000000"/>
                <w:sz w:val="18"/>
                <w:szCs w:val="18"/>
                <w:lang w:eastAsia="lv-LV"/>
              </w:rPr>
            </w:pPr>
            <w:r w:rsidRPr="0028077E">
              <w:rPr>
                <w:rFonts w:eastAsia="Times New Roman"/>
                <w:color w:val="000000"/>
                <w:sz w:val="18"/>
                <w:szCs w:val="18"/>
                <w:lang w:eastAsia="lv-LV"/>
              </w:rPr>
              <w:t>1 332</w:t>
            </w:r>
            <w:r w:rsidR="00065366">
              <w:rPr>
                <w:rFonts w:eastAsia="Times New Roman"/>
                <w:color w:val="000000"/>
                <w:sz w:val="18"/>
                <w:szCs w:val="18"/>
                <w:lang w:eastAsia="lv-LV"/>
              </w:rPr>
              <w:t> </w:t>
            </w:r>
            <w:r w:rsidRPr="0028077E">
              <w:rPr>
                <w:rFonts w:eastAsia="Times New Roman"/>
                <w:color w:val="000000"/>
                <w:sz w:val="18"/>
                <w:szCs w:val="18"/>
                <w:lang w:eastAsia="lv-LV"/>
              </w:rPr>
              <w:t>179</w:t>
            </w:r>
          </w:p>
        </w:tc>
        <w:tc>
          <w:tcPr>
            <w:tcW w:w="993" w:type="dxa"/>
            <w:shd w:val="clear" w:color="auto" w:fill="auto"/>
            <w:noWrap/>
            <w:vAlign w:val="center"/>
          </w:tcPr>
          <w:p w14:paraId="6EBA0AB6" w14:textId="77777777" w:rsidR="00065366" w:rsidRDefault="00065366" w:rsidP="00700A0B">
            <w:pPr>
              <w:jc w:val="center"/>
              <w:rPr>
                <w:sz w:val="18"/>
                <w:szCs w:val="18"/>
              </w:rPr>
            </w:pPr>
          </w:p>
          <w:p w14:paraId="7239CB3F" w14:textId="77777777" w:rsidR="00700A0B" w:rsidRDefault="00700A0B" w:rsidP="00700A0B">
            <w:pPr>
              <w:jc w:val="center"/>
              <w:rPr>
                <w:sz w:val="18"/>
                <w:szCs w:val="18"/>
              </w:rPr>
            </w:pPr>
            <w:r w:rsidRPr="00C11F28">
              <w:rPr>
                <w:sz w:val="18"/>
                <w:szCs w:val="18"/>
              </w:rPr>
              <w:t>1 332</w:t>
            </w:r>
            <w:r>
              <w:rPr>
                <w:sz w:val="18"/>
                <w:szCs w:val="18"/>
              </w:rPr>
              <w:t> </w:t>
            </w:r>
            <w:r w:rsidRPr="00C11F28">
              <w:rPr>
                <w:sz w:val="18"/>
                <w:szCs w:val="18"/>
              </w:rPr>
              <w:t>179</w:t>
            </w:r>
          </w:p>
          <w:p w14:paraId="2E3715B7" w14:textId="77777777" w:rsidR="00700A0B" w:rsidRPr="008929A5" w:rsidRDefault="00700A0B" w:rsidP="00700A0B">
            <w:pPr>
              <w:jc w:val="center"/>
              <w:rPr>
                <w:rFonts w:eastAsia="Times New Roman"/>
                <w:color w:val="000000"/>
                <w:sz w:val="18"/>
                <w:szCs w:val="18"/>
                <w:lang w:eastAsia="lv-LV"/>
              </w:rPr>
            </w:pPr>
          </w:p>
        </w:tc>
        <w:tc>
          <w:tcPr>
            <w:tcW w:w="992" w:type="dxa"/>
            <w:shd w:val="clear" w:color="auto" w:fill="auto"/>
            <w:noWrap/>
            <w:vAlign w:val="center"/>
          </w:tcPr>
          <w:p w14:paraId="1248E1A1" w14:textId="77777777" w:rsidR="00065366" w:rsidRDefault="00065366" w:rsidP="00700A0B">
            <w:pPr>
              <w:jc w:val="center"/>
              <w:rPr>
                <w:sz w:val="18"/>
                <w:szCs w:val="18"/>
              </w:rPr>
            </w:pPr>
          </w:p>
          <w:p w14:paraId="1104904B" w14:textId="77777777" w:rsidR="00700A0B" w:rsidRDefault="00700A0B" w:rsidP="00700A0B">
            <w:pPr>
              <w:jc w:val="center"/>
              <w:rPr>
                <w:sz w:val="18"/>
                <w:szCs w:val="18"/>
              </w:rPr>
            </w:pPr>
            <w:r w:rsidRPr="00C11F28">
              <w:rPr>
                <w:sz w:val="18"/>
                <w:szCs w:val="18"/>
              </w:rPr>
              <w:t>1 332</w:t>
            </w:r>
            <w:r>
              <w:rPr>
                <w:sz w:val="18"/>
                <w:szCs w:val="18"/>
              </w:rPr>
              <w:t> </w:t>
            </w:r>
            <w:r w:rsidRPr="00C11F28">
              <w:rPr>
                <w:sz w:val="18"/>
                <w:szCs w:val="18"/>
              </w:rPr>
              <w:t>179</w:t>
            </w:r>
          </w:p>
          <w:p w14:paraId="77204690" w14:textId="77777777" w:rsidR="00700A0B" w:rsidRPr="008929A5" w:rsidRDefault="00700A0B" w:rsidP="00700A0B">
            <w:pPr>
              <w:jc w:val="center"/>
              <w:rPr>
                <w:rFonts w:eastAsia="Times New Roman"/>
                <w:color w:val="000000"/>
                <w:sz w:val="18"/>
                <w:szCs w:val="18"/>
                <w:lang w:eastAsia="lv-LV"/>
              </w:rPr>
            </w:pPr>
          </w:p>
        </w:tc>
        <w:tc>
          <w:tcPr>
            <w:tcW w:w="1134" w:type="dxa"/>
            <w:shd w:val="clear" w:color="auto" w:fill="auto"/>
            <w:noWrap/>
            <w:vAlign w:val="center"/>
          </w:tcPr>
          <w:p w14:paraId="2C4000CB" w14:textId="77777777" w:rsidR="00700A0B" w:rsidRPr="00FC0326" w:rsidRDefault="00700A0B" w:rsidP="00700A0B">
            <w:pPr>
              <w:jc w:val="center"/>
              <w:rPr>
                <w:rFonts w:eastAsia="Times New Roman"/>
                <w:color w:val="000000"/>
                <w:sz w:val="18"/>
                <w:szCs w:val="18"/>
                <w:lang w:eastAsia="lv-LV"/>
              </w:rPr>
            </w:pPr>
          </w:p>
        </w:tc>
        <w:tc>
          <w:tcPr>
            <w:tcW w:w="1134" w:type="dxa"/>
            <w:shd w:val="clear" w:color="auto" w:fill="auto"/>
            <w:noWrap/>
            <w:vAlign w:val="center"/>
          </w:tcPr>
          <w:p w14:paraId="2E6B369A" w14:textId="77777777" w:rsidR="00065366" w:rsidRDefault="00065366" w:rsidP="00700A0B">
            <w:pPr>
              <w:jc w:val="center"/>
              <w:rPr>
                <w:sz w:val="18"/>
                <w:szCs w:val="18"/>
              </w:rPr>
            </w:pPr>
          </w:p>
          <w:p w14:paraId="621A7707" w14:textId="77777777" w:rsidR="00700A0B" w:rsidRDefault="00700A0B" w:rsidP="00700A0B">
            <w:pPr>
              <w:jc w:val="center"/>
              <w:rPr>
                <w:sz w:val="18"/>
                <w:szCs w:val="18"/>
              </w:rPr>
            </w:pPr>
            <w:r w:rsidRPr="00C11F28">
              <w:rPr>
                <w:sz w:val="18"/>
                <w:szCs w:val="18"/>
              </w:rPr>
              <w:t>1 332</w:t>
            </w:r>
            <w:r>
              <w:rPr>
                <w:sz w:val="18"/>
                <w:szCs w:val="18"/>
              </w:rPr>
              <w:t> </w:t>
            </w:r>
            <w:r w:rsidRPr="00C11F28">
              <w:rPr>
                <w:sz w:val="18"/>
                <w:szCs w:val="18"/>
              </w:rPr>
              <w:t>179</w:t>
            </w:r>
          </w:p>
          <w:p w14:paraId="2C553384" w14:textId="77777777" w:rsidR="00700A0B" w:rsidRPr="00FC0326"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5BA61EFA" w14:textId="77777777" w:rsidR="00700A0B" w:rsidRPr="00FC0326" w:rsidRDefault="00700A0B" w:rsidP="00700A0B">
            <w:pPr>
              <w:jc w:val="center"/>
              <w:rPr>
                <w:rFonts w:eastAsia="Times New Roman"/>
                <w:color w:val="000000"/>
                <w:sz w:val="18"/>
                <w:szCs w:val="18"/>
                <w:lang w:eastAsia="lv-LV"/>
              </w:rPr>
            </w:pPr>
          </w:p>
        </w:tc>
      </w:tr>
      <w:tr w:rsidR="00700A0B" w:rsidRPr="00FC0326" w14:paraId="54D3DD0F" w14:textId="77777777" w:rsidTr="00214BEB">
        <w:trPr>
          <w:trHeight w:val="253"/>
        </w:trPr>
        <w:tc>
          <w:tcPr>
            <w:tcW w:w="1715" w:type="dxa"/>
            <w:shd w:val="clear" w:color="auto" w:fill="auto"/>
          </w:tcPr>
          <w:p w14:paraId="6FD54395" w14:textId="77777777" w:rsidR="00700A0B" w:rsidRPr="00FC0326" w:rsidRDefault="00700A0B" w:rsidP="00700A0B">
            <w:pPr>
              <w:jc w:val="center"/>
              <w:rPr>
                <w:rFonts w:eastAsia="Times New Roman"/>
                <w:sz w:val="20"/>
                <w:szCs w:val="20"/>
                <w:lang w:eastAsia="lv-LV"/>
              </w:rPr>
            </w:pPr>
          </w:p>
        </w:tc>
        <w:tc>
          <w:tcPr>
            <w:tcW w:w="2263" w:type="dxa"/>
            <w:shd w:val="clear" w:color="auto" w:fill="auto"/>
          </w:tcPr>
          <w:p w14:paraId="638E9500" w14:textId="77777777" w:rsidR="00700A0B" w:rsidRPr="00F83A17" w:rsidRDefault="00700A0B" w:rsidP="00700A0B">
            <w:pPr>
              <w:jc w:val="both"/>
              <w:rPr>
                <w:rFonts w:eastAsia="Times New Roman"/>
                <w:sz w:val="18"/>
                <w:szCs w:val="18"/>
                <w:lang w:eastAsia="lv-LV"/>
              </w:rPr>
            </w:pPr>
            <w:r w:rsidRPr="00F83A17">
              <w:rPr>
                <w:rFonts w:eastAsia="Times New Roman"/>
                <w:sz w:val="18"/>
                <w:szCs w:val="18"/>
                <w:lang w:eastAsia="lv-LV"/>
              </w:rPr>
              <w:t>Prokuratūra</w:t>
            </w:r>
          </w:p>
        </w:tc>
        <w:tc>
          <w:tcPr>
            <w:tcW w:w="1139" w:type="dxa"/>
            <w:shd w:val="clear" w:color="auto" w:fill="auto"/>
          </w:tcPr>
          <w:p w14:paraId="6FF7142A"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74CD7010" w14:textId="77777777" w:rsidR="00700A0B" w:rsidRPr="00FC0326" w:rsidRDefault="00700A0B" w:rsidP="00700A0B">
            <w:pPr>
              <w:rPr>
                <w:rFonts w:eastAsia="Times New Roman"/>
                <w:color w:val="000000"/>
                <w:sz w:val="18"/>
                <w:szCs w:val="18"/>
                <w:lang w:eastAsia="lv-LV"/>
              </w:rPr>
            </w:pPr>
          </w:p>
        </w:tc>
        <w:tc>
          <w:tcPr>
            <w:tcW w:w="856" w:type="dxa"/>
            <w:shd w:val="clear" w:color="auto" w:fill="auto"/>
            <w:noWrap/>
            <w:vAlign w:val="bottom"/>
          </w:tcPr>
          <w:p w14:paraId="085109BB"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27EEFE69"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16A2D3D2" w14:textId="77777777" w:rsidR="00700A0B" w:rsidRDefault="00700A0B" w:rsidP="00700A0B">
            <w:pPr>
              <w:rPr>
                <w:rFonts w:eastAsia="Times New Roman"/>
                <w:color w:val="000000"/>
                <w:sz w:val="18"/>
                <w:szCs w:val="18"/>
                <w:lang w:eastAsia="lv-LV"/>
              </w:rPr>
            </w:pPr>
          </w:p>
        </w:tc>
        <w:tc>
          <w:tcPr>
            <w:tcW w:w="993" w:type="dxa"/>
            <w:shd w:val="clear" w:color="auto" w:fill="auto"/>
            <w:noWrap/>
            <w:vAlign w:val="bottom"/>
          </w:tcPr>
          <w:p w14:paraId="7FA4D250" w14:textId="77777777" w:rsidR="00700A0B" w:rsidRDefault="00700A0B" w:rsidP="00700A0B">
            <w:pPr>
              <w:rPr>
                <w:rFonts w:eastAsia="Times New Roman"/>
                <w:color w:val="000000"/>
                <w:sz w:val="18"/>
                <w:szCs w:val="18"/>
                <w:lang w:eastAsia="lv-LV"/>
              </w:rPr>
            </w:pPr>
          </w:p>
        </w:tc>
        <w:tc>
          <w:tcPr>
            <w:tcW w:w="992" w:type="dxa"/>
            <w:shd w:val="clear" w:color="auto" w:fill="auto"/>
            <w:noWrap/>
            <w:vAlign w:val="bottom"/>
          </w:tcPr>
          <w:p w14:paraId="71253BA6" w14:textId="77777777" w:rsidR="00700A0B" w:rsidRDefault="00700A0B" w:rsidP="00700A0B">
            <w:pPr>
              <w:rPr>
                <w:rFonts w:eastAsia="Times New Roman"/>
                <w:color w:val="000000"/>
                <w:sz w:val="18"/>
                <w:szCs w:val="18"/>
                <w:lang w:eastAsia="lv-LV"/>
              </w:rPr>
            </w:pPr>
          </w:p>
        </w:tc>
        <w:tc>
          <w:tcPr>
            <w:tcW w:w="1134" w:type="dxa"/>
            <w:shd w:val="clear" w:color="auto" w:fill="auto"/>
            <w:noWrap/>
            <w:vAlign w:val="bottom"/>
          </w:tcPr>
          <w:p w14:paraId="3C6E416C"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vAlign w:val="bottom"/>
          </w:tcPr>
          <w:p w14:paraId="6CD09849" w14:textId="77777777" w:rsidR="00700A0B" w:rsidRDefault="00700A0B" w:rsidP="00700A0B">
            <w:pPr>
              <w:rPr>
                <w:rFonts w:eastAsia="Times New Roman"/>
                <w:color w:val="000000"/>
                <w:sz w:val="18"/>
                <w:szCs w:val="18"/>
                <w:lang w:eastAsia="lv-LV"/>
              </w:rPr>
            </w:pPr>
          </w:p>
        </w:tc>
        <w:tc>
          <w:tcPr>
            <w:tcW w:w="1326" w:type="dxa"/>
            <w:shd w:val="clear" w:color="auto" w:fill="auto"/>
            <w:noWrap/>
            <w:vAlign w:val="bottom"/>
          </w:tcPr>
          <w:p w14:paraId="196F105F" w14:textId="77777777" w:rsidR="00700A0B" w:rsidRPr="00FC0326" w:rsidRDefault="00700A0B" w:rsidP="00700A0B">
            <w:pPr>
              <w:rPr>
                <w:rFonts w:eastAsia="Times New Roman"/>
                <w:color w:val="000000"/>
                <w:sz w:val="18"/>
                <w:szCs w:val="18"/>
                <w:lang w:eastAsia="lv-LV"/>
              </w:rPr>
            </w:pPr>
          </w:p>
        </w:tc>
      </w:tr>
      <w:tr w:rsidR="00700A0B" w:rsidRPr="00FC0326" w14:paraId="3F4506B0" w14:textId="77777777" w:rsidTr="00214BEB">
        <w:trPr>
          <w:trHeight w:val="312"/>
        </w:trPr>
        <w:tc>
          <w:tcPr>
            <w:tcW w:w="1715" w:type="dxa"/>
            <w:shd w:val="clear" w:color="auto" w:fill="auto"/>
          </w:tcPr>
          <w:p w14:paraId="5ED46C67" w14:textId="77777777" w:rsidR="00700A0B" w:rsidRPr="00FC0326" w:rsidRDefault="00700A0B" w:rsidP="00700A0B">
            <w:pPr>
              <w:jc w:val="center"/>
              <w:rPr>
                <w:rFonts w:eastAsia="Times New Roman"/>
                <w:sz w:val="20"/>
                <w:szCs w:val="20"/>
                <w:lang w:eastAsia="lv-LV"/>
              </w:rPr>
            </w:pPr>
          </w:p>
        </w:tc>
        <w:tc>
          <w:tcPr>
            <w:tcW w:w="2263" w:type="dxa"/>
            <w:shd w:val="clear" w:color="auto" w:fill="auto"/>
          </w:tcPr>
          <w:p w14:paraId="164F9119" w14:textId="77777777" w:rsidR="00700A0B" w:rsidRPr="00454DBB" w:rsidRDefault="00700A0B" w:rsidP="00700A0B">
            <w:pPr>
              <w:jc w:val="both"/>
              <w:rPr>
                <w:rFonts w:eastAsia="Times New Roman"/>
                <w:b/>
                <w:sz w:val="18"/>
                <w:szCs w:val="18"/>
                <w:lang w:eastAsia="lv-LV"/>
              </w:rPr>
            </w:pPr>
            <w:r w:rsidRPr="00454DBB">
              <w:rPr>
                <w:rFonts w:eastAsia="Times New Roman"/>
                <w:b/>
                <w:sz w:val="18"/>
                <w:szCs w:val="18"/>
                <w:lang w:eastAsia="lv-LV"/>
              </w:rPr>
              <w:t>6.</w:t>
            </w:r>
            <w:r w:rsidR="00570FED">
              <w:rPr>
                <w:rFonts w:eastAsia="Times New Roman"/>
                <w:b/>
                <w:sz w:val="18"/>
                <w:szCs w:val="18"/>
                <w:lang w:eastAsia="lv-LV"/>
              </w:rPr>
              <w:t>1.</w:t>
            </w:r>
            <w:r w:rsidRPr="00454DBB">
              <w:rPr>
                <w:rFonts w:eastAsia="Times New Roman"/>
                <w:b/>
                <w:sz w:val="18"/>
                <w:szCs w:val="18"/>
                <w:lang w:eastAsia="lv-LV"/>
              </w:rPr>
              <w:t xml:space="preserve"> pasākums</w:t>
            </w:r>
          </w:p>
          <w:p w14:paraId="057E3238" w14:textId="77777777" w:rsidR="00700A0B" w:rsidRPr="00454DBB" w:rsidRDefault="00700A0B" w:rsidP="00700A0B">
            <w:pPr>
              <w:jc w:val="both"/>
              <w:rPr>
                <w:rFonts w:eastAsia="Times New Roman"/>
                <w:sz w:val="18"/>
                <w:szCs w:val="18"/>
                <w:lang w:eastAsia="lv-LV"/>
              </w:rPr>
            </w:pPr>
            <w:r w:rsidRPr="00454DBB">
              <w:rPr>
                <w:rFonts w:eastAsia="Times New Roman"/>
                <w:sz w:val="18"/>
                <w:szCs w:val="18"/>
                <w:lang w:eastAsia="lv-LV"/>
              </w:rPr>
              <w:t>Palielināt NILLTFNL subjektu informētību, apmācību un atgriezenisko saiti par kvalitatīvas ziņošanas priekšnoteikumiem, t.sk.:</w:t>
            </w:r>
          </w:p>
          <w:p w14:paraId="5559426B" w14:textId="77777777" w:rsidR="00700A0B" w:rsidRPr="00454DBB" w:rsidRDefault="00700A0B" w:rsidP="00700A0B">
            <w:pPr>
              <w:jc w:val="both"/>
              <w:rPr>
                <w:rFonts w:eastAsia="Times New Roman"/>
                <w:sz w:val="18"/>
                <w:szCs w:val="18"/>
                <w:lang w:eastAsia="lv-LV"/>
              </w:rPr>
            </w:pPr>
            <w:r w:rsidRPr="00454DBB">
              <w:rPr>
                <w:rFonts w:eastAsia="Times New Roman"/>
                <w:sz w:val="18"/>
                <w:szCs w:val="18"/>
                <w:lang w:eastAsia="lv-LV"/>
              </w:rPr>
              <w:t>a) atšķirībām starp aizdomīgiem un neparastiem darījumiem;</w:t>
            </w:r>
          </w:p>
          <w:p w14:paraId="5C55E5ED" w14:textId="77777777" w:rsidR="00700A0B" w:rsidRPr="00454DBB" w:rsidRDefault="00700A0B" w:rsidP="00700A0B">
            <w:pPr>
              <w:jc w:val="both"/>
              <w:rPr>
                <w:rFonts w:eastAsia="Times New Roman"/>
                <w:sz w:val="18"/>
                <w:szCs w:val="18"/>
                <w:lang w:eastAsia="lv-LV"/>
              </w:rPr>
            </w:pPr>
            <w:r w:rsidRPr="00454DBB">
              <w:rPr>
                <w:rFonts w:eastAsia="Times New Roman"/>
                <w:sz w:val="18"/>
                <w:szCs w:val="18"/>
                <w:lang w:eastAsia="lv-LV"/>
              </w:rPr>
              <w:t>b) iespējamām negatīvām sekām novēlotai/aizsardzības ziņošanai..</w:t>
            </w:r>
          </w:p>
        </w:tc>
        <w:tc>
          <w:tcPr>
            <w:tcW w:w="1139" w:type="dxa"/>
            <w:shd w:val="clear" w:color="auto" w:fill="auto"/>
          </w:tcPr>
          <w:p w14:paraId="666293E1"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6ED01652" w14:textId="77777777" w:rsidR="00700A0B" w:rsidRPr="00FC0326" w:rsidRDefault="00700A0B" w:rsidP="00700A0B">
            <w:pPr>
              <w:rPr>
                <w:rFonts w:eastAsia="Times New Roman"/>
                <w:color w:val="000000"/>
                <w:sz w:val="18"/>
                <w:szCs w:val="18"/>
                <w:lang w:eastAsia="lv-LV"/>
              </w:rPr>
            </w:pPr>
          </w:p>
        </w:tc>
        <w:tc>
          <w:tcPr>
            <w:tcW w:w="856" w:type="dxa"/>
            <w:shd w:val="clear" w:color="auto" w:fill="auto"/>
            <w:noWrap/>
            <w:vAlign w:val="bottom"/>
          </w:tcPr>
          <w:p w14:paraId="3FF54418"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3F4233BF"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69C7F6DC" w14:textId="77777777" w:rsidR="00700A0B" w:rsidRPr="00FC0326" w:rsidRDefault="00700A0B" w:rsidP="00700A0B">
            <w:pPr>
              <w:rPr>
                <w:rFonts w:eastAsia="Times New Roman"/>
                <w:color w:val="000000"/>
                <w:sz w:val="18"/>
                <w:szCs w:val="18"/>
                <w:lang w:eastAsia="lv-LV"/>
              </w:rPr>
            </w:pPr>
            <w:r>
              <w:rPr>
                <w:rFonts w:eastAsia="Times New Roman"/>
                <w:color w:val="000000"/>
                <w:sz w:val="18"/>
                <w:szCs w:val="18"/>
                <w:lang w:eastAsia="lv-LV"/>
              </w:rPr>
              <w:t>290 000</w:t>
            </w:r>
          </w:p>
        </w:tc>
        <w:tc>
          <w:tcPr>
            <w:tcW w:w="993" w:type="dxa"/>
            <w:shd w:val="clear" w:color="auto" w:fill="auto"/>
            <w:noWrap/>
            <w:vAlign w:val="bottom"/>
          </w:tcPr>
          <w:p w14:paraId="375632E9" w14:textId="77777777" w:rsidR="00700A0B" w:rsidRPr="00FC0326" w:rsidRDefault="00700A0B" w:rsidP="00700A0B">
            <w:pPr>
              <w:rPr>
                <w:rFonts w:eastAsia="Times New Roman"/>
                <w:color w:val="000000"/>
                <w:sz w:val="18"/>
                <w:szCs w:val="18"/>
                <w:lang w:eastAsia="lv-LV"/>
              </w:rPr>
            </w:pPr>
            <w:r>
              <w:rPr>
                <w:rFonts w:eastAsia="Times New Roman"/>
                <w:color w:val="000000"/>
                <w:sz w:val="18"/>
                <w:szCs w:val="18"/>
                <w:lang w:eastAsia="lv-LV"/>
              </w:rPr>
              <w:t>290 000</w:t>
            </w:r>
          </w:p>
        </w:tc>
        <w:tc>
          <w:tcPr>
            <w:tcW w:w="992" w:type="dxa"/>
            <w:shd w:val="clear" w:color="auto" w:fill="auto"/>
            <w:noWrap/>
            <w:vAlign w:val="bottom"/>
          </w:tcPr>
          <w:p w14:paraId="00EBD816" w14:textId="77777777" w:rsidR="00700A0B" w:rsidRPr="00FC0326" w:rsidRDefault="00700A0B" w:rsidP="00700A0B">
            <w:pPr>
              <w:rPr>
                <w:rFonts w:eastAsia="Times New Roman"/>
                <w:color w:val="000000"/>
                <w:sz w:val="18"/>
                <w:szCs w:val="18"/>
                <w:lang w:eastAsia="lv-LV"/>
              </w:rPr>
            </w:pPr>
            <w:r>
              <w:rPr>
                <w:rFonts w:eastAsia="Times New Roman"/>
                <w:color w:val="000000"/>
                <w:sz w:val="18"/>
                <w:szCs w:val="18"/>
                <w:lang w:eastAsia="lv-LV"/>
              </w:rPr>
              <w:t>290 000</w:t>
            </w:r>
          </w:p>
        </w:tc>
        <w:tc>
          <w:tcPr>
            <w:tcW w:w="1134" w:type="dxa"/>
            <w:shd w:val="clear" w:color="auto" w:fill="auto"/>
            <w:noWrap/>
            <w:vAlign w:val="bottom"/>
          </w:tcPr>
          <w:p w14:paraId="72CD6362"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vAlign w:val="bottom"/>
          </w:tcPr>
          <w:p w14:paraId="4C6AAAED" w14:textId="77777777" w:rsidR="00700A0B" w:rsidRPr="00FC0326" w:rsidRDefault="00700A0B" w:rsidP="00700A0B">
            <w:pPr>
              <w:rPr>
                <w:rFonts w:eastAsia="Times New Roman"/>
                <w:color w:val="000000"/>
                <w:sz w:val="18"/>
                <w:szCs w:val="18"/>
                <w:lang w:eastAsia="lv-LV"/>
              </w:rPr>
            </w:pPr>
            <w:r>
              <w:rPr>
                <w:rFonts w:eastAsia="Times New Roman"/>
                <w:color w:val="000000"/>
                <w:sz w:val="18"/>
                <w:szCs w:val="18"/>
                <w:lang w:eastAsia="lv-LV"/>
              </w:rPr>
              <w:t>290 000</w:t>
            </w:r>
          </w:p>
        </w:tc>
        <w:tc>
          <w:tcPr>
            <w:tcW w:w="1326" w:type="dxa"/>
            <w:shd w:val="clear" w:color="auto" w:fill="auto"/>
            <w:noWrap/>
            <w:vAlign w:val="bottom"/>
          </w:tcPr>
          <w:p w14:paraId="332C22EF" w14:textId="77777777" w:rsidR="00700A0B" w:rsidRPr="00FC0326" w:rsidRDefault="00700A0B" w:rsidP="00700A0B">
            <w:pPr>
              <w:rPr>
                <w:rFonts w:eastAsia="Times New Roman"/>
                <w:color w:val="000000"/>
                <w:sz w:val="18"/>
                <w:szCs w:val="18"/>
                <w:lang w:eastAsia="lv-LV"/>
              </w:rPr>
            </w:pPr>
          </w:p>
        </w:tc>
      </w:tr>
      <w:tr w:rsidR="00700A0B" w:rsidRPr="00FC0326" w14:paraId="42C8D4A4" w14:textId="77777777" w:rsidTr="00214BEB">
        <w:trPr>
          <w:trHeight w:val="200"/>
        </w:trPr>
        <w:tc>
          <w:tcPr>
            <w:tcW w:w="1715" w:type="dxa"/>
            <w:shd w:val="clear" w:color="auto" w:fill="auto"/>
          </w:tcPr>
          <w:p w14:paraId="561E5BF0" w14:textId="77777777" w:rsidR="00700A0B" w:rsidRPr="00FC0326" w:rsidRDefault="00700A0B" w:rsidP="00700A0B">
            <w:pPr>
              <w:jc w:val="center"/>
              <w:rPr>
                <w:rFonts w:eastAsia="Times New Roman"/>
                <w:sz w:val="20"/>
                <w:szCs w:val="20"/>
                <w:lang w:eastAsia="lv-LV"/>
              </w:rPr>
            </w:pPr>
          </w:p>
        </w:tc>
        <w:tc>
          <w:tcPr>
            <w:tcW w:w="2263" w:type="dxa"/>
            <w:shd w:val="clear" w:color="auto" w:fill="auto"/>
          </w:tcPr>
          <w:p w14:paraId="65B9E365" w14:textId="77777777" w:rsidR="00700A0B" w:rsidRPr="00F83A17" w:rsidRDefault="00700A0B" w:rsidP="00700A0B">
            <w:pPr>
              <w:jc w:val="both"/>
              <w:rPr>
                <w:rFonts w:eastAsia="Times New Roman"/>
                <w:sz w:val="18"/>
                <w:szCs w:val="18"/>
                <w:lang w:eastAsia="lv-LV"/>
              </w:rPr>
            </w:pPr>
            <w:r w:rsidRPr="00F83A17">
              <w:rPr>
                <w:rFonts w:eastAsia="Times New Roman"/>
                <w:sz w:val="18"/>
                <w:szCs w:val="18"/>
                <w:lang w:eastAsia="lv-LV"/>
              </w:rPr>
              <w:t>Prokuratūra</w:t>
            </w:r>
          </w:p>
        </w:tc>
        <w:tc>
          <w:tcPr>
            <w:tcW w:w="1139" w:type="dxa"/>
            <w:shd w:val="clear" w:color="auto" w:fill="auto"/>
          </w:tcPr>
          <w:p w14:paraId="27559866"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19C43A74" w14:textId="77777777" w:rsidR="00700A0B" w:rsidRPr="00FC0326" w:rsidRDefault="00700A0B" w:rsidP="00700A0B">
            <w:pPr>
              <w:rPr>
                <w:rFonts w:eastAsia="Times New Roman"/>
                <w:color w:val="000000"/>
                <w:sz w:val="18"/>
                <w:szCs w:val="18"/>
                <w:lang w:eastAsia="lv-LV"/>
              </w:rPr>
            </w:pPr>
          </w:p>
        </w:tc>
        <w:tc>
          <w:tcPr>
            <w:tcW w:w="856" w:type="dxa"/>
            <w:shd w:val="clear" w:color="auto" w:fill="auto"/>
            <w:noWrap/>
            <w:vAlign w:val="bottom"/>
          </w:tcPr>
          <w:p w14:paraId="18032CDD"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4CDCE104" w14:textId="77777777" w:rsidR="00700A0B" w:rsidRPr="00FC0326" w:rsidRDefault="00700A0B" w:rsidP="00700A0B">
            <w:pPr>
              <w:rPr>
                <w:rFonts w:eastAsia="Times New Roman"/>
                <w:color w:val="000000"/>
                <w:sz w:val="18"/>
                <w:szCs w:val="18"/>
                <w:lang w:eastAsia="lv-LV"/>
              </w:rPr>
            </w:pPr>
          </w:p>
        </w:tc>
        <w:tc>
          <w:tcPr>
            <w:tcW w:w="992" w:type="dxa"/>
            <w:shd w:val="clear" w:color="auto" w:fill="auto"/>
            <w:noWrap/>
            <w:vAlign w:val="bottom"/>
          </w:tcPr>
          <w:p w14:paraId="50B14246" w14:textId="77777777" w:rsidR="00700A0B" w:rsidRDefault="00700A0B" w:rsidP="00700A0B">
            <w:pPr>
              <w:rPr>
                <w:rFonts w:eastAsia="Times New Roman"/>
                <w:color w:val="000000"/>
                <w:sz w:val="18"/>
                <w:szCs w:val="18"/>
                <w:lang w:eastAsia="lv-LV"/>
              </w:rPr>
            </w:pPr>
          </w:p>
        </w:tc>
        <w:tc>
          <w:tcPr>
            <w:tcW w:w="993" w:type="dxa"/>
            <w:shd w:val="clear" w:color="auto" w:fill="auto"/>
            <w:noWrap/>
            <w:vAlign w:val="bottom"/>
          </w:tcPr>
          <w:p w14:paraId="3B485FE1" w14:textId="77777777" w:rsidR="00700A0B" w:rsidRDefault="00700A0B" w:rsidP="00700A0B">
            <w:pPr>
              <w:rPr>
                <w:rFonts w:eastAsia="Times New Roman"/>
                <w:color w:val="000000"/>
                <w:sz w:val="18"/>
                <w:szCs w:val="18"/>
                <w:lang w:eastAsia="lv-LV"/>
              </w:rPr>
            </w:pPr>
          </w:p>
        </w:tc>
        <w:tc>
          <w:tcPr>
            <w:tcW w:w="992" w:type="dxa"/>
            <w:shd w:val="clear" w:color="auto" w:fill="auto"/>
            <w:noWrap/>
            <w:vAlign w:val="bottom"/>
          </w:tcPr>
          <w:p w14:paraId="62931C85" w14:textId="77777777" w:rsidR="00700A0B" w:rsidRDefault="00700A0B" w:rsidP="00700A0B">
            <w:pPr>
              <w:rPr>
                <w:rFonts w:eastAsia="Times New Roman"/>
                <w:color w:val="000000"/>
                <w:sz w:val="18"/>
                <w:szCs w:val="18"/>
                <w:lang w:eastAsia="lv-LV"/>
              </w:rPr>
            </w:pPr>
          </w:p>
        </w:tc>
        <w:tc>
          <w:tcPr>
            <w:tcW w:w="1134" w:type="dxa"/>
            <w:shd w:val="clear" w:color="auto" w:fill="auto"/>
            <w:noWrap/>
            <w:vAlign w:val="bottom"/>
          </w:tcPr>
          <w:p w14:paraId="40B9F5BB" w14:textId="77777777" w:rsidR="00700A0B" w:rsidRPr="00FC0326" w:rsidRDefault="00700A0B" w:rsidP="00700A0B">
            <w:pPr>
              <w:rPr>
                <w:rFonts w:eastAsia="Times New Roman"/>
                <w:color w:val="000000"/>
                <w:sz w:val="18"/>
                <w:szCs w:val="18"/>
                <w:lang w:eastAsia="lv-LV"/>
              </w:rPr>
            </w:pPr>
          </w:p>
        </w:tc>
        <w:tc>
          <w:tcPr>
            <w:tcW w:w="1134" w:type="dxa"/>
            <w:shd w:val="clear" w:color="auto" w:fill="auto"/>
            <w:noWrap/>
            <w:vAlign w:val="bottom"/>
          </w:tcPr>
          <w:p w14:paraId="3914D17D" w14:textId="77777777" w:rsidR="00700A0B" w:rsidRDefault="00700A0B" w:rsidP="00700A0B">
            <w:pPr>
              <w:rPr>
                <w:rFonts w:eastAsia="Times New Roman"/>
                <w:color w:val="000000"/>
                <w:sz w:val="18"/>
                <w:szCs w:val="18"/>
                <w:lang w:eastAsia="lv-LV"/>
              </w:rPr>
            </w:pPr>
          </w:p>
        </w:tc>
        <w:tc>
          <w:tcPr>
            <w:tcW w:w="1326" w:type="dxa"/>
            <w:shd w:val="clear" w:color="auto" w:fill="auto"/>
            <w:noWrap/>
            <w:vAlign w:val="bottom"/>
          </w:tcPr>
          <w:p w14:paraId="6EB577FB" w14:textId="77777777" w:rsidR="00700A0B" w:rsidRPr="00FC0326" w:rsidRDefault="00700A0B" w:rsidP="00700A0B">
            <w:pPr>
              <w:rPr>
                <w:rFonts w:eastAsia="Times New Roman"/>
                <w:color w:val="000000"/>
                <w:sz w:val="18"/>
                <w:szCs w:val="18"/>
                <w:lang w:eastAsia="lv-LV"/>
              </w:rPr>
            </w:pPr>
          </w:p>
        </w:tc>
      </w:tr>
      <w:tr w:rsidR="00700A0B" w:rsidRPr="00FC0326" w14:paraId="3B21FF54" w14:textId="77777777" w:rsidTr="00214BEB">
        <w:trPr>
          <w:trHeight w:val="312"/>
        </w:trPr>
        <w:tc>
          <w:tcPr>
            <w:tcW w:w="1715" w:type="dxa"/>
            <w:shd w:val="clear" w:color="auto" w:fill="auto"/>
          </w:tcPr>
          <w:p w14:paraId="2D92662E" w14:textId="77777777" w:rsidR="00700A0B" w:rsidRPr="00FC0326" w:rsidRDefault="00700A0B" w:rsidP="00700A0B">
            <w:pPr>
              <w:jc w:val="center"/>
              <w:rPr>
                <w:rFonts w:eastAsia="Times New Roman"/>
                <w:sz w:val="20"/>
                <w:szCs w:val="20"/>
                <w:lang w:eastAsia="lv-LV"/>
              </w:rPr>
            </w:pPr>
          </w:p>
        </w:tc>
        <w:tc>
          <w:tcPr>
            <w:tcW w:w="2263" w:type="dxa"/>
            <w:shd w:val="clear" w:color="auto" w:fill="auto"/>
          </w:tcPr>
          <w:p w14:paraId="6466BAF1" w14:textId="77777777" w:rsidR="00700A0B" w:rsidRPr="00AC35CA" w:rsidRDefault="00700A0B" w:rsidP="00700A0B">
            <w:pPr>
              <w:jc w:val="both"/>
              <w:rPr>
                <w:rFonts w:eastAsia="Times New Roman"/>
                <w:b/>
                <w:sz w:val="18"/>
                <w:szCs w:val="18"/>
                <w:lang w:eastAsia="lv-LV"/>
              </w:rPr>
            </w:pPr>
            <w:r w:rsidRPr="00AC35CA">
              <w:rPr>
                <w:rFonts w:eastAsia="Times New Roman"/>
                <w:b/>
                <w:sz w:val="18"/>
                <w:szCs w:val="18"/>
                <w:lang w:eastAsia="lv-LV"/>
              </w:rPr>
              <w:t>6.</w:t>
            </w:r>
            <w:r w:rsidR="0014039B">
              <w:rPr>
                <w:rFonts w:eastAsia="Times New Roman"/>
                <w:b/>
                <w:sz w:val="18"/>
                <w:szCs w:val="18"/>
                <w:lang w:eastAsia="lv-LV"/>
              </w:rPr>
              <w:t>5</w:t>
            </w:r>
            <w:r w:rsidRPr="00AC35CA">
              <w:rPr>
                <w:rFonts w:eastAsia="Times New Roman"/>
                <w:b/>
                <w:sz w:val="18"/>
                <w:szCs w:val="18"/>
                <w:lang w:eastAsia="lv-LV"/>
              </w:rPr>
              <w:t xml:space="preserve"> pasākums </w:t>
            </w:r>
          </w:p>
          <w:p w14:paraId="541E8D49" w14:textId="77777777" w:rsidR="00700A0B" w:rsidRPr="0028077E" w:rsidRDefault="00700A0B" w:rsidP="00700A0B">
            <w:pPr>
              <w:jc w:val="both"/>
              <w:rPr>
                <w:rFonts w:eastAsia="Times New Roman"/>
                <w:sz w:val="18"/>
                <w:szCs w:val="18"/>
                <w:lang w:eastAsia="lv-LV"/>
              </w:rPr>
            </w:pPr>
            <w:r w:rsidRPr="00AC35CA">
              <w:rPr>
                <w:rFonts w:eastAsia="Times New Roman"/>
                <w:sz w:val="18"/>
                <w:szCs w:val="18"/>
                <w:lang w:eastAsia="lv-LV"/>
              </w:rPr>
              <w:t>Palielināt KD darbinieku skaitu, tai skaitā palielināt KD resursus stratēģiskās analīzes veikšanai</w:t>
            </w:r>
          </w:p>
        </w:tc>
        <w:tc>
          <w:tcPr>
            <w:tcW w:w="1139" w:type="dxa"/>
            <w:shd w:val="clear" w:color="auto" w:fill="auto"/>
          </w:tcPr>
          <w:p w14:paraId="331F0C47"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4926C2B4" w14:textId="77777777" w:rsidR="00700A0B" w:rsidRPr="0028077E" w:rsidRDefault="00700A0B" w:rsidP="00700A0B">
            <w:pPr>
              <w:jc w:val="center"/>
              <w:rPr>
                <w:rFonts w:eastAsia="Times New Roman"/>
                <w:color w:val="000000"/>
                <w:sz w:val="18"/>
                <w:szCs w:val="18"/>
                <w:lang w:eastAsia="lv-LV"/>
              </w:rPr>
            </w:pPr>
            <w:r w:rsidRPr="0028077E">
              <w:rPr>
                <w:sz w:val="18"/>
                <w:szCs w:val="18"/>
              </w:rPr>
              <w:t>87 890</w:t>
            </w:r>
          </w:p>
        </w:tc>
        <w:tc>
          <w:tcPr>
            <w:tcW w:w="856" w:type="dxa"/>
            <w:shd w:val="clear" w:color="auto" w:fill="auto"/>
            <w:noWrap/>
            <w:vAlign w:val="bottom"/>
          </w:tcPr>
          <w:p w14:paraId="6F085518" w14:textId="77777777" w:rsidR="00700A0B" w:rsidRPr="0028077E" w:rsidRDefault="00700A0B" w:rsidP="00700A0B">
            <w:pPr>
              <w:jc w:val="center"/>
              <w:rPr>
                <w:rFonts w:eastAsia="Times New Roman"/>
                <w:color w:val="000000"/>
                <w:sz w:val="18"/>
                <w:szCs w:val="18"/>
                <w:lang w:eastAsia="lv-LV"/>
              </w:rPr>
            </w:pPr>
            <w:r w:rsidRPr="0028077E">
              <w:rPr>
                <w:sz w:val="18"/>
                <w:szCs w:val="18"/>
              </w:rPr>
              <w:t>77 890</w:t>
            </w:r>
          </w:p>
        </w:tc>
        <w:tc>
          <w:tcPr>
            <w:tcW w:w="992" w:type="dxa"/>
            <w:shd w:val="clear" w:color="auto" w:fill="auto"/>
            <w:noWrap/>
            <w:vAlign w:val="bottom"/>
          </w:tcPr>
          <w:p w14:paraId="2DB57487" w14:textId="77777777" w:rsidR="00700A0B" w:rsidRPr="0028077E" w:rsidRDefault="00700A0B" w:rsidP="00700A0B">
            <w:pPr>
              <w:jc w:val="center"/>
              <w:rPr>
                <w:rFonts w:eastAsia="Times New Roman"/>
                <w:color w:val="000000"/>
                <w:sz w:val="18"/>
                <w:szCs w:val="18"/>
                <w:lang w:eastAsia="lv-LV"/>
              </w:rPr>
            </w:pPr>
            <w:r w:rsidRPr="0028077E">
              <w:rPr>
                <w:sz w:val="18"/>
                <w:szCs w:val="18"/>
              </w:rPr>
              <w:t>47 890</w:t>
            </w:r>
          </w:p>
        </w:tc>
        <w:tc>
          <w:tcPr>
            <w:tcW w:w="992" w:type="dxa"/>
            <w:shd w:val="clear" w:color="auto" w:fill="auto"/>
            <w:noWrap/>
            <w:vAlign w:val="bottom"/>
          </w:tcPr>
          <w:p w14:paraId="25442DCB" w14:textId="77777777" w:rsidR="00700A0B" w:rsidRPr="00FC0326" w:rsidRDefault="00700A0B" w:rsidP="00700A0B">
            <w:pPr>
              <w:jc w:val="center"/>
              <w:rPr>
                <w:rFonts w:eastAsia="Times New Roman"/>
                <w:color w:val="000000"/>
                <w:sz w:val="18"/>
                <w:szCs w:val="18"/>
                <w:lang w:eastAsia="lv-LV"/>
              </w:rPr>
            </w:pPr>
          </w:p>
        </w:tc>
        <w:tc>
          <w:tcPr>
            <w:tcW w:w="993" w:type="dxa"/>
            <w:shd w:val="clear" w:color="auto" w:fill="auto"/>
            <w:noWrap/>
            <w:vAlign w:val="bottom"/>
          </w:tcPr>
          <w:p w14:paraId="439D9AEA" w14:textId="77777777" w:rsidR="00700A0B" w:rsidRPr="00FC0326"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104CD881" w14:textId="77777777" w:rsidR="00700A0B" w:rsidRPr="00FC0326"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6F1A8A01" w14:textId="77777777" w:rsidR="00700A0B" w:rsidRPr="00FC0326"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682D2A98" w14:textId="77777777" w:rsidR="00700A0B" w:rsidRPr="00FC0326"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27C7E828" w14:textId="77777777" w:rsidR="00700A0B" w:rsidRPr="00FC0326" w:rsidRDefault="00700A0B" w:rsidP="00700A0B">
            <w:pPr>
              <w:jc w:val="center"/>
              <w:rPr>
                <w:rFonts w:eastAsia="Times New Roman"/>
                <w:color w:val="000000"/>
                <w:sz w:val="18"/>
                <w:szCs w:val="18"/>
                <w:lang w:eastAsia="lv-LV"/>
              </w:rPr>
            </w:pPr>
          </w:p>
        </w:tc>
      </w:tr>
      <w:tr w:rsidR="00700A0B" w:rsidRPr="00FC0326" w14:paraId="170B2E95" w14:textId="77777777" w:rsidTr="00214BEB">
        <w:trPr>
          <w:trHeight w:val="312"/>
        </w:trPr>
        <w:tc>
          <w:tcPr>
            <w:tcW w:w="1715" w:type="dxa"/>
            <w:shd w:val="clear" w:color="auto" w:fill="auto"/>
          </w:tcPr>
          <w:p w14:paraId="224D0738"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001AB0AF" w14:textId="77777777" w:rsidR="00700A0B" w:rsidRPr="0028077E" w:rsidRDefault="00700A0B" w:rsidP="00700A0B">
            <w:pPr>
              <w:jc w:val="both"/>
              <w:rPr>
                <w:rFonts w:eastAsia="Times New Roman"/>
                <w:iCs/>
                <w:sz w:val="18"/>
                <w:szCs w:val="18"/>
                <w:lang w:eastAsia="lv-LV"/>
              </w:rPr>
            </w:pPr>
            <w:r>
              <w:rPr>
                <w:rFonts w:eastAsia="Times New Roman"/>
                <w:iCs/>
                <w:sz w:val="18"/>
                <w:szCs w:val="18"/>
                <w:lang w:eastAsia="lv-LV"/>
              </w:rPr>
              <w:t>Prokuratūra</w:t>
            </w:r>
          </w:p>
        </w:tc>
        <w:tc>
          <w:tcPr>
            <w:tcW w:w="1139" w:type="dxa"/>
            <w:shd w:val="clear" w:color="auto" w:fill="auto"/>
          </w:tcPr>
          <w:p w14:paraId="1AF8EC0A"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5A83F388" w14:textId="77777777" w:rsidR="00700A0B" w:rsidRPr="0028077E" w:rsidRDefault="00700A0B" w:rsidP="00700A0B">
            <w:pPr>
              <w:jc w:val="center"/>
              <w:rPr>
                <w:sz w:val="18"/>
                <w:szCs w:val="18"/>
              </w:rPr>
            </w:pPr>
          </w:p>
        </w:tc>
        <w:tc>
          <w:tcPr>
            <w:tcW w:w="856" w:type="dxa"/>
            <w:shd w:val="clear" w:color="auto" w:fill="auto"/>
            <w:noWrap/>
            <w:vAlign w:val="bottom"/>
          </w:tcPr>
          <w:p w14:paraId="13227D9A" w14:textId="77777777" w:rsidR="00700A0B" w:rsidRPr="0028077E" w:rsidRDefault="00700A0B" w:rsidP="00700A0B">
            <w:pPr>
              <w:jc w:val="center"/>
              <w:rPr>
                <w:sz w:val="18"/>
                <w:szCs w:val="18"/>
              </w:rPr>
            </w:pPr>
          </w:p>
        </w:tc>
        <w:tc>
          <w:tcPr>
            <w:tcW w:w="992" w:type="dxa"/>
            <w:shd w:val="clear" w:color="auto" w:fill="auto"/>
            <w:noWrap/>
            <w:vAlign w:val="bottom"/>
          </w:tcPr>
          <w:p w14:paraId="2D394494" w14:textId="77777777" w:rsidR="00700A0B" w:rsidRPr="0028077E" w:rsidRDefault="00700A0B" w:rsidP="00700A0B">
            <w:pPr>
              <w:jc w:val="center"/>
              <w:rPr>
                <w:sz w:val="18"/>
                <w:szCs w:val="18"/>
              </w:rPr>
            </w:pPr>
          </w:p>
        </w:tc>
        <w:tc>
          <w:tcPr>
            <w:tcW w:w="992" w:type="dxa"/>
            <w:shd w:val="clear" w:color="auto" w:fill="auto"/>
            <w:noWrap/>
            <w:vAlign w:val="bottom"/>
          </w:tcPr>
          <w:p w14:paraId="0908AE1F" w14:textId="77777777" w:rsidR="00700A0B" w:rsidRPr="0028077E" w:rsidRDefault="00700A0B" w:rsidP="00700A0B">
            <w:pPr>
              <w:jc w:val="center"/>
              <w:rPr>
                <w:rFonts w:eastAsia="Times New Roman"/>
                <w:color w:val="000000"/>
                <w:sz w:val="18"/>
                <w:szCs w:val="18"/>
                <w:lang w:eastAsia="lv-LV"/>
              </w:rPr>
            </w:pPr>
          </w:p>
        </w:tc>
        <w:tc>
          <w:tcPr>
            <w:tcW w:w="993" w:type="dxa"/>
            <w:shd w:val="clear" w:color="auto" w:fill="auto"/>
            <w:noWrap/>
            <w:vAlign w:val="bottom"/>
          </w:tcPr>
          <w:p w14:paraId="2D0C9243"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5653D441"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69029921"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23B966D3"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1AAA6C58" w14:textId="77777777" w:rsidR="00700A0B" w:rsidRPr="0028077E" w:rsidRDefault="00700A0B" w:rsidP="00700A0B">
            <w:pPr>
              <w:jc w:val="center"/>
              <w:rPr>
                <w:rFonts w:eastAsia="Times New Roman"/>
                <w:color w:val="000000"/>
                <w:sz w:val="18"/>
                <w:szCs w:val="18"/>
                <w:lang w:eastAsia="lv-LV"/>
              </w:rPr>
            </w:pPr>
          </w:p>
        </w:tc>
      </w:tr>
      <w:tr w:rsidR="00700A0B" w:rsidRPr="00FC0326" w14:paraId="4D8C1822" w14:textId="77777777" w:rsidTr="00214BEB">
        <w:trPr>
          <w:trHeight w:val="312"/>
        </w:trPr>
        <w:tc>
          <w:tcPr>
            <w:tcW w:w="1715" w:type="dxa"/>
            <w:shd w:val="clear" w:color="auto" w:fill="auto"/>
          </w:tcPr>
          <w:p w14:paraId="2306CFF7" w14:textId="77777777" w:rsidR="00700A0B" w:rsidRPr="00FC0326" w:rsidRDefault="00700A0B" w:rsidP="00700A0B">
            <w:pPr>
              <w:jc w:val="center"/>
              <w:rPr>
                <w:rFonts w:eastAsia="Times New Roman"/>
                <w:sz w:val="20"/>
                <w:szCs w:val="20"/>
                <w:lang w:eastAsia="lv-LV"/>
              </w:rPr>
            </w:pPr>
            <w:r w:rsidRPr="009F4BA4">
              <w:rPr>
                <w:rFonts w:eastAsia="Times New Roman"/>
                <w:sz w:val="20"/>
                <w:szCs w:val="20"/>
                <w:lang w:eastAsia="lv-LV"/>
              </w:rPr>
              <w:t> </w:t>
            </w:r>
          </w:p>
        </w:tc>
        <w:tc>
          <w:tcPr>
            <w:tcW w:w="2263" w:type="dxa"/>
            <w:shd w:val="clear" w:color="auto" w:fill="auto"/>
          </w:tcPr>
          <w:p w14:paraId="5764F54B" w14:textId="77777777" w:rsidR="00700A0B" w:rsidRPr="00AC35CA" w:rsidRDefault="00700A0B" w:rsidP="00700A0B">
            <w:pPr>
              <w:jc w:val="both"/>
              <w:rPr>
                <w:rFonts w:eastAsia="Times New Roman"/>
                <w:b/>
                <w:iCs/>
                <w:sz w:val="18"/>
                <w:szCs w:val="18"/>
                <w:lang w:eastAsia="lv-LV"/>
              </w:rPr>
            </w:pPr>
            <w:r w:rsidRPr="00AC35CA">
              <w:rPr>
                <w:rFonts w:eastAsia="Times New Roman"/>
                <w:b/>
                <w:iCs/>
                <w:sz w:val="18"/>
                <w:szCs w:val="18"/>
                <w:lang w:eastAsia="lv-LV"/>
              </w:rPr>
              <w:t>6.</w:t>
            </w:r>
            <w:r w:rsidR="0014039B">
              <w:rPr>
                <w:rFonts w:eastAsia="Times New Roman"/>
                <w:b/>
                <w:iCs/>
                <w:sz w:val="18"/>
                <w:szCs w:val="18"/>
                <w:lang w:eastAsia="lv-LV"/>
              </w:rPr>
              <w:t>5.(</w:t>
            </w:r>
            <w:r w:rsidR="0048177B">
              <w:rPr>
                <w:rFonts w:eastAsia="Times New Roman"/>
                <w:b/>
                <w:iCs/>
                <w:sz w:val="18"/>
                <w:szCs w:val="18"/>
                <w:lang w:eastAsia="lv-LV"/>
              </w:rPr>
              <w:t>2</w:t>
            </w:r>
            <w:r w:rsidR="0014039B">
              <w:rPr>
                <w:rFonts w:eastAsia="Times New Roman"/>
                <w:b/>
                <w:iCs/>
                <w:sz w:val="18"/>
                <w:szCs w:val="18"/>
                <w:lang w:eastAsia="lv-LV"/>
              </w:rPr>
              <w:t>)</w:t>
            </w:r>
            <w:r w:rsidRPr="00AC35CA">
              <w:rPr>
                <w:rFonts w:eastAsia="Times New Roman"/>
                <w:b/>
                <w:iCs/>
                <w:sz w:val="18"/>
                <w:szCs w:val="18"/>
                <w:lang w:eastAsia="lv-LV"/>
              </w:rPr>
              <w:t xml:space="preserve"> pasākums</w:t>
            </w:r>
            <w:r>
              <w:rPr>
                <w:rFonts w:eastAsia="Times New Roman"/>
                <w:b/>
                <w:iCs/>
                <w:sz w:val="18"/>
                <w:szCs w:val="18"/>
                <w:lang w:eastAsia="lv-LV"/>
              </w:rPr>
              <w:t xml:space="preserve"> </w:t>
            </w:r>
          </w:p>
          <w:p w14:paraId="572331C9" w14:textId="77777777" w:rsidR="00700A0B" w:rsidRPr="0028077E" w:rsidRDefault="00700A0B" w:rsidP="00700A0B">
            <w:pPr>
              <w:jc w:val="both"/>
              <w:rPr>
                <w:rFonts w:eastAsia="Times New Roman"/>
                <w:sz w:val="18"/>
                <w:szCs w:val="18"/>
                <w:lang w:eastAsia="lv-LV"/>
              </w:rPr>
            </w:pPr>
            <w:r w:rsidRPr="00AC35CA">
              <w:rPr>
                <w:rFonts w:eastAsia="Times New Roman"/>
                <w:iCs/>
                <w:sz w:val="18"/>
                <w:szCs w:val="18"/>
                <w:lang w:eastAsia="lv-LV"/>
              </w:rPr>
              <w:t>Palielināt KD darbinieku skaitu, tai skaitā palielināt KD resursus stratēģiskās analīzes veikšanai</w:t>
            </w:r>
          </w:p>
        </w:tc>
        <w:tc>
          <w:tcPr>
            <w:tcW w:w="1139" w:type="dxa"/>
            <w:shd w:val="clear" w:color="auto" w:fill="auto"/>
          </w:tcPr>
          <w:p w14:paraId="7C39C94D"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4FEC94A5" w14:textId="77777777" w:rsidR="00700A0B" w:rsidRPr="0028077E" w:rsidRDefault="00700A0B" w:rsidP="00700A0B">
            <w:pPr>
              <w:jc w:val="center"/>
              <w:rPr>
                <w:rFonts w:eastAsia="Times New Roman"/>
                <w:color w:val="000000"/>
                <w:sz w:val="18"/>
                <w:szCs w:val="18"/>
                <w:lang w:eastAsia="lv-LV"/>
              </w:rPr>
            </w:pPr>
            <w:r w:rsidRPr="0028077E">
              <w:rPr>
                <w:sz w:val="18"/>
                <w:szCs w:val="18"/>
              </w:rPr>
              <w:t>67 788</w:t>
            </w:r>
          </w:p>
        </w:tc>
        <w:tc>
          <w:tcPr>
            <w:tcW w:w="856" w:type="dxa"/>
            <w:shd w:val="clear" w:color="auto" w:fill="auto"/>
            <w:noWrap/>
            <w:vAlign w:val="bottom"/>
          </w:tcPr>
          <w:p w14:paraId="420F5994" w14:textId="77777777" w:rsidR="00700A0B" w:rsidRPr="0028077E" w:rsidRDefault="00700A0B" w:rsidP="00700A0B">
            <w:pPr>
              <w:jc w:val="center"/>
              <w:rPr>
                <w:rFonts w:eastAsia="Times New Roman"/>
                <w:color w:val="000000"/>
                <w:sz w:val="18"/>
                <w:szCs w:val="18"/>
                <w:lang w:eastAsia="lv-LV"/>
              </w:rPr>
            </w:pPr>
            <w:r w:rsidRPr="0028077E">
              <w:rPr>
                <w:sz w:val="18"/>
                <w:szCs w:val="18"/>
              </w:rPr>
              <w:t>59 646</w:t>
            </w:r>
          </w:p>
        </w:tc>
        <w:tc>
          <w:tcPr>
            <w:tcW w:w="992" w:type="dxa"/>
            <w:shd w:val="clear" w:color="auto" w:fill="auto"/>
            <w:noWrap/>
            <w:vAlign w:val="bottom"/>
          </w:tcPr>
          <w:p w14:paraId="61EC6239" w14:textId="77777777" w:rsidR="00700A0B" w:rsidRPr="0028077E" w:rsidRDefault="00700A0B" w:rsidP="00700A0B">
            <w:pPr>
              <w:jc w:val="center"/>
              <w:rPr>
                <w:rFonts w:eastAsia="Times New Roman"/>
                <w:color w:val="000000"/>
                <w:sz w:val="18"/>
                <w:szCs w:val="18"/>
                <w:lang w:eastAsia="lv-LV"/>
              </w:rPr>
            </w:pPr>
            <w:r w:rsidRPr="0028077E">
              <w:rPr>
                <w:sz w:val="18"/>
                <w:szCs w:val="18"/>
              </w:rPr>
              <w:t>59 646</w:t>
            </w:r>
          </w:p>
        </w:tc>
        <w:tc>
          <w:tcPr>
            <w:tcW w:w="992" w:type="dxa"/>
            <w:shd w:val="clear" w:color="auto" w:fill="auto"/>
            <w:noWrap/>
            <w:vAlign w:val="bottom"/>
          </w:tcPr>
          <w:p w14:paraId="44810E48" w14:textId="77777777" w:rsidR="00700A0B" w:rsidRPr="0028077E" w:rsidRDefault="00700A0B" w:rsidP="00700A0B">
            <w:pPr>
              <w:jc w:val="center"/>
              <w:rPr>
                <w:rFonts w:eastAsia="Times New Roman"/>
                <w:color w:val="000000"/>
                <w:sz w:val="18"/>
                <w:szCs w:val="18"/>
                <w:lang w:eastAsia="lv-LV"/>
              </w:rPr>
            </w:pPr>
          </w:p>
        </w:tc>
        <w:tc>
          <w:tcPr>
            <w:tcW w:w="993" w:type="dxa"/>
            <w:shd w:val="clear" w:color="auto" w:fill="auto"/>
            <w:noWrap/>
            <w:vAlign w:val="bottom"/>
          </w:tcPr>
          <w:p w14:paraId="260DB760"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7740A1D5"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058D5EEB"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1B7F1EA3"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76C70EB4" w14:textId="77777777" w:rsidR="00700A0B" w:rsidRPr="0028077E" w:rsidRDefault="00700A0B" w:rsidP="00700A0B">
            <w:pPr>
              <w:jc w:val="center"/>
              <w:rPr>
                <w:rFonts w:eastAsia="Times New Roman"/>
                <w:color w:val="000000"/>
                <w:sz w:val="18"/>
                <w:szCs w:val="18"/>
                <w:lang w:eastAsia="lv-LV"/>
              </w:rPr>
            </w:pPr>
          </w:p>
        </w:tc>
      </w:tr>
      <w:tr w:rsidR="00700A0B" w:rsidRPr="00FC0326" w14:paraId="2A38CBBC" w14:textId="77777777" w:rsidTr="00214BEB">
        <w:trPr>
          <w:trHeight w:val="214"/>
        </w:trPr>
        <w:tc>
          <w:tcPr>
            <w:tcW w:w="1715" w:type="dxa"/>
            <w:shd w:val="clear" w:color="auto" w:fill="auto"/>
          </w:tcPr>
          <w:p w14:paraId="1286BD3A"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56160A9F" w14:textId="77777777" w:rsidR="00700A0B" w:rsidRPr="0028077E" w:rsidRDefault="00700A0B" w:rsidP="00700A0B">
            <w:pPr>
              <w:jc w:val="both"/>
              <w:rPr>
                <w:rFonts w:eastAsia="Times New Roman"/>
                <w:iCs/>
                <w:sz w:val="18"/>
                <w:szCs w:val="18"/>
                <w:lang w:eastAsia="lv-LV"/>
              </w:rPr>
            </w:pPr>
            <w:r>
              <w:rPr>
                <w:rFonts w:eastAsia="Times New Roman"/>
                <w:iCs/>
                <w:sz w:val="18"/>
                <w:szCs w:val="18"/>
                <w:lang w:eastAsia="lv-LV"/>
              </w:rPr>
              <w:t>Prokuratūra</w:t>
            </w:r>
          </w:p>
        </w:tc>
        <w:tc>
          <w:tcPr>
            <w:tcW w:w="1139" w:type="dxa"/>
            <w:shd w:val="clear" w:color="auto" w:fill="auto"/>
          </w:tcPr>
          <w:p w14:paraId="26A26A94"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3FDF6A0F" w14:textId="77777777" w:rsidR="00700A0B" w:rsidRPr="0028077E" w:rsidRDefault="00700A0B" w:rsidP="00700A0B">
            <w:pPr>
              <w:jc w:val="center"/>
              <w:rPr>
                <w:sz w:val="18"/>
                <w:szCs w:val="18"/>
              </w:rPr>
            </w:pPr>
          </w:p>
        </w:tc>
        <w:tc>
          <w:tcPr>
            <w:tcW w:w="856" w:type="dxa"/>
            <w:shd w:val="clear" w:color="auto" w:fill="auto"/>
            <w:noWrap/>
            <w:vAlign w:val="bottom"/>
          </w:tcPr>
          <w:p w14:paraId="78F4A76C" w14:textId="77777777" w:rsidR="00700A0B" w:rsidRPr="0028077E" w:rsidRDefault="00700A0B" w:rsidP="00700A0B">
            <w:pPr>
              <w:jc w:val="center"/>
              <w:rPr>
                <w:sz w:val="18"/>
                <w:szCs w:val="18"/>
              </w:rPr>
            </w:pPr>
          </w:p>
        </w:tc>
        <w:tc>
          <w:tcPr>
            <w:tcW w:w="992" w:type="dxa"/>
            <w:shd w:val="clear" w:color="auto" w:fill="auto"/>
            <w:noWrap/>
            <w:vAlign w:val="bottom"/>
          </w:tcPr>
          <w:p w14:paraId="5CC7E29A" w14:textId="77777777" w:rsidR="00700A0B" w:rsidRPr="0028077E" w:rsidRDefault="00700A0B" w:rsidP="00700A0B">
            <w:pPr>
              <w:jc w:val="center"/>
              <w:rPr>
                <w:sz w:val="18"/>
                <w:szCs w:val="18"/>
              </w:rPr>
            </w:pPr>
          </w:p>
        </w:tc>
        <w:tc>
          <w:tcPr>
            <w:tcW w:w="992" w:type="dxa"/>
            <w:shd w:val="clear" w:color="auto" w:fill="auto"/>
            <w:noWrap/>
            <w:vAlign w:val="bottom"/>
          </w:tcPr>
          <w:p w14:paraId="7B4D1E42" w14:textId="77777777" w:rsidR="00700A0B" w:rsidRPr="0028077E" w:rsidRDefault="00700A0B" w:rsidP="00700A0B">
            <w:pPr>
              <w:jc w:val="center"/>
              <w:rPr>
                <w:rFonts w:eastAsia="Times New Roman"/>
                <w:color w:val="000000"/>
                <w:sz w:val="18"/>
                <w:szCs w:val="18"/>
                <w:lang w:eastAsia="lv-LV"/>
              </w:rPr>
            </w:pPr>
          </w:p>
        </w:tc>
        <w:tc>
          <w:tcPr>
            <w:tcW w:w="993" w:type="dxa"/>
            <w:shd w:val="clear" w:color="auto" w:fill="auto"/>
            <w:noWrap/>
            <w:vAlign w:val="bottom"/>
          </w:tcPr>
          <w:p w14:paraId="588ED4E4"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7A8A2609"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20E22719"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1F02BF6D"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47768E2A" w14:textId="77777777" w:rsidR="00700A0B" w:rsidRPr="0028077E" w:rsidRDefault="00700A0B" w:rsidP="00700A0B">
            <w:pPr>
              <w:jc w:val="center"/>
              <w:rPr>
                <w:rFonts w:eastAsia="Times New Roman"/>
                <w:color w:val="000000"/>
                <w:sz w:val="18"/>
                <w:szCs w:val="18"/>
                <w:lang w:eastAsia="lv-LV"/>
              </w:rPr>
            </w:pPr>
          </w:p>
        </w:tc>
      </w:tr>
      <w:tr w:rsidR="00700A0B" w:rsidRPr="00FC0326" w14:paraId="003F758A" w14:textId="77777777" w:rsidTr="00214BEB">
        <w:trPr>
          <w:trHeight w:val="1110"/>
        </w:trPr>
        <w:tc>
          <w:tcPr>
            <w:tcW w:w="1715" w:type="dxa"/>
            <w:shd w:val="clear" w:color="auto" w:fill="auto"/>
          </w:tcPr>
          <w:p w14:paraId="5FECA30B"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1437BC3C" w14:textId="77777777" w:rsidR="00570FED" w:rsidRPr="00505985" w:rsidRDefault="00570FED" w:rsidP="00700A0B">
            <w:pPr>
              <w:jc w:val="both"/>
              <w:rPr>
                <w:rFonts w:cs="Times New Roman"/>
                <w:b/>
                <w:sz w:val="18"/>
                <w:szCs w:val="18"/>
              </w:rPr>
            </w:pPr>
            <w:r w:rsidRPr="00505985">
              <w:rPr>
                <w:rFonts w:cs="Times New Roman"/>
                <w:b/>
                <w:sz w:val="18"/>
                <w:szCs w:val="18"/>
              </w:rPr>
              <w:t>1.1.(7) pasākums</w:t>
            </w:r>
          </w:p>
          <w:p w14:paraId="393CF81A" w14:textId="77777777" w:rsidR="00700A0B" w:rsidRPr="0028077E" w:rsidRDefault="00700A0B" w:rsidP="00214BEB">
            <w:pPr>
              <w:jc w:val="both"/>
              <w:rPr>
                <w:rFonts w:eastAsia="Times New Roman"/>
                <w:iCs/>
                <w:sz w:val="18"/>
                <w:szCs w:val="18"/>
                <w:lang w:eastAsia="lv-LV"/>
              </w:rPr>
            </w:pPr>
            <w:r w:rsidRPr="000310E5">
              <w:rPr>
                <w:rFonts w:cs="Times New Roman"/>
                <w:sz w:val="18"/>
                <w:szCs w:val="18"/>
              </w:rPr>
              <w:t xml:space="preserve"> Izstrādāts ziņojums par </w:t>
            </w:r>
            <w:r>
              <w:rPr>
                <w:rFonts w:cs="Times New Roman"/>
                <w:sz w:val="18"/>
                <w:szCs w:val="18"/>
              </w:rPr>
              <w:t>virtuālās valūtas izmantošanu kā jaunas NILL/TF metodes riskiem</w:t>
            </w:r>
          </w:p>
        </w:tc>
        <w:tc>
          <w:tcPr>
            <w:tcW w:w="1139" w:type="dxa"/>
            <w:shd w:val="clear" w:color="auto" w:fill="auto"/>
          </w:tcPr>
          <w:p w14:paraId="7306E106"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69F38C60" w14:textId="77777777" w:rsidR="00700A0B" w:rsidRPr="0028077E" w:rsidRDefault="00700A0B" w:rsidP="00700A0B">
            <w:pPr>
              <w:jc w:val="center"/>
              <w:rPr>
                <w:sz w:val="18"/>
                <w:szCs w:val="18"/>
              </w:rPr>
            </w:pPr>
          </w:p>
        </w:tc>
        <w:tc>
          <w:tcPr>
            <w:tcW w:w="856" w:type="dxa"/>
            <w:shd w:val="clear" w:color="auto" w:fill="auto"/>
            <w:noWrap/>
            <w:vAlign w:val="bottom"/>
          </w:tcPr>
          <w:p w14:paraId="3F5D3FFA" w14:textId="77777777" w:rsidR="00700A0B" w:rsidRPr="0028077E" w:rsidRDefault="00700A0B" w:rsidP="00700A0B">
            <w:pPr>
              <w:jc w:val="center"/>
              <w:rPr>
                <w:sz w:val="18"/>
                <w:szCs w:val="18"/>
              </w:rPr>
            </w:pPr>
          </w:p>
        </w:tc>
        <w:tc>
          <w:tcPr>
            <w:tcW w:w="992" w:type="dxa"/>
            <w:shd w:val="clear" w:color="auto" w:fill="auto"/>
            <w:noWrap/>
            <w:vAlign w:val="bottom"/>
          </w:tcPr>
          <w:p w14:paraId="776C3262" w14:textId="77777777" w:rsidR="00700A0B" w:rsidRPr="0028077E" w:rsidRDefault="00700A0B" w:rsidP="00700A0B">
            <w:pPr>
              <w:jc w:val="center"/>
              <w:rPr>
                <w:sz w:val="18"/>
                <w:szCs w:val="18"/>
              </w:rPr>
            </w:pPr>
          </w:p>
        </w:tc>
        <w:tc>
          <w:tcPr>
            <w:tcW w:w="992" w:type="dxa"/>
            <w:shd w:val="clear" w:color="auto" w:fill="auto"/>
            <w:noWrap/>
            <w:vAlign w:val="bottom"/>
          </w:tcPr>
          <w:p w14:paraId="0CD5CE45"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5000</w:t>
            </w:r>
          </w:p>
        </w:tc>
        <w:tc>
          <w:tcPr>
            <w:tcW w:w="993" w:type="dxa"/>
            <w:shd w:val="clear" w:color="auto" w:fill="auto"/>
            <w:noWrap/>
            <w:vAlign w:val="bottom"/>
          </w:tcPr>
          <w:p w14:paraId="0156D981"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7BE2D252"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47AB974A"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1CD7CEDF"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1E280473" w14:textId="77777777" w:rsidR="00700A0B" w:rsidRPr="0028077E" w:rsidRDefault="00700A0B" w:rsidP="00700A0B">
            <w:pPr>
              <w:jc w:val="center"/>
              <w:rPr>
                <w:rFonts w:eastAsia="Times New Roman"/>
                <w:color w:val="000000"/>
                <w:sz w:val="18"/>
                <w:szCs w:val="18"/>
                <w:lang w:eastAsia="lv-LV"/>
              </w:rPr>
            </w:pPr>
          </w:p>
        </w:tc>
      </w:tr>
      <w:tr w:rsidR="00700A0B" w:rsidRPr="00FC0326" w14:paraId="3931358D" w14:textId="77777777" w:rsidTr="00214BEB">
        <w:trPr>
          <w:trHeight w:val="312"/>
        </w:trPr>
        <w:tc>
          <w:tcPr>
            <w:tcW w:w="1715" w:type="dxa"/>
            <w:shd w:val="clear" w:color="auto" w:fill="auto"/>
          </w:tcPr>
          <w:p w14:paraId="1D8CE6BB"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417C653C" w14:textId="77777777" w:rsidR="00700A0B" w:rsidRPr="0028077E" w:rsidRDefault="00570FED" w:rsidP="00570FED">
            <w:pPr>
              <w:jc w:val="both"/>
              <w:rPr>
                <w:rFonts w:eastAsia="Times New Roman"/>
                <w:iCs/>
                <w:sz w:val="18"/>
                <w:szCs w:val="18"/>
                <w:lang w:eastAsia="lv-LV"/>
              </w:rPr>
            </w:pPr>
            <w:r w:rsidRPr="00505985">
              <w:rPr>
                <w:rFonts w:cs="Times New Roman"/>
                <w:b/>
                <w:color w:val="000000"/>
                <w:sz w:val="18"/>
                <w:szCs w:val="18"/>
              </w:rPr>
              <w:t>1.1.(10)pasākums</w:t>
            </w:r>
            <w:r w:rsidR="00700A0B" w:rsidRPr="000310E5">
              <w:rPr>
                <w:rFonts w:cs="Times New Roman"/>
                <w:color w:val="000000"/>
                <w:sz w:val="18"/>
                <w:szCs w:val="18"/>
              </w:rPr>
              <w:t xml:space="preserve"> Izstrādāts 3. nacionālais NILLTF risku novērtējums, tajā iekļaujot 9.1.pasākumā veiktā izvērtējuma </w:t>
            </w:r>
            <w:r w:rsidR="00700A0B" w:rsidRPr="000310E5">
              <w:rPr>
                <w:rFonts w:cs="Times New Roman"/>
                <w:color w:val="000000"/>
                <w:sz w:val="18"/>
                <w:szCs w:val="18"/>
              </w:rPr>
              <w:lastRenderedPageBreak/>
              <w:t>rezultātus. Veikts tulkojums angļu valodā.</w:t>
            </w:r>
          </w:p>
        </w:tc>
        <w:tc>
          <w:tcPr>
            <w:tcW w:w="1139" w:type="dxa"/>
            <w:shd w:val="clear" w:color="auto" w:fill="auto"/>
          </w:tcPr>
          <w:p w14:paraId="5C4473BB"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4918AAF8" w14:textId="77777777" w:rsidR="00700A0B" w:rsidRPr="0028077E" w:rsidRDefault="00700A0B" w:rsidP="00700A0B">
            <w:pPr>
              <w:jc w:val="center"/>
              <w:rPr>
                <w:sz w:val="18"/>
                <w:szCs w:val="18"/>
              </w:rPr>
            </w:pPr>
          </w:p>
        </w:tc>
        <w:tc>
          <w:tcPr>
            <w:tcW w:w="856" w:type="dxa"/>
            <w:shd w:val="clear" w:color="auto" w:fill="auto"/>
            <w:noWrap/>
            <w:vAlign w:val="bottom"/>
          </w:tcPr>
          <w:p w14:paraId="5263C45C" w14:textId="77777777" w:rsidR="00700A0B" w:rsidRPr="0028077E" w:rsidRDefault="00700A0B" w:rsidP="00700A0B">
            <w:pPr>
              <w:jc w:val="center"/>
              <w:rPr>
                <w:sz w:val="18"/>
                <w:szCs w:val="18"/>
              </w:rPr>
            </w:pPr>
          </w:p>
        </w:tc>
        <w:tc>
          <w:tcPr>
            <w:tcW w:w="992" w:type="dxa"/>
            <w:shd w:val="clear" w:color="auto" w:fill="auto"/>
            <w:noWrap/>
            <w:vAlign w:val="bottom"/>
          </w:tcPr>
          <w:p w14:paraId="5870D636" w14:textId="77777777" w:rsidR="00700A0B" w:rsidRPr="0028077E" w:rsidRDefault="00700A0B" w:rsidP="00700A0B">
            <w:pPr>
              <w:jc w:val="center"/>
              <w:rPr>
                <w:sz w:val="18"/>
                <w:szCs w:val="18"/>
              </w:rPr>
            </w:pPr>
          </w:p>
        </w:tc>
        <w:tc>
          <w:tcPr>
            <w:tcW w:w="992" w:type="dxa"/>
            <w:shd w:val="clear" w:color="auto" w:fill="auto"/>
            <w:noWrap/>
            <w:vAlign w:val="bottom"/>
          </w:tcPr>
          <w:p w14:paraId="7BD6B8D2"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20 000</w:t>
            </w:r>
          </w:p>
        </w:tc>
        <w:tc>
          <w:tcPr>
            <w:tcW w:w="993" w:type="dxa"/>
            <w:shd w:val="clear" w:color="auto" w:fill="auto"/>
            <w:noWrap/>
            <w:vAlign w:val="bottom"/>
          </w:tcPr>
          <w:p w14:paraId="777D3D02"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1A9A6526"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30271A2E"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6724131A"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6DFDB5B8" w14:textId="77777777" w:rsidR="00700A0B" w:rsidRPr="0028077E" w:rsidRDefault="00700A0B" w:rsidP="00700A0B">
            <w:pPr>
              <w:jc w:val="center"/>
              <w:rPr>
                <w:rFonts w:eastAsia="Times New Roman"/>
                <w:color w:val="000000"/>
                <w:sz w:val="18"/>
                <w:szCs w:val="18"/>
                <w:lang w:eastAsia="lv-LV"/>
              </w:rPr>
            </w:pPr>
          </w:p>
        </w:tc>
      </w:tr>
      <w:tr w:rsidR="00700A0B" w:rsidRPr="00FC0326" w14:paraId="56FEE7E9" w14:textId="77777777" w:rsidTr="00214BEB">
        <w:trPr>
          <w:trHeight w:val="312"/>
        </w:trPr>
        <w:tc>
          <w:tcPr>
            <w:tcW w:w="1715" w:type="dxa"/>
            <w:shd w:val="clear" w:color="auto" w:fill="auto"/>
          </w:tcPr>
          <w:p w14:paraId="2FE036AB"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479E0CCC" w14:textId="77777777" w:rsidR="00700A0B" w:rsidRPr="0028077E" w:rsidRDefault="00570FED" w:rsidP="00570FED">
            <w:pPr>
              <w:jc w:val="both"/>
              <w:rPr>
                <w:rFonts w:eastAsia="Times New Roman"/>
                <w:iCs/>
                <w:sz w:val="18"/>
                <w:szCs w:val="18"/>
                <w:lang w:eastAsia="lv-LV"/>
              </w:rPr>
            </w:pPr>
            <w:r w:rsidRPr="00505985">
              <w:rPr>
                <w:rFonts w:cs="Times New Roman"/>
                <w:b/>
                <w:color w:val="000000"/>
                <w:sz w:val="18"/>
                <w:szCs w:val="18"/>
              </w:rPr>
              <w:t>1.1.(</w:t>
            </w:r>
            <w:r w:rsidR="00700A0B" w:rsidRPr="00505985">
              <w:rPr>
                <w:rFonts w:cs="Times New Roman"/>
                <w:b/>
                <w:color w:val="000000"/>
                <w:sz w:val="18"/>
                <w:szCs w:val="18"/>
              </w:rPr>
              <w:t>9</w:t>
            </w:r>
            <w:r w:rsidRPr="00505985">
              <w:rPr>
                <w:rFonts w:cs="Times New Roman"/>
                <w:b/>
                <w:color w:val="000000"/>
                <w:sz w:val="18"/>
                <w:szCs w:val="18"/>
              </w:rPr>
              <w:t>)pasākums</w:t>
            </w:r>
            <w:r w:rsidR="00700A0B" w:rsidRPr="000310E5">
              <w:rPr>
                <w:rFonts w:cs="Times New Roman"/>
                <w:color w:val="000000"/>
                <w:sz w:val="18"/>
                <w:szCs w:val="18"/>
              </w:rPr>
              <w:t xml:space="preserve"> Veikts pētījums par latentās noziedzības apmēru</w:t>
            </w:r>
          </w:p>
        </w:tc>
        <w:tc>
          <w:tcPr>
            <w:tcW w:w="1139" w:type="dxa"/>
            <w:shd w:val="clear" w:color="auto" w:fill="auto"/>
          </w:tcPr>
          <w:p w14:paraId="155DBD50"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48345950" w14:textId="77777777" w:rsidR="00700A0B" w:rsidRPr="0028077E" w:rsidRDefault="00700A0B" w:rsidP="00700A0B">
            <w:pPr>
              <w:jc w:val="center"/>
              <w:rPr>
                <w:sz w:val="18"/>
                <w:szCs w:val="18"/>
              </w:rPr>
            </w:pPr>
          </w:p>
        </w:tc>
        <w:tc>
          <w:tcPr>
            <w:tcW w:w="856" w:type="dxa"/>
            <w:shd w:val="clear" w:color="auto" w:fill="auto"/>
            <w:noWrap/>
            <w:vAlign w:val="bottom"/>
          </w:tcPr>
          <w:p w14:paraId="1B533532" w14:textId="77777777" w:rsidR="00700A0B" w:rsidRPr="0028077E" w:rsidRDefault="00700A0B" w:rsidP="00700A0B">
            <w:pPr>
              <w:jc w:val="center"/>
              <w:rPr>
                <w:sz w:val="18"/>
                <w:szCs w:val="18"/>
              </w:rPr>
            </w:pPr>
          </w:p>
        </w:tc>
        <w:tc>
          <w:tcPr>
            <w:tcW w:w="992" w:type="dxa"/>
            <w:shd w:val="clear" w:color="auto" w:fill="auto"/>
            <w:noWrap/>
            <w:vAlign w:val="bottom"/>
          </w:tcPr>
          <w:p w14:paraId="622C7E8D" w14:textId="77777777" w:rsidR="00700A0B" w:rsidRPr="0028077E" w:rsidRDefault="00700A0B" w:rsidP="00700A0B">
            <w:pPr>
              <w:jc w:val="center"/>
              <w:rPr>
                <w:sz w:val="18"/>
                <w:szCs w:val="18"/>
              </w:rPr>
            </w:pPr>
          </w:p>
        </w:tc>
        <w:tc>
          <w:tcPr>
            <w:tcW w:w="992" w:type="dxa"/>
            <w:shd w:val="clear" w:color="auto" w:fill="auto"/>
            <w:noWrap/>
            <w:vAlign w:val="bottom"/>
          </w:tcPr>
          <w:p w14:paraId="5FFFDAAF"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10 000</w:t>
            </w:r>
          </w:p>
        </w:tc>
        <w:tc>
          <w:tcPr>
            <w:tcW w:w="993" w:type="dxa"/>
            <w:shd w:val="clear" w:color="auto" w:fill="auto"/>
            <w:noWrap/>
            <w:vAlign w:val="bottom"/>
          </w:tcPr>
          <w:p w14:paraId="75756841"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342D690B"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4D23A655"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6BB0F4D3"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7EAD3CB5" w14:textId="77777777" w:rsidR="00700A0B" w:rsidRPr="0028077E" w:rsidRDefault="00700A0B" w:rsidP="00700A0B">
            <w:pPr>
              <w:jc w:val="center"/>
              <w:rPr>
                <w:rFonts w:eastAsia="Times New Roman"/>
                <w:color w:val="000000"/>
                <w:sz w:val="18"/>
                <w:szCs w:val="18"/>
                <w:lang w:eastAsia="lv-LV"/>
              </w:rPr>
            </w:pPr>
          </w:p>
        </w:tc>
      </w:tr>
      <w:tr w:rsidR="00700A0B" w:rsidRPr="00FC0326" w14:paraId="7373B10E" w14:textId="77777777" w:rsidTr="00214BEB">
        <w:trPr>
          <w:trHeight w:val="312"/>
        </w:trPr>
        <w:tc>
          <w:tcPr>
            <w:tcW w:w="1715" w:type="dxa"/>
            <w:shd w:val="clear" w:color="auto" w:fill="auto"/>
          </w:tcPr>
          <w:p w14:paraId="0C13AEBD"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6A233B02" w14:textId="77777777" w:rsidR="00570FED" w:rsidRPr="00505985" w:rsidRDefault="00570FED" w:rsidP="00700A0B">
            <w:pPr>
              <w:jc w:val="both"/>
              <w:rPr>
                <w:rFonts w:cs="Times New Roman"/>
                <w:b/>
                <w:color w:val="000000"/>
                <w:sz w:val="18"/>
                <w:szCs w:val="18"/>
              </w:rPr>
            </w:pPr>
            <w:r w:rsidRPr="00505985">
              <w:rPr>
                <w:rFonts w:cs="Times New Roman"/>
                <w:b/>
                <w:color w:val="000000"/>
                <w:sz w:val="18"/>
                <w:szCs w:val="18"/>
              </w:rPr>
              <w:t>1.2.(5) pasākums</w:t>
            </w:r>
          </w:p>
          <w:p w14:paraId="649BBE53" w14:textId="77777777" w:rsidR="00700A0B" w:rsidRPr="0028077E" w:rsidRDefault="00700A0B" w:rsidP="00700A0B">
            <w:pPr>
              <w:jc w:val="both"/>
              <w:rPr>
                <w:rFonts w:eastAsia="Times New Roman"/>
                <w:iCs/>
                <w:sz w:val="18"/>
                <w:szCs w:val="18"/>
                <w:lang w:eastAsia="lv-LV"/>
              </w:rPr>
            </w:pPr>
            <w:r w:rsidRPr="000310E5">
              <w:rPr>
                <w:rFonts w:cs="Times New Roman"/>
                <w:color w:val="000000"/>
                <w:sz w:val="18"/>
                <w:szCs w:val="18"/>
              </w:rPr>
              <w:t>Organizētas pirmās NILLTFN dienas.</w:t>
            </w:r>
          </w:p>
        </w:tc>
        <w:tc>
          <w:tcPr>
            <w:tcW w:w="1139" w:type="dxa"/>
            <w:shd w:val="clear" w:color="auto" w:fill="auto"/>
          </w:tcPr>
          <w:p w14:paraId="45E166FF"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73390D3D" w14:textId="77777777" w:rsidR="00700A0B" w:rsidRPr="0028077E" w:rsidRDefault="00700A0B" w:rsidP="00700A0B">
            <w:pPr>
              <w:jc w:val="center"/>
              <w:rPr>
                <w:sz w:val="18"/>
                <w:szCs w:val="18"/>
              </w:rPr>
            </w:pPr>
          </w:p>
        </w:tc>
        <w:tc>
          <w:tcPr>
            <w:tcW w:w="856" w:type="dxa"/>
            <w:shd w:val="clear" w:color="auto" w:fill="auto"/>
            <w:noWrap/>
            <w:vAlign w:val="bottom"/>
          </w:tcPr>
          <w:p w14:paraId="6EBDDDBC" w14:textId="77777777" w:rsidR="00700A0B" w:rsidRPr="0028077E" w:rsidRDefault="00700A0B" w:rsidP="00700A0B">
            <w:pPr>
              <w:jc w:val="center"/>
              <w:rPr>
                <w:sz w:val="18"/>
                <w:szCs w:val="18"/>
              </w:rPr>
            </w:pPr>
          </w:p>
        </w:tc>
        <w:tc>
          <w:tcPr>
            <w:tcW w:w="992" w:type="dxa"/>
            <w:shd w:val="clear" w:color="auto" w:fill="auto"/>
            <w:noWrap/>
            <w:vAlign w:val="bottom"/>
          </w:tcPr>
          <w:p w14:paraId="04F069D0" w14:textId="77777777" w:rsidR="00700A0B" w:rsidRPr="0028077E" w:rsidRDefault="00700A0B" w:rsidP="00700A0B">
            <w:pPr>
              <w:jc w:val="center"/>
              <w:rPr>
                <w:sz w:val="18"/>
                <w:szCs w:val="18"/>
              </w:rPr>
            </w:pPr>
          </w:p>
        </w:tc>
        <w:tc>
          <w:tcPr>
            <w:tcW w:w="992" w:type="dxa"/>
            <w:shd w:val="clear" w:color="auto" w:fill="auto"/>
            <w:noWrap/>
            <w:vAlign w:val="bottom"/>
          </w:tcPr>
          <w:p w14:paraId="1618156D"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40 000</w:t>
            </w:r>
          </w:p>
        </w:tc>
        <w:tc>
          <w:tcPr>
            <w:tcW w:w="993" w:type="dxa"/>
            <w:shd w:val="clear" w:color="auto" w:fill="auto"/>
            <w:noWrap/>
            <w:vAlign w:val="bottom"/>
          </w:tcPr>
          <w:p w14:paraId="34FAA74D"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0EF1115D"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5133CED6"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4B92CE78"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5A07AC8E" w14:textId="77777777" w:rsidR="00700A0B" w:rsidRPr="0028077E" w:rsidRDefault="00700A0B" w:rsidP="00700A0B">
            <w:pPr>
              <w:jc w:val="center"/>
              <w:rPr>
                <w:rFonts w:eastAsia="Times New Roman"/>
                <w:color w:val="000000"/>
                <w:sz w:val="18"/>
                <w:szCs w:val="18"/>
                <w:lang w:eastAsia="lv-LV"/>
              </w:rPr>
            </w:pPr>
          </w:p>
        </w:tc>
      </w:tr>
      <w:tr w:rsidR="00700A0B" w:rsidRPr="00FC0326" w14:paraId="4D57B0A8" w14:textId="77777777" w:rsidTr="00214BEB">
        <w:trPr>
          <w:trHeight w:val="312"/>
        </w:trPr>
        <w:tc>
          <w:tcPr>
            <w:tcW w:w="1715" w:type="dxa"/>
            <w:shd w:val="clear" w:color="auto" w:fill="auto"/>
          </w:tcPr>
          <w:p w14:paraId="385C4E63"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4837FFCF" w14:textId="77777777" w:rsidR="00570FED" w:rsidRPr="00505985" w:rsidRDefault="00570FED" w:rsidP="00700A0B">
            <w:pPr>
              <w:jc w:val="both"/>
              <w:rPr>
                <w:rFonts w:cs="Times New Roman"/>
                <w:b/>
                <w:color w:val="000000"/>
                <w:sz w:val="18"/>
                <w:szCs w:val="18"/>
              </w:rPr>
            </w:pPr>
            <w:r w:rsidRPr="00505985">
              <w:rPr>
                <w:rFonts w:cs="Times New Roman"/>
                <w:b/>
                <w:color w:val="000000"/>
                <w:sz w:val="18"/>
                <w:szCs w:val="18"/>
              </w:rPr>
              <w:t>1.2.(4) pasākums</w:t>
            </w:r>
          </w:p>
          <w:p w14:paraId="275D8BDB" w14:textId="77777777" w:rsidR="00700A0B" w:rsidRPr="0028077E" w:rsidRDefault="00700A0B" w:rsidP="00700A0B">
            <w:pPr>
              <w:jc w:val="both"/>
              <w:rPr>
                <w:rFonts w:eastAsia="Times New Roman"/>
                <w:iCs/>
                <w:sz w:val="18"/>
                <w:szCs w:val="18"/>
                <w:lang w:eastAsia="lv-LV"/>
              </w:rPr>
            </w:pPr>
            <w:r w:rsidRPr="000310E5">
              <w:rPr>
                <w:rFonts w:cs="Times New Roman"/>
                <w:color w:val="000000"/>
                <w:sz w:val="18"/>
                <w:szCs w:val="18"/>
              </w:rPr>
              <w:t>Izstrādāti informatīvi bukleti par NILLTFN subjektu, UKI un citu personu vajadzībām.</w:t>
            </w:r>
          </w:p>
        </w:tc>
        <w:tc>
          <w:tcPr>
            <w:tcW w:w="1139" w:type="dxa"/>
            <w:shd w:val="clear" w:color="auto" w:fill="auto"/>
          </w:tcPr>
          <w:p w14:paraId="4ACB1A5D"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6CBF3866" w14:textId="77777777" w:rsidR="00700A0B" w:rsidRPr="0028077E" w:rsidRDefault="00700A0B" w:rsidP="00700A0B">
            <w:pPr>
              <w:jc w:val="center"/>
              <w:rPr>
                <w:sz w:val="18"/>
                <w:szCs w:val="18"/>
              </w:rPr>
            </w:pPr>
          </w:p>
        </w:tc>
        <w:tc>
          <w:tcPr>
            <w:tcW w:w="856" w:type="dxa"/>
            <w:shd w:val="clear" w:color="auto" w:fill="auto"/>
            <w:noWrap/>
            <w:vAlign w:val="bottom"/>
          </w:tcPr>
          <w:p w14:paraId="7EE3A05B" w14:textId="77777777" w:rsidR="00700A0B" w:rsidRPr="0028077E" w:rsidRDefault="00700A0B" w:rsidP="00700A0B">
            <w:pPr>
              <w:jc w:val="center"/>
              <w:rPr>
                <w:sz w:val="18"/>
                <w:szCs w:val="18"/>
              </w:rPr>
            </w:pPr>
          </w:p>
        </w:tc>
        <w:tc>
          <w:tcPr>
            <w:tcW w:w="992" w:type="dxa"/>
            <w:shd w:val="clear" w:color="auto" w:fill="auto"/>
            <w:noWrap/>
            <w:vAlign w:val="bottom"/>
          </w:tcPr>
          <w:p w14:paraId="7D8BB446" w14:textId="77777777" w:rsidR="00700A0B" w:rsidRPr="0028077E" w:rsidRDefault="00700A0B" w:rsidP="00700A0B">
            <w:pPr>
              <w:jc w:val="center"/>
              <w:rPr>
                <w:sz w:val="18"/>
                <w:szCs w:val="18"/>
              </w:rPr>
            </w:pPr>
          </w:p>
        </w:tc>
        <w:tc>
          <w:tcPr>
            <w:tcW w:w="992" w:type="dxa"/>
            <w:shd w:val="clear" w:color="auto" w:fill="auto"/>
            <w:noWrap/>
            <w:vAlign w:val="bottom"/>
          </w:tcPr>
          <w:p w14:paraId="738FCCF3"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2000</w:t>
            </w:r>
          </w:p>
        </w:tc>
        <w:tc>
          <w:tcPr>
            <w:tcW w:w="993" w:type="dxa"/>
            <w:shd w:val="clear" w:color="auto" w:fill="auto"/>
            <w:noWrap/>
            <w:vAlign w:val="bottom"/>
          </w:tcPr>
          <w:p w14:paraId="6EB6794A"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69580531"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70CC05A2"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5E011A13"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6B523F6A" w14:textId="77777777" w:rsidR="00700A0B" w:rsidRPr="0028077E" w:rsidRDefault="00700A0B" w:rsidP="00700A0B">
            <w:pPr>
              <w:jc w:val="center"/>
              <w:rPr>
                <w:rFonts w:eastAsia="Times New Roman"/>
                <w:color w:val="000000"/>
                <w:sz w:val="18"/>
                <w:szCs w:val="18"/>
                <w:lang w:eastAsia="lv-LV"/>
              </w:rPr>
            </w:pPr>
          </w:p>
        </w:tc>
      </w:tr>
      <w:tr w:rsidR="00700A0B" w:rsidRPr="00FC0326" w14:paraId="1891D9A3" w14:textId="77777777" w:rsidTr="00214BEB">
        <w:trPr>
          <w:trHeight w:val="312"/>
        </w:trPr>
        <w:tc>
          <w:tcPr>
            <w:tcW w:w="1715" w:type="dxa"/>
            <w:shd w:val="clear" w:color="auto" w:fill="auto"/>
          </w:tcPr>
          <w:p w14:paraId="3820ED48"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623BAB3C" w14:textId="77777777" w:rsidR="00570FED" w:rsidRPr="00505985" w:rsidRDefault="00570FED" w:rsidP="00700A0B">
            <w:pPr>
              <w:jc w:val="both"/>
              <w:rPr>
                <w:rFonts w:cs="Times New Roman"/>
                <w:b/>
                <w:sz w:val="20"/>
                <w:szCs w:val="20"/>
              </w:rPr>
            </w:pPr>
            <w:r w:rsidRPr="00505985">
              <w:rPr>
                <w:rFonts w:cs="Times New Roman"/>
                <w:b/>
                <w:sz w:val="20"/>
                <w:szCs w:val="20"/>
              </w:rPr>
              <w:t>1.2.(1) pasākums</w:t>
            </w:r>
          </w:p>
          <w:p w14:paraId="262512F6" w14:textId="77777777" w:rsidR="00700A0B" w:rsidRPr="0028077E" w:rsidRDefault="00700A0B" w:rsidP="00700A0B">
            <w:pPr>
              <w:jc w:val="both"/>
              <w:rPr>
                <w:rFonts w:eastAsia="Times New Roman"/>
                <w:iCs/>
                <w:sz w:val="18"/>
                <w:szCs w:val="18"/>
                <w:lang w:eastAsia="lv-LV"/>
              </w:rPr>
            </w:pPr>
            <w:r w:rsidRPr="00B228C0">
              <w:rPr>
                <w:rFonts w:cs="Times New Roman"/>
                <w:sz w:val="20"/>
                <w:szCs w:val="20"/>
              </w:rPr>
              <w:t>Moneyval 5.kārtas novērtēšanas ziņojums iztulkots latviešu valodā</w:t>
            </w:r>
            <w:r>
              <w:rPr>
                <w:rFonts w:cs="Times New Roman"/>
                <w:sz w:val="20"/>
                <w:szCs w:val="20"/>
              </w:rPr>
              <w:t xml:space="preserve"> un veikta sabiedrības informēšana</w:t>
            </w:r>
            <w:r w:rsidRPr="00B228C0">
              <w:rPr>
                <w:rFonts w:cs="Times New Roman"/>
                <w:sz w:val="20"/>
                <w:szCs w:val="20"/>
              </w:rPr>
              <w:t>.</w:t>
            </w:r>
          </w:p>
        </w:tc>
        <w:tc>
          <w:tcPr>
            <w:tcW w:w="1139" w:type="dxa"/>
            <w:shd w:val="clear" w:color="auto" w:fill="auto"/>
          </w:tcPr>
          <w:p w14:paraId="77552C00"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1985E487" w14:textId="77777777" w:rsidR="00700A0B" w:rsidRPr="0028077E" w:rsidRDefault="00700A0B" w:rsidP="00700A0B">
            <w:pPr>
              <w:jc w:val="center"/>
              <w:rPr>
                <w:sz w:val="18"/>
                <w:szCs w:val="18"/>
              </w:rPr>
            </w:pPr>
          </w:p>
        </w:tc>
        <w:tc>
          <w:tcPr>
            <w:tcW w:w="856" w:type="dxa"/>
            <w:shd w:val="clear" w:color="auto" w:fill="auto"/>
            <w:noWrap/>
            <w:vAlign w:val="bottom"/>
          </w:tcPr>
          <w:p w14:paraId="409CD181" w14:textId="77777777" w:rsidR="00700A0B" w:rsidRPr="0028077E" w:rsidRDefault="00700A0B" w:rsidP="00700A0B">
            <w:pPr>
              <w:jc w:val="center"/>
              <w:rPr>
                <w:sz w:val="18"/>
                <w:szCs w:val="18"/>
              </w:rPr>
            </w:pPr>
          </w:p>
        </w:tc>
        <w:tc>
          <w:tcPr>
            <w:tcW w:w="992" w:type="dxa"/>
            <w:shd w:val="clear" w:color="auto" w:fill="auto"/>
            <w:noWrap/>
            <w:vAlign w:val="bottom"/>
          </w:tcPr>
          <w:p w14:paraId="5B1E201F" w14:textId="77777777" w:rsidR="00700A0B" w:rsidRPr="0028077E" w:rsidRDefault="00700A0B" w:rsidP="00700A0B">
            <w:pPr>
              <w:jc w:val="center"/>
              <w:rPr>
                <w:sz w:val="18"/>
                <w:szCs w:val="18"/>
              </w:rPr>
            </w:pPr>
          </w:p>
        </w:tc>
        <w:tc>
          <w:tcPr>
            <w:tcW w:w="992" w:type="dxa"/>
            <w:shd w:val="clear" w:color="auto" w:fill="auto"/>
            <w:noWrap/>
            <w:vAlign w:val="bottom"/>
          </w:tcPr>
          <w:p w14:paraId="2DC3326F"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4000</w:t>
            </w:r>
          </w:p>
        </w:tc>
        <w:tc>
          <w:tcPr>
            <w:tcW w:w="993" w:type="dxa"/>
            <w:shd w:val="clear" w:color="auto" w:fill="auto"/>
            <w:noWrap/>
            <w:vAlign w:val="bottom"/>
          </w:tcPr>
          <w:p w14:paraId="347298C1"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2B5AE215"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589FFB6C"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0C7D3621"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3A9245F0" w14:textId="77777777" w:rsidR="00700A0B" w:rsidRPr="0028077E" w:rsidRDefault="00700A0B" w:rsidP="00700A0B">
            <w:pPr>
              <w:jc w:val="center"/>
              <w:rPr>
                <w:rFonts w:eastAsia="Times New Roman"/>
                <w:color w:val="000000"/>
                <w:sz w:val="18"/>
                <w:szCs w:val="18"/>
                <w:lang w:eastAsia="lv-LV"/>
              </w:rPr>
            </w:pPr>
          </w:p>
        </w:tc>
      </w:tr>
      <w:tr w:rsidR="00700A0B" w:rsidRPr="00FC0326" w14:paraId="0AFD22B8" w14:textId="77777777" w:rsidTr="00214BEB">
        <w:trPr>
          <w:trHeight w:val="312"/>
        </w:trPr>
        <w:tc>
          <w:tcPr>
            <w:tcW w:w="1715" w:type="dxa"/>
            <w:shd w:val="clear" w:color="auto" w:fill="auto"/>
          </w:tcPr>
          <w:p w14:paraId="2E5706B3"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5BA8DB9D" w14:textId="77777777" w:rsidR="00700A0B" w:rsidRPr="0028077E" w:rsidRDefault="000712C7" w:rsidP="000712C7">
            <w:pPr>
              <w:jc w:val="both"/>
              <w:rPr>
                <w:rFonts w:eastAsia="Times New Roman"/>
                <w:iCs/>
                <w:sz w:val="18"/>
                <w:szCs w:val="18"/>
                <w:lang w:eastAsia="lv-LV"/>
              </w:rPr>
            </w:pPr>
            <w:r w:rsidRPr="00505985">
              <w:rPr>
                <w:rFonts w:cs="Times New Roman"/>
                <w:b/>
                <w:color w:val="000000"/>
                <w:sz w:val="18"/>
                <w:szCs w:val="18"/>
              </w:rPr>
              <w:t>4.6.(1)pasākums</w:t>
            </w:r>
            <w:r w:rsidR="00700A0B" w:rsidRPr="000310E5">
              <w:rPr>
                <w:rFonts w:cs="Times New Roman"/>
                <w:color w:val="000000"/>
                <w:sz w:val="18"/>
                <w:szCs w:val="18"/>
              </w:rPr>
              <w:t xml:space="preserve"> Aktualizētas tipoloģijas. Tulkojums angļu valodā.</w:t>
            </w:r>
          </w:p>
        </w:tc>
        <w:tc>
          <w:tcPr>
            <w:tcW w:w="1139" w:type="dxa"/>
            <w:shd w:val="clear" w:color="auto" w:fill="auto"/>
          </w:tcPr>
          <w:p w14:paraId="77FE0706"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67606E15" w14:textId="77777777" w:rsidR="00700A0B" w:rsidRPr="0028077E" w:rsidRDefault="00700A0B" w:rsidP="00700A0B">
            <w:pPr>
              <w:jc w:val="center"/>
              <w:rPr>
                <w:sz w:val="18"/>
                <w:szCs w:val="18"/>
              </w:rPr>
            </w:pPr>
          </w:p>
        </w:tc>
        <w:tc>
          <w:tcPr>
            <w:tcW w:w="856" w:type="dxa"/>
            <w:shd w:val="clear" w:color="auto" w:fill="auto"/>
            <w:noWrap/>
            <w:vAlign w:val="bottom"/>
          </w:tcPr>
          <w:p w14:paraId="796C1409" w14:textId="77777777" w:rsidR="00700A0B" w:rsidRPr="0028077E" w:rsidRDefault="00700A0B" w:rsidP="00700A0B">
            <w:pPr>
              <w:jc w:val="center"/>
              <w:rPr>
                <w:sz w:val="18"/>
                <w:szCs w:val="18"/>
              </w:rPr>
            </w:pPr>
          </w:p>
        </w:tc>
        <w:tc>
          <w:tcPr>
            <w:tcW w:w="992" w:type="dxa"/>
            <w:shd w:val="clear" w:color="auto" w:fill="auto"/>
            <w:noWrap/>
            <w:vAlign w:val="bottom"/>
          </w:tcPr>
          <w:p w14:paraId="42499980" w14:textId="77777777" w:rsidR="00700A0B" w:rsidRPr="0028077E" w:rsidRDefault="00700A0B" w:rsidP="00700A0B">
            <w:pPr>
              <w:jc w:val="center"/>
              <w:rPr>
                <w:sz w:val="18"/>
                <w:szCs w:val="18"/>
              </w:rPr>
            </w:pPr>
          </w:p>
        </w:tc>
        <w:tc>
          <w:tcPr>
            <w:tcW w:w="992" w:type="dxa"/>
            <w:shd w:val="clear" w:color="auto" w:fill="auto"/>
            <w:noWrap/>
            <w:vAlign w:val="bottom"/>
          </w:tcPr>
          <w:p w14:paraId="1C92A3A3"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1000</w:t>
            </w:r>
          </w:p>
        </w:tc>
        <w:tc>
          <w:tcPr>
            <w:tcW w:w="993" w:type="dxa"/>
            <w:shd w:val="clear" w:color="auto" w:fill="auto"/>
            <w:noWrap/>
            <w:vAlign w:val="bottom"/>
          </w:tcPr>
          <w:p w14:paraId="409C596A"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491F0FFF"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47B59755"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1C7B6EB9"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465376B0" w14:textId="77777777" w:rsidR="00700A0B" w:rsidRPr="0028077E" w:rsidRDefault="00700A0B" w:rsidP="00700A0B">
            <w:pPr>
              <w:jc w:val="center"/>
              <w:rPr>
                <w:rFonts w:eastAsia="Times New Roman"/>
                <w:color w:val="000000"/>
                <w:sz w:val="18"/>
                <w:szCs w:val="18"/>
                <w:lang w:eastAsia="lv-LV"/>
              </w:rPr>
            </w:pPr>
          </w:p>
        </w:tc>
      </w:tr>
      <w:tr w:rsidR="00700A0B" w:rsidRPr="00FC0326" w14:paraId="25E9BB41" w14:textId="77777777" w:rsidTr="00214BEB">
        <w:trPr>
          <w:trHeight w:val="312"/>
        </w:trPr>
        <w:tc>
          <w:tcPr>
            <w:tcW w:w="1715" w:type="dxa"/>
            <w:shd w:val="clear" w:color="auto" w:fill="auto"/>
          </w:tcPr>
          <w:p w14:paraId="2C29AC16"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55BB8728" w14:textId="77777777" w:rsidR="00700A0B" w:rsidRPr="007909DF" w:rsidRDefault="00700A0B" w:rsidP="00E42972">
            <w:pPr>
              <w:jc w:val="both"/>
              <w:rPr>
                <w:rFonts w:eastAsia="Times New Roman"/>
                <w:b/>
                <w:iCs/>
                <w:sz w:val="18"/>
                <w:szCs w:val="18"/>
                <w:lang w:eastAsia="lv-LV"/>
              </w:rPr>
            </w:pPr>
            <w:r w:rsidRPr="007909DF">
              <w:rPr>
                <w:rFonts w:eastAsia="Times New Roman"/>
                <w:b/>
                <w:iCs/>
                <w:sz w:val="18"/>
                <w:szCs w:val="18"/>
                <w:lang w:eastAsia="lv-LV"/>
              </w:rPr>
              <w:t>6.</w:t>
            </w:r>
            <w:r w:rsidR="0014039B">
              <w:rPr>
                <w:rFonts w:eastAsia="Times New Roman"/>
                <w:b/>
                <w:iCs/>
                <w:sz w:val="18"/>
                <w:szCs w:val="18"/>
                <w:lang w:eastAsia="lv-LV"/>
              </w:rPr>
              <w:t>5</w:t>
            </w:r>
            <w:r w:rsidR="00E42972">
              <w:rPr>
                <w:rFonts w:eastAsia="Times New Roman"/>
                <w:b/>
                <w:iCs/>
                <w:sz w:val="18"/>
                <w:szCs w:val="18"/>
                <w:lang w:eastAsia="lv-LV"/>
              </w:rPr>
              <w:t>.</w:t>
            </w:r>
            <w:r w:rsidR="00E42972" w:rsidRPr="00505985">
              <w:rPr>
                <w:rFonts w:cs="Times New Roman"/>
                <w:b/>
                <w:sz w:val="18"/>
                <w:szCs w:val="18"/>
              </w:rPr>
              <w:t xml:space="preserve"> pasākums</w:t>
            </w:r>
          </w:p>
        </w:tc>
        <w:tc>
          <w:tcPr>
            <w:tcW w:w="1139" w:type="dxa"/>
            <w:shd w:val="clear" w:color="auto" w:fill="auto"/>
          </w:tcPr>
          <w:p w14:paraId="163CE818"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39A09D09" w14:textId="77777777" w:rsidR="00700A0B" w:rsidRPr="0028077E" w:rsidRDefault="00700A0B" w:rsidP="00700A0B">
            <w:pPr>
              <w:jc w:val="center"/>
              <w:rPr>
                <w:sz w:val="18"/>
                <w:szCs w:val="18"/>
              </w:rPr>
            </w:pPr>
          </w:p>
        </w:tc>
        <w:tc>
          <w:tcPr>
            <w:tcW w:w="856" w:type="dxa"/>
            <w:shd w:val="clear" w:color="auto" w:fill="auto"/>
            <w:noWrap/>
            <w:vAlign w:val="bottom"/>
          </w:tcPr>
          <w:p w14:paraId="61B54493" w14:textId="77777777" w:rsidR="00700A0B" w:rsidRPr="0028077E" w:rsidRDefault="00700A0B" w:rsidP="00700A0B">
            <w:pPr>
              <w:jc w:val="center"/>
              <w:rPr>
                <w:sz w:val="18"/>
                <w:szCs w:val="18"/>
              </w:rPr>
            </w:pPr>
          </w:p>
        </w:tc>
        <w:tc>
          <w:tcPr>
            <w:tcW w:w="992" w:type="dxa"/>
            <w:shd w:val="clear" w:color="auto" w:fill="auto"/>
            <w:noWrap/>
            <w:vAlign w:val="bottom"/>
          </w:tcPr>
          <w:p w14:paraId="0214A13C" w14:textId="77777777" w:rsidR="00700A0B" w:rsidRPr="0028077E" w:rsidRDefault="00700A0B" w:rsidP="00700A0B">
            <w:pPr>
              <w:jc w:val="center"/>
              <w:rPr>
                <w:sz w:val="18"/>
                <w:szCs w:val="18"/>
              </w:rPr>
            </w:pPr>
          </w:p>
        </w:tc>
        <w:tc>
          <w:tcPr>
            <w:tcW w:w="992" w:type="dxa"/>
            <w:shd w:val="clear" w:color="auto" w:fill="auto"/>
            <w:noWrap/>
            <w:vAlign w:val="bottom"/>
          </w:tcPr>
          <w:p w14:paraId="6C7A2880" w14:textId="77777777" w:rsidR="00700A0B" w:rsidRPr="0028077E" w:rsidRDefault="00700A0B" w:rsidP="00700A0B">
            <w:pPr>
              <w:jc w:val="center"/>
              <w:rPr>
                <w:rFonts w:eastAsia="Times New Roman"/>
                <w:color w:val="000000"/>
                <w:sz w:val="18"/>
                <w:szCs w:val="18"/>
                <w:lang w:eastAsia="lv-LV"/>
              </w:rPr>
            </w:pPr>
          </w:p>
        </w:tc>
        <w:tc>
          <w:tcPr>
            <w:tcW w:w="993" w:type="dxa"/>
            <w:shd w:val="clear" w:color="auto" w:fill="auto"/>
            <w:noWrap/>
            <w:vAlign w:val="bottom"/>
          </w:tcPr>
          <w:p w14:paraId="2570AF10"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6EF8CD41"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59E72BA6"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14827505"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6BD00200" w14:textId="77777777" w:rsidR="00700A0B" w:rsidRPr="0028077E" w:rsidRDefault="00700A0B" w:rsidP="00700A0B">
            <w:pPr>
              <w:jc w:val="center"/>
              <w:rPr>
                <w:rFonts w:eastAsia="Times New Roman"/>
                <w:color w:val="000000"/>
                <w:sz w:val="18"/>
                <w:szCs w:val="18"/>
                <w:lang w:eastAsia="lv-LV"/>
              </w:rPr>
            </w:pPr>
          </w:p>
        </w:tc>
      </w:tr>
      <w:tr w:rsidR="00700A0B" w:rsidRPr="00FC0326" w14:paraId="01770505" w14:textId="77777777" w:rsidTr="00214BEB">
        <w:trPr>
          <w:trHeight w:val="312"/>
        </w:trPr>
        <w:tc>
          <w:tcPr>
            <w:tcW w:w="1715" w:type="dxa"/>
            <w:shd w:val="clear" w:color="auto" w:fill="auto"/>
          </w:tcPr>
          <w:p w14:paraId="12C16CD4"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2178CE0B" w14:textId="77777777" w:rsidR="00BF3562" w:rsidRPr="00505985" w:rsidRDefault="00BF3562" w:rsidP="00700A0B">
            <w:pPr>
              <w:jc w:val="both"/>
              <w:rPr>
                <w:rFonts w:cs="Times New Roman"/>
                <w:b/>
                <w:sz w:val="18"/>
                <w:szCs w:val="18"/>
              </w:rPr>
            </w:pPr>
            <w:r w:rsidRPr="00505985">
              <w:rPr>
                <w:rFonts w:cs="Times New Roman"/>
                <w:b/>
                <w:sz w:val="18"/>
                <w:szCs w:val="18"/>
              </w:rPr>
              <w:t>6.5.(</w:t>
            </w:r>
            <w:r w:rsidR="00700A0B" w:rsidRPr="00505985">
              <w:rPr>
                <w:rFonts w:cs="Times New Roman"/>
                <w:b/>
                <w:sz w:val="18"/>
                <w:szCs w:val="18"/>
              </w:rPr>
              <w:t>2</w:t>
            </w:r>
            <w:r w:rsidRPr="00505985">
              <w:rPr>
                <w:rFonts w:cs="Times New Roman"/>
                <w:b/>
                <w:sz w:val="18"/>
                <w:szCs w:val="18"/>
              </w:rPr>
              <w:t>) pasākums</w:t>
            </w:r>
          </w:p>
          <w:p w14:paraId="32854B59" w14:textId="77777777" w:rsidR="00700A0B" w:rsidRPr="0028077E" w:rsidRDefault="00700A0B" w:rsidP="00214BEB">
            <w:pPr>
              <w:jc w:val="both"/>
              <w:rPr>
                <w:rFonts w:eastAsia="Times New Roman"/>
                <w:iCs/>
                <w:sz w:val="18"/>
                <w:szCs w:val="18"/>
                <w:lang w:eastAsia="lv-LV"/>
              </w:rPr>
            </w:pPr>
            <w:r w:rsidRPr="000310E5">
              <w:rPr>
                <w:rFonts w:cs="Times New Roman"/>
                <w:color w:val="000000"/>
                <w:sz w:val="18"/>
                <w:szCs w:val="18"/>
              </w:rPr>
              <w:t>Izvērtēta KD programmnodrošinājuma efektivitāte un sagatavoti priekšlikumi par nepieciešamajiem uzlabojumiem datu apstrādē un analīzē.  IT sistēmu attīstība</w:t>
            </w:r>
          </w:p>
        </w:tc>
        <w:tc>
          <w:tcPr>
            <w:tcW w:w="1139" w:type="dxa"/>
            <w:shd w:val="clear" w:color="auto" w:fill="auto"/>
          </w:tcPr>
          <w:p w14:paraId="3EA85685"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5B0C0734" w14:textId="77777777" w:rsidR="00700A0B" w:rsidRPr="0028077E" w:rsidRDefault="00700A0B" w:rsidP="00700A0B">
            <w:pPr>
              <w:jc w:val="center"/>
              <w:rPr>
                <w:sz w:val="18"/>
                <w:szCs w:val="18"/>
              </w:rPr>
            </w:pPr>
          </w:p>
        </w:tc>
        <w:tc>
          <w:tcPr>
            <w:tcW w:w="856" w:type="dxa"/>
            <w:shd w:val="clear" w:color="auto" w:fill="auto"/>
            <w:noWrap/>
            <w:vAlign w:val="bottom"/>
          </w:tcPr>
          <w:p w14:paraId="777D3C64" w14:textId="77777777" w:rsidR="00700A0B" w:rsidRPr="0028077E" w:rsidRDefault="00700A0B" w:rsidP="00700A0B">
            <w:pPr>
              <w:jc w:val="center"/>
              <w:rPr>
                <w:sz w:val="18"/>
                <w:szCs w:val="18"/>
              </w:rPr>
            </w:pPr>
          </w:p>
        </w:tc>
        <w:tc>
          <w:tcPr>
            <w:tcW w:w="992" w:type="dxa"/>
            <w:shd w:val="clear" w:color="auto" w:fill="auto"/>
            <w:noWrap/>
            <w:vAlign w:val="bottom"/>
          </w:tcPr>
          <w:p w14:paraId="1A82B4C1" w14:textId="77777777" w:rsidR="00700A0B" w:rsidRPr="0028077E" w:rsidRDefault="00700A0B" w:rsidP="00700A0B">
            <w:pPr>
              <w:jc w:val="center"/>
              <w:rPr>
                <w:sz w:val="18"/>
                <w:szCs w:val="18"/>
              </w:rPr>
            </w:pPr>
          </w:p>
        </w:tc>
        <w:tc>
          <w:tcPr>
            <w:tcW w:w="992" w:type="dxa"/>
            <w:shd w:val="clear" w:color="auto" w:fill="auto"/>
            <w:noWrap/>
            <w:vAlign w:val="bottom"/>
          </w:tcPr>
          <w:p w14:paraId="235CFD4C" w14:textId="77777777" w:rsidR="00700A0B" w:rsidRPr="0028077E" w:rsidRDefault="00EB7979" w:rsidP="00700A0B">
            <w:pPr>
              <w:jc w:val="center"/>
              <w:rPr>
                <w:rFonts w:eastAsia="Times New Roman"/>
                <w:color w:val="000000"/>
                <w:sz w:val="18"/>
                <w:szCs w:val="18"/>
                <w:lang w:eastAsia="lv-LV"/>
              </w:rPr>
            </w:pPr>
            <w:r>
              <w:rPr>
                <w:rFonts w:eastAsia="Times New Roman"/>
                <w:color w:val="000000"/>
                <w:sz w:val="18"/>
                <w:szCs w:val="18"/>
                <w:lang w:eastAsia="lv-LV"/>
              </w:rPr>
              <w:t>451</w:t>
            </w:r>
            <w:r w:rsidR="00700A0B">
              <w:rPr>
                <w:rFonts w:eastAsia="Times New Roman"/>
                <w:color w:val="000000"/>
                <w:sz w:val="18"/>
                <w:szCs w:val="18"/>
                <w:lang w:eastAsia="lv-LV"/>
              </w:rPr>
              <w:t xml:space="preserve"> 000</w:t>
            </w:r>
          </w:p>
        </w:tc>
        <w:tc>
          <w:tcPr>
            <w:tcW w:w="993" w:type="dxa"/>
            <w:shd w:val="clear" w:color="auto" w:fill="auto"/>
            <w:noWrap/>
            <w:vAlign w:val="bottom"/>
          </w:tcPr>
          <w:p w14:paraId="416E1464" w14:textId="77777777" w:rsidR="00700A0B" w:rsidRPr="0028077E" w:rsidRDefault="00EB7979" w:rsidP="00700A0B">
            <w:pPr>
              <w:jc w:val="center"/>
              <w:rPr>
                <w:rFonts w:eastAsia="Times New Roman"/>
                <w:color w:val="000000"/>
                <w:sz w:val="18"/>
                <w:szCs w:val="18"/>
                <w:lang w:eastAsia="lv-LV"/>
              </w:rPr>
            </w:pPr>
            <w:r>
              <w:rPr>
                <w:rFonts w:eastAsia="Times New Roman"/>
                <w:color w:val="000000"/>
                <w:sz w:val="18"/>
                <w:szCs w:val="18"/>
                <w:lang w:eastAsia="lv-LV"/>
              </w:rPr>
              <w:t>13</w:t>
            </w:r>
            <w:r w:rsidR="00700A0B">
              <w:rPr>
                <w:rFonts w:eastAsia="Times New Roman"/>
                <w:color w:val="000000"/>
                <w:sz w:val="18"/>
                <w:szCs w:val="18"/>
                <w:lang w:eastAsia="lv-LV"/>
              </w:rPr>
              <w:t>5 000</w:t>
            </w:r>
          </w:p>
        </w:tc>
        <w:tc>
          <w:tcPr>
            <w:tcW w:w="992" w:type="dxa"/>
            <w:shd w:val="clear" w:color="auto" w:fill="auto"/>
            <w:noWrap/>
            <w:vAlign w:val="bottom"/>
          </w:tcPr>
          <w:p w14:paraId="37111A9E" w14:textId="77777777" w:rsidR="00700A0B" w:rsidRPr="0028077E" w:rsidRDefault="00EB7979" w:rsidP="00700A0B">
            <w:pPr>
              <w:jc w:val="center"/>
              <w:rPr>
                <w:rFonts w:eastAsia="Times New Roman"/>
                <w:color w:val="000000"/>
                <w:sz w:val="18"/>
                <w:szCs w:val="18"/>
                <w:lang w:eastAsia="lv-LV"/>
              </w:rPr>
            </w:pPr>
            <w:r>
              <w:rPr>
                <w:rFonts w:eastAsia="Times New Roman"/>
                <w:color w:val="000000"/>
                <w:sz w:val="18"/>
                <w:szCs w:val="18"/>
                <w:lang w:eastAsia="lv-LV"/>
              </w:rPr>
              <w:t>13</w:t>
            </w:r>
            <w:r w:rsidR="00700A0B">
              <w:rPr>
                <w:rFonts w:eastAsia="Times New Roman"/>
                <w:color w:val="000000"/>
                <w:sz w:val="18"/>
                <w:szCs w:val="18"/>
                <w:lang w:eastAsia="lv-LV"/>
              </w:rPr>
              <w:t>5 000</w:t>
            </w:r>
          </w:p>
        </w:tc>
        <w:tc>
          <w:tcPr>
            <w:tcW w:w="1134" w:type="dxa"/>
            <w:shd w:val="clear" w:color="auto" w:fill="auto"/>
            <w:noWrap/>
            <w:vAlign w:val="bottom"/>
          </w:tcPr>
          <w:p w14:paraId="2636F485"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254F52FB" w14:textId="77777777" w:rsidR="00700A0B" w:rsidRPr="0028077E" w:rsidRDefault="00EB7979" w:rsidP="00700A0B">
            <w:pPr>
              <w:jc w:val="center"/>
              <w:rPr>
                <w:rFonts w:eastAsia="Times New Roman"/>
                <w:color w:val="000000"/>
                <w:sz w:val="18"/>
                <w:szCs w:val="18"/>
                <w:lang w:eastAsia="lv-LV"/>
              </w:rPr>
            </w:pPr>
            <w:r>
              <w:rPr>
                <w:rFonts w:eastAsia="Times New Roman"/>
                <w:color w:val="000000"/>
                <w:sz w:val="18"/>
                <w:szCs w:val="18"/>
                <w:lang w:eastAsia="lv-LV"/>
              </w:rPr>
              <w:t>13</w:t>
            </w:r>
            <w:r w:rsidR="00700A0B">
              <w:rPr>
                <w:rFonts w:eastAsia="Times New Roman"/>
                <w:color w:val="000000"/>
                <w:sz w:val="18"/>
                <w:szCs w:val="18"/>
                <w:lang w:eastAsia="lv-LV"/>
              </w:rPr>
              <w:t>5 000</w:t>
            </w:r>
          </w:p>
        </w:tc>
        <w:tc>
          <w:tcPr>
            <w:tcW w:w="1326" w:type="dxa"/>
            <w:shd w:val="clear" w:color="auto" w:fill="auto"/>
            <w:noWrap/>
            <w:vAlign w:val="bottom"/>
          </w:tcPr>
          <w:p w14:paraId="6F2F37A7" w14:textId="77777777" w:rsidR="00700A0B" w:rsidRPr="0028077E" w:rsidRDefault="00700A0B" w:rsidP="00700A0B">
            <w:pPr>
              <w:jc w:val="center"/>
              <w:rPr>
                <w:rFonts w:eastAsia="Times New Roman"/>
                <w:color w:val="000000"/>
                <w:sz w:val="18"/>
                <w:szCs w:val="18"/>
                <w:lang w:eastAsia="lv-LV"/>
              </w:rPr>
            </w:pPr>
          </w:p>
        </w:tc>
      </w:tr>
      <w:tr w:rsidR="00700A0B" w:rsidRPr="00FC0326" w14:paraId="51ADAB12" w14:textId="77777777" w:rsidTr="00214BEB">
        <w:trPr>
          <w:trHeight w:val="312"/>
        </w:trPr>
        <w:tc>
          <w:tcPr>
            <w:tcW w:w="1715" w:type="dxa"/>
            <w:shd w:val="clear" w:color="auto" w:fill="auto"/>
          </w:tcPr>
          <w:p w14:paraId="4E085454"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3097E73F" w14:textId="77777777" w:rsidR="00BF3562" w:rsidRPr="00505985" w:rsidRDefault="00BF3562" w:rsidP="00700A0B">
            <w:pPr>
              <w:jc w:val="both"/>
              <w:rPr>
                <w:rFonts w:cs="Times New Roman"/>
                <w:b/>
                <w:color w:val="000000"/>
                <w:sz w:val="18"/>
                <w:szCs w:val="18"/>
              </w:rPr>
            </w:pPr>
            <w:r w:rsidRPr="00505985">
              <w:rPr>
                <w:rFonts w:cs="Times New Roman"/>
                <w:b/>
                <w:color w:val="000000"/>
                <w:sz w:val="18"/>
                <w:szCs w:val="18"/>
              </w:rPr>
              <w:t>6.5.(</w:t>
            </w:r>
            <w:r w:rsidR="00700A0B" w:rsidRPr="00505985">
              <w:rPr>
                <w:rFonts w:cs="Times New Roman"/>
                <w:b/>
                <w:color w:val="000000"/>
                <w:sz w:val="18"/>
                <w:szCs w:val="18"/>
              </w:rPr>
              <w:t>3</w:t>
            </w:r>
            <w:r w:rsidRPr="00505985">
              <w:rPr>
                <w:rFonts w:cs="Times New Roman"/>
                <w:b/>
                <w:color w:val="000000"/>
                <w:sz w:val="18"/>
                <w:szCs w:val="18"/>
              </w:rPr>
              <w:t>) pasākums</w:t>
            </w:r>
          </w:p>
          <w:p w14:paraId="4E8F1AD3" w14:textId="77777777" w:rsidR="00700A0B" w:rsidRPr="0028077E" w:rsidRDefault="00700A0B" w:rsidP="00700A0B">
            <w:pPr>
              <w:jc w:val="both"/>
              <w:rPr>
                <w:rFonts w:eastAsia="Times New Roman"/>
                <w:iCs/>
                <w:sz w:val="18"/>
                <w:szCs w:val="18"/>
                <w:lang w:eastAsia="lv-LV"/>
              </w:rPr>
            </w:pPr>
            <w:r w:rsidRPr="000310E5">
              <w:rPr>
                <w:rFonts w:cs="Times New Roman"/>
                <w:color w:val="000000"/>
                <w:sz w:val="18"/>
                <w:szCs w:val="18"/>
              </w:rPr>
              <w:t>KD darbinieku apmācība</w:t>
            </w:r>
          </w:p>
        </w:tc>
        <w:tc>
          <w:tcPr>
            <w:tcW w:w="1139" w:type="dxa"/>
            <w:shd w:val="clear" w:color="auto" w:fill="auto"/>
          </w:tcPr>
          <w:p w14:paraId="630500AB"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51F78F2A" w14:textId="77777777" w:rsidR="00700A0B" w:rsidRPr="0028077E" w:rsidRDefault="00700A0B" w:rsidP="00700A0B">
            <w:pPr>
              <w:jc w:val="center"/>
              <w:rPr>
                <w:sz w:val="18"/>
                <w:szCs w:val="18"/>
              </w:rPr>
            </w:pPr>
          </w:p>
        </w:tc>
        <w:tc>
          <w:tcPr>
            <w:tcW w:w="856" w:type="dxa"/>
            <w:shd w:val="clear" w:color="auto" w:fill="auto"/>
            <w:noWrap/>
            <w:vAlign w:val="bottom"/>
          </w:tcPr>
          <w:p w14:paraId="213C1F71" w14:textId="77777777" w:rsidR="00700A0B" w:rsidRPr="0028077E" w:rsidRDefault="00700A0B" w:rsidP="00700A0B">
            <w:pPr>
              <w:jc w:val="center"/>
              <w:rPr>
                <w:sz w:val="18"/>
                <w:szCs w:val="18"/>
              </w:rPr>
            </w:pPr>
          </w:p>
        </w:tc>
        <w:tc>
          <w:tcPr>
            <w:tcW w:w="992" w:type="dxa"/>
            <w:shd w:val="clear" w:color="auto" w:fill="auto"/>
            <w:noWrap/>
            <w:vAlign w:val="bottom"/>
          </w:tcPr>
          <w:p w14:paraId="1A8EFC15" w14:textId="77777777" w:rsidR="00700A0B" w:rsidRPr="0028077E" w:rsidRDefault="00700A0B" w:rsidP="00700A0B">
            <w:pPr>
              <w:jc w:val="center"/>
              <w:rPr>
                <w:sz w:val="18"/>
                <w:szCs w:val="18"/>
              </w:rPr>
            </w:pPr>
          </w:p>
        </w:tc>
        <w:tc>
          <w:tcPr>
            <w:tcW w:w="992" w:type="dxa"/>
            <w:shd w:val="clear" w:color="auto" w:fill="auto"/>
            <w:noWrap/>
            <w:vAlign w:val="bottom"/>
          </w:tcPr>
          <w:p w14:paraId="7A6976C9"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50 000</w:t>
            </w:r>
          </w:p>
        </w:tc>
        <w:tc>
          <w:tcPr>
            <w:tcW w:w="993" w:type="dxa"/>
            <w:shd w:val="clear" w:color="auto" w:fill="auto"/>
            <w:noWrap/>
            <w:vAlign w:val="bottom"/>
          </w:tcPr>
          <w:p w14:paraId="3AFEEFF6"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61487C6B"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34D9FCB9"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29C1159B"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6F66B153" w14:textId="77777777" w:rsidR="00700A0B" w:rsidRPr="0028077E" w:rsidRDefault="00700A0B" w:rsidP="00700A0B">
            <w:pPr>
              <w:jc w:val="center"/>
              <w:rPr>
                <w:rFonts w:eastAsia="Times New Roman"/>
                <w:color w:val="000000"/>
                <w:sz w:val="18"/>
                <w:szCs w:val="18"/>
                <w:lang w:eastAsia="lv-LV"/>
              </w:rPr>
            </w:pPr>
          </w:p>
        </w:tc>
      </w:tr>
      <w:tr w:rsidR="00700A0B" w:rsidRPr="00FC0326" w14:paraId="4A6C3A7D" w14:textId="77777777" w:rsidTr="00214BEB">
        <w:trPr>
          <w:trHeight w:val="312"/>
        </w:trPr>
        <w:tc>
          <w:tcPr>
            <w:tcW w:w="1715" w:type="dxa"/>
            <w:shd w:val="clear" w:color="auto" w:fill="auto"/>
          </w:tcPr>
          <w:p w14:paraId="0E88BD5D"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2ED55AE0" w14:textId="77777777" w:rsidR="00BF3562" w:rsidRPr="00505985" w:rsidRDefault="00BF3562" w:rsidP="00700A0B">
            <w:pPr>
              <w:jc w:val="both"/>
              <w:rPr>
                <w:rFonts w:cs="Times New Roman"/>
                <w:b/>
                <w:sz w:val="18"/>
                <w:szCs w:val="18"/>
              </w:rPr>
            </w:pPr>
            <w:r w:rsidRPr="00505985">
              <w:rPr>
                <w:rFonts w:cs="Times New Roman"/>
                <w:b/>
                <w:sz w:val="18"/>
                <w:szCs w:val="18"/>
              </w:rPr>
              <w:t>6.5.(</w:t>
            </w:r>
            <w:r w:rsidR="00700A0B" w:rsidRPr="00505985">
              <w:rPr>
                <w:rFonts w:cs="Times New Roman"/>
                <w:b/>
                <w:sz w:val="18"/>
                <w:szCs w:val="18"/>
              </w:rPr>
              <w:t>4</w:t>
            </w:r>
            <w:r w:rsidRPr="00505985">
              <w:rPr>
                <w:rFonts w:cs="Times New Roman"/>
                <w:b/>
                <w:sz w:val="18"/>
                <w:szCs w:val="18"/>
              </w:rPr>
              <w:t>)pasākums</w:t>
            </w:r>
          </w:p>
          <w:p w14:paraId="4A0BFECB" w14:textId="77777777" w:rsidR="00700A0B" w:rsidRPr="0028077E" w:rsidRDefault="00700A0B" w:rsidP="00700A0B">
            <w:pPr>
              <w:jc w:val="both"/>
              <w:rPr>
                <w:rFonts w:eastAsia="Times New Roman"/>
                <w:iCs/>
                <w:sz w:val="18"/>
                <w:szCs w:val="18"/>
                <w:lang w:eastAsia="lv-LV"/>
              </w:rPr>
            </w:pPr>
            <w:r w:rsidRPr="000310E5">
              <w:rPr>
                <w:rFonts w:cs="Times New Roman"/>
                <w:color w:val="000000"/>
                <w:sz w:val="18"/>
                <w:szCs w:val="18"/>
              </w:rPr>
              <w:t>KD iekārtotas darba vietas jaunajiem darbiniekiem un uzsākts darbs jaunās telpās</w:t>
            </w:r>
          </w:p>
        </w:tc>
        <w:tc>
          <w:tcPr>
            <w:tcW w:w="1139" w:type="dxa"/>
            <w:shd w:val="clear" w:color="auto" w:fill="auto"/>
          </w:tcPr>
          <w:p w14:paraId="493A8D29"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66462872" w14:textId="77777777" w:rsidR="00700A0B" w:rsidRPr="0028077E" w:rsidRDefault="00700A0B" w:rsidP="00700A0B">
            <w:pPr>
              <w:jc w:val="center"/>
              <w:rPr>
                <w:sz w:val="18"/>
                <w:szCs w:val="18"/>
              </w:rPr>
            </w:pPr>
          </w:p>
        </w:tc>
        <w:tc>
          <w:tcPr>
            <w:tcW w:w="856" w:type="dxa"/>
            <w:shd w:val="clear" w:color="auto" w:fill="auto"/>
            <w:noWrap/>
            <w:vAlign w:val="bottom"/>
          </w:tcPr>
          <w:p w14:paraId="2C8A935A" w14:textId="77777777" w:rsidR="00700A0B" w:rsidRPr="0028077E" w:rsidRDefault="00700A0B" w:rsidP="00700A0B">
            <w:pPr>
              <w:jc w:val="center"/>
              <w:rPr>
                <w:sz w:val="18"/>
                <w:szCs w:val="18"/>
              </w:rPr>
            </w:pPr>
          </w:p>
        </w:tc>
        <w:tc>
          <w:tcPr>
            <w:tcW w:w="992" w:type="dxa"/>
            <w:shd w:val="clear" w:color="auto" w:fill="auto"/>
            <w:noWrap/>
            <w:vAlign w:val="bottom"/>
          </w:tcPr>
          <w:p w14:paraId="5B43B9C9" w14:textId="77777777" w:rsidR="00700A0B" w:rsidRPr="0028077E" w:rsidRDefault="00700A0B" w:rsidP="00700A0B">
            <w:pPr>
              <w:jc w:val="center"/>
              <w:rPr>
                <w:sz w:val="18"/>
                <w:szCs w:val="18"/>
              </w:rPr>
            </w:pPr>
          </w:p>
        </w:tc>
        <w:tc>
          <w:tcPr>
            <w:tcW w:w="992" w:type="dxa"/>
            <w:shd w:val="clear" w:color="auto" w:fill="auto"/>
            <w:noWrap/>
            <w:vAlign w:val="bottom"/>
          </w:tcPr>
          <w:p w14:paraId="503B48E8"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150 000</w:t>
            </w:r>
          </w:p>
        </w:tc>
        <w:tc>
          <w:tcPr>
            <w:tcW w:w="993" w:type="dxa"/>
            <w:shd w:val="clear" w:color="auto" w:fill="auto"/>
            <w:noWrap/>
            <w:vAlign w:val="bottom"/>
          </w:tcPr>
          <w:p w14:paraId="0D68D3E9"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09964D24"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661A1A18"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1267F785"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398F52E7" w14:textId="77777777" w:rsidR="00700A0B" w:rsidRPr="0028077E" w:rsidRDefault="00700A0B" w:rsidP="00700A0B">
            <w:pPr>
              <w:jc w:val="center"/>
              <w:rPr>
                <w:rFonts w:eastAsia="Times New Roman"/>
                <w:color w:val="000000"/>
                <w:sz w:val="18"/>
                <w:szCs w:val="18"/>
                <w:lang w:eastAsia="lv-LV"/>
              </w:rPr>
            </w:pPr>
          </w:p>
        </w:tc>
      </w:tr>
      <w:tr w:rsidR="00700A0B" w:rsidRPr="00FC0326" w14:paraId="0D75084E" w14:textId="77777777" w:rsidTr="00214BEB">
        <w:trPr>
          <w:trHeight w:val="312"/>
        </w:trPr>
        <w:tc>
          <w:tcPr>
            <w:tcW w:w="1715" w:type="dxa"/>
            <w:shd w:val="clear" w:color="auto" w:fill="auto"/>
          </w:tcPr>
          <w:p w14:paraId="350CADB2"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427048CD" w14:textId="77777777" w:rsidR="00236C5E" w:rsidRPr="00505985" w:rsidRDefault="00236C5E" w:rsidP="00700A0B">
            <w:pPr>
              <w:jc w:val="both"/>
              <w:rPr>
                <w:rFonts w:cs="Times New Roman"/>
                <w:b/>
                <w:color w:val="000000"/>
                <w:sz w:val="18"/>
                <w:szCs w:val="18"/>
              </w:rPr>
            </w:pPr>
            <w:r w:rsidRPr="00505985">
              <w:rPr>
                <w:rFonts w:cs="Times New Roman"/>
                <w:b/>
                <w:color w:val="000000"/>
                <w:sz w:val="18"/>
                <w:szCs w:val="18"/>
              </w:rPr>
              <w:t>6.1.(</w:t>
            </w:r>
            <w:r w:rsidR="00700A0B" w:rsidRPr="00505985">
              <w:rPr>
                <w:rFonts w:cs="Times New Roman"/>
                <w:b/>
                <w:color w:val="000000"/>
                <w:sz w:val="18"/>
                <w:szCs w:val="18"/>
              </w:rPr>
              <w:t>2</w:t>
            </w:r>
            <w:r w:rsidRPr="00505985">
              <w:rPr>
                <w:rFonts w:cs="Times New Roman"/>
                <w:b/>
                <w:color w:val="000000"/>
                <w:sz w:val="18"/>
                <w:szCs w:val="18"/>
              </w:rPr>
              <w:t>)</w:t>
            </w:r>
            <w:r w:rsidR="00700A0B" w:rsidRPr="00505985">
              <w:rPr>
                <w:rFonts w:cs="Times New Roman"/>
                <w:b/>
                <w:color w:val="000000"/>
                <w:sz w:val="18"/>
                <w:szCs w:val="18"/>
              </w:rPr>
              <w:t>.</w:t>
            </w:r>
            <w:r w:rsidRPr="00505985">
              <w:rPr>
                <w:rFonts w:cs="Times New Roman"/>
                <w:b/>
                <w:color w:val="000000"/>
                <w:sz w:val="18"/>
                <w:szCs w:val="18"/>
              </w:rPr>
              <w:t xml:space="preserve"> pasākums</w:t>
            </w:r>
          </w:p>
          <w:p w14:paraId="68A5B0B8" w14:textId="77777777" w:rsidR="00700A0B" w:rsidRPr="0028077E" w:rsidRDefault="00700A0B" w:rsidP="00700A0B">
            <w:pPr>
              <w:jc w:val="both"/>
              <w:rPr>
                <w:rFonts w:eastAsia="Times New Roman"/>
                <w:iCs/>
                <w:sz w:val="18"/>
                <w:szCs w:val="18"/>
                <w:lang w:eastAsia="lv-LV"/>
              </w:rPr>
            </w:pPr>
            <w:r w:rsidRPr="00C11F28">
              <w:rPr>
                <w:rFonts w:cs="Times New Roman"/>
                <w:sz w:val="20"/>
                <w:szCs w:val="20"/>
              </w:rPr>
              <w:lastRenderedPageBreak/>
              <w:t xml:space="preserve"> </w:t>
            </w:r>
            <w:r w:rsidRPr="00C11F28">
              <w:rPr>
                <w:rFonts w:cs="Times New Roman"/>
                <w:color w:val="000000"/>
                <w:sz w:val="18"/>
                <w:szCs w:val="18"/>
              </w:rPr>
              <w:t>KD, pēc atsevišķas vienošanās ar noteiktām subjektu grupām, veic to specializētu apmācību.</w:t>
            </w:r>
          </w:p>
        </w:tc>
        <w:tc>
          <w:tcPr>
            <w:tcW w:w="1139" w:type="dxa"/>
            <w:shd w:val="clear" w:color="auto" w:fill="auto"/>
          </w:tcPr>
          <w:p w14:paraId="3779714A"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48FBF3AE" w14:textId="77777777" w:rsidR="00700A0B" w:rsidRPr="0028077E" w:rsidRDefault="00700A0B" w:rsidP="00700A0B">
            <w:pPr>
              <w:jc w:val="center"/>
              <w:rPr>
                <w:sz w:val="18"/>
                <w:szCs w:val="18"/>
              </w:rPr>
            </w:pPr>
          </w:p>
        </w:tc>
        <w:tc>
          <w:tcPr>
            <w:tcW w:w="856" w:type="dxa"/>
            <w:shd w:val="clear" w:color="auto" w:fill="auto"/>
            <w:noWrap/>
            <w:vAlign w:val="bottom"/>
          </w:tcPr>
          <w:p w14:paraId="04C04536" w14:textId="77777777" w:rsidR="00700A0B" w:rsidRPr="0028077E" w:rsidRDefault="00700A0B" w:rsidP="00700A0B">
            <w:pPr>
              <w:jc w:val="center"/>
              <w:rPr>
                <w:sz w:val="18"/>
                <w:szCs w:val="18"/>
              </w:rPr>
            </w:pPr>
          </w:p>
        </w:tc>
        <w:tc>
          <w:tcPr>
            <w:tcW w:w="992" w:type="dxa"/>
            <w:shd w:val="clear" w:color="auto" w:fill="auto"/>
            <w:noWrap/>
            <w:vAlign w:val="bottom"/>
          </w:tcPr>
          <w:p w14:paraId="5F2BEAC7" w14:textId="77777777" w:rsidR="00700A0B" w:rsidRPr="0028077E" w:rsidRDefault="00700A0B" w:rsidP="00700A0B">
            <w:pPr>
              <w:jc w:val="center"/>
              <w:rPr>
                <w:sz w:val="18"/>
                <w:szCs w:val="18"/>
              </w:rPr>
            </w:pPr>
          </w:p>
        </w:tc>
        <w:tc>
          <w:tcPr>
            <w:tcW w:w="992" w:type="dxa"/>
            <w:shd w:val="clear" w:color="auto" w:fill="auto"/>
            <w:noWrap/>
            <w:vAlign w:val="bottom"/>
          </w:tcPr>
          <w:p w14:paraId="32DABD0B"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10 000</w:t>
            </w:r>
          </w:p>
        </w:tc>
        <w:tc>
          <w:tcPr>
            <w:tcW w:w="993" w:type="dxa"/>
            <w:shd w:val="clear" w:color="auto" w:fill="auto"/>
            <w:noWrap/>
            <w:vAlign w:val="bottom"/>
          </w:tcPr>
          <w:p w14:paraId="0C93264B"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0430AFD1"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5AD58A9D"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4D3390E3"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4E4A24DD" w14:textId="77777777" w:rsidR="00700A0B" w:rsidRPr="0028077E" w:rsidRDefault="00700A0B" w:rsidP="00700A0B">
            <w:pPr>
              <w:jc w:val="center"/>
              <w:rPr>
                <w:rFonts w:eastAsia="Times New Roman"/>
                <w:color w:val="000000"/>
                <w:sz w:val="18"/>
                <w:szCs w:val="18"/>
                <w:lang w:eastAsia="lv-LV"/>
              </w:rPr>
            </w:pPr>
          </w:p>
        </w:tc>
      </w:tr>
      <w:tr w:rsidR="00F17A58" w:rsidRPr="00FC0326" w14:paraId="5E967078" w14:textId="77777777" w:rsidTr="00214BEB">
        <w:trPr>
          <w:trHeight w:val="312"/>
        </w:trPr>
        <w:tc>
          <w:tcPr>
            <w:tcW w:w="1715" w:type="dxa"/>
            <w:shd w:val="clear" w:color="auto" w:fill="auto"/>
          </w:tcPr>
          <w:p w14:paraId="5DCC5FE4" w14:textId="77777777" w:rsidR="00F17A58" w:rsidRPr="009F4BA4" w:rsidRDefault="00F17A58" w:rsidP="00700A0B">
            <w:pPr>
              <w:jc w:val="center"/>
              <w:rPr>
                <w:rFonts w:eastAsia="Times New Roman"/>
                <w:sz w:val="20"/>
                <w:szCs w:val="20"/>
                <w:lang w:eastAsia="lv-LV"/>
              </w:rPr>
            </w:pPr>
          </w:p>
        </w:tc>
        <w:tc>
          <w:tcPr>
            <w:tcW w:w="2263" w:type="dxa"/>
            <w:shd w:val="clear" w:color="auto" w:fill="auto"/>
          </w:tcPr>
          <w:p w14:paraId="04879994" w14:textId="77777777" w:rsidR="00F17A58" w:rsidRDefault="00F17A58" w:rsidP="00275CC5">
            <w:pPr>
              <w:jc w:val="both"/>
              <w:rPr>
                <w:rFonts w:eastAsia="Times New Roman"/>
                <w:b/>
                <w:iCs/>
                <w:sz w:val="18"/>
                <w:szCs w:val="18"/>
                <w:lang w:eastAsia="lv-LV"/>
              </w:rPr>
            </w:pPr>
            <w:r>
              <w:rPr>
                <w:rFonts w:eastAsia="Times New Roman"/>
                <w:b/>
                <w:iCs/>
                <w:sz w:val="18"/>
                <w:szCs w:val="18"/>
                <w:lang w:eastAsia="lv-LV"/>
              </w:rPr>
              <w:t>6.5.</w:t>
            </w:r>
            <w:r w:rsidR="00065366">
              <w:rPr>
                <w:rFonts w:eastAsia="Times New Roman"/>
                <w:b/>
                <w:iCs/>
                <w:sz w:val="18"/>
                <w:szCs w:val="18"/>
                <w:lang w:eastAsia="lv-LV"/>
              </w:rPr>
              <w:t>(5)</w:t>
            </w:r>
            <w:r>
              <w:rPr>
                <w:rFonts w:eastAsia="Times New Roman"/>
                <w:b/>
                <w:iCs/>
                <w:sz w:val="18"/>
                <w:szCs w:val="18"/>
                <w:lang w:eastAsia="lv-LV"/>
              </w:rPr>
              <w:t xml:space="preserve"> pasākums  </w:t>
            </w:r>
          </w:p>
          <w:p w14:paraId="611B7DE2" w14:textId="77777777" w:rsidR="00F17A58" w:rsidRPr="00F17A58" w:rsidRDefault="00F17A58" w:rsidP="004A7EED">
            <w:pPr>
              <w:jc w:val="both"/>
              <w:rPr>
                <w:rFonts w:eastAsia="Times New Roman"/>
                <w:b/>
                <w:iCs/>
                <w:sz w:val="18"/>
                <w:szCs w:val="18"/>
                <w:lang w:eastAsia="lv-LV"/>
              </w:rPr>
            </w:pPr>
            <w:r w:rsidRPr="00F17A58">
              <w:rPr>
                <w:rFonts w:cs="Times New Roman"/>
                <w:sz w:val="18"/>
                <w:szCs w:val="18"/>
              </w:rPr>
              <w:t>Piesaistīts ārpakalpojuma sniedzējs ABLV pašlikvidācijas procesa gaitā veicamajai operacionālai un stratēģiskai analīzei u.c.</w:t>
            </w:r>
          </w:p>
        </w:tc>
        <w:tc>
          <w:tcPr>
            <w:tcW w:w="1139" w:type="dxa"/>
            <w:shd w:val="clear" w:color="auto" w:fill="auto"/>
          </w:tcPr>
          <w:p w14:paraId="76B92D00" w14:textId="77777777" w:rsidR="00F17A58" w:rsidRPr="0028077E" w:rsidRDefault="00F17A58" w:rsidP="00700A0B">
            <w:pPr>
              <w:jc w:val="center"/>
              <w:rPr>
                <w:rFonts w:eastAsia="Times New Roman"/>
                <w:sz w:val="18"/>
                <w:szCs w:val="18"/>
                <w:lang w:eastAsia="lv-LV"/>
              </w:rPr>
            </w:pPr>
          </w:p>
        </w:tc>
        <w:tc>
          <w:tcPr>
            <w:tcW w:w="987" w:type="dxa"/>
            <w:shd w:val="clear" w:color="auto" w:fill="auto"/>
            <w:noWrap/>
            <w:vAlign w:val="bottom"/>
          </w:tcPr>
          <w:p w14:paraId="39005A67" w14:textId="77777777" w:rsidR="00F17A58" w:rsidRPr="0028077E" w:rsidRDefault="00F17A58" w:rsidP="00700A0B">
            <w:pPr>
              <w:jc w:val="center"/>
              <w:rPr>
                <w:sz w:val="18"/>
                <w:szCs w:val="18"/>
              </w:rPr>
            </w:pPr>
          </w:p>
        </w:tc>
        <w:tc>
          <w:tcPr>
            <w:tcW w:w="856" w:type="dxa"/>
            <w:shd w:val="clear" w:color="auto" w:fill="auto"/>
            <w:noWrap/>
            <w:vAlign w:val="bottom"/>
          </w:tcPr>
          <w:p w14:paraId="5D98EF91" w14:textId="77777777" w:rsidR="00F17A58" w:rsidRPr="0028077E" w:rsidRDefault="00F17A58" w:rsidP="00700A0B">
            <w:pPr>
              <w:jc w:val="center"/>
              <w:rPr>
                <w:sz w:val="18"/>
                <w:szCs w:val="18"/>
              </w:rPr>
            </w:pPr>
          </w:p>
        </w:tc>
        <w:tc>
          <w:tcPr>
            <w:tcW w:w="992" w:type="dxa"/>
            <w:shd w:val="clear" w:color="auto" w:fill="auto"/>
            <w:noWrap/>
            <w:vAlign w:val="bottom"/>
          </w:tcPr>
          <w:p w14:paraId="4F2B78D3" w14:textId="77777777" w:rsidR="00F17A58" w:rsidRPr="0028077E" w:rsidRDefault="00F17A58" w:rsidP="00700A0B">
            <w:pPr>
              <w:jc w:val="center"/>
              <w:rPr>
                <w:sz w:val="18"/>
                <w:szCs w:val="18"/>
              </w:rPr>
            </w:pPr>
          </w:p>
        </w:tc>
        <w:tc>
          <w:tcPr>
            <w:tcW w:w="992" w:type="dxa"/>
            <w:shd w:val="clear" w:color="auto" w:fill="auto"/>
            <w:noWrap/>
            <w:vAlign w:val="bottom"/>
          </w:tcPr>
          <w:p w14:paraId="51C706C0" w14:textId="77777777" w:rsidR="00F17A58" w:rsidRPr="0028077E" w:rsidRDefault="009B1EEC" w:rsidP="00700A0B">
            <w:pPr>
              <w:jc w:val="center"/>
              <w:rPr>
                <w:rFonts w:eastAsia="Times New Roman"/>
                <w:color w:val="000000"/>
                <w:sz w:val="18"/>
                <w:szCs w:val="18"/>
                <w:lang w:eastAsia="lv-LV"/>
              </w:rPr>
            </w:pPr>
            <w:r>
              <w:rPr>
                <w:rFonts w:eastAsia="Times New Roman"/>
                <w:color w:val="000000"/>
                <w:sz w:val="18"/>
                <w:szCs w:val="18"/>
                <w:lang w:eastAsia="lv-LV"/>
              </w:rPr>
              <w:t>89</w:t>
            </w:r>
            <w:r w:rsidR="00F17A58">
              <w:rPr>
                <w:rFonts w:eastAsia="Times New Roman"/>
                <w:color w:val="000000"/>
                <w:sz w:val="18"/>
                <w:szCs w:val="18"/>
                <w:lang w:eastAsia="lv-LV"/>
              </w:rPr>
              <w:t>0000</w:t>
            </w:r>
          </w:p>
        </w:tc>
        <w:tc>
          <w:tcPr>
            <w:tcW w:w="993" w:type="dxa"/>
            <w:shd w:val="clear" w:color="auto" w:fill="auto"/>
            <w:noWrap/>
            <w:vAlign w:val="bottom"/>
          </w:tcPr>
          <w:p w14:paraId="5B5AD442" w14:textId="77777777" w:rsidR="00F17A58" w:rsidRPr="0028077E" w:rsidRDefault="009B1EEC" w:rsidP="00700A0B">
            <w:pPr>
              <w:jc w:val="center"/>
              <w:rPr>
                <w:rFonts w:eastAsia="Times New Roman"/>
                <w:color w:val="000000"/>
                <w:sz w:val="18"/>
                <w:szCs w:val="18"/>
                <w:lang w:eastAsia="lv-LV"/>
              </w:rPr>
            </w:pPr>
            <w:r>
              <w:rPr>
                <w:rFonts w:eastAsia="Times New Roman"/>
                <w:color w:val="000000"/>
                <w:sz w:val="18"/>
                <w:szCs w:val="18"/>
                <w:lang w:eastAsia="lv-LV"/>
              </w:rPr>
              <w:t>71</w:t>
            </w:r>
            <w:r w:rsidR="00F17A58">
              <w:rPr>
                <w:rFonts w:eastAsia="Times New Roman"/>
                <w:color w:val="000000"/>
                <w:sz w:val="18"/>
                <w:szCs w:val="18"/>
                <w:lang w:eastAsia="lv-LV"/>
              </w:rPr>
              <w:t>0000</w:t>
            </w:r>
          </w:p>
        </w:tc>
        <w:tc>
          <w:tcPr>
            <w:tcW w:w="992" w:type="dxa"/>
            <w:shd w:val="clear" w:color="auto" w:fill="auto"/>
            <w:noWrap/>
            <w:vAlign w:val="bottom"/>
          </w:tcPr>
          <w:p w14:paraId="468DC004" w14:textId="77777777" w:rsidR="00F17A58" w:rsidRPr="0028077E" w:rsidRDefault="00F17A58" w:rsidP="00700A0B">
            <w:pPr>
              <w:jc w:val="center"/>
              <w:rPr>
                <w:rFonts w:eastAsia="Times New Roman"/>
                <w:color w:val="000000"/>
                <w:sz w:val="18"/>
                <w:szCs w:val="18"/>
                <w:lang w:eastAsia="lv-LV"/>
              </w:rPr>
            </w:pPr>
          </w:p>
        </w:tc>
        <w:tc>
          <w:tcPr>
            <w:tcW w:w="1134" w:type="dxa"/>
            <w:shd w:val="clear" w:color="auto" w:fill="auto"/>
            <w:noWrap/>
            <w:vAlign w:val="bottom"/>
          </w:tcPr>
          <w:p w14:paraId="470C43B4" w14:textId="77777777" w:rsidR="00F17A58" w:rsidRPr="0028077E" w:rsidRDefault="00F17A58" w:rsidP="00700A0B">
            <w:pPr>
              <w:jc w:val="center"/>
              <w:rPr>
                <w:rFonts w:eastAsia="Times New Roman"/>
                <w:color w:val="000000"/>
                <w:sz w:val="18"/>
                <w:szCs w:val="18"/>
                <w:lang w:eastAsia="lv-LV"/>
              </w:rPr>
            </w:pPr>
          </w:p>
        </w:tc>
        <w:tc>
          <w:tcPr>
            <w:tcW w:w="1134" w:type="dxa"/>
            <w:shd w:val="clear" w:color="auto" w:fill="auto"/>
            <w:noWrap/>
            <w:vAlign w:val="bottom"/>
          </w:tcPr>
          <w:p w14:paraId="3C8E1999" w14:textId="77777777" w:rsidR="00F17A58" w:rsidRPr="0028077E" w:rsidRDefault="00F17A58" w:rsidP="00700A0B">
            <w:pPr>
              <w:jc w:val="center"/>
              <w:rPr>
                <w:rFonts w:eastAsia="Times New Roman"/>
                <w:color w:val="000000"/>
                <w:sz w:val="18"/>
                <w:szCs w:val="18"/>
                <w:lang w:eastAsia="lv-LV"/>
              </w:rPr>
            </w:pPr>
          </w:p>
        </w:tc>
        <w:tc>
          <w:tcPr>
            <w:tcW w:w="1326" w:type="dxa"/>
            <w:shd w:val="clear" w:color="auto" w:fill="auto"/>
            <w:noWrap/>
            <w:vAlign w:val="bottom"/>
          </w:tcPr>
          <w:p w14:paraId="3278C7D1" w14:textId="77777777" w:rsidR="00F17A58" w:rsidRPr="0028077E" w:rsidRDefault="00F17A58" w:rsidP="00700A0B">
            <w:pPr>
              <w:jc w:val="center"/>
              <w:rPr>
                <w:rFonts w:eastAsia="Times New Roman"/>
                <w:color w:val="000000"/>
                <w:sz w:val="18"/>
                <w:szCs w:val="18"/>
                <w:lang w:eastAsia="lv-LV"/>
              </w:rPr>
            </w:pPr>
          </w:p>
        </w:tc>
      </w:tr>
      <w:tr w:rsidR="00700A0B" w:rsidRPr="00FC0326" w14:paraId="4A0973B3" w14:textId="77777777" w:rsidTr="00214BEB">
        <w:trPr>
          <w:trHeight w:val="312"/>
        </w:trPr>
        <w:tc>
          <w:tcPr>
            <w:tcW w:w="1715" w:type="dxa"/>
            <w:shd w:val="clear" w:color="auto" w:fill="auto"/>
          </w:tcPr>
          <w:p w14:paraId="4C6599BD"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70C7C1F2" w14:textId="77777777" w:rsidR="004222ED" w:rsidRPr="00505985" w:rsidRDefault="004222ED" w:rsidP="00700A0B">
            <w:pPr>
              <w:jc w:val="both"/>
              <w:rPr>
                <w:rFonts w:cs="Times New Roman"/>
                <w:b/>
                <w:color w:val="000000"/>
                <w:sz w:val="18"/>
                <w:szCs w:val="18"/>
              </w:rPr>
            </w:pPr>
            <w:r w:rsidRPr="00505985">
              <w:rPr>
                <w:rFonts w:cs="Times New Roman"/>
                <w:b/>
                <w:color w:val="000000"/>
                <w:sz w:val="18"/>
                <w:szCs w:val="18"/>
              </w:rPr>
              <w:t>7.</w:t>
            </w:r>
            <w:r w:rsidR="0048177B">
              <w:rPr>
                <w:rFonts w:cs="Times New Roman"/>
                <w:b/>
                <w:color w:val="000000"/>
                <w:sz w:val="18"/>
                <w:szCs w:val="18"/>
              </w:rPr>
              <w:t>2</w:t>
            </w:r>
            <w:r w:rsidRPr="00505985">
              <w:rPr>
                <w:rFonts w:cs="Times New Roman"/>
                <w:b/>
                <w:color w:val="000000"/>
                <w:sz w:val="18"/>
                <w:szCs w:val="18"/>
              </w:rPr>
              <w:t>.pasākums</w:t>
            </w:r>
          </w:p>
          <w:p w14:paraId="3A685C66" w14:textId="77777777" w:rsidR="00700A0B" w:rsidRPr="0028077E" w:rsidRDefault="00700A0B" w:rsidP="00700A0B">
            <w:pPr>
              <w:jc w:val="both"/>
              <w:rPr>
                <w:rFonts w:eastAsia="Times New Roman"/>
                <w:iCs/>
                <w:sz w:val="18"/>
                <w:szCs w:val="18"/>
                <w:lang w:eastAsia="lv-LV"/>
              </w:rPr>
            </w:pPr>
            <w:r w:rsidRPr="000310E5">
              <w:rPr>
                <w:rFonts w:cs="Times New Roman"/>
                <w:color w:val="000000"/>
                <w:sz w:val="18"/>
                <w:szCs w:val="18"/>
              </w:rPr>
              <w:t>Izveidotas sadarbības koordinācijas grupas</w:t>
            </w:r>
          </w:p>
        </w:tc>
        <w:tc>
          <w:tcPr>
            <w:tcW w:w="1139" w:type="dxa"/>
            <w:shd w:val="clear" w:color="auto" w:fill="auto"/>
          </w:tcPr>
          <w:p w14:paraId="50AD75B8"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2989E452" w14:textId="77777777" w:rsidR="00700A0B" w:rsidRPr="0028077E" w:rsidRDefault="00700A0B" w:rsidP="00700A0B">
            <w:pPr>
              <w:jc w:val="center"/>
              <w:rPr>
                <w:sz w:val="18"/>
                <w:szCs w:val="18"/>
              </w:rPr>
            </w:pPr>
          </w:p>
        </w:tc>
        <w:tc>
          <w:tcPr>
            <w:tcW w:w="856" w:type="dxa"/>
            <w:shd w:val="clear" w:color="auto" w:fill="auto"/>
            <w:noWrap/>
            <w:vAlign w:val="bottom"/>
          </w:tcPr>
          <w:p w14:paraId="2A08D46A" w14:textId="77777777" w:rsidR="00700A0B" w:rsidRPr="0028077E" w:rsidRDefault="00700A0B" w:rsidP="00700A0B">
            <w:pPr>
              <w:jc w:val="center"/>
              <w:rPr>
                <w:sz w:val="18"/>
                <w:szCs w:val="18"/>
              </w:rPr>
            </w:pPr>
          </w:p>
        </w:tc>
        <w:tc>
          <w:tcPr>
            <w:tcW w:w="992" w:type="dxa"/>
            <w:shd w:val="clear" w:color="auto" w:fill="auto"/>
            <w:noWrap/>
            <w:vAlign w:val="bottom"/>
          </w:tcPr>
          <w:p w14:paraId="2FC9A9F2" w14:textId="77777777" w:rsidR="00700A0B" w:rsidRPr="0028077E" w:rsidRDefault="00700A0B" w:rsidP="00700A0B">
            <w:pPr>
              <w:jc w:val="center"/>
              <w:rPr>
                <w:sz w:val="18"/>
                <w:szCs w:val="18"/>
              </w:rPr>
            </w:pPr>
          </w:p>
        </w:tc>
        <w:tc>
          <w:tcPr>
            <w:tcW w:w="992" w:type="dxa"/>
            <w:shd w:val="clear" w:color="auto" w:fill="auto"/>
            <w:noWrap/>
            <w:vAlign w:val="bottom"/>
          </w:tcPr>
          <w:p w14:paraId="66896EAC"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5000</w:t>
            </w:r>
          </w:p>
        </w:tc>
        <w:tc>
          <w:tcPr>
            <w:tcW w:w="993" w:type="dxa"/>
            <w:shd w:val="clear" w:color="auto" w:fill="auto"/>
            <w:noWrap/>
            <w:vAlign w:val="bottom"/>
          </w:tcPr>
          <w:p w14:paraId="41679A72"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3E9CD8B6"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22329B08"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0A723E61"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5BCFB2C1" w14:textId="77777777" w:rsidR="00700A0B" w:rsidRPr="0028077E" w:rsidRDefault="00700A0B" w:rsidP="00700A0B">
            <w:pPr>
              <w:jc w:val="center"/>
              <w:rPr>
                <w:rFonts w:eastAsia="Times New Roman"/>
                <w:color w:val="000000"/>
                <w:sz w:val="18"/>
                <w:szCs w:val="18"/>
                <w:lang w:eastAsia="lv-LV"/>
              </w:rPr>
            </w:pPr>
          </w:p>
        </w:tc>
      </w:tr>
      <w:tr w:rsidR="00700A0B" w:rsidRPr="00FC0326" w14:paraId="65A4CF4D" w14:textId="77777777" w:rsidTr="00214BEB">
        <w:trPr>
          <w:trHeight w:val="312"/>
        </w:trPr>
        <w:tc>
          <w:tcPr>
            <w:tcW w:w="1715" w:type="dxa"/>
            <w:shd w:val="clear" w:color="auto" w:fill="auto"/>
          </w:tcPr>
          <w:p w14:paraId="67A86ED8"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43B145FC" w14:textId="77777777" w:rsidR="004222ED" w:rsidRPr="00505985" w:rsidRDefault="004222ED" w:rsidP="00700A0B">
            <w:pPr>
              <w:jc w:val="both"/>
              <w:rPr>
                <w:rFonts w:cs="Times New Roman"/>
                <w:b/>
                <w:sz w:val="18"/>
                <w:szCs w:val="18"/>
              </w:rPr>
            </w:pPr>
            <w:r w:rsidRPr="00505985">
              <w:rPr>
                <w:rFonts w:cs="Times New Roman"/>
                <w:b/>
                <w:sz w:val="18"/>
                <w:szCs w:val="18"/>
              </w:rPr>
              <w:t>9.1.pasākums</w:t>
            </w:r>
          </w:p>
          <w:p w14:paraId="02D6B582" w14:textId="77777777" w:rsidR="00700A0B" w:rsidRPr="0028077E" w:rsidRDefault="00700A0B" w:rsidP="00700A0B">
            <w:pPr>
              <w:jc w:val="both"/>
              <w:rPr>
                <w:rFonts w:eastAsia="Times New Roman"/>
                <w:iCs/>
                <w:sz w:val="18"/>
                <w:szCs w:val="18"/>
                <w:lang w:eastAsia="lv-LV"/>
              </w:rPr>
            </w:pPr>
            <w:r w:rsidRPr="000310E5">
              <w:rPr>
                <w:rFonts w:cs="Times New Roman"/>
                <w:sz w:val="18"/>
                <w:szCs w:val="18"/>
              </w:rPr>
              <w:t>Izstrādāts Nacionālais terorisma un proliferācijas finansēšanas risku ziņojums par 2017.-2018.gadu. Tulkojums angļu valodā.</w:t>
            </w:r>
          </w:p>
        </w:tc>
        <w:tc>
          <w:tcPr>
            <w:tcW w:w="1139" w:type="dxa"/>
            <w:shd w:val="clear" w:color="auto" w:fill="auto"/>
          </w:tcPr>
          <w:p w14:paraId="01FDF15B"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0620DB39" w14:textId="77777777" w:rsidR="00700A0B" w:rsidRPr="0028077E" w:rsidRDefault="00700A0B" w:rsidP="00700A0B">
            <w:pPr>
              <w:jc w:val="center"/>
              <w:rPr>
                <w:sz w:val="18"/>
                <w:szCs w:val="18"/>
              </w:rPr>
            </w:pPr>
          </w:p>
        </w:tc>
        <w:tc>
          <w:tcPr>
            <w:tcW w:w="856" w:type="dxa"/>
            <w:shd w:val="clear" w:color="auto" w:fill="auto"/>
            <w:noWrap/>
            <w:vAlign w:val="bottom"/>
          </w:tcPr>
          <w:p w14:paraId="3586D5CC" w14:textId="77777777" w:rsidR="00700A0B" w:rsidRPr="0028077E" w:rsidRDefault="00700A0B" w:rsidP="00700A0B">
            <w:pPr>
              <w:jc w:val="center"/>
              <w:rPr>
                <w:sz w:val="18"/>
                <w:szCs w:val="18"/>
              </w:rPr>
            </w:pPr>
          </w:p>
        </w:tc>
        <w:tc>
          <w:tcPr>
            <w:tcW w:w="992" w:type="dxa"/>
            <w:shd w:val="clear" w:color="auto" w:fill="auto"/>
            <w:noWrap/>
            <w:vAlign w:val="bottom"/>
          </w:tcPr>
          <w:p w14:paraId="10C4B8E3" w14:textId="77777777" w:rsidR="00700A0B" w:rsidRPr="0028077E" w:rsidRDefault="00700A0B" w:rsidP="00700A0B">
            <w:pPr>
              <w:jc w:val="center"/>
              <w:rPr>
                <w:sz w:val="18"/>
                <w:szCs w:val="18"/>
              </w:rPr>
            </w:pPr>
          </w:p>
        </w:tc>
        <w:tc>
          <w:tcPr>
            <w:tcW w:w="992" w:type="dxa"/>
            <w:shd w:val="clear" w:color="auto" w:fill="auto"/>
            <w:noWrap/>
            <w:vAlign w:val="bottom"/>
          </w:tcPr>
          <w:p w14:paraId="65F5848D"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3000</w:t>
            </w:r>
          </w:p>
        </w:tc>
        <w:tc>
          <w:tcPr>
            <w:tcW w:w="993" w:type="dxa"/>
            <w:shd w:val="clear" w:color="auto" w:fill="auto"/>
            <w:noWrap/>
            <w:vAlign w:val="bottom"/>
          </w:tcPr>
          <w:p w14:paraId="16EAF5E2"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4EE79EB7"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26C0B47D"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49D8E95D"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217D7957" w14:textId="77777777" w:rsidR="00700A0B" w:rsidRPr="0028077E" w:rsidRDefault="00700A0B" w:rsidP="00700A0B">
            <w:pPr>
              <w:jc w:val="center"/>
              <w:rPr>
                <w:rFonts w:eastAsia="Times New Roman"/>
                <w:color w:val="000000"/>
                <w:sz w:val="18"/>
                <w:szCs w:val="18"/>
                <w:lang w:eastAsia="lv-LV"/>
              </w:rPr>
            </w:pPr>
          </w:p>
        </w:tc>
      </w:tr>
      <w:tr w:rsidR="00700A0B" w:rsidRPr="00FC0326" w14:paraId="3753714A" w14:textId="77777777" w:rsidTr="00214BEB">
        <w:trPr>
          <w:trHeight w:val="412"/>
        </w:trPr>
        <w:tc>
          <w:tcPr>
            <w:tcW w:w="1715" w:type="dxa"/>
            <w:shd w:val="clear" w:color="auto" w:fill="auto"/>
          </w:tcPr>
          <w:p w14:paraId="7EB1AEDC"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018E31BA" w14:textId="77777777" w:rsidR="00570FED" w:rsidRPr="00505985" w:rsidRDefault="00570FED" w:rsidP="00700A0B">
            <w:pPr>
              <w:jc w:val="both"/>
              <w:rPr>
                <w:rFonts w:cs="Times New Roman"/>
                <w:b/>
                <w:color w:val="000000"/>
                <w:sz w:val="18"/>
                <w:szCs w:val="18"/>
              </w:rPr>
            </w:pPr>
            <w:r w:rsidRPr="00505985">
              <w:rPr>
                <w:rFonts w:cs="Times New Roman"/>
                <w:b/>
                <w:color w:val="000000"/>
                <w:sz w:val="18"/>
                <w:szCs w:val="18"/>
              </w:rPr>
              <w:t>11.5.pasākums</w:t>
            </w:r>
          </w:p>
          <w:p w14:paraId="47164D2A" w14:textId="77777777" w:rsidR="00700A0B" w:rsidRPr="0028077E" w:rsidRDefault="00700A0B" w:rsidP="00700A0B">
            <w:pPr>
              <w:jc w:val="both"/>
              <w:rPr>
                <w:rFonts w:eastAsia="Times New Roman"/>
                <w:iCs/>
                <w:sz w:val="18"/>
                <w:szCs w:val="18"/>
                <w:lang w:eastAsia="lv-LV"/>
              </w:rPr>
            </w:pPr>
            <w:r w:rsidRPr="000310E5">
              <w:rPr>
                <w:rFonts w:cs="Times New Roman"/>
                <w:color w:val="000000"/>
                <w:sz w:val="18"/>
                <w:szCs w:val="18"/>
              </w:rPr>
              <w:t>KD sadarbībā ar Moneyval sekretariātu un FATF rīko starptautiska līmeņa konferenci Rīgā par Latvijas pieredzi IO11 ieviešanā ar starptautisku ekspertu, pārējo Moneyval dalībvalstu delegāciju dalību</w:t>
            </w:r>
          </w:p>
        </w:tc>
        <w:tc>
          <w:tcPr>
            <w:tcW w:w="1139" w:type="dxa"/>
            <w:shd w:val="clear" w:color="auto" w:fill="auto"/>
          </w:tcPr>
          <w:p w14:paraId="3D9B1E9F"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02F2A151" w14:textId="77777777" w:rsidR="00700A0B" w:rsidRPr="0028077E" w:rsidRDefault="00700A0B" w:rsidP="00700A0B">
            <w:pPr>
              <w:jc w:val="center"/>
              <w:rPr>
                <w:sz w:val="18"/>
                <w:szCs w:val="18"/>
              </w:rPr>
            </w:pPr>
          </w:p>
        </w:tc>
        <w:tc>
          <w:tcPr>
            <w:tcW w:w="856" w:type="dxa"/>
            <w:shd w:val="clear" w:color="auto" w:fill="auto"/>
            <w:noWrap/>
            <w:vAlign w:val="bottom"/>
          </w:tcPr>
          <w:p w14:paraId="312354F4" w14:textId="77777777" w:rsidR="00700A0B" w:rsidRPr="0028077E" w:rsidRDefault="00700A0B" w:rsidP="00700A0B">
            <w:pPr>
              <w:jc w:val="center"/>
              <w:rPr>
                <w:sz w:val="18"/>
                <w:szCs w:val="18"/>
              </w:rPr>
            </w:pPr>
          </w:p>
        </w:tc>
        <w:tc>
          <w:tcPr>
            <w:tcW w:w="992" w:type="dxa"/>
            <w:shd w:val="clear" w:color="auto" w:fill="auto"/>
            <w:noWrap/>
            <w:vAlign w:val="bottom"/>
          </w:tcPr>
          <w:p w14:paraId="337ED4C8" w14:textId="77777777" w:rsidR="00700A0B" w:rsidRPr="0028077E" w:rsidRDefault="00700A0B" w:rsidP="00700A0B">
            <w:pPr>
              <w:jc w:val="center"/>
              <w:rPr>
                <w:sz w:val="18"/>
                <w:szCs w:val="18"/>
              </w:rPr>
            </w:pPr>
          </w:p>
        </w:tc>
        <w:tc>
          <w:tcPr>
            <w:tcW w:w="992" w:type="dxa"/>
            <w:shd w:val="clear" w:color="auto" w:fill="auto"/>
            <w:noWrap/>
            <w:vAlign w:val="bottom"/>
          </w:tcPr>
          <w:p w14:paraId="23B5D9B8" w14:textId="77777777" w:rsidR="00700A0B" w:rsidRPr="0028077E" w:rsidRDefault="00700A0B" w:rsidP="00700A0B">
            <w:pPr>
              <w:jc w:val="center"/>
              <w:rPr>
                <w:rFonts w:eastAsia="Times New Roman"/>
                <w:color w:val="000000"/>
                <w:sz w:val="18"/>
                <w:szCs w:val="18"/>
                <w:lang w:eastAsia="lv-LV"/>
              </w:rPr>
            </w:pPr>
            <w:r>
              <w:rPr>
                <w:rFonts w:eastAsia="Times New Roman"/>
                <w:color w:val="000000"/>
                <w:sz w:val="18"/>
                <w:szCs w:val="18"/>
                <w:lang w:eastAsia="lv-LV"/>
              </w:rPr>
              <w:t>160 000</w:t>
            </w:r>
          </w:p>
        </w:tc>
        <w:tc>
          <w:tcPr>
            <w:tcW w:w="993" w:type="dxa"/>
            <w:shd w:val="clear" w:color="auto" w:fill="auto"/>
            <w:noWrap/>
            <w:vAlign w:val="bottom"/>
          </w:tcPr>
          <w:p w14:paraId="126E3240"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288A82E4"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64CC1CCC"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0579B241"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28B8098F" w14:textId="77777777" w:rsidR="00700A0B" w:rsidRPr="0028077E" w:rsidRDefault="00700A0B" w:rsidP="00700A0B">
            <w:pPr>
              <w:jc w:val="center"/>
              <w:rPr>
                <w:rFonts w:eastAsia="Times New Roman"/>
                <w:color w:val="000000"/>
                <w:sz w:val="18"/>
                <w:szCs w:val="18"/>
                <w:lang w:eastAsia="lv-LV"/>
              </w:rPr>
            </w:pPr>
          </w:p>
        </w:tc>
      </w:tr>
      <w:tr w:rsidR="00700A0B" w:rsidRPr="00FC0326" w14:paraId="27C2B3CE" w14:textId="77777777" w:rsidTr="00A5486B">
        <w:trPr>
          <w:trHeight w:val="560"/>
        </w:trPr>
        <w:tc>
          <w:tcPr>
            <w:tcW w:w="1715" w:type="dxa"/>
            <w:shd w:val="clear" w:color="auto" w:fill="D9D9D9" w:themeFill="background1" w:themeFillShade="D9"/>
          </w:tcPr>
          <w:p w14:paraId="172E0285" w14:textId="77777777" w:rsidR="00700A0B" w:rsidRPr="009F4BA4" w:rsidRDefault="00700A0B" w:rsidP="00700A0B">
            <w:pPr>
              <w:jc w:val="center"/>
              <w:rPr>
                <w:rFonts w:eastAsia="Times New Roman"/>
                <w:sz w:val="20"/>
                <w:szCs w:val="20"/>
                <w:lang w:eastAsia="lv-LV"/>
              </w:rPr>
            </w:pPr>
          </w:p>
        </w:tc>
        <w:tc>
          <w:tcPr>
            <w:tcW w:w="2263" w:type="dxa"/>
            <w:shd w:val="clear" w:color="auto" w:fill="D9D9D9" w:themeFill="background1" w:themeFillShade="D9"/>
          </w:tcPr>
          <w:p w14:paraId="5B236B9A" w14:textId="77777777" w:rsidR="00700A0B" w:rsidRPr="0028077E" w:rsidRDefault="00700A0B" w:rsidP="00700A0B">
            <w:pPr>
              <w:jc w:val="both"/>
              <w:rPr>
                <w:rFonts w:eastAsia="Times New Roman"/>
                <w:iCs/>
                <w:sz w:val="18"/>
                <w:szCs w:val="18"/>
                <w:lang w:eastAsia="lv-LV"/>
              </w:rPr>
            </w:pPr>
          </w:p>
        </w:tc>
        <w:tc>
          <w:tcPr>
            <w:tcW w:w="1139" w:type="dxa"/>
            <w:shd w:val="clear" w:color="auto" w:fill="D9D9D9" w:themeFill="background1" w:themeFillShade="D9"/>
          </w:tcPr>
          <w:p w14:paraId="78E3D121" w14:textId="77777777" w:rsidR="0075161B" w:rsidRDefault="0075161B" w:rsidP="0075161B">
            <w:pPr>
              <w:jc w:val="center"/>
              <w:rPr>
                <w:rFonts w:eastAsia="Times New Roman"/>
                <w:sz w:val="18"/>
                <w:szCs w:val="18"/>
                <w:lang w:eastAsia="lv-LV"/>
              </w:rPr>
            </w:pPr>
            <w:r>
              <w:rPr>
                <w:rFonts w:eastAsia="Times New Roman"/>
                <w:sz w:val="18"/>
                <w:szCs w:val="18"/>
                <w:lang w:eastAsia="lv-LV"/>
              </w:rPr>
              <w:t xml:space="preserve">21.00.00 </w:t>
            </w:r>
          </w:p>
          <w:p w14:paraId="56DAC530" w14:textId="77777777" w:rsidR="0075161B" w:rsidRPr="0028077E" w:rsidRDefault="0075161B" w:rsidP="0075161B">
            <w:pPr>
              <w:jc w:val="center"/>
              <w:rPr>
                <w:rFonts w:eastAsia="Times New Roman"/>
                <w:sz w:val="18"/>
                <w:szCs w:val="18"/>
                <w:lang w:eastAsia="lv-LV"/>
              </w:rPr>
            </w:pPr>
            <w:r>
              <w:rPr>
                <w:rFonts w:eastAsia="Times New Roman"/>
                <w:sz w:val="18"/>
                <w:szCs w:val="18"/>
                <w:lang w:eastAsia="lv-LV"/>
              </w:rPr>
              <w:t>Kultūras mantojums</w:t>
            </w:r>
          </w:p>
        </w:tc>
        <w:tc>
          <w:tcPr>
            <w:tcW w:w="987" w:type="dxa"/>
            <w:shd w:val="clear" w:color="auto" w:fill="D9D9D9" w:themeFill="background1" w:themeFillShade="D9"/>
            <w:noWrap/>
            <w:vAlign w:val="bottom"/>
          </w:tcPr>
          <w:p w14:paraId="21CBB95A" w14:textId="77777777" w:rsidR="00700A0B" w:rsidRPr="0028077E" w:rsidRDefault="00700A0B" w:rsidP="00700A0B">
            <w:pPr>
              <w:jc w:val="center"/>
              <w:rPr>
                <w:sz w:val="18"/>
                <w:szCs w:val="18"/>
              </w:rPr>
            </w:pPr>
          </w:p>
        </w:tc>
        <w:tc>
          <w:tcPr>
            <w:tcW w:w="856" w:type="dxa"/>
            <w:shd w:val="clear" w:color="auto" w:fill="D9D9D9" w:themeFill="background1" w:themeFillShade="D9"/>
            <w:noWrap/>
            <w:vAlign w:val="bottom"/>
          </w:tcPr>
          <w:p w14:paraId="1F926F4A" w14:textId="77777777" w:rsidR="00700A0B" w:rsidRPr="0028077E" w:rsidRDefault="00700A0B" w:rsidP="00700A0B">
            <w:pPr>
              <w:jc w:val="center"/>
              <w:rPr>
                <w:sz w:val="18"/>
                <w:szCs w:val="18"/>
              </w:rPr>
            </w:pPr>
          </w:p>
        </w:tc>
        <w:tc>
          <w:tcPr>
            <w:tcW w:w="992" w:type="dxa"/>
            <w:shd w:val="clear" w:color="auto" w:fill="D9D9D9" w:themeFill="background1" w:themeFillShade="D9"/>
            <w:noWrap/>
            <w:vAlign w:val="bottom"/>
          </w:tcPr>
          <w:p w14:paraId="4FC42932" w14:textId="77777777" w:rsidR="00700A0B" w:rsidRPr="0028077E" w:rsidRDefault="00700A0B" w:rsidP="00700A0B">
            <w:pPr>
              <w:jc w:val="center"/>
              <w:rPr>
                <w:sz w:val="18"/>
                <w:szCs w:val="18"/>
              </w:rPr>
            </w:pPr>
          </w:p>
        </w:tc>
        <w:tc>
          <w:tcPr>
            <w:tcW w:w="992" w:type="dxa"/>
            <w:shd w:val="clear" w:color="auto" w:fill="D9D9D9" w:themeFill="background1" w:themeFillShade="D9"/>
            <w:noWrap/>
            <w:vAlign w:val="bottom"/>
          </w:tcPr>
          <w:p w14:paraId="336D4FA9" w14:textId="77777777" w:rsidR="00700A0B" w:rsidRPr="0028077E" w:rsidRDefault="00700A0B" w:rsidP="00700A0B">
            <w:pPr>
              <w:jc w:val="center"/>
              <w:rPr>
                <w:rFonts w:eastAsia="Times New Roman"/>
                <w:color w:val="000000"/>
                <w:sz w:val="18"/>
                <w:szCs w:val="18"/>
                <w:lang w:eastAsia="lv-LV"/>
              </w:rPr>
            </w:pPr>
          </w:p>
        </w:tc>
        <w:tc>
          <w:tcPr>
            <w:tcW w:w="993" w:type="dxa"/>
            <w:shd w:val="clear" w:color="auto" w:fill="D9D9D9" w:themeFill="background1" w:themeFillShade="D9"/>
            <w:noWrap/>
            <w:vAlign w:val="bottom"/>
          </w:tcPr>
          <w:p w14:paraId="0395E0D6" w14:textId="77777777" w:rsidR="00700A0B" w:rsidRPr="0028077E" w:rsidRDefault="00700A0B" w:rsidP="00700A0B">
            <w:pPr>
              <w:jc w:val="center"/>
              <w:rPr>
                <w:rFonts w:eastAsia="Times New Roman"/>
                <w:color w:val="000000"/>
                <w:sz w:val="18"/>
                <w:szCs w:val="18"/>
                <w:lang w:eastAsia="lv-LV"/>
              </w:rPr>
            </w:pPr>
          </w:p>
        </w:tc>
        <w:tc>
          <w:tcPr>
            <w:tcW w:w="992" w:type="dxa"/>
            <w:shd w:val="clear" w:color="auto" w:fill="D9D9D9" w:themeFill="background1" w:themeFillShade="D9"/>
            <w:noWrap/>
            <w:vAlign w:val="bottom"/>
          </w:tcPr>
          <w:p w14:paraId="27DF2E70"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D9D9D9" w:themeFill="background1" w:themeFillShade="D9"/>
            <w:noWrap/>
            <w:vAlign w:val="bottom"/>
          </w:tcPr>
          <w:p w14:paraId="3805371C"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D9D9D9" w:themeFill="background1" w:themeFillShade="D9"/>
            <w:noWrap/>
            <w:vAlign w:val="bottom"/>
          </w:tcPr>
          <w:p w14:paraId="3B1FFE65" w14:textId="77777777" w:rsidR="00700A0B" w:rsidRPr="0028077E" w:rsidRDefault="00700A0B" w:rsidP="00700A0B">
            <w:pPr>
              <w:jc w:val="center"/>
              <w:rPr>
                <w:rFonts w:eastAsia="Times New Roman"/>
                <w:color w:val="000000"/>
                <w:sz w:val="18"/>
                <w:szCs w:val="18"/>
                <w:lang w:eastAsia="lv-LV"/>
              </w:rPr>
            </w:pPr>
          </w:p>
        </w:tc>
        <w:tc>
          <w:tcPr>
            <w:tcW w:w="1326" w:type="dxa"/>
            <w:shd w:val="clear" w:color="auto" w:fill="D9D9D9" w:themeFill="background1" w:themeFillShade="D9"/>
            <w:noWrap/>
            <w:vAlign w:val="bottom"/>
          </w:tcPr>
          <w:p w14:paraId="556F3EA2" w14:textId="77777777" w:rsidR="00700A0B" w:rsidRPr="0028077E" w:rsidRDefault="00700A0B" w:rsidP="00700A0B">
            <w:pPr>
              <w:jc w:val="center"/>
              <w:rPr>
                <w:rFonts w:eastAsia="Times New Roman"/>
                <w:color w:val="000000"/>
                <w:sz w:val="18"/>
                <w:szCs w:val="18"/>
                <w:lang w:eastAsia="lv-LV"/>
              </w:rPr>
            </w:pPr>
          </w:p>
        </w:tc>
      </w:tr>
      <w:tr w:rsidR="00700A0B" w:rsidRPr="00FC0326" w14:paraId="6446E8C2" w14:textId="77777777" w:rsidTr="00214BEB">
        <w:trPr>
          <w:trHeight w:val="312"/>
        </w:trPr>
        <w:tc>
          <w:tcPr>
            <w:tcW w:w="1715" w:type="dxa"/>
            <w:shd w:val="clear" w:color="auto" w:fill="auto"/>
          </w:tcPr>
          <w:p w14:paraId="7378AF56"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77EB7DB6" w14:textId="77777777" w:rsidR="00700A0B" w:rsidRPr="007909DF" w:rsidRDefault="00700A0B" w:rsidP="00700A0B">
            <w:pPr>
              <w:jc w:val="both"/>
              <w:rPr>
                <w:rFonts w:eastAsia="Times New Roman"/>
                <w:b/>
                <w:iCs/>
                <w:sz w:val="18"/>
                <w:szCs w:val="18"/>
                <w:lang w:eastAsia="lv-LV"/>
              </w:rPr>
            </w:pPr>
            <w:r w:rsidRPr="007909DF">
              <w:rPr>
                <w:rFonts w:eastAsia="Times New Roman"/>
                <w:b/>
                <w:iCs/>
                <w:sz w:val="18"/>
                <w:szCs w:val="18"/>
                <w:lang w:eastAsia="lv-LV"/>
              </w:rPr>
              <w:t>3.</w:t>
            </w:r>
            <w:r w:rsidR="00570FED">
              <w:rPr>
                <w:rFonts w:eastAsia="Times New Roman"/>
                <w:b/>
                <w:iCs/>
                <w:sz w:val="18"/>
                <w:szCs w:val="18"/>
                <w:lang w:eastAsia="lv-LV"/>
              </w:rPr>
              <w:t>3.(5)</w:t>
            </w:r>
            <w:r w:rsidRPr="007909DF">
              <w:rPr>
                <w:rFonts w:eastAsia="Times New Roman"/>
                <w:b/>
                <w:iCs/>
                <w:sz w:val="18"/>
                <w:szCs w:val="18"/>
                <w:lang w:eastAsia="lv-LV"/>
              </w:rPr>
              <w:t xml:space="preserve"> pasākums</w:t>
            </w:r>
          </w:p>
          <w:p w14:paraId="2042988B" w14:textId="77777777" w:rsidR="00700A0B" w:rsidRPr="0028077E" w:rsidRDefault="00700A0B" w:rsidP="00700A0B">
            <w:pPr>
              <w:jc w:val="both"/>
              <w:rPr>
                <w:rFonts w:eastAsia="Times New Roman"/>
                <w:iCs/>
                <w:sz w:val="18"/>
                <w:szCs w:val="18"/>
                <w:lang w:eastAsia="lv-LV"/>
              </w:rPr>
            </w:pPr>
            <w:r w:rsidRPr="007909DF">
              <w:rPr>
                <w:rFonts w:eastAsia="Times New Roman"/>
                <w:iCs/>
                <w:sz w:val="18"/>
                <w:szCs w:val="18"/>
                <w:lang w:eastAsia="lv-LV"/>
              </w:rPr>
              <w:t>Pārskatīt uzraugošo iestāžu darbinieku skaitu un resursus, lai nodrošinātu, ka tās spēj adekvāti pārvaldīt identificētos riskus un uzraudzīt likuma subjektu rīcību attiecībā uz riskiem</w:t>
            </w:r>
          </w:p>
        </w:tc>
        <w:tc>
          <w:tcPr>
            <w:tcW w:w="1139" w:type="dxa"/>
            <w:shd w:val="clear" w:color="auto" w:fill="auto"/>
          </w:tcPr>
          <w:p w14:paraId="35E2D5DA"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5A32DF5D" w14:textId="77777777" w:rsidR="00700A0B" w:rsidRPr="0028077E" w:rsidRDefault="00700A0B" w:rsidP="00700A0B">
            <w:pPr>
              <w:jc w:val="center"/>
              <w:rPr>
                <w:sz w:val="18"/>
                <w:szCs w:val="18"/>
              </w:rPr>
            </w:pPr>
          </w:p>
        </w:tc>
        <w:tc>
          <w:tcPr>
            <w:tcW w:w="856" w:type="dxa"/>
            <w:shd w:val="clear" w:color="auto" w:fill="auto"/>
            <w:noWrap/>
            <w:vAlign w:val="bottom"/>
          </w:tcPr>
          <w:p w14:paraId="6CAFE473" w14:textId="77777777" w:rsidR="00700A0B" w:rsidRPr="0028077E" w:rsidRDefault="00700A0B" w:rsidP="00700A0B">
            <w:pPr>
              <w:jc w:val="center"/>
              <w:rPr>
                <w:sz w:val="18"/>
                <w:szCs w:val="18"/>
              </w:rPr>
            </w:pPr>
          </w:p>
        </w:tc>
        <w:tc>
          <w:tcPr>
            <w:tcW w:w="992" w:type="dxa"/>
            <w:shd w:val="clear" w:color="auto" w:fill="auto"/>
            <w:noWrap/>
            <w:vAlign w:val="bottom"/>
          </w:tcPr>
          <w:p w14:paraId="32DBFEAC" w14:textId="77777777" w:rsidR="00700A0B" w:rsidRPr="0028077E" w:rsidRDefault="00700A0B" w:rsidP="00700A0B">
            <w:pPr>
              <w:jc w:val="center"/>
              <w:rPr>
                <w:sz w:val="18"/>
                <w:szCs w:val="18"/>
              </w:rPr>
            </w:pPr>
          </w:p>
        </w:tc>
        <w:tc>
          <w:tcPr>
            <w:tcW w:w="992" w:type="dxa"/>
            <w:shd w:val="clear" w:color="auto" w:fill="auto"/>
            <w:noWrap/>
            <w:vAlign w:val="bottom"/>
          </w:tcPr>
          <w:p w14:paraId="3CC5DFBB" w14:textId="77777777" w:rsidR="00700A0B" w:rsidRPr="0028077E" w:rsidRDefault="005128A7" w:rsidP="00700A0B">
            <w:pPr>
              <w:jc w:val="center"/>
              <w:rPr>
                <w:rFonts w:eastAsia="Times New Roman"/>
                <w:color w:val="000000"/>
                <w:sz w:val="18"/>
                <w:szCs w:val="18"/>
                <w:lang w:eastAsia="lv-LV"/>
              </w:rPr>
            </w:pPr>
            <w:r>
              <w:rPr>
                <w:rFonts w:eastAsia="Times New Roman"/>
                <w:color w:val="000000"/>
                <w:sz w:val="18"/>
                <w:szCs w:val="18"/>
                <w:lang w:eastAsia="lv-LV"/>
              </w:rPr>
              <w:t>68640</w:t>
            </w:r>
          </w:p>
        </w:tc>
        <w:tc>
          <w:tcPr>
            <w:tcW w:w="993" w:type="dxa"/>
            <w:shd w:val="clear" w:color="auto" w:fill="auto"/>
            <w:noWrap/>
            <w:vAlign w:val="bottom"/>
          </w:tcPr>
          <w:p w14:paraId="0E24DB35" w14:textId="77777777" w:rsidR="00700A0B" w:rsidRPr="0028077E" w:rsidRDefault="00700A0B" w:rsidP="00700A0B">
            <w:pPr>
              <w:jc w:val="center"/>
              <w:rPr>
                <w:rFonts w:eastAsia="Times New Roman"/>
                <w:color w:val="000000"/>
                <w:sz w:val="18"/>
                <w:szCs w:val="18"/>
                <w:lang w:eastAsia="lv-LV"/>
              </w:rPr>
            </w:pPr>
            <w:r w:rsidRPr="005C4E5D">
              <w:rPr>
                <w:rFonts w:eastAsia="Times New Roman"/>
                <w:color w:val="000000"/>
                <w:sz w:val="18"/>
                <w:szCs w:val="18"/>
                <w:lang w:eastAsia="lv-LV"/>
              </w:rPr>
              <w:t>491</w:t>
            </w:r>
            <w:r>
              <w:rPr>
                <w:rFonts w:eastAsia="Times New Roman"/>
                <w:color w:val="000000"/>
                <w:sz w:val="18"/>
                <w:szCs w:val="18"/>
                <w:lang w:eastAsia="lv-LV"/>
              </w:rPr>
              <w:t>40</w:t>
            </w:r>
          </w:p>
        </w:tc>
        <w:tc>
          <w:tcPr>
            <w:tcW w:w="992" w:type="dxa"/>
            <w:shd w:val="clear" w:color="auto" w:fill="auto"/>
            <w:noWrap/>
            <w:vAlign w:val="bottom"/>
          </w:tcPr>
          <w:p w14:paraId="36FA44AA" w14:textId="77777777" w:rsidR="00700A0B" w:rsidRPr="0028077E" w:rsidRDefault="00700A0B" w:rsidP="00700A0B">
            <w:pPr>
              <w:jc w:val="center"/>
              <w:rPr>
                <w:rFonts w:eastAsia="Times New Roman"/>
                <w:color w:val="000000"/>
                <w:sz w:val="18"/>
                <w:szCs w:val="18"/>
                <w:lang w:eastAsia="lv-LV"/>
              </w:rPr>
            </w:pPr>
            <w:r w:rsidRPr="005C4E5D">
              <w:rPr>
                <w:rFonts w:eastAsia="Times New Roman"/>
                <w:color w:val="000000"/>
                <w:sz w:val="18"/>
                <w:szCs w:val="18"/>
                <w:lang w:eastAsia="lv-LV"/>
              </w:rPr>
              <w:t>491</w:t>
            </w:r>
            <w:r>
              <w:rPr>
                <w:rFonts w:eastAsia="Times New Roman"/>
                <w:color w:val="000000"/>
                <w:sz w:val="18"/>
                <w:szCs w:val="18"/>
                <w:lang w:eastAsia="lv-LV"/>
              </w:rPr>
              <w:t>40</w:t>
            </w:r>
          </w:p>
        </w:tc>
        <w:tc>
          <w:tcPr>
            <w:tcW w:w="1134" w:type="dxa"/>
            <w:shd w:val="clear" w:color="auto" w:fill="auto"/>
            <w:noWrap/>
            <w:vAlign w:val="bottom"/>
          </w:tcPr>
          <w:p w14:paraId="3A290161"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5226B4FD" w14:textId="77777777" w:rsidR="00700A0B" w:rsidRPr="0028077E" w:rsidRDefault="00700A0B" w:rsidP="00700A0B">
            <w:pPr>
              <w:jc w:val="center"/>
              <w:rPr>
                <w:rFonts w:eastAsia="Times New Roman"/>
                <w:color w:val="000000"/>
                <w:sz w:val="18"/>
                <w:szCs w:val="18"/>
                <w:lang w:eastAsia="lv-LV"/>
              </w:rPr>
            </w:pPr>
            <w:r w:rsidRPr="005C4E5D">
              <w:rPr>
                <w:rFonts w:eastAsia="Times New Roman"/>
                <w:color w:val="000000"/>
                <w:sz w:val="18"/>
                <w:szCs w:val="18"/>
                <w:lang w:eastAsia="lv-LV"/>
              </w:rPr>
              <w:t>491</w:t>
            </w:r>
            <w:r>
              <w:rPr>
                <w:rFonts w:eastAsia="Times New Roman"/>
                <w:color w:val="000000"/>
                <w:sz w:val="18"/>
                <w:szCs w:val="18"/>
                <w:lang w:eastAsia="lv-LV"/>
              </w:rPr>
              <w:t>40</w:t>
            </w:r>
          </w:p>
        </w:tc>
        <w:tc>
          <w:tcPr>
            <w:tcW w:w="1326" w:type="dxa"/>
            <w:shd w:val="clear" w:color="auto" w:fill="auto"/>
            <w:noWrap/>
            <w:vAlign w:val="bottom"/>
          </w:tcPr>
          <w:p w14:paraId="31FA2414" w14:textId="77777777" w:rsidR="00700A0B" w:rsidRPr="0028077E" w:rsidRDefault="00700A0B" w:rsidP="00700A0B">
            <w:pPr>
              <w:jc w:val="center"/>
              <w:rPr>
                <w:rFonts w:eastAsia="Times New Roman"/>
                <w:color w:val="000000"/>
                <w:sz w:val="18"/>
                <w:szCs w:val="18"/>
                <w:lang w:eastAsia="lv-LV"/>
              </w:rPr>
            </w:pPr>
          </w:p>
        </w:tc>
      </w:tr>
      <w:tr w:rsidR="00700A0B" w:rsidRPr="00FC0326" w14:paraId="0C9799C1" w14:textId="77777777" w:rsidTr="00214BEB">
        <w:trPr>
          <w:trHeight w:val="214"/>
        </w:trPr>
        <w:tc>
          <w:tcPr>
            <w:tcW w:w="1715" w:type="dxa"/>
            <w:shd w:val="clear" w:color="auto" w:fill="auto"/>
          </w:tcPr>
          <w:p w14:paraId="0F5C3DFC" w14:textId="77777777" w:rsidR="00700A0B" w:rsidRPr="009F4BA4" w:rsidRDefault="00700A0B" w:rsidP="00700A0B">
            <w:pPr>
              <w:jc w:val="center"/>
              <w:rPr>
                <w:rFonts w:eastAsia="Times New Roman"/>
                <w:sz w:val="20"/>
                <w:szCs w:val="20"/>
                <w:lang w:eastAsia="lv-LV"/>
              </w:rPr>
            </w:pPr>
          </w:p>
        </w:tc>
        <w:tc>
          <w:tcPr>
            <w:tcW w:w="2263" w:type="dxa"/>
            <w:shd w:val="clear" w:color="auto" w:fill="auto"/>
          </w:tcPr>
          <w:p w14:paraId="60C2A86A" w14:textId="77777777" w:rsidR="00700A0B" w:rsidRPr="005C4E5D" w:rsidRDefault="00700A0B" w:rsidP="00700A0B">
            <w:pPr>
              <w:jc w:val="both"/>
              <w:rPr>
                <w:rFonts w:eastAsia="Times New Roman"/>
                <w:iCs/>
                <w:sz w:val="18"/>
                <w:szCs w:val="18"/>
                <w:lang w:eastAsia="lv-LV"/>
              </w:rPr>
            </w:pPr>
            <w:r>
              <w:rPr>
                <w:rFonts w:eastAsia="Times New Roman"/>
                <w:iCs/>
                <w:sz w:val="18"/>
                <w:szCs w:val="18"/>
                <w:lang w:eastAsia="lv-LV"/>
              </w:rPr>
              <w:t>Kultūras ministrija</w:t>
            </w:r>
          </w:p>
        </w:tc>
        <w:tc>
          <w:tcPr>
            <w:tcW w:w="1139" w:type="dxa"/>
            <w:shd w:val="clear" w:color="auto" w:fill="auto"/>
          </w:tcPr>
          <w:p w14:paraId="26C3C95E" w14:textId="77777777" w:rsidR="00700A0B" w:rsidRPr="0028077E" w:rsidRDefault="00700A0B" w:rsidP="00700A0B">
            <w:pPr>
              <w:jc w:val="center"/>
              <w:rPr>
                <w:rFonts w:eastAsia="Times New Roman"/>
                <w:sz w:val="18"/>
                <w:szCs w:val="18"/>
                <w:lang w:eastAsia="lv-LV"/>
              </w:rPr>
            </w:pPr>
          </w:p>
        </w:tc>
        <w:tc>
          <w:tcPr>
            <w:tcW w:w="987" w:type="dxa"/>
            <w:shd w:val="clear" w:color="auto" w:fill="auto"/>
            <w:noWrap/>
            <w:vAlign w:val="bottom"/>
          </w:tcPr>
          <w:p w14:paraId="4010F357" w14:textId="77777777" w:rsidR="00700A0B" w:rsidRPr="0028077E" w:rsidRDefault="00700A0B" w:rsidP="00700A0B">
            <w:pPr>
              <w:jc w:val="center"/>
              <w:rPr>
                <w:sz w:val="18"/>
                <w:szCs w:val="18"/>
              </w:rPr>
            </w:pPr>
          </w:p>
        </w:tc>
        <w:tc>
          <w:tcPr>
            <w:tcW w:w="856" w:type="dxa"/>
            <w:shd w:val="clear" w:color="auto" w:fill="auto"/>
            <w:noWrap/>
            <w:vAlign w:val="bottom"/>
          </w:tcPr>
          <w:p w14:paraId="6554226D" w14:textId="77777777" w:rsidR="00700A0B" w:rsidRPr="0028077E" w:rsidRDefault="00700A0B" w:rsidP="00700A0B">
            <w:pPr>
              <w:jc w:val="center"/>
              <w:rPr>
                <w:sz w:val="18"/>
                <w:szCs w:val="18"/>
              </w:rPr>
            </w:pPr>
          </w:p>
        </w:tc>
        <w:tc>
          <w:tcPr>
            <w:tcW w:w="992" w:type="dxa"/>
            <w:shd w:val="clear" w:color="auto" w:fill="auto"/>
            <w:noWrap/>
            <w:vAlign w:val="bottom"/>
          </w:tcPr>
          <w:p w14:paraId="67B996EC" w14:textId="77777777" w:rsidR="00700A0B" w:rsidRPr="0028077E" w:rsidRDefault="00700A0B" w:rsidP="00700A0B">
            <w:pPr>
              <w:jc w:val="center"/>
              <w:rPr>
                <w:sz w:val="18"/>
                <w:szCs w:val="18"/>
              </w:rPr>
            </w:pPr>
          </w:p>
        </w:tc>
        <w:tc>
          <w:tcPr>
            <w:tcW w:w="992" w:type="dxa"/>
            <w:shd w:val="clear" w:color="auto" w:fill="auto"/>
            <w:noWrap/>
            <w:vAlign w:val="bottom"/>
          </w:tcPr>
          <w:p w14:paraId="55DFC814" w14:textId="77777777" w:rsidR="00700A0B" w:rsidRPr="005C4E5D" w:rsidRDefault="00700A0B" w:rsidP="00700A0B">
            <w:pPr>
              <w:jc w:val="center"/>
              <w:rPr>
                <w:rFonts w:eastAsia="Times New Roman"/>
                <w:color w:val="000000"/>
                <w:sz w:val="18"/>
                <w:szCs w:val="18"/>
                <w:lang w:eastAsia="lv-LV"/>
              </w:rPr>
            </w:pPr>
          </w:p>
        </w:tc>
        <w:tc>
          <w:tcPr>
            <w:tcW w:w="993" w:type="dxa"/>
            <w:shd w:val="clear" w:color="auto" w:fill="auto"/>
            <w:noWrap/>
            <w:vAlign w:val="bottom"/>
          </w:tcPr>
          <w:p w14:paraId="050B9A22" w14:textId="77777777" w:rsidR="00700A0B" w:rsidRPr="005C4E5D" w:rsidRDefault="00700A0B" w:rsidP="00700A0B">
            <w:pPr>
              <w:jc w:val="center"/>
              <w:rPr>
                <w:rFonts w:eastAsia="Times New Roman"/>
                <w:color w:val="000000"/>
                <w:sz w:val="18"/>
                <w:szCs w:val="18"/>
                <w:lang w:eastAsia="lv-LV"/>
              </w:rPr>
            </w:pPr>
          </w:p>
        </w:tc>
        <w:tc>
          <w:tcPr>
            <w:tcW w:w="992" w:type="dxa"/>
            <w:shd w:val="clear" w:color="auto" w:fill="auto"/>
            <w:noWrap/>
            <w:vAlign w:val="bottom"/>
          </w:tcPr>
          <w:p w14:paraId="2924CF4A" w14:textId="77777777" w:rsidR="00700A0B" w:rsidRPr="005C4E5D"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0431018F" w14:textId="77777777" w:rsidR="00700A0B" w:rsidRPr="0028077E" w:rsidRDefault="00700A0B" w:rsidP="00700A0B">
            <w:pPr>
              <w:jc w:val="center"/>
              <w:rPr>
                <w:rFonts w:eastAsia="Times New Roman"/>
                <w:color w:val="000000"/>
                <w:sz w:val="18"/>
                <w:szCs w:val="18"/>
                <w:lang w:eastAsia="lv-LV"/>
              </w:rPr>
            </w:pPr>
          </w:p>
        </w:tc>
        <w:tc>
          <w:tcPr>
            <w:tcW w:w="1134" w:type="dxa"/>
            <w:shd w:val="clear" w:color="auto" w:fill="auto"/>
            <w:noWrap/>
            <w:vAlign w:val="bottom"/>
          </w:tcPr>
          <w:p w14:paraId="67157CD9" w14:textId="77777777" w:rsidR="00700A0B" w:rsidRPr="005C4E5D" w:rsidRDefault="00700A0B" w:rsidP="00700A0B">
            <w:pPr>
              <w:jc w:val="center"/>
              <w:rPr>
                <w:rFonts w:eastAsia="Times New Roman"/>
                <w:color w:val="000000"/>
                <w:sz w:val="18"/>
                <w:szCs w:val="18"/>
                <w:lang w:eastAsia="lv-LV"/>
              </w:rPr>
            </w:pPr>
          </w:p>
        </w:tc>
        <w:tc>
          <w:tcPr>
            <w:tcW w:w="1326" w:type="dxa"/>
            <w:shd w:val="clear" w:color="auto" w:fill="auto"/>
            <w:noWrap/>
            <w:vAlign w:val="bottom"/>
          </w:tcPr>
          <w:p w14:paraId="3E638FFC" w14:textId="77777777" w:rsidR="00700A0B" w:rsidRPr="0028077E" w:rsidRDefault="00700A0B" w:rsidP="00700A0B">
            <w:pPr>
              <w:jc w:val="center"/>
              <w:rPr>
                <w:rFonts w:eastAsia="Times New Roman"/>
                <w:color w:val="000000"/>
                <w:sz w:val="18"/>
                <w:szCs w:val="18"/>
                <w:lang w:eastAsia="lv-LV"/>
              </w:rPr>
            </w:pPr>
          </w:p>
        </w:tc>
      </w:tr>
      <w:tr w:rsidR="00700A0B" w:rsidRPr="00A05911" w14:paraId="4A6585E2" w14:textId="77777777" w:rsidTr="00214BEB">
        <w:trPr>
          <w:trHeight w:val="312"/>
        </w:trPr>
        <w:tc>
          <w:tcPr>
            <w:tcW w:w="1715" w:type="dxa"/>
            <w:shd w:val="clear" w:color="auto" w:fill="D9D9D9" w:themeFill="background1" w:themeFillShade="D9"/>
          </w:tcPr>
          <w:p w14:paraId="2EF24779" w14:textId="77777777" w:rsidR="00700A0B" w:rsidRPr="00A05911" w:rsidRDefault="00700A0B" w:rsidP="00700A0B">
            <w:pPr>
              <w:jc w:val="center"/>
              <w:rPr>
                <w:rFonts w:eastAsia="Times New Roman"/>
                <w:sz w:val="18"/>
                <w:szCs w:val="18"/>
                <w:lang w:eastAsia="lv-LV"/>
              </w:rPr>
            </w:pPr>
          </w:p>
        </w:tc>
        <w:tc>
          <w:tcPr>
            <w:tcW w:w="2263" w:type="dxa"/>
            <w:shd w:val="clear" w:color="auto" w:fill="D9D9D9" w:themeFill="background1" w:themeFillShade="D9"/>
          </w:tcPr>
          <w:p w14:paraId="1FACB5F1" w14:textId="77777777" w:rsidR="00700A0B" w:rsidRPr="00A05911" w:rsidRDefault="00700A0B" w:rsidP="00700A0B">
            <w:pPr>
              <w:jc w:val="center"/>
              <w:rPr>
                <w:rFonts w:eastAsia="Times New Roman"/>
                <w:iCs/>
                <w:sz w:val="18"/>
                <w:szCs w:val="18"/>
                <w:lang w:eastAsia="lv-LV"/>
              </w:rPr>
            </w:pPr>
          </w:p>
        </w:tc>
        <w:tc>
          <w:tcPr>
            <w:tcW w:w="1139" w:type="dxa"/>
            <w:shd w:val="clear" w:color="auto" w:fill="D9D9D9" w:themeFill="background1" w:themeFillShade="D9"/>
          </w:tcPr>
          <w:p w14:paraId="3FCC8EE1" w14:textId="77777777" w:rsidR="00700A0B" w:rsidRDefault="00700A0B" w:rsidP="00700A0B">
            <w:pPr>
              <w:jc w:val="center"/>
              <w:rPr>
                <w:sz w:val="18"/>
                <w:szCs w:val="18"/>
              </w:rPr>
            </w:pPr>
            <w:r w:rsidRPr="00A05911">
              <w:rPr>
                <w:sz w:val="18"/>
                <w:szCs w:val="18"/>
              </w:rPr>
              <w:t xml:space="preserve">06.01.00 </w:t>
            </w:r>
          </w:p>
          <w:p w14:paraId="25922DA6" w14:textId="77777777" w:rsidR="00700A0B" w:rsidRPr="00A05911" w:rsidRDefault="00700A0B" w:rsidP="00700A0B">
            <w:pPr>
              <w:jc w:val="center"/>
              <w:rPr>
                <w:rFonts w:eastAsia="Times New Roman"/>
                <w:sz w:val="18"/>
                <w:szCs w:val="18"/>
                <w:lang w:eastAsia="lv-LV"/>
              </w:rPr>
            </w:pPr>
            <w:r w:rsidRPr="00A05911">
              <w:rPr>
                <w:sz w:val="18"/>
                <w:szCs w:val="18"/>
              </w:rPr>
              <w:lastRenderedPageBreak/>
              <w:t>Valsts policija</w:t>
            </w:r>
          </w:p>
        </w:tc>
        <w:tc>
          <w:tcPr>
            <w:tcW w:w="987" w:type="dxa"/>
            <w:shd w:val="clear" w:color="auto" w:fill="D9D9D9" w:themeFill="background1" w:themeFillShade="D9"/>
            <w:noWrap/>
          </w:tcPr>
          <w:p w14:paraId="73EDFFF6" w14:textId="77777777" w:rsidR="00700A0B" w:rsidRPr="00A05911" w:rsidRDefault="00700A0B" w:rsidP="00700A0B">
            <w:pPr>
              <w:jc w:val="center"/>
              <w:rPr>
                <w:sz w:val="18"/>
                <w:szCs w:val="18"/>
              </w:rPr>
            </w:pPr>
          </w:p>
        </w:tc>
        <w:tc>
          <w:tcPr>
            <w:tcW w:w="856" w:type="dxa"/>
            <w:shd w:val="clear" w:color="auto" w:fill="D9D9D9" w:themeFill="background1" w:themeFillShade="D9"/>
            <w:noWrap/>
          </w:tcPr>
          <w:p w14:paraId="0C816539" w14:textId="77777777" w:rsidR="00700A0B" w:rsidRPr="00A05911" w:rsidRDefault="00700A0B" w:rsidP="00700A0B">
            <w:pPr>
              <w:jc w:val="center"/>
              <w:rPr>
                <w:sz w:val="18"/>
                <w:szCs w:val="18"/>
              </w:rPr>
            </w:pPr>
          </w:p>
        </w:tc>
        <w:tc>
          <w:tcPr>
            <w:tcW w:w="992" w:type="dxa"/>
            <w:shd w:val="clear" w:color="auto" w:fill="D9D9D9" w:themeFill="background1" w:themeFillShade="D9"/>
            <w:noWrap/>
          </w:tcPr>
          <w:p w14:paraId="5B150210" w14:textId="77777777" w:rsidR="00700A0B" w:rsidRPr="00A05911" w:rsidRDefault="00700A0B" w:rsidP="00700A0B">
            <w:pPr>
              <w:jc w:val="center"/>
              <w:rPr>
                <w:sz w:val="18"/>
                <w:szCs w:val="18"/>
              </w:rPr>
            </w:pPr>
          </w:p>
        </w:tc>
        <w:tc>
          <w:tcPr>
            <w:tcW w:w="992" w:type="dxa"/>
            <w:shd w:val="clear" w:color="auto" w:fill="D9D9D9" w:themeFill="background1" w:themeFillShade="D9"/>
            <w:noWrap/>
          </w:tcPr>
          <w:p w14:paraId="4FFD0F28" w14:textId="77777777" w:rsidR="00700A0B" w:rsidRPr="00A05911" w:rsidRDefault="00700A0B" w:rsidP="00700A0B">
            <w:pPr>
              <w:jc w:val="center"/>
              <w:rPr>
                <w:rFonts w:eastAsia="Times New Roman"/>
                <w:color w:val="000000"/>
                <w:sz w:val="18"/>
                <w:szCs w:val="18"/>
                <w:lang w:eastAsia="lv-LV"/>
              </w:rPr>
            </w:pPr>
          </w:p>
        </w:tc>
        <w:tc>
          <w:tcPr>
            <w:tcW w:w="993" w:type="dxa"/>
            <w:shd w:val="clear" w:color="auto" w:fill="D9D9D9" w:themeFill="background1" w:themeFillShade="D9"/>
            <w:noWrap/>
          </w:tcPr>
          <w:p w14:paraId="3A3B4839" w14:textId="77777777" w:rsidR="00700A0B" w:rsidRPr="00A05911" w:rsidRDefault="00700A0B" w:rsidP="00700A0B">
            <w:pPr>
              <w:jc w:val="center"/>
              <w:rPr>
                <w:rFonts w:eastAsia="Times New Roman"/>
                <w:color w:val="000000"/>
                <w:sz w:val="18"/>
                <w:szCs w:val="18"/>
                <w:lang w:eastAsia="lv-LV"/>
              </w:rPr>
            </w:pPr>
          </w:p>
        </w:tc>
        <w:tc>
          <w:tcPr>
            <w:tcW w:w="992" w:type="dxa"/>
            <w:shd w:val="clear" w:color="auto" w:fill="D9D9D9" w:themeFill="background1" w:themeFillShade="D9"/>
            <w:noWrap/>
          </w:tcPr>
          <w:p w14:paraId="0F4E929E" w14:textId="77777777" w:rsidR="00700A0B" w:rsidRPr="00A05911" w:rsidRDefault="00700A0B" w:rsidP="00700A0B">
            <w:pPr>
              <w:jc w:val="center"/>
              <w:rPr>
                <w:rFonts w:eastAsia="Times New Roman"/>
                <w:color w:val="000000"/>
                <w:sz w:val="18"/>
                <w:szCs w:val="18"/>
                <w:lang w:eastAsia="lv-LV"/>
              </w:rPr>
            </w:pPr>
          </w:p>
        </w:tc>
        <w:tc>
          <w:tcPr>
            <w:tcW w:w="1134" w:type="dxa"/>
            <w:shd w:val="clear" w:color="auto" w:fill="D9D9D9" w:themeFill="background1" w:themeFillShade="D9"/>
            <w:noWrap/>
          </w:tcPr>
          <w:p w14:paraId="545B7E0E" w14:textId="77777777" w:rsidR="00700A0B" w:rsidRPr="00A05911" w:rsidRDefault="00700A0B" w:rsidP="00700A0B">
            <w:pPr>
              <w:jc w:val="center"/>
              <w:rPr>
                <w:rFonts w:eastAsia="Times New Roman"/>
                <w:color w:val="000000"/>
                <w:sz w:val="18"/>
                <w:szCs w:val="18"/>
                <w:lang w:eastAsia="lv-LV"/>
              </w:rPr>
            </w:pPr>
          </w:p>
        </w:tc>
        <w:tc>
          <w:tcPr>
            <w:tcW w:w="1134" w:type="dxa"/>
            <w:shd w:val="clear" w:color="auto" w:fill="D9D9D9" w:themeFill="background1" w:themeFillShade="D9"/>
            <w:noWrap/>
          </w:tcPr>
          <w:p w14:paraId="54FFC3F0" w14:textId="77777777" w:rsidR="00700A0B" w:rsidRPr="00A05911" w:rsidRDefault="00700A0B" w:rsidP="00700A0B">
            <w:pPr>
              <w:jc w:val="center"/>
              <w:rPr>
                <w:rFonts w:eastAsia="Times New Roman"/>
                <w:color w:val="000000"/>
                <w:sz w:val="18"/>
                <w:szCs w:val="18"/>
                <w:lang w:eastAsia="lv-LV"/>
              </w:rPr>
            </w:pPr>
          </w:p>
        </w:tc>
        <w:tc>
          <w:tcPr>
            <w:tcW w:w="1326" w:type="dxa"/>
            <w:shd w:val="clear" w:color="auto" w:fill="D9D9D9" w:themeFill="background1" w:themeFillShade="D9"/>
            <w:noWrap/>
          </w:tcPr>
          <w:p w14:paraId="730CBAC1" w14:textId="77777777" w:rsidR="00700A0B" w:rsidRPr="00A05911" w:rsidRDefault="00700A0B" w:rsidP="00700A0B">
            <w:pPr>
              <w:jc w:val="center"/>
              <w:rPr>
                <w:rFonts w:eastAsia="Times New Roman"/>
                <w:color w:val="000000"/>
                <w:sz w:val="18"/>
                <w:szCs w:val="18"/>
                <w:lang w:eastAsia="lv-LV"/>
              </w:rPr>
            </w:pPr>
          </w:p>
        </w:tc>
      </w:tr>
      <w:tr w:rsidR="00B50FD0" w:rsidRPr="00A05911" w14:paraId="46C2F8E0" w14:textId="77777777" w:rsidTr="00214BEB">
        <w:trPr>
          <w:trHeight w:val="748"/>
        </w:trPr>
        <w:tc>
          <w:tcPr>
            <w:tcW w:w="1715" w:type="dxa"/>
            <w:shd w:val="clear" w:color="auto" w:fill="auto"/>
          </w:tcPr>
          <w:p w14:paraId="33CE0E09" w14:textId="77777777" w:rsidR="00B50FD0" w:rsidRPr="00A05911" w:rsidRDefault="00B50FD0" w:rsidP="00B50FD0">
            <w:pPr>
              <w:jc w:val="center"/>
              <w:rPr>
                <w:rFonts w:eastAsia="Times New Roman"/>
                <w:sz w:val="18"/>
                <w:szCs w:val="18"/>
                <w:lang w:eastAsia="lv-LV"/>
              </w:rPr>
            </w:pPr>
          </w:p>
        </w:tc>
        <w:tc>
          <w:tcPr>
            <w:tcW w:w="2263" w:type="dxa"/>
            <w:shd w:val="clear" w:color="auto" w:fill="auto"/>
          </w:tcPr>
          <w:p w14:paraId="02FD4E6F" w14:textId="77777777" w:rsidR="00726716" w:rsidRPr="00B839AA" w:rsidRDefault="00A214A8" w:rsidP="00726716">
            <w:pPr>
              <w:jc w:val="both"/>
              <w:rPr>
                <w:rFonts w:eastAsia="Times New Roman"/>
                <w:b/>
                <w:iCs/>
                <w:sz w:val="18"/>
                <w:szCs w:val="18"/>
                <w:lang w:eastAsia="lv-LV"/>
              </w:rPr>
            </w:pPr>
            <w:r w:rsidRPr="00B839AA">
              <w:rPr>
                <w:rFonts w:eastAsia="Times New Roman"/>
                <w:b/>
                <w:iCs/>
                <w:sz w:val="18"/>
                <w:szCs w:val="18"/>
                <w:lang w:eastAsia="lv-LV"/>
              </w:rPr>
              <w:t>7.8</w:t>
            </w:r>
            <w:r w:rsidR="004222ED">
              <w:rPr>
                <w:rFonts w:eastAsia="Times New Roman"/>
                <w:b/>
                <w:iCs/>
                <w:sz w:val="18"/>
                <w:szCs w:val="18"/>
                <w:lang w:eastAsia="lv-LV"/>
              </w:rPr>
              <w:t xml:space="preserve"> (2)</w:t>
            </w:r>
            <w:r w:rsidR="00B50FD0" w:rsidRPr="00B839AA">
              <w:rPr>
                <w:rFonts w:eastAsia="Times New Roman"/>
                <w:b/>
                <w:iCs/>
                <w:sz w:val="18"/>
                <w:szCs w:val="18"/>
                <w:lang w:eastAsia="lv-LV"/>
              </w:rPr>
              <w:t xml:space="preserve"> pasākums</w:t>
            </w:r>
            <w:r w:rsidR="003E2651" w:rsidRPr="00B839AA">
              <w:rPr>
                <w:rFonts w:eastAsia="Times New Roman"/>
                <w:b/>
                <w:iCs/>
                <w:sz w:val="18"/>
                <w:szCs w:val="18"/>
                <w:lang w:eastAsia="lv-LV"/>
              </w:rPr>
              <w:t xml:space="preserve"> </w:t>
            </w:r>
          </w:p>
          <w:p w14:paraId="4AB69FA9" w14:textId="77777777" w:rsidR="00B50FD0" w:rsidRPr="00B839AA" w:rsidRDefault="00B50FD0" w:rsidP="00726716">
            <w:pPr>
              <w:jc w:val="both"/>
              <w:rPr>
                <w:rFonts w:cs="Times New Roman"/>
                <w:sz w:val="18"/>
                <w:szCs w:val="18"/>
              </w:rPr>
            </w:pPr>
            <w:r w:rsidRPr="00B839AA">
              <w:rPr>
                <w:sz w:val="18"/>
                <w:szCs w:val="18"/>
              </w:rPr>
              <w:t xml:space="preserve"> </w:t>
            </w:r>
            <w:r w:rsidRPr="00B839AA">
              <w:rPr>
                <w:rFonts w:cs="Times New Roman"/>
                <w:sz w:val="18"/>
                <w:szCs w:val="18"/>
              </w:rPr>
              <w:t>Palielinātas spējas un prasmes sarežģītu un apjomīgu NILL lietu izmeklēšanā</w:t>
            </w:r>
            <w:r w:rsidR="00726716" w:rsidRPr="00B839AA">
              <w:rPr>
                <w:rFonts w:cs="Times New Roman"/>
                <w:sz w:val="18"/>
                <w:szCs w:val="18"/>
              </w:rPr>
              <w:t>;</w:t>
            </w:r>
          </w:p>
          <w:p w14:paraId="5B17FE19" w14:textId="77777777" w:rsidR="00726716" w:rsidRPr="00B839AA" w:rsidRDefault="00827945" w:rsidP="00726716">
            <w:pPr>
              <w:jc w:val="both"/>
              <w:rPr>
                <w:rFonts w:cs="Times New Roman"/>
                <w:b/>
                <w:sz w:val="18"/>
                <w:szCs w:val="18"/>
              </w:rPr>
            </w:pPr>
            <w:r w:rsidRPr="00B839AA">
              <w:rPr>
                <w:rFonts w:cs="Times New Roman"/>
                <w:b/>
                <w:sz w:val="18"/>
                <w:szCs w:val="18"/>
              </w:rPr>
              <w:t>7.13</w:t>
            </w:r>
            <w:r w:rsidR="00726716" w:rsidRPr="00B839AA">
              <w:rPr>
                <w:rFonts w:cs="Times New Roman"/>
                <w:b/>
                <w:sz w:val="18"/>
                <w:szCs w:val="18"/>
              </w:rPr>
              <w:t xml:space="preserve"> pasākums</w:t>
            </w:r>
          </w:p>
          <w:p w14:paraId="427BDE8C" w14:textId="77777777" w:rsidR="00726716" w:rsidRPr="00B839AA" w:rsidRDefault="00275CC5" w:rsidP="00726716">
            <w:pPr>
              <w:jc w:val="both"/>
              <w:rPr>
                <w:rFonts w:eastAsia="Times New Roman"/>
                <w:b/>
                <w:iCs/>
                <w:sz w:val="18"/>
                <w:szCs w:val="18"/>
                <w:lang w:eastAsia="lv-LV"/>
              </w:rPr>
            </w:pPr>
            <w:r w:rsidRPr="00B839AA">
              <w:rPr>
                <w:rFonts w:cs="Times New Roman"/>
                <w:sz w:val="18"/>
                <w:szCs w:val="18"/>
              </w:rPr>
              <w:t>Pārskatīt Valsts policijas Galvenās Kriminālpolicij</w:t>
            </w:r>
            <w:r w:rsidR="00C41918">
              <w:rPr>
                <w:rFonts w:cs="Times New Roman"/>
                <w:sz w:val="18"/>
                <w:szCs w:val="18"/>
              </w:rPr>
              <w:t>as pārvaldes Ekonomisko nozie</w:t>
            </w:r>
            <w:r w:rsidRPr="00B839AA">
              <w:rPr>
                <w:rFonts w:cs="Times New Roman"/>
                <w:sz w:val="18"/>
                <w:szCs w:val="18"/>
              </w:rPr>
              <w:t>gumu apkarošanas pārvaldes darbinieku skaitu un resursus, lai nodrošinātu, ka tie spēj adekvāti akumulēt rīcības plāna attiecīgo aktivitāšu rezultātā paredzēto pārbaudāmās informācijas un kriminālprocesu pieaugumu</w:t>
            </w:r>
          </w:p>
        </w:tc>
        <w:tc>
          <w:tcPr>
            <w:tcW w:w="1139" w:type="dxa"/>
            <w:shd w:val="clear" w:color="auto" w:fill="auto"/>
          </w:tcPr>
          <w:p w14:paraId="2515760E" w14:textId="77777777" w:rsidR="00B50FD0" w:rsidRPr="00A05911" w:rsidRDefault="00B50FD0" w:rsidP="00B50FD0">
            <w:pPr>
              <w:jc w:val="center"/>
              <w:rPr>
                <w:rFonts w:eastAsia="Times New Roman"/>
                <w:sz w:val="18"/>
                <w:szCs w:val="18"/>
                <w:lang w:eastAsia="lv-LV"/>
              </w:rPr>
            </w:pPr>
          </w:p>
        </w:tc>
        <w:tc>
          <w:tcPr>
            <w:tcW w:w="987" w:type="dxa"/>
            <w:shd w:val="clear" w:color="auto" w:fill="auto"/>
            <w:noWrap/>
          </w:tcPr>
          <w:p w14:paraId="435EBEB8" w14:textId="77777777" w:rsidR="00B50FD0" w:rsidRPr="00A05911" w:rsidRDefault="00B50FD0" w:rsidP="00B50FD0">
            <w:pPr>
              <w:jc w:val="center"/>
              <w:rPr>
                <w:sz w:val="18"/>
                <w:szCs w:val="18"/>
              </w:rPr>
            </w:pPr>
          </w:p>
        </w:tc>
        <w:tc>
          <w:tcPr>
            <w:tcW w:w="856" w:type="dxa"/>
            <w:shd w:val="clear" w:color="auto" w:fill="auto"/>
            <w:noWrap/>
          </w:tcPr>
          <w:p w14:paraId="24C76533" w14:textId="77777777" w:rsidR="00B50FD0" w:rsidRPr="00A05911" w:rsidRDefault="00B50FD0" w:rsidP="00B50FD0">
            <w:pPr>
              <w:jc w:val="center"/>
              <w:rPr>
                <w:sz w:val="18"/>
                <w:szCs w:val="18"/>
              </w:rPr>
            </w:pPr>
          </w:p>
        </w:tc>
        <w:tc>
          <w:tcPr>
            <w:tcW w:w="992" w:type="dxa"/>
            <w:shd w:val="clear" w:color="auto" w:fill="auto"/>
            <w:noWrap/>
          </w:tcPr>
          <w:p w14:paraId="10820C87" w14:textId="77777777" w:rsidR="00B50FD0" w:rsidRPr="00A05911" w:rsidRDefault="00B50FD0" w:rsidP="00B50FD0">
            <w:pPr>
              <w:jc w:val="center"/>
              <w:rPr>
                <w:sz w:val="18"/>
                <w:szCs w:val="18"/>
              </w:rPr>
            </w:pPr>
          </w:p>
        </w:tc>
        <w:tc>
          <w:tcPr>
            <w:tcW w:w="992" w:type="dxa"/>
            <w:shd w:val="clear" w:color="auto" w:fill="auto"/>
            <w:noWrap/>
          </w:tcPr>
          <w:p w14:paraId="682756F4" w14:textId="77777777" w:rsidR="00B50FD0" w:rsidRPr="00A05911" w:rsidRDefault="00B50FD0" w:rsidP="00B50FD0">
            <w:pPr>
              <w:jc w:val="center"/>
              <w:rPr>
                <w:sz w:val="18"/>
                <w:szCs w:val="18"/>
              </w:rPr>
            </w:pPr>
            <w:r w:rsidRPr="00A05911">
              <w:rPr>
                <w:sz w:val="18"/>
                <w:szCs w:val="18"/>
              </w:rPr>
              <w:t>171 609</w:t>
            </w:r>
          </w:p>
        </w:tc>
        <w:tc>
          <w:tcPr>
            <w:tcW w:w="993" w:type="dxa"/>
            <w:shd w:val="clear" w:color="auto" w:fill="auto"/>
            <w:noWrap/>
          </w:tcPr>
          <w:p w14:paraId="483FCC85" w14:textId="77777777" w:rsidR="00B50FD0" w:rsidRPr="00A05911" w:rsidRDefault="00B50FD0" w:rsidP="00B50FD0">
            <w:pPr>
              <w:jc w:val="center"/>
              <w:rPr>
                <w:sz w:val="18"/>
                <w:szCs w:val="18"/>
              </w:rPr>
            </w:pPr>
            <w:r w:rsidRPr="00A05911">
              <w:rPr>
                <w:sz w:val="18"/>
                <w:szCs w:val="18"/>
              </w:rPr>
              <w:t>163 309</w:t>
            </w:r>
          </w:p>
        </w:tc>
        <w:tc>
          <w:tcPr>
            <w:tcW w:w="992" w:type="dxa"/>
            <w:shd w:val="clear" w:color="auto" w:fill="auto"/>
            <w:noWrap/>
          </w:tcPr>
          <w:p w14:paraId="5295EA26" w14:textId="77777777" w:rsidR="00B50FD0" w:rsidRPr="00A05911" w:rsidRDefault="00B50FD0" w:rsidP="00B50FD0">
            <w:pPr>
              <w:jc w:val="center"/>
              <w:rPr>
                <w:sz w:val="18"/>
                <w:szCs w:val="18"/>
              </w:rPr>
            </w:pPr>
            <w:r w:rsidRPr="00A05911">
              <w:rPr>
                <w:sz w:val="18"/>
                <w:szCs w:val="18"/>
              </w:rPr>
              <w:t>163 309</w:t>
            </w:r>
          </w:p>
        </w:tc>
        <w:tc>
          <w:tcPr>
            <w:tcW w:w="1134" w:type="dxa"/>
            <w:shd w:val="clear" w:color="auto" w:fill="auto"/>
            <w:noWrap/>
          </w:tcPr>
          <w:p w14:paraId="5C4499DB" w14:textId="77777777" w:rsidR="00B50FD0" w:rsidRPr="00A05911" w:rsidRDefault="00B50FD0" w:rsidP="00B50FD0">
            <w:pPr>
              <w:jc w:val="center"/>
              <w:rPr>
                <w:rFonts w:eastAsia="Times New Roman"/>
                <w:color w:val="000000"/>
                <w:sz w:val="18"/>
                <w:szCs w:val="18"/>
                <w:lang w:eastAsia="lv-LV"/>
              </w:rPr>
            </w:pPr>
          </w:p>
        </w:tc>
        <w:tc>
          <w:tcPr>
            <w:tcW w:w="1134" w:type="dxa"/>
            <w:shd w:val="clear" w:color="auto" w:fill="auto"/>
            <w:noWrap/>
          </w:tcPr>
          <w:p w14:paraId="4ECF4F88" w14:textId="77777777" w:rsidR="00B50FD0" w:rsidRPr="00A05911" w:rsidRDefault="00B50FD0" w:rsidP="00B50FD0">
            <w:pPr>
              <w:jc w:val="center"/>
              <w:rPr>
                <w:sz w:val="18"/>
                <w:szCs w:val="18"/>
              </w:rPr>
            </w:pPr>
            <w:r w:rsidRPr="00A05911">
              <w:rPr>
                <w:sz w:val="18"/>
                <w:szCs w:val="18"/>
              </w:rPr>
              <w:t>163 309</w:t>
            </w:r>
          </w:p>
        </w:tc>
        <w:tc>
          <w:tcPr>
            <w:tcW w:w="1326" w:type="dxa"/>
            <w:shd w:val="clear" w:color="auto" w:fill="auto"/>
            <w:noWrap/>
          </w:tcPr>
          <w:p w14:paraId="022B009B" w14:textId="77777777" w:rsidR="00B50FD0" w:rsidRPr="00A05911" w:rsidRDefault="00B50FD0" w:rsidP="00B50FD0">
            <w:pPr>
              <w:jc w:val="center"/>
              <w:rPr>
                <w:rFonts w:eastAsia="Times New Roman"/>
                <w:color w:val="000000"/>
                <w:sz w:val="18"/>
                <w:szCs w:val="18"/>
                <w:lang w:eastAsia="lv-LV"/>
              </w:rPr>
            </w:pPr>
          </w:p>
        </w:tc>
      </w:tr>
      <w:tr w:rsidR="00B50FD0" w:rsidRPr="00A05911" w14:paraId="478CC3A9" w14:textId="77777777" w:rsidTr="00214BEB">
        <w:trPr>
          <w:trHeight w:val="152"/>
        </w:trPr>
        <w:tc>
          <w:tcPr>
            <w:tcW w:w="1715" w:type="dxa"/>
            <w:shd w:val="clear" w:color="auto" w:fill="auto"/>
          </w:tcPr>
          <w:p w14:paraId="40D2768E" w14:textId="77777777" w:rsidR="00B50FD0" w:rsidRPr="00A05911" w:rsidRDefault="00B50FD0" w:rsidP="00B50FD0">
            <w:pPr>
              <w:jc w:val="center"/>
              <w:rPr>
                <w:rFonts w:eastAsia="Times New Roman"/>
                <w:sz w:val="18"/>
                <w:szCs w:val="18"/>
                <w:lang w:eastAsia="lv-LV"/>
              </w:rPr>
            </w:pPr>
          </w:p>
        </w:tc>
        <w:tc>
          <w:tcPr>
            <w:tcW w:w="2263" w:type="dxa"/>
            <w:shd w:val="clear" w:color="auto" w:fill="auto"/>
          </w:tcPr>
          <w:p w14:paraId="651AF382" w14:textId="77777777" w:rsidR="00B50FD0" w:rsidRPr="000A1CF8" w:rsidRDefault="00B50FD0" w:rsidP="000E4C1C">
            <w:pPr>
              <w:rPr>
                <w:sz w:val="18"/>
                <w:szCs w:val="18"/>
              </w:rPr>
            </w:pPr>
            <w:r w:rsidRPr="000A1CF8">
              <w:rPr>
                <w:sz w:val="18"/>
                <w:szCs w:val="18"/>
              </w:rPr>
              <w:t>Iekšlietu ministrija</w:t>
            </w:r>
          </w:p>
        </w:tc>
        <w:tc>
          <w:tcPr>
            <w:tcW w:w="1139" w:type="dxa"/>
            <w:shd w:val="clear" w:color="auto" w:fill="auto"/>
          </w:tcPr>
          <w:p w14:paraId="55FCBED5" w14:textId="77777777" w:rsidR="00B50FD0" w:rsidRPr="00A05911" w:rsidRDefault="00B50FD0" w:rsidP="00B50FD0">
            <w:pPr>
              <w:jc w:val="center"/>
              <w:rPr>
                <w:rFonts w:eastAsia="Times New Roman"/>
                <w:sz w:val="18"/>
                <w:szCs w:val="18"/>
                <w:lang w:eastAsia="lv-LV"/>
              </w:rPr>
            </w:pPr>
          </w:p>
        </w:tc>
        <w:tc>
          <w:tcPr>
            <w:tcW w:w="987" w:type="dxa"/>
            <w:shd w:val="clear" w:color="auto" w:fill="auto"/>
            <w:noWrap/>
          </w:tcPr>
          <w:p w14:paraId="5C31CDD7" w14:textId="77777777" w:rsidR="00B50FD0" w:rsidRPr="00A05911" w:rsidRDefault="00B50FD0" w:rsidP="00B50FD0">
            <w:pPr>
              <w:jc w:val="center"/>
              <w:rPr>
                <w:sz w:val="18"/>
                <w:szCs w:val="18"/>
              </w:rPr>
            </w:pPr>
          </w:p>
        </w:tc>
        <w:tc>
          <w:tcPr>
            <w:tcW w:w="856" w:type="dxa"/>
            <w:shd w:val="clear" w:color="auto" w:fill="auto"/>
            <w:noWrap/>
          </w:tcPr>
          <w:p w14:paraId="7DB2907C" w14:textId="77777777" w:rsidR="00B50FD0" w:rsidRPr="00A05911" w:rsidRDefault="00B50FD0" w:rsidP="00B50FD0">
            <w:pPr>
              <w:jc w:val="center"/>
              <w:rPr>
                <w:sz w:val="18"/>
                <w:szCs w:val="18"/>
              </w:rPr>
            </w:pPr>
          </w:p>
        </w:tc>
        <w:tc>
          <w:tcPr>
            <w:tcW w:w="992" w:type="dxa"/>
            <w:shd w:val="clear" w:color="auto" w:fill="auto"/>
            <w:noWrap/>
          </w:tcPr>
          <w:p w14:paraId="465DEE04" w14:textId="77777777" w:rsidR="00B50FD0" w:rsidRPr="00A05911" w:rsidRDefault="00B50FD0" w:rsidP="00B50FD0">
            <w:pPr>
              <w:jc w:val="center"/>
              <w:rPr>
                <w:sz w:val="18"/>
                <w:szCs w:val="18"/>
              </w:rPr>
            </w:pPr>
          </w:p>
        </w:tc>
        <w:tc>
          <w:tcPr>
            <w:tcW w:w="992" w:type="dxa"/>
            <w:shd w:val="clear" w:color="auto" w:fill="auto"/>
            <w:noWrap/>
          </w:tcPr>
          <w:p w14:paraId="1C80EACB" w14:textId="77777777" w:rsidR="00B50FD0" w:rsidRPr="00A05911" w:rsidRDefault="00B50FD0" w:rsidP="00B50FD0">
            <w:pPr>
              <w:jc w:val="center"/>
              <w:rPr>
                <w:sz w:val="18"/>
                <w:szCs w:val="18"/>
              </w:rPr>
            </w:pPr>
          </w:p>
        </w:tc>
        <w:tc>
          <w:tcPr>
            <w:tcW w:w="993" w:type="dxa"/>
            <w:shd w:val="clear" w:color="auto" w:fill="auto"/>
            <w:noWrap/>
          </w:tcPr>
          <w:p w14:paraId="18BC3156" w14:textId="77777777" w:rsidR="00B50FD0" w:rsidRPr="00A05911" w:rsidRDefault="00B50FD0" w:rsidP="00B50FD0">
            <w:pPr>
              <w:jc w:val="center"/>
              <w:rPr>
                <w:sz w:val="18"/>
                <w:szCs w:val="18"/>
              </w:rPr>
            </w:pPr>
          </w:p>
        </w:tc>
        <w:tc>
          <w:tcPr>
            <w:tcW w:w="992" w:type="dxa"/>
            <w:shd w:val="clear" w:color="auto" w:fill="auto"/>
            <w:noWrap/>
          </w:tcPr>
          <w:p w14:paraId="06BD5D94" w14:textId="77777777" w:rsidR="00B50FD0" w:rsidRPr="00A05911" w:rsidRDefault="00B50FD0" w:rsidP="00B50FD0">
            <w:pPr>
              <w:jc w:val="center"/>
              <w:rPr>
                <w:sz w:val="18"/>
                <w:szCs w:val="18"/>
              </w:rPr>
            </w:pPr>
          </w:p>
        </w:tc>
        <w:tc>
          <w:tcPr>
            <w:tcW w:w="1134" w:type="dxa"/>
            <w:shd w:val="clear" w:color="auto" w:fill="auto"/>
            <w:noWrap/>
          </w:tcPr>
          <w:p w14:paraId="29BBA61F" w14:textId="77777777" w:rsidR="00B50FD0" w:rsidRPr="00A05911" w:rsidRDefault="00B50FD0" w:rsidP="00B50FD0">
            <w:pPr>
              <w:jc w:val="center"/>
              <w:rPr>
                <w:rFonts w:eastAsia="Times New Roman"/>
                <w:color w:val="000000"/>
                <w:sz w:val="18"/>
                <w:szCs w:val="18"/>
                <w:lang w:eastAsia="lv-LV"/>
              </w:rPr>
            </w:pPr>
          </w:p>
        </w:tc>
        <w:tc>
          <w:tcPr>
            <w:tcW w:w="1134" w:type="dxa"/>
            <w:shd w:val="clear" w:color="auto" w:fill="auto"/>
            <w:noWrap/>
          </w:tcPr>
          <w:p w14:paraId="1EE0C54F" w14:textId="77777777" w:rsidR="00B50FD0" w:rsidRPr="00A05911" w:rsidRDefault="00B50FD0" w:rsidP="00B50FD0">
            <w:pPr>
              <w:jc w:val="center"/>
              <w:rPr>
                <w:sz w:val="18"/>
                <w:szCs w:val="18"/>
              </w:rPr>
            </w:pPr>
          </w:p>
        </w:tc>
        <w:tc>
          <w:tcPr>
            <w:tcW w:w="1326" w:type="dxa"/>
            <w:shd w:val="clear" w:color="auto" w:fill="auto"/>
            <w:noWrap/>
          </w:tcPr>
          <w:p w14:paraId="2FFE3D91" w14:textId="77777777" w:rsidR="00B50FD0" w:rsidRPr="00A05911" w:rsidRDefault="00B50FD0" w:rsidP="00B50FD0">
            <w:pPr>
              <w:jc w:val="center"/>
              <w:rPr>
                <w:rFonts w:eastAsia="Times New Roman"/>
                <w:color w:val="000000"/>
                <w:sz w:val="18"/>
                <w:szCs w:val="18"/>
                <w:lang w:eastAsia="lv-LV"/>
              </w:rPr>
            </w:pPr>
          </w:p>
        </w:tc>
      </w:tr>
    </w:tbl>
    <w:p w14:paraId="73632572" w14:textId="77777777" w:rsidR="008B2CD4" w:rsidRPr="00D711C2" w:rsidRDefault="008B2CD4" w:rsidP="008A0FDA">
      <w:pPr>
        <w:pStyle w:val="naisf"/>
        <w:tabs>
          <w:tab w:val="right" w:pos="9000"/>
        </w:tabs>
        <w:spacing w:before="0" w:after="0"/>
        <w:ind w:firstLine="709"/>
        <w:rPr>
          <w:sz w:val="28"/>
          <w:szCs w:val="28"/>
        </w:rPr>
      </w:pPr>
    </w:p>
    <w:p w14:paraId="3DA08AD0" w14:textId="77777777" w:rsidR="008B2CD4" w:rsidRPr="00D711C2" w:rsidRDefault="008B2CD4" w:rsidP="008A0FDA">
      <w:pPr>
        <w:pStyle w:val="naisf"/>
        <w:tabs>
          <w:tab w:val="right" w:pos="9000"/>
        </w:tabs>
        <w:spacing w:before="0" w:after="0"/>
        <w:ind w:firstLine="709"/>
        <w:rPr>
          <w:sz w:val="28"/>
          <w:szCs w:val="28"/>
        </w:rPr>
      </w:pPr>
    </w:p>
    <w:p w14:paraId="52FA25E7" w14:textId="77777777" w:rsidR="008B2CD4" w:rsidRPr="00D711C2" w:rsidRDefault="008B2CD4" w:rsidP="008A0FDA">
      <w:pPr>
        <w:pStyle w:val="naisf"/>
        <w:tabs>
          <w:tab w:val="right" w:pos="9000"/>
        </w:tabs>
        <w:spacing w:before="0" w:after="0"/>
        <w:ind w:firstLine="709"/>
        <w:rPr>
          <w:sz w:val="28"/>
          <w:szCs w:val="28"/>
        </w:rPr>
      </w:pPr>
    </w:p>
    <w:p w14:paraId="618CEEAD" w14:textId="77777777" w:rsidR="008B2CD4" w:rsidRPr="00D711C2" w:rsidRDefault="008B2CD4" w:rsidP="008B2CD4">
      <w:pPr>
        <w:pStyle w:val="naisf"/>
        <w:tabs>
          <w:tab w:val="left" w:pos="10206"/>
        </w:tabs>
        <w:spacing w:before="0" w:after="0"/>
        <w:ind w:firstLine="709"/>
        <w:rPr>
          <w:sz w:val="28"/>
          <w:szCs w:val="28"/>
        </w:rPr>
      </w:pPr>
      <w:r w:rsidRPr="00D711C2">
        <w:rPr>
          <w:sz w:val="28"/>
          <w:szCs w:val="28"/>
        </w:rPr>
        <w:t>Finanšu ministre</w:t>
      </w:r>
      <w:r w:rsidRPr="00D711C2">
        <w:rPr>
          <w:sz w:val="28"/>
          <w:szCs w:val="28"/>
        </w:rPr>
        <w:tab/>
        <w:t>Dana Reizniece-Ozola</w:t>
      </w:r>
    </w:p>
    <w:sectPr w:rsidR="008B2CD4" w:rsidRPr="00D711C2" w:rsidSect="00A401DB">
      <w:pgSz w:w="16838" w:h="11906" w:orient="landscape"/>
      <w:pgMar w:top="1276"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CF45" w14:textId="77777777" w:rsidR="00D37C29" w:rsidRDefault="00D37C29" w:rsidP="008A7686">
      <w:r>
        <w:separator/>
      </w:r>
    </w:p>
  </w:endnote>
  <w:endnote w:type="continuationSeparator" w:id="0">
    <w:p w14:paraId="0D62AD16" w14:textId="77777777" w:rsidR="00D37C29" w:rsidRDefault="00D37C29" w:rsidP="008A7686">
      <w:r>
        <w:continuationSeparator/>
      </w:r>
    </w:p>
  </w:endnote>
  <w:endnote w:type="continuationNotice" w:id="1">
    <w:p w14:paraId="3F8AFECD" w14:textId="77777777" w:rsidR="00D37C29" w:rsidRDefault="00D3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28A5F" w14:textId="77777777" w:rsidR="00D37C29" w:rsidRDefault="00D37C29" w:rsidP="008A7686">
      <w:r>
        <w:separator/>
      </w:r>
    </w:p>
  </w:footnote>
  <w:footnote w:type="continuationSeparator" w:id="0">
    <w:p w14:paraId="662BDE3C" w14:textId="77777777" w:rsidR="00D37C29" w:rsidRDefault="00D37C29" w:rsidP="008A7686">
      <w:r>
        <w:continuationSeparator/>
      </w:r>
    </w:p>
  </w:footnote>
  <w:footnote w:type="continuationNotice" w:id="1">
    <w:p w14:paraId="730FA5ED" w14:textId="77777777" w:rsidR="00D37C29" w:rsidRDefault="00D37C29"/>
  </w:footnote>
  <w:footnote w:id="2">
    <w:p w14:paraId="00738EAA" w14:textId="77777777" w:rsidR="008A0FDA" w:rsidRDefault="008A0FDA" w:rsidP="00796432">
      <w:pPr>
        <w:pStyle w:val="FootnoteText"/>
        <w:jc w:val="both"/>
      </w:pPr>
      <w:r>
        <w:rPr>
          <w:rStyle w:val="FootnoteReference"/>
        </w:rPr>
        <w:footnoteRef/>
      </w:r>
      <w:r>
        <w:t xml:space="preserve"> Metodoloģijas izpratnē “draudi” ir predikatīvo noziegumu rezultātā radušies noziedzīgi iegūti līdzekļi. Latvijā kā NILL predikatīvais noziedzīgais nodarījums var būt jebkurš no Krimināllikuma Sevišķajā daļā paredzētajiem noziedzīgiem  nodarījumiem .</w:t>
      </w:r>
    </w:p>
  </w:footnote>
  <w:footnote w:id="3">
    <w:p w14:paraId="6C34C481" w14:textId="77777777" w:rsidR="008A0FDA" w:rsidRDefault="008A0FDA" w:rsidP="00796432">
      <w:pPr>
        <w:pStyle w:val="FootnoteText"/>
        <w:jc w:val="both"/>
      </w:pPr>
      <w:r>
        <w:rPr>
          <w:rStyle w:val="FootnoteReference"/>
        </w:rPr>
        <w:footnoteRef/>
      </w:r>
      <w:r>
        <w:t xml:space="preserve"> Lielu finansiāli spēcīgu NVS valstu grupu darbība caur vairākām Latvijas kredītiestādēm, kas apkalpo ārvalstu klientus, it īpaši – liels skaits necaurspīdīgu savstarpēju darījumu iekšbankā vai Latvijas finanšu sektora ietvaros bez atbilstoša ekonomiska pamatojuma.</w:t>
      </w:r>
    </w:p>
  </w:footnote>
  <w:footnote w:id="4">
    <w:p w14:paraId="3F638446" w14:textId="77777777" w:rsidR="008A0FDA" w:rsidRDefault="008A0FDA" w:rsidP="00796432">
      <w:pPr>
        <w:pStyle w:val="FootnoteText"/>
      </w:pPr>
      <w:r>
        <w:rPr>
          <w:rStyle w:val="FootnoteReference"/>
        </w:rPr>
        <w:footnoteRef/>
      </w:r>
      <w:r>
        <w:t xml:space="preserve"> Ievainojamība moduļa izpratnē ir nepilnības un vājie posmi valsts NILLTF novēršanas spējās, ka s var pastāvēt kā valstiskā līmenī, tā arī sektorālā līmenī.</w:t>
      </w:r>
    </w:p>
  </w:footnote>
  <w:footnote w:id="5">
    <w:p w14:paraId="67D636BC" w14:textId="77777777" w:rsidR="008A0FDA" w:rsidRDefault="008A0FDA" w:rsidP="00796432">
      <w:pPr>
        <w:pStyle w:val="FootnoteText"/>
        <w:jc w:val="both"/>
      </w:pPr>
      <w:r w:rsidRPr="00AD7EF1">
        <w:rPr>
          <w:vertAlign w:val="superscript"/>
        </w:rPr>
        <w:footnoteRef/>
      </w:r>
      <w:r w:rsidRPr="00AD7EF1">
        <w:rPr>
          <w:vertAlign w:val="superscript"/>
        </w:rPr>
        <w:t xml:space="preserve"> </w:t>
      </w:r>
      <w:r>
        <w:t>Ģ</w:t>
      </w:r>
      <w:r w:rsidRPr="00AD7EF1">
        <w:t>eogrāfija, gan attiecībā uz klientu (ārzonas kompānijas), gan to patiesā labuma guvēju – NVS, produkti un pakalpojumi (fiduciārie trasti, kredīti pret finanšu nodrošinājumu u</w:t>
      </w:r>
      <w:r>
        <w:t>.</w:t>
      </w:r>
      <w:r w:rsidRPr="00AD7EF1">
        <w:t>tm</w:t>
      </w:r>
      <w:r>
        <w:t>l</w:t>
      </w:r>
      <w:r w:rsidRPr="00AD7EF1">
        <w:t>.), kā arī piegādes kanāli (e-komercija, korporatīvās kartes ar nepamatoti lielu karšu lietotāju skaitu u</w:t>
      </w:r>
      <w:r>
        <w:t>.</w:t>
      </w:r>
      <w:r w:rsidRPr="00AD7EF1">
        <w:t>tml.);</w:t>
      </w:r>
    </w:p>
  </w:footnote>
  <w:footnote w:id="6">
    <w:p w14:paraId="1FFECB2D" w14:textId="77777777" w:rsidR="008A0FDA" w:rsidRDefault="008A0FDA">
      <w:pPr>
        <w:pStyle w:val="FootnoteText"/>
      </w:pPr>
      <w:r>
        <w:rPr>
          <w:rStyle w:val="FootnoteReference"/>
        </w:rPr>
        <w:footnoteRef/>
      </w:r>
      <w:r>
        <w:t xml:space="preserve"> Veikto pārbaužu skaits 2019.gadā atkarīgs no jaunizveidoto amata vietu nokomplektēšanas laika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747345"/>
      <w:docPartObj>
        <w:docPartGallery w:val="Page Numbers (Top of Page)"/>
        <w:docPartUnique/>
      </w:docPartObj>
    </w:sdtPr>
    <w:sdtEndPr>
      <w:rPr>
        <w:noProof/>
      </w:rPr>
    </w:sdtEndPr>
    <w:sdtContent>
      <w:p w14:paraId="2D9ED844" w14:textId="6CE90A66" w:rsidR="008A0FDA" w:rsidRDefault="008A0FDA">
        <w:pPr>
          <w:pStyle w:val="Header"/>
          <w:jc w:val="center"/>
        </w:pPr>
        <w:r>
          <w:fldChar w:fldCharType="begin"/>
        </w:r>
        <w:r>
          <w:instrText xml:space="preserve"> PAGE   \* MERGEFORMAT </w:instrText>
        </w:r>
        <w:r>
          <w:fldChar w:fldCharType="separate"/>
        </w:r>
        <w:r w:rsidR="002A3FC1">
          <w:rPr>
            <w:noProof/>
          </w:rPr>
          <w:t>8</w:t>
        </w:r>
        <w:r>
          <w:rPr>
            <w:noProof/>
          </w:rPr>
          <w:fldChar w:fldCharType="end"/>
        </w:r>
      </w:p>
    </w:sdtContent>
  </w:sdt>
  <w:p w14:paraId="249250A3" w14:textId="77777777" w:rsidR="008A0FDA" w:rsidRDefault="008A0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1061"/>
    <w:multiLevelType w:val="hybridMultilevel"/>
    <w:tmpl w:val="1A50EA24"/>
    <w:lvl w:ilvl="0" w:tplc="5B96EE8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1552"/>
    <w:multiLevelType w:val="hybridMultilevel"/>
    <w:tmpl w:val="4FF8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6F29"/>
    <w:multiLevelType w:val="hybridMultilevel"/>
    <w:tmpl w:val="AC6639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B00818"/>
    <w:multiLevelType w:val="hybridMultilevel"/>
    <w:tmpl w:val="F04AFA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E8B1174"/>
    <w:multiLevelType w:val="hybridMultilevel"/>
    <w:tmpl w:val="09FA20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492BCA"/>
    <w:multiLevelType w:val="hybridMultilevel"/>
    <w:tmpl w:val="A6A6AEA6"/>
    <w:lvl w:ilvl="0" w:tplc="AC525544">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3042406"/>
    <w:multiLevelType w:val="hybridMultilevel"/>
    <w:tmpl w:val="174AE1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30557"/>
    <w:multiLevelType w:val="hybridMultilevel"/>
    <w:tmpl w:val="0686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1605F"/>
    <w:multiLevelType w:val="hybridMultilevel"/>
    <w:tmpl w:val="81B69C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E06130"/>
    <w:multiLevelType w:val="hybridMultilevel"/>
    <w:tmpl w:val="6D8E8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5B3C3D"/>
    <w:multiLevelType w:val="hybridMultilevel"/>
    <w:tmpl w:val="39DC3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EE6050"/>
    <w:multiLevelType w:val="hybridMultilevel"/>
    <w:tmpl w:val="45BA76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571A6E"/>
    <w:multiLevelType w:val="hybridMultilevel"/>
    <w:tmpl w:val="F374708E"/>
    <w:lvl w:ilvl="0" w:tplc="7F78C228">
      <w:start w:val="4"/>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1DB85461"/>
    <w:multiLevelType w:val="hybridMultilevel"/>
    <w:tmpl w:val="FD1A99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47095E"/>
    <w:multiLevelType w:val="hybridMultilevel"/>
    <w:tmpl w:val="3AA0578A"/>
    <w:lvl w:ilvl="0" w:tplc="04260011">
      <w:start w:val="1"/>
      <w:numFmt w:val="decimal"/>
      <w:lvlText w:val="%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5B5B22"/>
    <w:multiLevelType w:val="hybridMultilevel"/>
    <w:tmpl w:val="53E4E340"/>
    <w:lvl w:ilvl="0" w:tplc="FAE002A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CB370C0"/>
    <w:multiLevelType w:val="hybridMultilevel"/>
    <w:tmpl w:val="6060C1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584424"/>
    <w:multiLevelType w:val="hybridMultilevel"/>
    <w:tmpl w:val="97F887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E407A1"/>
    <w:multiLevelType w:val="hybridMultilevel"/>
    <w:tmpl w:val="A650CBD4"/>
    <w:lvl w:ilvl="0" w:tplc="DD70B03E">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09207D"/>
    <w:multiLevelType w:val="hybridMultilevel"/>
    <w:tmpl w:val="B91CF1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8C3DD0"/>
    <w:multiLevelType w:val="hybridMultilevel"/>
    <w:tmpl w:val="959CF4E8"/>
    <w:lvl w:ilvl="0" w:tplc="E5163F6C">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AE74548"/>
    <w:multiLevelType w:val="hybridMultilevel"/>
    <w:tmpl w:val="5724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5D9D"/>
    <w:multiLevelType w:val="hybridMultilevel"/>
    <w:tmpl w:val="8BE09B5A"/>
    <w:lvl w:ilvl="0" w:tplc="F682675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10C11AB"/>
    <w:multiLevelType w:val="hybridMultilevel"/>
    <w:tmpl w:val="1E3C62D2"/>
    <w:lvl w:ilvl="0" w:tplc="16DA0A2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C42E29"/>
    <w:multiLevelType w:val="hybridMultilevel"/>
    <w:tmpl w:val="AD2C23C0"/>
    <w:lvl w:ilvl="0" w:tplc="5B96EE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497711"/>
    <w:multiLevelType w:val="hybridMultilevel"/>
    <w:tmpl w:val="35EC2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971243"/>
    <w:multiLevelType w:val="hybridMultilevel"/>
    <w:tmpl w:val="A348A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C8639C"/>
    <w:multiLevelType w:val="hybridMultilevel"/>
    <w:tmpl w:val="B5725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7C7068"/>
    <w:multiLevelType w:val="hybridMultilevel"/>
    <w:tmpl w:val="50E85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0D21CF"/>
    <w:multiLevelType w:val="hybridMultilevel"/>
    <w:tmpl w:val="AB183E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387CC9"/>
    <w:multiLevelType w:val="hybridMultilevel"/>
    <w:tmpl w:val="6E949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36CE8"/>
    <w:multiLevelType w:val="hybridMultilevel"/>
    <w:tmpl w:val="FFDA10E2"/>
    <w:lvl w:ilvl="0" w:tplc="A4DAB3B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87E096A"/>
    <w:multiLevelType w:val="hybridMultilevel"/>
    <w:tmpl w:val="687CB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EA02D0"/>
    <w:multiLevelType w:val="hybridMultilevel"/>
    <w:tmpl w:val="C3D2D5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FF3D96"/>
    <w:multiLevelType w:val="hybridMultilevel"/>
    <w:tmpl w:val="5A32A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1B62E9"/>
    <w:multiLevelType w:val="hybridMultilevel"/>
    <w:tmpl w:val="C326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36864"/>
    <w:multiLevelType w:val="hybridMultilevel"/>
    <w:tmpl w:val="A94A21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C8091A"/>
    <w:multiLevelType w:val="hybridMultilevel"/>
    <w:tmpl w:val="A6CEA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1B496D"/>
    <w:multiLevelType w:val="hybridMultilevel"/>
    <w:tmpl w:val="88303D32"/>
    <w:lvl w:ilvl="0" w:tplc="BD74889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B4538A"/>
    <w:multiLevelType w:val="hybridMultilevel"/>
    <w:tmpl w:val="39DC3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BF5B23"/>
    <w:multiLevelType w:val="hybridMultilevel"/>
    <w:tmpl w:val="35EC2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38"/>
  </w:num>
  <w:num w:numId="3">
    <w:abstractNumId w:val="19"/>
  </w:num>
  <w:num w:numId="4">
    <w:abstractNumId w:val="17"/>
  </w:num>
  <w:num w:numId="5">
    <w:abstractNumId w:val="36"/>
  </w:num>
  <w:num w:numId="6">
    <w:abstractNumId w:val="4"/>
  </w:num>
  <w:num w:numId="7">
    <w:abstractNumId w:val="33"/>
  </w:num>
  <w:num w:numId="8">
    <w:abstractNumId w:val="8"/>
  </w:num>
  <w:num w:numId="9">
    <w:abstractNumId w:val="13"/>
  </w:num>
  <w:num w:numId="10">
    <w:abstractNumId w:val="24"/>
  </w:num>
  <w:num w:numId="11">
    <w:abstractNumId w:val="0"/>
  </w:num>
  <w:num w:numId="12">
    <w:abstractNumId w:val="16"/>
  </w:num>
  <w:num w:numId="13">
    <w:abstractNumId w:val="37"/>
  </w:num>
  <w:num w:numId="14">
    <w:abstractNumId w:val="30"/>
  </w:num>
  <w:num w:numId="15">
    <w:abstractNumId w:val="7"/>
  </w:num>
  <w:num w:numId="16">
    <w:abstractNumId w:val="21"/>
  </w:num>
  <w:num w:numId="17">
    <w:abstractNumId w:val="1"/>
  </w:num>
  <w:num w:numId="18">
    <w:abstractNumId w:val="35"/>
  </w:num>
  <w:num w:numId="19">
    <w:abstractNumId w:val="23"/>
  </w:num>
  <w:num w:numId="20">
    <w:abstractNumId w:val="27"/>
  </w:num>
  <w:num w:numId="21">
    <w:abstractNumId w:val="20"/>
  </w:num>
  <w:num w:numId="22">
    <w:abstractNumId w:val="2"/>
  </w:num>
  <w:num w:numId="23">
    <w:abstractNumId w:val="29"/>
  </w:num>
  <w:num w:numId="24">
    <w:abstractNumId w:val="11"/>
  </w:num>
  <w:num w:numId="25">
    <w:abstractNumId w:val="15"/>
  </w:num>
  <w:num w:numId="26">
    <w:abstractNumId w:val="32"/>
  </w:num>
  <w:num w:numId="27">
    <w:abstractNumId w:val="6"/>
  </w:num>
  <w:num w:numId="28">
    <w:abstractNumId w:val="28"/>
  </w:num>
  <w:num w:numId="29">
    <w:abstractNumId w:val="9"/>
  </w:num>
  <w:num w:numId="30">
    <w:abstractNumId w:val="26"/>
  </w:num>
  <w:num w:numId="31">
    <w:abstractNumId w:val="18"/>
  </w:num>
  <w:num w:numId="32">
    <w:abstractNumId w:val="40"/>
  </w:num>
  <w:num w:numId="33">
    <w:abstractNumId w:val="10"/>
  </w:num>
  <w:num w:numId="34">
    <w:abstractNumId w:val="34"/>
  </w:num>
  <w:num w:numId="35">
    <w:abstractNumId w:val="25"/>
  </w:num>
  <w:num w:numId="36">
    <w:abstractNumId w:val="3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4"/>
  </w:num>
  <w:num w:numId="40">
    <w:abstractNumId w:val="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53"/>
    <w:rsid w:val="00000662"/>
    <w:rsid w:val="00000E22"/>
    <w:rsid w:val="000010E9"/>
    <w:rsid w:val="000012CB"/>
    <w:rsid w:val="00001FA0"/>
    <w:rsid w:val="00004BA0"/>
    <w:rsid w:val="0000507F"/>
    <w:rsid w:val="00005263"/>
    <w:rsid w:val="00005A22"/>
    <w:rsid w:val="00005BED"/>
    <w:rsid w:val="00007CB4"/>
    <w:rsid w:val="00011A37"/>
    <w:rsid w:val="00011D0A"/>
    <w:rsid w:val="00011F3A"/>
    <w:rsid w:val="00012BDB"/>
    <w:rsid w:val="00013364"/>
    <w:rsid w:val="00013746"/>
    <w:rsid w:val="00015DD2"/>
    <w:rsid w:val="00016E09"/>
    <w:rsid w:val="00016E6D"/>
    <w:rsid w:val="00016F1F"/>
    <w:rsid w:val="00017934"/>
    <w:rsid w:val="00020833"/>
    <w:rsid w:val="000215A6"/>
    <w:rsid w:val="00025AB6"/>
    <w:rsid w:val="000261E6"/>
    <w:rsid w:val="000317E1"/>
    <w:rsid w:val="00033C6B"/>
    <w:rsid w:val="000340C6"/>
    <w:rsid w:val="000344B8"/>
    <w:rsid w:val="000368A1"/>
    <w:rsid w:val="00037C79"/>
    <w:rsid w:val="00040061"/>
    <w:rsid w:val="0004180E"/>
    <w:rsid w:val="00041B4A"/>
    <w:rsid w:val="00042520"/>
    <w:rsid w:val="00044038"/>
    <w:rsid w:val="00046212"/>
    <w:rsid w:val="00050634"/>
    <w:rsid w:val="0005227B"/>
    <w:rsid w:val="0005279C"/>
    <w:rsid w:val="00052DDB"/>
    <w:rsid w:val="00054C13"/>
    <w:rsid w:val="000601CE"/>
    <w:rsid w:val="0006062A"/>
    <w:rsid w:val="0006091D"/>
    <w:rsid w:val="00060EBB"/>
    <w:rsid w:val="00061390"/>
    <w:rsid w:val="00063887"/>
    <w:rsid w:val="0006495D"/>
    <w:rsid w:val="00064F81"/>
    <w:rsid w:val="00065366"/>
    <w:rsid w:val="00066513"/>
    <w:rsid w:val="00067A8F"/>
    <w:rsid w:val="000707D3"/>
    <w:rsid w:val="000712C7"/>
    <w:rsid w:val="000738D1"/>
    <w:rsid w:val="00075AAF"/>
    <w:rsid w:val="0007773B"/>
    <w:rsid w:val="000824DA"/>
    <w:rsid w:val="00083B83"/>
    <w:rsid w:val="000841C1"/>
    <w:rsid w:val="0008471B"/>
    <w:rsid w:val="0008512A"/>
    <w:rsid w:val="00086A74"/>
    <w:rsid w:val="0009140F"/>
    <w:rsid w:val="00092B1A"/>
    <w:rsid w:val="0009486A"/>
    <w:rsid w:val="00096AA3"/>
    <w:rsid w:val="0009711A"/>
    <w:rsid w:val="000A13C4"/>
    <w:rsid w:val="000A28C2"/>
    <w:rsid w:val="000A2B24"/>
    <w:rsid w:val="000A3249"/>
    <w:rsid w:val="000A4B43"/>
    <w:rsid w:val="000A4BCB"/>
    <w:rsid w:val="000A4F2F"/>
    <w:rsid w:val="000A5546"/>
    <w:rsid w:val="000A5FBA"/>
    <w:rsid w:val="000A64FF"/>
    <w:rsid w:val="000B0E1E"/>
    <w:rsid w:val="000B1B37"/>
    <w:rsid w:val="000B3CEB"/>
    <w:rsid w:val="000B4CE3"/>
    <w:rsid w:val="000B60B1"/>
    <w:rsid w:val="000C02B4"/>
    <w:rsid w:val="000C07B7"/>
    <w:rsid w:val="000C118F"/>
    <w:rsid w:val="000C2B06"/>
    <w:rsid w:val="000C2D5E"/>
    <w:rsid w:val="000C5748"/>
    <w:rsid w:val="000C68D7"/>
    <w:rsid w:val="000C6A6F"/>
    <w:rsid w:val="000C7E03"/>
    <w:rsid w:val="000C7EA0"/>
    <w:rsid w:val="000D0F6D"/>
    <w:rsid w:val="000D0FCD"/>
    <w:rsid w:val="000D1851"/>
    <w:rsid w:val="000D3013"/>
    <w:rsid w:val="000D4176"/>
    <w:rsid w:val="000D4C76"/>
    <w:rsid w:val="000D51C9"/>
    <w:rsid w:val="000D6C44"/>
    <w:rsid w:val="000D6CFF"/>
    <w:rsid w:val="000E05FD"/>
    <w:rsid w:val="000E4222"/>
    <w:rsid w:val="000E4C1C"/>
    <w:rsid w:val="000E4D3A"/>
    <w:rsid w:val="000E54CF"/>
    <w:rsid w:val="000E5C49"/>
    <w:rsid w:val="000E5F2F"/>
    <w:rsid w:val="000E646C"/>
    <w:rsid w:val="000F0B38"/>
    <w:rsid w:val="000F455A"/>
    <w:rsid w:val="000F5234"/>
    <w:rsid w:val="000F7119"/>
    <w:rsid w:val="000F7575"/>
    <w:rsid w:val="00102D5B"/>
    <w:rsid w:val="00103052"/>
    <w:rsid w:val="001041E1"/>
    <w:rsid w:val="00104BBC"/>
    <w:rsid w:val="001068EA"/>
    <w:rsid w:val="00107138"/>
    <w:rsid w:val="00107C5B"/>
    <w:rsid w:val="00110748"/>
    <w:rsid w:val="00111755"/>
    <w:rsid w:val="00113E8B"/>
    <w:rsid w:val="00121773"/>
    <w:rsid w:val="00122AD7"/>
    <w:rsid w:val="00123141"/>
    <w:rsid w:val="00123E6E"/>
    <w:rsid w:val="001258EC"/>
    <w:rsid w:val="00126E9C"/>
    <w:rsid w:val="0012750F"/>
    <w:rsid w:val="001300DF"/>
    <w:rsid w:val="00131B1F"/>
    <w:rsid w:val="00136F39"/>
    <w:rsid w:val="00137930"/>
    <w:rsid w:val="00137F91"/>
    <w:rsid w:val="0014039B"/>
    <w:rsid w:val="00141DAB"/>
    <w:rsid w:val="0014268B"/>
    <w:rsid w:val="0014512D"/>
    <w:rsid w:val="001451D6"/>
    <w:rsid w:val="001459F9"/>
    <w:rsid w:val="0014702B"/>
    <w:rsid w:val="001471C5"/>
    <w:rsid w:val="00150205"/>
    <w:rsid w:val="001504EE"/>
    <w:rsid w:val="001505D5"/>
    <w:rsid w:val="00153CFB"/>
    <w:rsid w:val="00153D37"/>
    <w:rsid w:val="00155509"/>
    <w:rsid w:val="0015565C"/>
    <w:rsid w:val="00156099"/>
    <w:rsid w:val="00157C3A"/>
    <w:rsid w:val="00157C4F"/>
    <w:rsid w:val="00161201"/>
    <w:rsid w:val="00161E8F"/>
    <w:rsid w:val="0016393C"/>
    <w:rsid w:val="00163940"/>
    <w:rsid w:val="0016623A"/>
    <w:rsid w:val="00166616"/>
    <w:rsid w:val="00170049"/>
    <w:rsid w:val="001748EE"/>
    <w:rsid w:val="00174D9A"/>
    <w:rsid w:val="00180B05"/>
    <w:rsid w:val="0018182E"/>
    <w:rsid w:val="00181B0E"/>
    <w:rsid w:val="001826FB"/>
    <w:rsid w:val="00183A17"/>
    <w:rsid w:val="00183F04"/>
    <w:rsid w:val="0018424E"/>
    <w:rsid w:val="001845E3"/>
    <w:rsid w:val="00185015"/>
    <w:rsid w:val="00185B7D"/>
    <w:rsid w:val="00186872"/>
    <w:rsid w:val="0018760A"/>
    <w:rsid w:val="00187DDF"/>
    <w:rsid w:val="00190052"/>
    <w:rsid w:val="0019186E"/>
    <w:rsid w:val="00191C97"/>
    <w:rsid w:val="00191F59"/>
    <w:rsid w:val="00192E78"/>
    <w:rsid w:val="001932D5"/>
    <w:rsid w:val="00195179"/>
    <w:rsid w:val="00195285"/>
    <w:rsid w:val="00197931"/>
    <w:rsid w:val="00197D8A"/>
    <w:rsid w:val="001A1298"/>
    <w:rsid w:val="001A13DF"/>
    <w:rsid w:val="001A30C3"/>
    <w:rsid w:val="001A4704"/>
    <w:rsid w:val="001A7662"/>
    <w:rsid w:val="001B012B"/>
    <w:rsid w:val="001B0D24"/>
    <w:rsid w:val="001B243A"/>
    <w:rsid w:val="001B2D6F"/>
    <w:rsid w:val="001B3100"/>
    <w:rsid w:val="001B4949"/>
    <w:rsid w:val="001B7A02"/>
    <w:rsid w:val="001C1822"/>
    <w:rsid w:val="001C227D"/>
    <w:rsid w:val="001C2282"/>
    <w:rsid w:val="001C2B0B"/>
    <w:rsid w:val="001C40B0"/>
    <w:rsid w:val="001D1193"/>
    <w:rsid w:val="001D18D0"/>
    <w:rsid w:val="001D26AB"/>
    <w:rsid w:val="001D36AA"/>
    <w:rsid w:val="001D4109"/>
    <w:rsid w:val="001D4D9B"/>
    <w:rsid w:val="001D5040"/>
    <w:rsid w:val="001D5BB4"/>
    <w:rsid w:val="001D6CFA"/>
    <w:rsid w:val="001D7E56"/>
    <w:rsid w:val="001E15FF"/>
    <w:rsid w:val="001E1C4E"/>
    <w:rsid w:val="001E265F"/>
    <w:rsid w:val="001E29AD"/>
    <w:rsid w:val="001E2E57"/>
    <w:rsid w:val="001E36B6"/>
    <w:rsid w:val="001E3F33"/>
    <w:rsid w:val="001E7B13"/>
    <w:rsid w:val="001F0933"/>
    <w:rsid w:val="001F14F3"/>
    <w:rsid w:val="001F297A"/>
    <w:rsid w:val="001F5C9F"/>
    <w:rsid w:val="001F6A8B"/>
    <w:rsid w:val="001F70D4"/>
    <w:rsid w:val="001F76B5"/>
    <w:rsid w:val="00201071"/>
    <w:rsid w:val="002021F6"/>
    <w:rsid w:val="00202B60"/>
    <w:rsid w:val="00207B91"/>
    <w:rsid w:val="00211EDC"/>
    <w:rsid w:val="00212B02"/>
    <w:rsid w:val="00213891"/>
    <w:rsid w:val="00214BEB"/>
    <w:rsid w:val="00214CAE"/>
    <w:rsid w:val="002159B4"/>
    <w:rsid w:val="0021719D"/>
    <w:rsid w:val="002174F2"/>
    <w:rsid w:val="00220FA0"/>
    <w:rsid w:val="00221B5E"/>
    <w:rsid w:val="00223B8D"/>
    <w:rsid w:val="00225A22"/>
    <w:rsid w:val="00225E0E"/>
    <w:rsid w:val="00230DD7"/>
    <w:rsid w:val="00232E53"/>
    <w:rsid w:val="002337DD"/>
    <w:rsid w:val="0023385B"/>
    <w:rsid w:val="00235A57"/>
    <w:rsid w:val="00235BD3"/>
    <w:rsid w:val="00236C5E"/>
    <w:rsid w:val="00237B04"/>
    <w:rsid w:val="00240E39"/>
    <w:rsid w:val="00244A07"/>
    <w:rsid w:val="0024641B"/>
    <w:rsid w:val="0024659E"/>
    <w:rsid w:val="00246A4B"/>
    <w:rsid w:val="00246FD9"/>
    <w:rsid w:val="00247D4A"/>
    <w:rsid w:val="00251D90"/>
    <w:rsid w:val="00252966"/>
    <w:rsid w:val="0025329D"/>
    <w:rsid w:val="0025344E"/>
    <w:rsid w:val="00256D36"/>
    <w:rsid w:val="00257254"/>
    <w:rsid w:val="0025734A"/>
    <w:rsid w:val="002609B3"/>
    <w:rsid w:val="002615FC"/>
    <w:rsid w:val="002628A7"/>
    <w:rsid w:val="0026291E"/>
    <w:rsid w:val="002660E6"/>
    <w:rsid w:val="00267C40"/>
    <w:rsid w:val="00270086"/>
    <w:rsid w:val="00271723"/>
    <w:rsid w:val="00272E91"/>
    <w:rsid w:val="00275CC5"/>
    <w:rsid w:val="00275CD6"/>
    <w:rsid w:val="00280A6F"/>
    <w:rsid w:val="00281E6E"/>
    <w:rsid w:val="0028238A"/>
    <w:rsid w:val="002827CF"/>
    <w:rsid w:val="00282868"/>
    <w:rsid w:val="0028738E"/>
    <w:rsid w:val="00291739"/>
    <w:rsid w:val="00291F3B"/>
    <w:rsid w:val="002920BA"/>
    <w:rsid w:val="00292C73"/>
    <w:rsid w:val="002941FC"/>
    <w:rsid w:val="00294DB7"/>
    <w:rsid w:val="002A1252"/>
    <w:rsid w:val="002A27BD"/>
    <w:rsid w:val="002A3E26"/>
    <w:rsid w:val="002A3FC1"/>
    <w:rsid w:val="002A45AF"/>
    <w:rsid w:val="002A4DB7"/>
    <w:rsid w:val="002A55CC"/>
    <w:rsid w:val="002A5952"/>
    <w:rsid w:val="002A6726"/>
    <w:rsid w:val="002A6BF3"/>
    <w:rsid w:val="002A7220"/>
    <w:rsid w:val="002A73D6"/>
    <w:rsid w:val="002B0A72"/>
    <w:rsid w:val="002B0FCF"/>
    <w:rsid w:val="002B20F6"/>
    <w:rsid w:val="002B32F8"/>
    <w:rsid w:val="002B34E5"/>
    <w:rsid w:val="002B43A2"/>
    <w:rsid w:val="002B7BDF"/>
    <w:rsid w:val="002B7C72"/>
    <w:rsid w:val="002C113B"/>
    <w:rsid w:val="002C3957"/>
    <w:rsid w:val="002C633D"/>
    <w:rsid w:val="002C6A3C"/>
    <w:rsid w:val="002C6D07"/>
    <w:rsid w:val="002D0B4A"/>
    <w:rsid w:val="002D113D"/>
    <w:rsid w:val="002D2620"/>
    <w:rsid w:val="002D5092"/>
    <w:rsid w:val="002D5476"/>
    <w:rsid w:val="002D5C1C"/>
    <w:rsid w:val="002D6385"/>
    <w:rsid w:val="002D63BE"/>
    <w:rsid w:val="002D7C68"/>
    <w:rsid w:val="002E0CB0"/>
    <w:rsid w:val="002E0E26"/>
    <w:rsid w:val="002E17DE"/>
    <w:rsid w:val="002E1F2E"/>
    <w:rsid w:val="002E2248"/>
    <w:rsid w:val="002E252E"/>
    <w:rsid w:val="002E2791"/>
    <w:rsid w:val="002E2B53"/>
    <w:rsid w:val="002E5AF2"/>
    <w:rsid w:val="002E791F"/>
    <w:rsid w:val="002F08B2"/>
    <w:rsid w:val="002F0D0D"/>
    <w:rsid w:val="002F2062"/>
    <w:rsid w:val="002F2958"/>
    <w:rsid w:val="002F30D0"/>
    <w:rsid w:val="002F5F09"/>
    <w:rsid w:val="002F694E"/>
    <w:rsid w:val="002F6B21"/>
    <w:rsid w:val="002F70F1"/>
    <w:rsid w:val="002F76A1"/>
    <w:rsid w:val="00301B84"/>
    <w:rsid w:val="0030473A"/>
    <w:rsid w:val="003052E4"/>
    <w:rsid w:val="00306969"/>
    <w:rsid w:val="00306B2A"/>
    <w:rsid w:val="0030709D"/>
    <w:rsid w:val="003072DA"/>
    <w:rsid w:val="00307902"/>
    <w:rsid w:val="00311B74"/>
    <w:rsid w:val="003135F6"/>
    <w:rsid w:val="00313FE9"/>
    <w:rsid w:val="00315B8A"/>
    <w:rsid w:val="00315D82"/>
    <w:rsid w:val="00317653"/>
    <w:rsid w:val="00317666"/>
    <w:rsid w:val="003178AC"/>
    <w:rsid w:val="00317BB2"/>
    <w:rsid w:val="0032105F"/>
    <w:rsid w:val="0032107B"/>
    <w:rsid w:val="003213CC"/>
    <w:rsid w:val="00322151"/>
    <w:rsid w:val="00323693"/>
    <w:rsid w:val="00325E8D"/>
    <w:rsid w:val="00327055"/>
    <w:rsid w:val="00330C41"/>
    <w:rsid w:val="0033152C"/>
    <w:rsid w:val="00333994"/>
    <w:rsid w:val="00337ED2"/>
    <w:rsid w:val="00337EDC"/>
    <w:rsid w:val="00340363"/>
    <w:rsid w:val="00341282"/>
    <w:rsid w:val="00342D0D"/>
    <w:rsid w:val="00343AAE"/>
    <w:rsid w:val="00344A5D"/>
    <w:rsid w:val="00345731"/>
    <w:rsid w:val="00347065"/>
    <w:rsid w:val="00350DB9"/>
    <w:rsid w:val="00356F0E"/>
    <w:rsid w:val="00360B12"/>
    <w:rsid w:val="003642C2"/>
    <w:rsid w:val="003645AD"/>
    <w:rsid w:val="00364F2E"/>
    <w:rsid w:val="00365678"/>
    <w:rsid w:val="003665F0"/>
    <w:rsid w:val="00367840"/>
    <w:rsid w:val="0037175D"/>
    <w:rsid w:val="00371995"/>
    <w:rsid w:val="003724A2"/>
    <w:rsid w:val="00372A83"/>
    <w:rsid w:val="00373692"/>
    <w:rsid w:val="003748DB"/>
    <w:rsid w:val="00374E04"/>
    <w:rsid w:val="00375CD1"/>
    <w:rsid w:val="00375CEC"/>
    <w:rsid w:val="00375DC6"/>
    <w:rsid w:val="00375E2C"/>
    <w:rsid w:val="00376021"/>
    <w:rsid w:val="0037632B"/>
    <w:rsid w:val="00380836"/>
    <w:rsid w:val="00380E17"/>
    <w:rsid w:val="0038105D"/>
    <w:rsid w:val="003838BE"/>
    <w:rsid w:val="00384116"/>
    <w:rsid w:val="00386CA9"/>
    <w:rsid w:val="00390D1B"/>
    <w:rsid w:val="003917D3"/>
    <w:rsid w:val="003923D2"/>
    <w:rsid w:val="00392A8A"/>
    <w:rsid w:val="00392C36"/>
    <w:rsid w:val="00392D25"/>
    <w:rsid w:val="00394B9B"/>
    <w:rsid w:val="003962F3"/>
    <w:rsid w:val="003A12D3"/>
    <w:rsid w:val="003A14AD"/>
    <w:rsid w:val="003A17CA"/>
    <w:rsid w:val="003A1DFD"/>
    <w:rsid w:val="003A2384"/>
    <w:rsid w:val="003A28B4"/>
    <w:rsid w:val="003A34AD"/>
    <w:rsid w:val="003A4237"/>
    <w:rsid w:val="003A4CC8"/>
    <w:rsid w:val="003A6E7A"/>
    <w:rsid w:val="003B0BF3"/>
    <w:rsid w:val="003B0C7A"/>
    <w:rsid w:val="003B28E1"/>
    <w:rsid w:val="003B3DC7"/>
    <w:rsid w:val="003B4B5E"/>
    <w:rsid w:val="003B4F90"/>
    <w:rsid w:val="003B4FF0"/>
    <w:rsid w:val="003B6396"/>
    <w:rsid w:val="003C07D0"/>
    <w:rsid w:val="003C26A8"/>
    <w:rsid w:val="003C4343"/>
    <w:rsid w:val="003C460A"/>
    <w:rsid w:val="003C4B53"/>
    <w:rsid w:val="003C5EB8"/>
    <w:rsid w:val="003C6562"/>
    <w:rsid w:val="003C6B63"/>
    <w:rsid w:val="003C7D93"/>
    <w:rsid w:val="003C7F27"/>
    <w:rsid w:val="003D2032"/>
    <w:rsid w:val="003D2D0C"/>
    <w:rsid w:val="003D324B"/>
    <w:rsid w:val="003D474F"/>
    <w:rsid w:val="003D79C0"/>
    <w:rsid w:val="003E16BD"/>
    <w:rsid w:val="003E2651"/>
    <w:rsid w:val="003E2653"/>
    <w:rsid w:val="003E2A07"/>
    <w:rsid w:val="003E3569"/>
    <w:rsid w:val="003E3BCD"/>
    <w:rsid w:val="003E49FA"/>
    <w:rsid w:val="003E5EA8"/>
    <w:rsid w:val="003E5ED0"/>
    <w:rsid w:val="003E6025"/>
    <w:rsid w:val="003E68C1"/>
    <w:rsid w:val="003F243E"/>
    <w:rsid w:val="003F301A"/>
    <w:rsid w:val="003F34B6"/>
    <w:rsid w:val="003F447E"/>
    <w:rsid w:val="003F45F3"/>
    <w:rsid w:val="003F5130"/>
    <w:rsid w:val="003F5AAD"/>
    <w:rsid w:val="003F5FAC"/>
    <w:rsid w:val="003F66DD"/>
    <w:rsid w:val="003F69CE"/>
    <w:rsid w:val="0040178E"/>
    <w:rsid w:val="00405DB3"/>
    <w:rsid w:val="00405F7F"/>
    <w:rsid w:val="00406305"/>
    <w:rsid w:val="0040642E"/>
    <w:rsid w:val="00406AE8"/>
    <w:rsid w:val="00407177"/>
    <w:rsid w:val="00407BF9"/>
    <w:rsid w:val="0041273D"/>
    <w:rsid w:val="00413D0D"/>
    <w:rsid w:val="0041445D"/>
    <w:rsid w:val="0041676C"/>
    <w:rsid w:val="004172AF"/>
    <w:rsid w:val="00417F80"/>
    <w:rsid w:val="00421FDF"/>
    <w:rsid w:val="004222ED"/>
    <w:rsid w:val="00422A48"/>
    <w:rsid w:val="00424857"/>
    <w:rsid w:val="00424E41"/>
    <w:rsid w:val="0042737D"/>
    <w:rsid w:val="00430F4C"/>
    <w:rsid w:val="00433064"/>
    <w:rsid w:val="00434ADC"/>
    <w:rsid w:val="004352B5"/>
    <w:rsid w:val="0043626E"/>
    <w:rsid w:val="00437FF9"/>
    <w:rsid w:val="00441FD6"/>
    <w:rsid w:val="00445DCE"/>
    <w:rsid w:val="00446A78"/>
    <w:rsid w:val="00447A1D"/>
    <w:rsid w:val="004506EB"/>
    <w:rsid w:val="00452C4D"/>
    <w:rsid w:val="00453758"/>
    <w:rsid w:val="00454062"/>
    <w:rsid w:val="00454EA5"/>
    <w:rsid w:val="00457CC8"/>
    <w:rsid w:val="00457E8F"/>
    <w:rsid w:val="004600AF"/>
    <w:rsid w:val="0046064C"/>
    <w:rsid w:val="00461327"/>
    <w:rsid w:val="004632B4"/>
    <w:rsid w:val="004649A6"/>
    <w:rsid w:val="00465ABC"/>
    <w:rsid w:val="004667E1"/>
    <w:rsid w:val="00466A18"/>
    <w:rsid w:val="0046778F"/>
    <w:rsid w:val="0046786A"/>
    <w:rsid w:val="004701BC"/>
    <w:rsid w:val="00470B3C"/>
    <w:rsid w:val="00472A19"/>
    <w:rsid w:val="00473D20"/>
    <w:rsid w:val="00473DE1"/>
    <w:rsid w:val="00473DFD"/>
    <w:rsid w:val="00475282"/>
    <w:rsid w:val="004803D8"/>
    <w:rsid w:val="00481460"/>
    <w:rsid w:val="0048177B"/>
    <w:rsid w:val="00481AD0"/>
    <w:rsid w:val="00481D6F"/>
    <w:rsid w:val="00482384"/>
    <w:rsid w:val="0049399E"/>
    <w:rsid w:val="0049449D"/>
    <w:rsid w:val="0049466A"/>
    <w:rsid w:val="004952B1"/>
    <w:rsid w:val="004A1848"/>
    <w:rsid w:val="004A36E5"/>
    <w:rsid w:val="004A3B8B"/>
    <w:rsid w:val="004A656F"/>
    <w:rsid w:val="004A7EED"/>
    <w:rsid w:val="004B035B"/>
    <w:rsid w:val="004B44FD"/>
    <w:rsid w:val="004B5256"/>
    <w:rsid w:val="004C016B"/>
    <w:rsid w:val="004C23AC"/>
    <w:rsid w:val="004C4133"/>
    <w:rsid w:val="004C4472"/>
    <w:rsid w:val="004C58A7"/>
    <w:rsid w:val="004C6643"/>
    <w:rsid w:val="004D054B"/>
    <w:rsid w:val="004D11C0"/>
    <w:rsid w:val="004D19A8"/>
    <w:rsid w:val="004D3714"/>
    <w:rsid w:val="004D5137"/>
    <w:rsid w:val="004D61CD"/>
    <w:rsid w:val="004D6636"/>
    <w:rsid w:val="004D6894"/>
    <w:rsid w:val="004E0330"/>
    <w:rsid w:val="004E136E"/>
    <w:rsid w:val="004E31A9"/>
    <w:rsid w:val="004E3DB5"/>
    <w:rsid w:val="004F0268"/>
    <w:rsid w:val="004F075D"/>
    <w:rsid w:val="004F11FC"/>
    <w:rsid w:val="004F166A"/>
    <w:rsid w:val="004F21C5"/>
    <w:rsid w:val="004F2C70"/>
    <w:rsid w:val="004F4AEC"/>
    <w:rsid w:val="004F6B83"/>
    <w:rsid w:val="00500E47"/>
    <w:rsid w:val="0050175C"/>
    <w:rsid w:val="00501C9C"/>
    <w:rsid w:val="00501FB5"/>
    <w:rsid w:val="005027E7"/>
    <w:rsid w:val="00504162"/>
    <w:rsid w:val="00504909"/>
    <w:rsid w:val="00505985"/>
    <w:rsid w:val="005063F0"/>
    <w:rsid w:val="005078A1"/>
    <w:rsid w:val="005110EB"/>
    <w:rsid w:val="005122DD"/>
    <w:rsid w:val="005128A7"/>
    <w:rsid w:val="00512963"/>
    <w:rsid w:val="005138D7"/>
    <w:rsid w:val="00514098"/>
    <w:rsid w:val="00515651"/>
    <w:rsid w:val="00515A36"/>
    <w:rsid w:val="00516D42"/>
    <w:rsid w:val="00517BFA"/>
    <w:rsid w:val="00520161"/>
    <w:rsid w:val="00531D46"/>
    <w:rsid w:val="00532787"/>
    <w:rsid w:val="0053332C"/>
    <w:rsid w:val="00533B4B"/>
    <w:rsid w:val="005342A2"/>
    <w:rsid w:val="0053439A"/>
    <w:rsid w:val="00534A2B"/>
    <w:rsid w:val="005373E4"/>
    <w:rsid w:val="00540663"/>
    <w:rsid w:val="005430A8"/>
    <w:rsid w:val="005435BC"/>
    <w:rsid w:val="0054450C"/>
    <w:rsid w:val="00547042"/>
    <w:rsid w:val="00547B88"/>
    <w:rsid w:val="00550014"/>
    <w:rsid w:val="005516E3"/>
    <w:rsid w:val="00552400"/>
    <w:rsid w:val="005527B4"/>
    <w:rsid w:val="005545EE"/>
    <w:rsid w:val="00554E89"/>
    <w:rsid w:val="00555052"/>
    <w:rsid w:val="00555302"/>
    <w:rsid w:val="00563173"/>
    <w:rsid w:val="0056332C"/>
    <w:rsid w:val="0056500A"/>
    <w:rsid w:val="00567350"/>
    <w:rsid w:val="005704C7"/>
    <w:rsid w:val="00570F66"/>
    <w:rsid w:val="00570FED"/>
    <w:rsid w:val="005713F7"/>
    <w:rsid w:val="00571EFE"/>
    <w:rsid w:val="00572A01"/>
    <w:rsid w:val="005734C5"/>
    <w:rsid w:val="00573EAC"/>
    <w:rsid w:val="00574439"/>
    <w:rsid w:val="00575F73"/>
    <w:rsid w:val="00582796"/>
    <w:rsid w:val="00583E17"/>
    <w:rsid w:val="00583FDD"/>
    <w:rsid w:val="00585760"/>
    <w:rsid w:val="00591761"/>
    <w:rsid w:val="00593258"/>
    <w:rsid w:val="005947CD"/>
    <w:rsid w:val="00594AED"/>
    <w:rsid w:val="0059574A"/>
    <w:rsid w:val="0059580C"/>
    <w:rsid w:val="0059700B"/>
    <w:rsid w:val="00597CB8"/>
    <w:rsid w:val="005A00D8"/>
    <w:rsid w:val="005A2C00"/>
    <w:rsid w:val="005A4F79"/>
    <w:rsid w:val="005A5AA4"/>
    <w:rsid w:val="005A61D5"/>
    <w:rsid w:val="005A67C4"/>
    <w:rsid w:val="005A75FC"/>
    <w:rsid w:val="005B0ECD"/>
    <w:rsid w:val="005B2582"/>
    <w:rsid w:val="005B4A74"/>
    <w:rsid w:val="005B5027"/>
    <w:rsid w:val="005B675A"/>
    <w:rsid w:val="005B6D07"/>
    <w:rsid w:val="005C1732"/>
    <w:rsid w:val="005C1E0F"/>
    <w:rsid w:val="005C25B8"/>
    <w:rsid w:val="005C268B"/>
    <w:rsid w:val="005C279B"/>
    <w:rsid w:val="005C2DBB"/>
    <w:rsid w:val="005C45DC"/>
    <w:rsid w:val="005C4B34"/>
    <w:rsid w:val="005C5397"/>
    <w:rsid w:val="005C653F"/>
    <w:rsid w:val="005C66D5"/>
    <w:rsid w:val="005C672C"/>
    <w:rsid w:val="005C6C25"/>
    <w:rsid w:val="005C6EE7"/>
    <w:rsid w:val="005C78E1"/>
    <w:rsid w:val="005C7B99"/>
    <w:rsid w:val="005C7CFF"/>
    <w:rsid w:val="005D0A77"/>
    <w:rsid w:val="005D0CCC"/>
    <w:rsid w:val="005D0E8A"/>
    <w:rsid w:val="005D26BF"/>
    <w:rsid w:val="005D2754"/>
    <w:rsid w:val="005D2E16"/>
    <w:rsid w:val="005D2E1D"/>
    <w:rsid w:val="005D43BA"/>
    <w:rsid w:val="005D4E69"/>
    <w:rsid w:val="005D72BC"/>
    <w:rsid w:val="005E007F"/>
    <w:rsid w:val="005E03C7"/>
    <w:rsid w:val="005E0A0A"/>
    <w:rsid w:val="005E1279"/>
    <w:rsid w:val="005E1677"/>
    <w:rsid w:val="005E28C6"/>
    <w:rsid w:val="005E2C51"/>
    <w:rsid w:val="005E3ACA"/>
    <w:rsid w:val="005E69EB"/>
    <w:rsid w:val="005E6E99"/>
    <w:rsid w:val="005F255C"/>
    <w:rsid w:val="005F3329"/>
    <w:rsid w:val="005F42A6"/>
    <w:rsid w:val="005F48E8"/>
    <w:rsid w:val="005F4FB3"/>
    <w:rsid w:val="005F5EF8"/>
    <w:rsid w:val="00602089"/>
    <w:rsid w:val="006024F0"/>
    <w:rsid w:val="00602772"/>
    <w:rsid w:val="0060422E"/>
    <w:rsid w:val="00604466"/>
    <w:rsid w:val="00604545"/>
    <w:rsid w:val="00604E18"/>
    <w:rsid w:val="00610050"/>
    <w:rsid w:val="006107FA"/>
    <w:rsid w:val="00610856"/>
    <w:rsid w:val="00610E0F"/>
    <w:rsid w:val="00611144"/>
    <w:rsid w:val="00611B7C"/>
    <w:rsid w:val="00611E9F"/>
    <w:rsid w:val="00612909"/>
    <w:rsid w:val="00613676"/>
    <w:rsid w:val="00613C61"/>
    <w:rsid w:val="00613FE5"/>
    <w:rsid w:val="00614F18"/>
    <w:rsid w:val="00615E3B"/>
    <w:rsid w:val="00616BCF"/>
    <w:rsid w:val="0062094E"/>
    <w:rsid w:val="00621AE9"/>
    <w:rsid w:val="006253AA"/>
    <w:rsid w:val="00625980"/>
    <w:rsid w:val="00625C7B"/>
    <w:rsid w:val="00626709"/>
    <w:rsid w:val="00626B8F"/>
    <w:rsid w:val="00627499"/>
    <w:rsid w:val="006301E7"/>
    <w:rsid w:val="0063076B"/>
    <w:rsid w:val="00630CA0"/>
    <w:rsid w:val="00631A3A"/>
    <w:rsid w:val="00632D1F"/>
    <w:rsid w:val="00637738"/>
    <w:rsid w:val="0063784C"/>
    <w:rsid w:val="0064100C"/>
    <w:rsid w:val="00641C8F"/>
    <w:rsid w:val="00641D46"/>
    <w:rsid w:val="00643BAD"/>
    <w:rsid w:val="006451EA"/>
    <w:rsid w:val="0064544E"/>
    <w:rsid w:val="006467CB"/>
    <w:rsid w:val="00646C16"/>
    <w:rsid w:val="00647348"/>
    <w:rsid w:val="00647A56"/>
    <w:rsid w:val="00647CDA"/>
    <w:rsid w:val="0065029D"/>
    <w:rsid w:val="00650C4F"/>
    <w:rsid w:val="00652691"/>
    <w:rsid w:val="00653A69"/>
    <w:rsid w:val="00655AC1"/>
    <w:rsid w:val="006607F5"/>
    <w:rsid w:val="0066229E"/>
    <w:rsid w:val="00662356"/>
    <w:rsid w:val="006638EA"/>
    <w:rsid w:val="006643F8"/>
    <w:rsid w:val="00664547"/>
    <w:rsid w:val="00664A91"/>
    <w:rsid w:val="0066578E"/>
    <w:rsid w:val="00670C22"/>
    <w:rsid w:val="0067128C"/>
    <w:rsid w:val="00671FCB"/>
    <w:rsid w:val="00672B27"/>
    <w:rsid w:val="0067358E"/>
    <w:rsid w:val="00674584"/>
    <w:rsid w:val="0067580E"/>
    <w:rsid w:val="00675CF5"/>
    <w:rsid w:val="00676356"/>
    <w:rsid w:val="006773D8"/>
    <w:rsid w:val="00677B35"/>
    <w:rsid w:val="00681011"/>
    <w:rsid w:val="00681341"/>
    <w:rsid w:val="00682580"/>
    <w:rsid w:val="00685709"/>
    <w:rsid w:val="00690598"/>
    <w:rsid w:val="00692A55"/>
    <w:rsid w:val="006931E7"/>
    <w:rsid w:val="00693B93"/>
    <w:rsid w:val="00693E6E"/>
    <w:rsid w:val="00694136"/>
    <w:rsid w:val="00694A26"/>
    <w:rsid w:val="00694CD4"/>
    <w:rsid w:val="00697222"/>
    <w:rsid w:val="006A05B0"/>
    <w:rsid w:val="006A0B62"/>
    <w:rsid w:val="006A0FE3"/>
    <w:rsid w:val="006A1020"/>
    <w:rsid w:val="006A2347"/>
    <w:rsid w:val="006A3BC5"/>
    <w:rsid w:val="006A47FE"/>
    <w:rsid w:val="006A4F24"/>
    <w:rsid w:val="006A6563"/>
    <w:rsid w:val="006A6DC4"/>
    <w:rsid w:val="006B0B90"/>
    <w:rsid w:val="006B1458"/>
    <w:rsid w:val="006B290A"/>
    <w:rsid w:val="006B2BE0"/>
    <w:rsid w:val="006B355D"/>
    <w:rsid w:val="006B472E"/>
    <w:rsid w:val="006B5812"/>
    <w:rsid w:val="006B6889"/>
    <w:rsid w:val="006B7B41"/>
    <w:rsid w:val="006C08DD"/>
    <w:rsid w:val="006C2506"/>
    <w:rsid w:val="006C29CC"/>
    <w:rsid w:val="006C417A"/>
    <w:rsid w:val="006C4754"/>
    <w:rsid w:val="006C6773"/>
    <w:rsid w:val="006D009B"/>
    <w:rsid w:val="006D0DB5"/>
    <w:rsid w:val="006D4870"/>
    <w:rsid w:val="006D5D58"/>
    <w:rsid w:val="006D5DDC"/>
    <w:rsid w:val="006E38D1"/>
    <w:rsid w:val="006E48F7"/>
    <w:rsid w:val="006E594A"/>
    <w:rsid w:val="006E6330"/>
    <w:rsid w:val="006F065E"/>
    <w:rsid w:val="006F0968"/>
    <w:rsid w:val="006F3788"/>
    <w:rsid w:val="006F4CE8"/>
    <w:rsid w:val="006F5E15"/>
    <w:rsid w:val="006F64A8"/>
    <w:rsid w:val="006F6605"/>
    <w:rsid w:val="006F767A"/>
    <w:rsid w:val="00700A0B"/>
    <w:rsid w:val="00701FAE"/>
    <w:rsid w:val="007027CA"/>
    <w:rsid w:val="007040CE"/>
    <w:rsid w:val="00705C7F"/>
    <w:rsid w:val="00710001"/>
    <w:rsid w:val="00710E51"/>
    <w:rsid w:val="007110CF"/>
    <w:rsid w:val="007112F3"/>
    <w:rsid w:val="00711A01"/>
    <w:rsid w:val="00711DDA"/>
    <w:rsid w:val="007129BF"/>
    <w:rsid w:val="00713696"/>
    <w:rsid w:val="00713E40"/>
    <w:rsid w:val="00715862"/>
    <w:rsid w:val="00717EAF"/>
    <w:rsid w:val="00720CD6"/>
    <w:rsid w:val="00721D5C"/>
    <w:rsid w:val="007238B3"/>
    <w:rsid w:val="00724527"/>
    <w:rsid w:val="00724E50"/>
    <w:rsid w:val="00725B4A"/>
    <w:rsid w:val="00726716"/>
    <w:rsid w:val="0072746E"/>
    <w:rsid w:val="00727DF7"/>
    <w:rsid w:val="0073091F"/>
    <w:rsid w:val="00731452"/>
    <w:rsid w:val="0073274D"/>
    <w:rsid w:val="007331C1"/>
    <w:rsid w:val="00734510"/>
    <w:rsid w:val="007364E5"/>
    <w:rsid w:val="00740234"/>
    <w:rsid w:val="0074070A"/>
    <w:rsid w:val="00741A60"/>
    <w:rsid w:val="00741ACB"/>
    <w:rsid w:val="00745A29"/>
    <w:rsid w:val="0074652C"/>
    <w:rsid w:val="007466C4"/>
    <w:rsid w:val="00747015"/>
    <w:rsid w:val="007504E1"/>
    <w:rsid w:val="00750B14"/>
    <w:rsid w:val="0075119B"/>
    <w:rsid w:val="0075161B"/>
    <w:rsid w:val="00751DFD"/>
    <w:rsid w:val="0075203F"/>
    <w:rsid w:val="007576D1"/>
    <w:rsid w:val="00760FE9"/>
    <w:rsid w:val="00761483"/>
    <w:rsid w:val="00761F3B"/>
    <w:rsid w:val="00762051"/>
    <w:rsid w:val="00762897"/>
    <w:rsid w:val="00762E9F"/>
    <w:rsid w:val="0076326E"/>
    <w:rsid w:val="0076359A"/>
    <w:rsid w:val="00766E8A"/>
    <w:rsid w:val="007671B4"/>
    <w:rsid w:val="0076780F"/>
    <w:rsid w:val="0077246A"/>
    <w:rsid w:val="00773932"/>
    <w:rsid w:val="00775394"/>
    <w:rsid w:val="00776CA2"/>
    <w:rsid w:val="00780D18"/>
    <w:rsid w:val="00781568"/>
    <w:rsid w:val="00781676"/>
    <w:rsid w:val="00783586"/>
    <w:rsid w:val="00783E10"/>
    <w:rsid w:val="0079021D"/>
    <w:rsid w:val="00791EC9"/>
    <w:rsid w:val="00792600"/>
    <w:rsid w:val="00792EA4"/>
    <w:rsid w:val="00793CC7"/>
    <w:rsid w:val="00796432"/>
    <w:rsid w:val="007A02F5"/>
    <w:rsid w:val="007A06F7"/>
    <w:rsid w:val="007A3BDE"/>
    <w:rsid w:val="007A3D3A"/>
    <w:rsid w:val="007A3F0B"/>
    <w:rsid w:val="007A5D88"/>
    <w:rsid w:val="007A603E"/>
    <w:rsid w:val="007B0520"/>
    <w:rsid w:val="007B08A4"/>
    <w:rsid w:val="007B119B"/>
    <w:rsid w:val="007B1541"/>
    <w:rsid w:val="007B2625"/>
    <w:rsid w:val="007B26C3"/>
    <w:rsid w:val="007B37B2"/>
    <w:rsid w:val="007B4E9E"/>
    <w:rsid w:val="007B63CB"/>
    <w:rsid w:val="007B6B0F"/>
    <w:rsid w:val="007C2802"/>
    <w:rsid w:val="007C3073"/>
    <w:rsid w:val="007C33AF"/>
    <w:rsid w:val="007C3A72"/>
    <w:rsid w:val="007C471A"/>
    <w:rsid w:val="007C5E51"/>
    <w:rsid w:val="007C6CC7"/>
    <w:rsid w:val="007C7D26"/>
    <w:rsid w:val="007D1989"/>
    <w:rsid w:val="007D4F92"/>
    <w:rsid w:val="007E209B"/>
    <w:rsid w:val="007E250D"/>
    <w:rsid w:val="007E2D9B"/>
    <w:rsid w:val="007E2EEB"/>
    <w:rsid w:val="007E6223"/>
    <w:rsid w:val="007E62EB"/>
    <w:rsid w:val="007E77D9"/>
    <w:rsid w:val="007F30A9"/>
    <w:rsid w:val="007F30DF"/>
    <w:rsid w:val="007F338E"/>
    <w:rsid w:val="007F641F"/>
    <w:rsid w:val="007F7A58"/>
    <w:rsid w:val="008010F8"/>
    <w:rsid w:val="0080283C"/>
    <w:rsid w:val="008029AA"/>
    <w:rsid w:val="0080332D"/>
    <w:rsid w:val="008039F3"/>
    <w:rsid w:val="008047BA"/>
    <w:rsid w:val="00806099"/>
    <w:rsid w:val="0081177F"/>
    <w:rsid w:val="00812591"/>
    <w:rsid w:val="0081315E"/>
    <w:rsid w:val="008133B6"/>
    <w:rsid w:val="00814AF6"/>
    <w:rsid w:val="00815AB8"/>
    <w:rsid w:val="00816B31"/>
    <w:rsid w:val="00816CA6"/>
    <w:rsid w:val="008171F9"/>
    <w:rsid w:val="00817503"/>
    <w:rsid w:val="00820085"/>
    <w:rsid w:val="00820D38"/>
    <w:rsid w:val="00821D34"/>
    <w:rsid w:val="008225A5"/>
    <w:rsid w:val="00822E0D"/>
    <w:rsid w:val="00823BDB"/>
    <w:rsid w:val="00826268"/>
    <w:rsid w:val="008268C4"/>
    <w:rsid w:val="0082758D"/>
    <w:rsid w:val="00827945"/>
    <w:rsid w:val="00834412"/>
    <w:rsid w:val="008349B6"/>
    <w:rsid w:val="008353A7"/>
    <w:rsid w:val="00840303"/>
    <w:rsid w:val="00840D2A"/>
    <w:rsid w:val="00840EB7"/>
    <w:rsid w:val="008425D0"/>
    <w:rsid w:val="00843352"/>
    <w:rsid w:val="00844B47"/>
    <w:rsid w:val="008463DD"/>
    <w:rsid w:val="00846440"/>
    <w:rsid w:val="00846EE6"/>
    <w:rsid w:val="00850817"/>
    <w:rsid w:val="00850F9E"/>
    <w:rsid w:val="008516C8"/>
    <w:rsid w:val="00852A2D"/>
    <w:rsid w:val="00853C04"/>
    <w:rsid w:val="00855E55"/>
    <w:rsid w:val="0086101A"/>
    <w:rsid w:val="008611C3"/>
    <w:rsid w:val="00861B18"/>
    <w:rsid w:val="00862EA3"/>
    <w:rsid w:val="0086440C"/>
    <w:rsid w:val="00864D58"/>
    <w:rsid w:val="00865258"/>
    <w:rsid w:val="008654BB"/>
    <w:rsid w:val="0086617D"/>
    <w:rsid w:val="00866D63"/>
    <w:rsid w:val="008673D9"/>
    <w:rsid w:val="00867464"/>
    <w:rsid w:val="008678F6"/>
    <w:rsid w:val="00872DDF"/>
    <w:rsid w:val="00874649"/>
    <w:rsid w:val="0087476E"/>
    <w:rsid w:val="0087550F"/>
    <w:rsid w:val="008769A8"/>
    <w:rsid w:val="00876A1A"/>
    <w:rsid w:val="008773FA"/>
    <w:rsid w:val="00877487"/>
    <w:rsid w:val="008775AC"/>
    <w:rsid w:val="0087770D"/>
    <w:rsid w:val="008807C7"/>
    <w:rsid w:val="00886102"/>
    <w:rsid w:val="00886D12"/>
    <w:rsid w:val="00886FA8"/>
    <w:rsid w:val="00887364"/>
    <w:rsid w:val="0088766C"/>
    <w:rsid w:val="00887824"/>
    <w:rsid w:val="00887869"/>
    <w:rsid w:val="008913A1"/>
    <w:rsid w:val="00891D5B"/>
    <w:rsid w:val="00892753"/>
    <w:rsid w:val="008939B9"/>
    <w:rsid w:val="00893F3C"/>
    <w:rsid w:val="0089630F"/>
    <w:rsid w:val="00896751"/>
    <w:rsid w:val="0089767C"/>
    <w:rsid w:val="008978FB"/>
    <w:rsid w:val="008A0379"/>
    <w:rsid w:val="008A0FDA"/>
    <w:rsid w:val="008A2185"/>
    <w:rsid w:val="008A2793"/>
    <w:rsid w:val="008A2993"/>
    <w:rsid w:val="008A38DE"/>
    <w:rsid w:val="008A508F"/>
    <w:rsid w:val="008A5A72"/>
    <w:rsid w:val="008A5DBF"/>
    <w:rsid w:val="008A6629"/>
    <w:rsid w:val="008A686C"/>
    <w:rsid w:val="008A7686"/>
    <w:rsid w:val="008A76A9"/>
    <w:rsid w:val="008B09F9"/>
    <w:rsid w:val="008B2181"/>
    <w:rsid w:val="008B29DC"/>
    <w:rsid w:val="008B2CD4"/>
    <w:rsid w:val="008B3650"/>
    <w:rsid w:val="008B423E"/>
    <w:rsid w:val="008B4FF0"/>
    <w:rsid w:val="008B7C3C"/>
    <w:rsid w:val="008C065E"/>
    <w:rsid w:val="008C0D1F"/>
    <w:rsid w:val="008C25C7"/>
    <w:rsid w:val="008C4559"/>
    <w:rsid w:val="008C4ED9"/>
    <w:rsid w:val="008C505E"/>
    <w:rsid w:val="008C762C"/>
    <w:rsid w:val="008D026F"/>
    <w:rsid w:val="008D17CD"/>
    <w:rsid w:val="008D1E92"/>
    <w:rsid w:val="008D1F7E"/>
    <w:rsid w:val="008D24DD"/>
    <w:rsid w:val="008D2793"/>
    <w:rsid w:val="008D3A79"/>
    <w:rsid w:val="008D4220"/>
    <w:rsid w:val="008D79D5"/>
    <w:rsid w:val="008D7F6F"/>
    <w:rsid w:val="008E0C31"/>
    <w:rsid w:val="008E2800"/>
    <w:rsid w:val="008E2F37"/>
    <w:rsid w:val="008E35D1"/>
    <w:rsid w:val="008E40C3"/>
    <w:rsid w:val="008E4AE8"/>
    <w:rsid w:val="008E4B70"/>
    <w:rsid w:val="008E5489"/>
    <w:rsid w:val="008E55BD"/>
    <w:rsid w:val="008E5B91"/>
    <w:rsid w:val="008E6D12"/>
    <w:rsid w:val="008F0044"/>
    <w:rsid w:val="008F0E54"/>
    <w:rsid w:val="008F77C6"/>
    <w:rsid w:val="009008D8"/>
    <w:rsid w:val="00900A0C"/>
    <w:rsid w:val="0090372F"/>
    <w:rsid w:val="00903BD8"/>
    <w:rsid w:val="00906E50"/>
    <w:rsid w:val="0090716E"/>
    <w:rsid w:val="00907267"/>
    <w:rsid w:val="0090763B"/>
    <w:rsid w:val="009077BA"/>
    <w:rsid w:val="00911F71"/>
    <w:rsid w:val="00913F60"/>
    <w:rsid w:val="00913FD1"/>
    <w:rsid w:val="00914F28"/>
    <w:rsid w:val="00917E06"/>
    <w:rsid w:val="0092028D"/>
    <w:rsid w:val="0092087F"/>
    <w:rsid w:val="00920FC8"/>
    <w:rsid w:val="0092169A"/>
    <w:rsid w:val="00921C02"/>
    <w:rsid w:val="00923466"/>
    <w:rsid w:val="0092417B"/>
    <w:rsid w:val="00924AFD"/>
    <w:rsid w:val="00926CD8"/>
    <w:rsid w:val="00927689"/>
    <w:rsid w:val="00932C83"/>
    <w:rsid w:val="00934053"/>
    <w:rsid w:val="00935211"/>
    <w:rsid w:val="009356A6"/>
    <w:rsid w:val="00935A5F"/>
    <w:rsid w:val="009427B4"/>
    <w:rsid w:val="00942E92"/>
    <w:rsid w:val="00945564"/>
    <w:rsid w:val="0094640F"/>
    <w:rsid w:val="00947091"/>
    <w:rsid w:val="009471D5"/>
    <w:rsid w:val="00947869"/>
    <w:rsid w:val="009502FB"/>
    <w:rsid w:val="00950E49"/>
    <w:rsid w:val="0095146A"/>
    <w:rsid w:val="009520EE"/>
    <w:rsid w:val="009522D5"/>
    <w:rsid w:val="009527FF"/>
    <w:rsid w:val="009548CC"/>
    <w:rsid w:val="00955877"/>
    <w:rsid w:val="009608CC"/>
    <w:rsid w:val="009629A8"/>
    <w:rsid w:val="009673CF"/>
    <w:rsid w:val="0097159F"/>
    <w:rsid w:val="00971DC3"/>
    <w:rsid w:val="00972241"/>
    <w:rsid w:val="00972F42"/>
    <w:rsid w:val="00975703"/>
    <w:rsid w:val="0097619B"/>
    <w:rsid w:val="00976CAE"/>
    <w:rsid w:val="009806D3"/>
    <w:rsid w:val="00980737"/>
    <w:rsid w:val="00981EC9"/>
    <w:rsid w:val="00981F3F"/>
    <w:rsid w:val="009821FA"/>
    <w:rsid w:val="009831E6"/>
    <w:rsid w:val="009838BC"/>
    <w:rsid w:val="00983F29"/>
    <w:rsid w:val="00984CE4"/>
    <w:rsid w:val="00985909"/>
    <w:rsid w:val="00985D89"/>
    <w:rsid w:val="00986EE2"/>
    <w:rsid w:val="00990BF3"/>
    <w:rsid w:val="00990D12"/>
    <w:rsid w:val="009918C6"/>
    <w:rsid w:val="0099331C"/>
    <w:rsid w:val="009934D2"/>
    <w:rsid w:val="00993D98"/>
    <w:rsid w:val="00995BF1"/>
    <w:rsid w:val="00996225"/>
    <w:rsid w:val="00996BCF"/>
    <w:rsid w:val="00997FDE"/>
    <w:rsid w:val="009A01A0"/>
    <w:rsid w:val="009A275E"/>
    <w:rsid w:val="009A3DA1"/>
    <w:rsid w:val="009A5A8F"/>
    <w:rsid w:val="009B0393"/>
    <w:rsid w:val="009B1593"/>
    <w:rsid w:val="009B1EEC"/>
    <w:rsid w:val="009B280C"/>
    <w:rsid w:val="009B3ACE"/>
    <w:rsid w:val="009B4B7E"/>
    <w:rsid w:val="009B6573"/>
    <w:rsid w:val="009B6BDE"/>
    <w:rsid w:val="009B6ED0"/>
    <w:rsid w:val="009B7E09"/>
    <w:rsid w:val="009C0D6F"/>
    <w:rsid w:val="009C2DE8"/>
    <w:rsid w:val="009C3952"/>
    <w:rsid w:val="009C3A3D"/>
    <w:rsid w:val="009C3C5B"/>
    <w:rsid w:val="009C3DCE"/>
    <w:rsid w:val="009C5D9F"/>
    <w:rsid w:val="009C66C6"/>
    <w:rsid w:val="009C69A5"/>
    <w:rsid w:val="009C6D67"/>
    <w:rsid w:val="009C7206"/>
    <w:rsid w:val="009C78E0"/>
    <w:rsid w:val="009D23CC"/>
    <w:rsid w:val="009D455E"/>
    <w:rsid w:val="009E00A7"/>
    <w:rsid w:val="009E0B79"/>
    <w:rsid w:val="009E1CD8"/>
    <w:rsid w:val="009E4BAF"/>
    <w:rsid w:val="009E55ED"/>
    <w:rsid w:val="009E6048"/>
    <w:rsid w:val="009F3F5C"/>
    <w:rsid w:val="009F4B9B"/>
    <w:rsid w:val="009F4BA4"/>
    <w:rsid w:val="009F4E1A"/>
    <w:rsid w:val="009F5038"/>
    <w:rsid w:val="009F545A"/>
    <w:rsid w:val="009F62C9"/>
    <w:rsid w:val="009F6B53"/>
    <w:rsid w:val="009F713E"/>
    <w:rsid w:val="00A02B0C"/>
    <w:rsid w:val="00A03312"/>
    <w:rsid w:val="00A03CF5"/>
    <w:rsid w:val="00A07B3C"/>
    <w:rsid w:val="00A1122E"/>
    <w:rsid w:val="00A11861"/>
    <w:rsid w:val="00A146A5"/>
    <w:rsid w:val="00A1628B"/>
    <w:rsid w:val="00A17252"/>
    <w:rsid w:val="00A17FA2"/>
    <w:rsid w:val="00A20392"/>
    <w:rsid w:val="00A20D12"/>
    <w:rsid w:val="00A214A8"/>
    <w:rsid w:val="00A214D7"/>
    <w:rsid w:val="00A2354C"/>
    <w:rsid w:val="00A236C3"/>
    <w:rsid w:val="00A25EB8"/>
    <w:rsid w:val="00A26D1B"/>
    <w:rsid w:val="00A26F5F"/>
    <w:rsid w:val="00A26FBF"/>
    <w:rsid w:val="00A273D2"/>
    <w:rsid w:val="00A307B4"/>
    <w:rsid w:val="00A30FB7"/>
    <w:rsid w:val="00A3110B"/>
    <w:rsid w:val="00A31121"/>
    <w:rsid w:val="00A31130"/>
    <w:rsid w:val="00A31199"/>
    <w:rsid w:val="00A31279"/>
    <w:rsid w:val="00A3142E"/>
    <w:rsid w:val="00A31F27"/>
    <w:rsid w:val="00A32609"/>
    <w:rsid w:val="00A34190"/>
    <w:rsid w:val="00A34EB7"/>
    <w:rsid w:val="00A37320"/>
    <w:rsid w:val="00A401DB"/>
    <w:rsid w:val="00A40A5A"/>
    <w:rsid w:val="00A40F02"/>
    <w:rsid w:val="00A4221B"/>
    <w:rsid w:val="00A44862"/>
    <w:rsid w:val="00A45332"/>
    <w:rsid w:val="00A45E9A"/>
    <w:rsid w:val="00A461A4"/>
    <w:rsid w:val="00A5117A"/>
    <w:rsid w:val="00A5486B"/>
    <w:rsid w:val="00A5577F"/>
    <w:rsid w:val="00A55C1E"/>
    <w:rsid w:val="00A629A6"/>
    <w:rsid w:val="00A63A74"/>
    <w:rsid w:val="00A63D6A"/>
    <w:rsid w:val="00A6488C"/>
    <w:rsid w:val="00A65161"/>
    <w:rsid w:val="00A66E0E"/>
    <w:rsid w:val="00A6784E"/>
    <w:rsid w:val="00A67A36"/>
    <w:rsid w:val="00A707FD"/>
    <w:rsid w:val="00A73332"/>
    <w:rsid w:val="00A74194"/>
    <w:rsid w:val="00A7446B"/>
    <w:rsid w:val="00A74A67"/>
    <w:rsid w:val="00A74BB2"/>
    <w:rsid w:val="00A74EED"/>
    <w:rsid w:val="00A75461"/>
    <w:rsid w:val="00A777FB"/>
    <w:rsid w:val="00A80C4B"/>
    <w:rsid w:val="00A82245"/>
    <w:rsid w:val="00A830DE"/>
    <w:rsid w:val="00A832FD"/>
    <w:rsid w:val="00A8455D"/>
    <w:rsid w:val="00A849BB"/>
    <w:rsid w:val="00A853F6"/>
    <w:rsid w:val="00A93770"/>
    <w:rsid w:val="00A951A7"/>
    <w:rsid w:val="00AA0410"/>
    <w:rsid w:val="00AA053A"/>
    <w:rsid w:val="00AA096D"/>
    <w:rsid w:val="00AA2668"/>
    <w:rsid w:val="00AA2E7B"/>
    <w:rsid w:val="00AB13F3"/>
    <w:rsid w:val="00AB1BA5"/>
    <w:rsid w:val="00AB2FA6"/>
    <w:rsid w:val="00AB3520"/>
    <w:rsid w:val="00AB6390"/>
    <w:rsid w:val="00AC1BF5"/>
    <w:rsid w:val="00AC202D"/>
    <w:rsid w:val="00AC2255"/>
    <w:rsid w:val="00AC51EB"/>
    <w:rsid w:val="00AC5D59"/>
    <w:rsid w:val="00AD00CF"/>
    <w:rsid w:val="00AD0980"/>
    <w:rsid w:val="00AD0B73"/>
    <w:rsid w:val="00AD1137"/>
    <w:rsid w:val="00AD27EE"/>
    <w:rsid w:val="00AD307F"/>
    <w:rsid w:val="00AD7AC8"/>
    <w:rsid w:val="00AD7EF1"/>
    <w:rsid w:val="00AE19BB"/>
    <w:rsid w:val="00AE4436"/>
    <w:rsid w:val="00AE4F82"/>
    <w:rsid w:val="00AE56CB"/>
    <w:rsid w:val="00AE6D92"/>
    <w:rsid w:val="00AE7083"/>
    <w:rsid w:val="00AE7B8A"/>
    <w:rsid w:val="00AF0261"/>
    <w:rsid w:val="00AF1CD1"/>
    <w:rsid w:val="00AF238A"/>
    <w:rsid w:val="00AF2CC8"/>
    <w:rsid w:val="00AF651B"/>
    <w:rsid w:val="00AF6C5B"/>
    <w:rsid w:val="00AF7507"/>
    <w:rsid w:val="00AF77E3"/>
    <w:rsid w:val="00AF7820"/>
    <w:rsid w:val="00B0150D"/>
    <w:rsid w:val="00B01AF0"/>
    <w:rsid w:val="00B03388"/>
    <w:rsid w:val="00B04511"/>
    <w:rsid w:val="00B05A50"/>
    <w:rsid w:val="00B05EB5"/>
    <w:rsid w:val="00B063D7"/>
    <w:rsid w:val="00B0721B"/>
    <w:rsid w:val="00B1078C"/>
    <w:rsid w:val="00B11BDD"/>
    <w:rsid w:val="00B20B2E"/>
    <w:rsid w:val="00B220E1"/>
    <w:rsid w:val="00B2277D"/>
    <w:rsid w:val="00B2476D"/>
    <w:rsid w:val="00B25465"/>
    <w:rsid w:val="00B25B7E"/>
    <w:rsid w:val="00B27A5E"/>
    <w:rsid w:val="00B310BB"/>
    <w:rsid w:val="00B31A6A"/>
    <w:rsid w:val="00B31D2D"/>
    <w:rsid w:val="00B3236F"/>
    <w:rsid w:val="00B32B2E"/>
    <w:rsid w:val="00B332C0"/>
    <w:rsid w:val="00B33A84"/>
    <w:rsid w:val="00B33B4B"/>
    <w:rsid w:val="00B33D8C"/>
    <w:rsid w:val="00B34009"/>
    <w:rsid w:val="00B34378"/>
    <w:rsid w:val="00B344E0"/>
    <w:rsid w:val="00B354D5"/>
    <w:rsid w:val="00B36912"/>
    <w:rsid w:val="00B41B1C"/>
    <w:rsid w:val="00B41B23"/>
    <w:rsid w:val="00B41BF0"/>
    <w:rsid w:val="00B42973"/>
    <w:rsid w:val="00B47C0D"/>
    <w:rsid w:val="00B50949"/>
    <w:rsid w:val="00B50FD0"/>
    <w:rsid w:val="00B51766"/>
    <w:rsid w:val="00B54355"/>
    <w:rsid w:val="00B608E3"/>
    <w:rsid w:val="00B60BAD"/>
    <w:rsid w:val="00B60CB1"/>
    <w:rsid w:val="00B62346"/>
    <w:rsid w:val="00B6304D"/>
    <w:rsid w:val="00B65992"/>
    <w:rsid w:val="00B663DF"/>
    <w:rsid w:val="00B66AB5"/>
    <w:rsid w:val="00B66C82"/>
    <w:rsid w:val="00B66D01"/>
    <w:rsid w:val="00B707AC"/>
    <w:rsid w:val="00B71666"/>
    <w:rsid w:val="00B7226F"/>
    <w:rsid w:val="00B736CF"/>
    <w:rsid w:val="00B75AA9"/>
    <w:rsid w:val="00B839AA"/>
    <w:rsid w:val="00B846B1"/>
    <w:rsid w:val="00B85476"/>
    <w:rsid w:val="00B87262"/>
    <w:rsid w:val="00B876D3"/>
    <w:rsid w:val="00B87DC1"/>
    <w:rsid w:val="00B936A6"/>
    <w:rsid w:val="00B9538C"/>
    <w:rsid w:val="00B95B2D"/>
    <w:rsid w:val="00B95F5E"/>
    <w:rsid w:val="00B95F87"/>
    <w:rsid w:val="00B979D1"/>
    <w:rsid w:val="00B97FD6"/>
    <w:rsid w:val="00BA1E5F"/>
    <w:rsid w:val="00BA4746"/>
    <w:rsid w:val="00BA5DAF"/>
    <w:rsid w:val="00BA6A7D"/>
    <w:rsid w:val="00BA706C"/>
    <w:rsid w:val="00BB13BD"/>
    <w:rsid w:val="00BB27B0"/>
    <w:rsid w:val="00BB290F"/>
    <w:rsid w:val="00BB2D97"/>
    <w:rsid w:val="00BB319C"/>
    <w:rsid w:val="00BB3CE7"/>
    <w:rsid w:val="00BB3DB1"/>
    <w:rsid w:val="00BB4E37"/>
    <w:rsid w:val="00BB56E9"/>
    <w:rsid w:val="00BB7A82"/>
    <w:rsid w:val="00BC091E"/>
    <w:rsid w:val="00BC1A64"/>
    <w:rsid w:val="00BC29A4"/>
    <w:rsid w:val="00BC29D8"/>
    <w:rsid w:val="00BC3229"/>
    <w:rsid w:val="00BC646F"/>
    <w:rsid w:val="00BC7CAA"/>
    <w:rsid w:val="00BD055F"/>
    <w:rsid w:val="00BD14A5"/>
    <w:rsid w:val="00BD19BC"/>
    <w:rsid w:val="00BD23F9"/>
    <w:rsid w:val="00BD2499"/>
    <w:rsid w:val="00BD2BE0"/>
    <w:rsid w:val="00BD381D"/>
    <w:rsid w:val="00BD42F9"/>
    <w:rsid w:val="00BD5673"/>
    <w:rsid w:val="00BD657E"/>
    <w:rsid w:val="00BD796D"/>
    <w:rsid w:val="00BE0003"/>
    <w:rsid w:val="00BE17E9"/>
    <w:rsid w:val="00BE193D"/>
    <w:rsid w:val="00BE2D27"/>
    <w:rsid w:val="00BE3695"/>
    <w:rsid w:val="00BE3D31"/>
    <w:rsid w:val="00BE4DB1"/>
    <w:rsid w:val="00BE4E6E"/>
    <w:rsid w:val="00BE4FFB"/>
    <w:rsid w:val="00BE5299"/>
    <w:rsid w:val="00BE667C"/>
    <w:rsid w:val="00BE6AA3"/>
    <w:rsid w:val="00BE72B5"/>
    <w:rsid w:val="00BE7E12"/>
    <w:rsid w:val="00BF00D4"/>
    <w:rsid w:val="00BF148F"/>
    <w:rsid w:val="00BF157F"/>
    <w:rsid w:val="00BF2FD3"/>
    <w:rsid w:val="00BF3562"/>
    <w:rsid w:val="00BF3703"/>
    <w:rsid w:val="00BF44ED"/>
    <w:rsid w:val="00BF605C"/>
    <w:rsid w:val="00BF7024"/>
    <w:rsid w:val="00BF74B4"/>
    <w:rsid w:val="00BF7B45"/>
    <w:rsid w:val="00C01BB0"/>
    <w:rsid w:val="00C02CAA"/>
    <w:rsid w:val="00C06DAA"/>
    <w:rsid w:val="00C07225"/>
    <w:rsid w:val="00C10943"/>
    <w:rsid w:val="00C120FA"/>
    <w:rsid w:val="00C12F6F"/>
    <w:rsid w:val="00C13B89"/>
    <w:rsid w:val="00C13BFB"/>
    <w:rsid w:val="00C13FE5"/>
    <w:rsid w:val="00C14AC8"/>
    <w:rsid w:val="00C15031"/>
    <w:rsid w:val="00C1529C"/>
    <w:rsid w:val="00C1575A"/>
    <w:rsid w:val="00C16A4A"/>
    <w:rsid w:val="00C17D35"/>
    <w:rsid w:val="00C21E92"/>
    <w:rsid w:val="00C22658"/>
    <w:rsid w:val="00C22E4A"/>
    <w:rsid w:val="00C23D22"/>
    <w:rsid w:val="00C24AD8"/>
    <w:rsid w:val="00C25235"/>
    <w:rsid w:val="00C31644"/>
    <w:rsid w:val="00C31756"/>
    <w:rsid w:val="00C31EC5"/>
    <w:rsid w:val="00C32C50"/>
    <w:rsid w:val="00C33FEE"/>
    <w:rsid w:val="00C34DB8"/>
    <w:rsid w:val="00C35B80"/>
    <w:rsid w:val="00C37B59"/>
    <w:rsid w:val="00C405C6"/>
    <w:rsid w:val="00C408E5"/>
    <w:rsid w:val="00C409BB"/>
    <w:rsid w:val="00C41412"/>
    <w:rsid w:val="00C41918"/>
    <w:rsid w:val="00C41D50"/>
    <w:rsid w:val="00C44499"/>
    <w:rsid w:val="00C458EB"/>
    <w:rsid w:val="00C4644B"/>
    <w:rsid w:val="00C46DC9"/>
    <w:rsid w:val="00C47E84"/>
    <w:rsid w:val="00C51AB1"/>
    <w:rsid w:val="00C52392"/>
    <w:rsid w:val="00C524BC"/>
    <w:rsid w:val="00C53C45"/>
    <w:rsid w:val="00C625EF"/>
    <w:rsid w:val="00C63EA4"/>
    <w:rsid w:val="00C65884"/>
    <w:rsid w:val="00C65A43"/>
    <w:rsid w:val="00C65FF9"/>
    <w:rsid w:val="00C66540"/>
    <w:rsid w:val="00C71590"/>
    <w:rsid w:val="00C719D0"/>
    <w:rsid w:val="00C722E3"/>
    <w:rsid w:val="00C73928"/>
    <w:rsid w:val="00C76BE1"/>
    <w:rsid w:val="00C80E71"/>
    <w:rsid w:val="00C81C97"/>
    <w:rsid w:val="00C82F77"/>
    <w:rsid w:val="00C84537"/>
    <w:rsid w:val="00C84FE7"/>
    <w:rsid w:val="00C8593B"/>
    <w:rsid w:val="00C86475"/>
    <w:rsid w:val="00C872B5"/>
    <w:rsid w:val="00C8785C"/>
    <w:rsid w:val="00C87E23"/>
    <w:rsid w:val="00C916EB"/>
    <w:rsid w:val="00C9329C"/>
    <w:rsid w:val="00C94E2B"/>
    <w:rsid w:val="00C9611B"/>
    <w:rsid w:val="00C96B4A"/>
    <w:rsid w:val="00C97CFB"/>
    <w:rsid w:val="00C97FF2"/>
    <w:rsid w:val="00CA0547"/>
    <w:rsid w:val="00CA7138"/>
    <w:rsid w:val="00CA7308"/>
    <w:rsid w:val="00CA76CB"/>
    <w:rsid w:val="00CA7C15"/>
    <w:rsid w:val="00CB057E"/>
    <w:rsid w:val="00CB2893"/>
    <w:rsid w:val="00CB2D59"/>
    <w:rsid w:val="00CB2F44"/>
    <w:rsid w:val="00CB4CDA"/>
    <w:rsid w:val="00CB51EA"/>
    <w:rsid w:val="00CB5707"/>
    <w:rsid w:val="00CB642B"/>
    <w:rsid w:val="00CB65DA"/>
    <w:rsid w:val="00CB7061"/>
    <w:rsid w:val="00CB7783"/>
    <w:rsid w:val="00CB7D21"/>
    <w:rsid w:val="00CC18DD"/>
    <w:rsid w:val="00CC33BC"/>
    <w:rsid w:val="00CC4408"/>
    <w:rsid w:val="00CC4684"/>
    <w:rsid w:val="00CC56CC"/>
    <w:rsid w:val="00CD11B4"/>
    <w:rsid w:val="00CD233B"/>
    <w:rsid w:val="00CD39BB"/>
    <w:rsid w:val="00CD49D0"/>
    <w:rsid w:val="00CD6847"/>
    <w:rsid w:val="00CD73FD"/>
    <w:rsid w:val="00CE0576"/>
    <w:rsid w:val="00CE065E"/>
    <w:rsid w:val="00CE0FFF"/>
    <w:rsid w:val="00CE2D82"/>
    <w:rsid w:val="00CE354E"/>
    <w:rsid w:val="00CE3B84"/>
    <w:rsid w:val="00CE3CC7"/>
    <w:rsid w:val="00CF1441"/>
    <w:rsid w:val="00CF1A2F"/>
    <w:rsid w:val="00CF2236"/>
    <w:rsid w:val="00CF2B71"/>
    <w:rsid w:val="00CF2D6F"/>
    <w:rsid w:val="00CF449D"/>
    <w:rsid w:val="00D0045D"/>
    <w:rsid w:val="00D00D97"/>
    <w:rsid w:val="00D00E05"/>
    <w:rsid w:val="00D01F24"/>
    <w:rsid w:val="00D02593"/>
    <w:rsid w:val="00D026CE"/>
    <w:rsid w:val="00D026F8"/>
    <w:rsid w:val="00D02EBB"/>
    <w:rsid w:val="00D04244"/>
    <w:rsid w:val="00D0572F"/>
    <w:rsid w:val="00D10C3E"/>
    <w:rsid w:val="00D11516"/>
    <w:rsid w:val="00D1326B"/>
    <w:rsid w:val="00D1378F"/>
    <w:rsid w:val="00D1576B"/>
    <w:rsid w:val="00D1647D"/>
    <w:rsid w:val="00D16A9E"/>
    <w:rsid w:val="00D16BAB"/>
    <w:rsid w:val="00D17B2F"/>
    <w:rsid w:val="00D202B5"/>
    <w:rsid w:val="00D20758"/>
    <w:rsid w:val="00D21C7D"/>
    <w:rsid w:val="00D22BB2"/>
    <w:rsid w:val="00D22FF1"/>
    <w:rsid w:val="00D25478"/>
    <w:rsid w:val="00D25C57"/>
    <w:rsid w:val="00D26092"/>
    <w:rsid w:val="00D270D3"/>
    <w:rsid w:val="00D277C4"/>
    <w:rsid w:val="00D30C93"/>
    <w:rsid w:val="00D31CCE"/>
    <w:rsid w:val="00D31F7B"/>
    <w:rsid w:val="00D33C5E"/>
    <w:rsid w:val="00D348ED"/>
    <w:rsid w:val="00D3502C"/>
    <w:rsid w:val="00D350E3"/>
    <w:rsid w:val="00D35DB6"/>
    <w:rsid w:val="00D36AFB"/>
    <w:rsid w:val="00D371EF"/>
    <w:rsid w:val="00D37C29"/>
    <w:rsid w:val="00D40118"/>
    <w:rsid w:val="00D44ACB"/>
    <w:rsid w:val="00D454F2"/>
    <w:rsid w:val="00D46887"/>
    <w:rsid w:val="00D47129"/>
    <w:rsid w:val="00D47B06"/>
    <w:rsid w:val="00D50A01"/>
    <w:rsid w:val="00D50EB9"/>
    <w:rsid w:val="00D52831"/>
    <w:rsid w:val="00D539CA"/>
    <w:rsid w:val="00D55CD1"/>
    <w:rsid w:val="00D620A6"/>
    <w:rsid w:val="00D634D8"/>
    <w:rsid w:val="00D6568B"/>
    <w:rsid w:val="00D65CE6"/>
    <w:rsid w:val="00D65F36"/>
    <w:rsid w:val="00D66475"/>
    <w:rsid w:val="00D70CFE"/>
    <w:rsid w:val="00D70D49"/>
    <w:rsid w:val="00D712C7"/>
    <w:rsid w:val="00D71634"/>
    <w:rsid w:val="00D7164D"/>
    <w:rsid w:val="00D729D1"/>
    <w:rsid w:val="00D739A2"/>
    <w:rsid w:val="00D74A88"/>
    <w:rsid w:val="00D755B0"/>
    <w:rsid w:val="00D76759"/>
    <w:rsid w:val="00D775AA"/>
    <w:rsid w:val="00D80155"/>
    <w:rsid w:val="00D802D7"/>
    <w:rsid w:val="00D803F7"/>
    <w:rsid w:val="00D81818"/>
    <w:rsid w:val="00D81FAC"/>
    <w:rsid w:val="00D85EC7"/>
    <w:rsid w:val="00D861E1"/>
    <w:rsid w:val="00D8695D"/>
    <w:rsid w:val="00D8766C"/>
    <w:rsid w:val="00D876EA"/>
    <w:rsid w:val="00D90307"/>
    <w:rsid w:val="00D92F44"/>
    <w:rsid w:val="00D977F0"/>
    <w:rsid w:val="00DA1D8A"/>
    <w:rsid w:val="00DA4660"/>
    <w:rsid w:val="00DA599A"/>
    <w:rsid w:val="00DB02FE"/>
    <w:rsid w:val="00DB6F66"/>
    <w:rsid w:val="00DC14D7"/>
    <w:rsid w:val="00DC198D"/>
    <w:rsid w:val="00DC2ECB"/>
    <w:rsid w:val="00DC42CD"/>
    <w:rsid w:val="00DC5499"/>
    <w:rsid w:val="00DC5B0D"/>
    <w:rsid w:val="00DC5C33"/>
    <w:rsid w:val="00DC6564"/>
    <w:rsid w:val="00DD0082"/>
    <w:rsid w:val="00DD0889"/>
    <w:rsid w:val="00DD17DA"/>
    <w:rsid w:val="00DD5970"/>
    <w:rsid w:val="00DD5B55"/>
    <w:rsid w:val="00DD7E4F"/>
    <w:rsid w:val="00DD7EA0"/>
    <w:rsid w:val="00DE0882"/>
    <w:rsid w:val="00DE112B"/>
    <w:rsid w:val="00DE2483"/>
    <w:rsid w:val="00DE3813"/>
    <w:rsid w:val="00DE523D"/>
    <w:rsid w:val="00DF02CB"/>
    <w:rsid w:val="00DF04F9"/>
    <w:rsid w:val="00DF194A"/>
    <w:rsid w:val="00DF4601"/>
    <w:rsid w:val="00DF503D"/>
    <w:rsid w:val="00DF6889"/>
    <w:rsid w:val="00DF73EF"/>
    <w:rsid w:val="00DF745E"/>
    <w:rsid w:val="00DF7A20"/>
    <w:rsid w:val="00E01328"/>
    <w:rsid w:val="00E0250D"/>
    <w:rsid w:val="00E0273A"/>
    <w:rsid w:val="00E038AE"/>
    <w:rsid w:val="00E03CEB"/>
    <w:rsid w:val="00E04027"/>
    <w:rsid w:val="00E0534B"/>
    <w:rsid w:val="00E0583C"/>
    <w:rsid w:val="00E05A73"/>
    <w:rsid w:val="00E10762"/>
    <w:rsid w:val="00E10827"/>
    <w:rsid w:val="00E1106A"/>
    <w:rsid w:val="00E13B66"/>
    <w:rsid w:val="00E14B35"/>
    <w:rsid w:val="00E1519C"/>
    <w:rsid w:val="00E15594"/>
    <w:rsid w:val="00E2163B"/>
    <w:rsid w:val="00E22FF3"/>
    <w:rsid w:val="00E24C32"/>
    <w:rsid w:val="00E24D83"/>
    <w:rsid w:val="00E24F37"/>
    <w:rsid w:val="00E25132"/>
    <w:rsid w:val="00E2689C"/>
    <w:rsid w:val="00E3241B"/>
    <w:rsid w:val="00E33DA0"/>
    <w:rsid w:val="00E3451B"/>
    <w:rsid w:val="00E35A60"/>
    <w:rsid w:val="00E35C3B"/>
    <w:rsid w:val="00E35C5E"/>
    <w:rsid w:val="00E36176"/>
    <w:rsid w:val="00E36210"/>
    <w:rsid w:val="00E422C8"/>
    <w:rsid w:val="00E42972"/>
    <w:rsid w:val="00E4405A"/>
    <w:rsid w:val="00E45B69"/>
    <w:rsid w:val="00E508C0"/>
    <w:rsid w:val="00E50F53"/>
    <w:rsid w:val="00E50F96"/>
    <w:rsid w:val="00E517B7"/>
    <w:rsid w:val="00E537FB"/>
    <w:rsid w:val="00E5617C"/>
    <w:rsid w:val="00E56FA2"/>
    <w:rsid w:val="00E61095"/>
    <w:rsid w:val="00E61A05"/>
    <w:rsid w:val="00E61A2D"/>
    <w:rsid w:val="00E61ECF"/>
    <w:rsid w:val="00E62BF7"/>
    <w:rsid w:val="00E63C0C"/>
    <w:rsid w:val="00E64555"/>
    <w:rsid w:val="00E668F4"/>
    <w:rsid w:val="00E70281"/>
    <w:rsid w:val="00E721BA"/>
    <w:rsid w:val="00E734CD"/>
    <w:rsid w:val="00E73D3E"/>
    <w:rsid w:val="00E77295"/>
    <w:rsid w:val="00E80257"/>
    <w:rsid w:val="00E816CD"/>
    <w:rsid w:val="00E8509E"/>
    <w:rsid w:val="00E861B0"/>
    <w:rsid w:val="00E9019B"/>
    <w:rsid w:val="00E90629"/>
    <w:rsid w:val="00E92D3F"/>
    <w:rsid w:val="00E941C6"/>
    <w:rsid w:val="00E942CA"/>
    <w:rsid w:val="00E96634"/>
    <w:rsid w:val="00E968D0"/>
    <w:rsid w:val="00E96AB6"/>
    <w:rsid w:val="00E97FF6"/>
    <w:rsid w:val="00EA087A"/>
    <w:rsid w:val="00EA30AC"/>
    <w:rsid w:val="00EA422B"/>
    <w:rsid w:val="00EA6275"/>
    <w:rsid w:val="00EB2BD8"/>
    <w:rsid w:val="00EB5968"/>
    <w:rsid w:val="00EB7241"/>
    <w:rsid w:val="00EB7979"/>
    <w:rsid w:val="00EB7FE4"/>
    <w:rsid w:val="00EC20E7"/>
    <w:rsid w:val="00EC22EA"/>
    <w:rsid w:val="00EC2803"/>
    <w:rsid w:val="00EC3765"/>
    <w:rsid w:val="00EC4B08"/>
    <w:rsid w:val="00EC6064"/>
    <w:rsid w:val="00EC75AE"/>
    <w:rsid w:val="00ED0665"/>
    <w:rsid w:val="00ED3CB9"/>
    <w:rsid w:val="00ED4ECE"/>
    <w:rsid w:val="00ED5C60"/>
    <w:rsid w:val="00ED67B6"/>
    <w:rsid w:val="00ED67C2"/>
    <w:rsid w:val="00ED725F"/>
    <w:rsid w:val="00EE1B29"/>
    <w:rsid w:val="00EE31D3"/>
    <w:rsid w:val="00EE5A7A"/>
    <w:rsid w:val="00EE622B"/>
    <w:rsid w:val="00EE66E0"/>
    <w:rsid w:val="00EE6806"/>
    <w:rsid w:val="00EF1AD0"/>
    <w:rsid w:val="00EF29E8"/>
    <w:rsid w:val="00EF544C"/>
    <w:rsid w:val="00F00FF9"/>
    <w:rsid w:val="00F03449"/>
    <w:rsid w:val="00F04567"/>
    <w:rsid w:val="00F066C2"/>
    <w:rsid w:val="00F1016B"/>
    <w:rsid w:val="00F10A11"/>
    <w:rsid w:val="00F12D28"/>
    <w:rsid w:val="00F16724"/>
    <w:rsid w:val="00F17A58"/>
    <w:rsid w:val="00F17DFA"/>
    <w:rsid w:val="00F2202D"/>
    <w:rsid w:val="00F22244"/>
    <w:rsid w:val="00F2297B"/>
    <w:rsid w:val="00F24463"/>
    <w:rsid w:val="00F244AA"/>
    <w:rsid w:val="00F24CC4"/>
    <w:rsid w:val="00F2562C"/>
    <w:rsid w:val="00F25BF3"/>
    <w:rsid w:val="00F277BD"/>
    <w:rsid w:val="00F27E5F"/>
    <w:rsid w:val="00F3011A"/>
    <w:rsid w:val="00F31326"/>
    <w:rsid w:val="00F329DA"/>
    <w:rsid w:val="00F33054"/>
    <w:rsid w:val="00F33139"/>
    <w:rsid w:val="00F33782"/>
    <w:rsid w:val="00F33A39"/>
    <w:rsid w:val="00F351E8"/>
    <w:rsid w:val="00F35F5F"/>
    <w:rsid w:val="00F35FD0"/>
    <w:rsid w:val="00F36E29"/>
    <w:rsid w:val="00F37A3A"/>
    <w:rsid w:val="00F405EF"/>
    <w:rsid w:val="00F40752"/>
    <w:rsid w:val="00F42BBA"/>
    <w:rsid w:val="00F50D7E"/>
    <w:rsid w:val="00F524F4"/>
    <w:rsid w:val="00F532A1"/>
    <w:rsid w:val="00F54D3A"/>
    <w:rsid w:val="00F5500A"/>
    <w:rsid w:val="00F55231"/>
    <w:rsid w:val="00F552A2"/>
    <w:rsid w:val="00F552E0"/>
    <w:rsid w:val="00F568D8"/>
    <w:rsid w:val="00F56A21"/>
    <w:rsid w:val="00F60701"/>
    <w:rsid w:val="00F60C65"/>
    <w:rsid w:val="00F61C5A"/>
    <w:rsid w:val="00F63277"/>
    <w:rsid w:val="00F638CF"/>
    <w:rsid w:val="00F63FEF"/>
    <w:rsid w:val="00F660AE"/>
    <w:rsid w:val="00F66114"/>
    <w:rsid w:val="00F66F20"/>
    <w:rsid w:val="00F67A24"/>
    <w:rsid w:val="00F700F6"/>
    <w:rsid w:val="00F70623"/>
    <w:rsid w:val="00F72F5C"/>
    <w:rsid w:val="00F7621A"/>
    <w:rsid w:val="00F76334"/>
    <w:rsid w:val="00F76FBB"/>
    <w:rsid w:val="00F8172B"/>
    <w:rsid w:val="00F81974"/>
    <w:rsid w:val="00F81E3F"/>
    <w:rsid w:val="00F83ABE"/>
    <w:rsid w:val="00F845E8"/>
    <w:rsid w:val="00F853E7"/>
    <w:rsid w:val="00F879B9"/>
    <w:rsid w:val="00F87B15"/>
    <w:rsid w:val="00F90AD1"/>
    <w:rsid w:val="00F913B1"/>
    <w:rsid w:val="00F93714"/>
    <w:rsid w:val="00F94B43"/>
    <w:rsid w:val="00F959A4"/>
    <w:rsid w:val="00F96344"/>
    <w:rsid w:val="00F968A4"/>
    <w:rsid w:val="00F971F6"/>
    <w:rsid w:val="00F9798A"/>
    <w:rsid w:val="00FA40F4"/>
    <w:rsid w:val="00FA4ED7"/>
    <w:rsid w:val="00FA6257"/>
    <w:rsid w:val="00FB0096"/>
    <w:rsid w:val="00FB0D3A"/>
    <w:rsid w:val="00FB2119"/>
    <w:rsid w:val="00FB2501"/>
    <w:rsid w:val="00FB4F2C"/>
    <w:rsid w:val="00FB5B85"/>
    <w:rsid w:val="00FB6747"/>
    <w:rsid w:val="00FC0326"/>
    <w:rsid w:val="00FC0F83"/>
    <w:rsid w:val="00FC14D0"/>
    <w:rsid w:val="00FC212F"/>
    <w:rsid w:val="00FC3492"/>
    <w:rsid w:val="00FC38AD"/>
    <w:rsid w:val="00FC417E"/>
    <w:rsid w:val="00FC7C5D"/>
    <w:rsid w:val="00FD1DE9"/>
    <w:rsid w:val="00FD2565"/>
    <w:rsid w:val="00FD4EA3"/>
    <w:rsid w:val="00FD65C4"/>
    <w:rsid w:val="00FD6F91"/>
    <w:rsid w:val="00FD7B08"/>
    <w:rsid w:val="00FE04E8"/>
    <w:rsid w:val="00FE2254"/>
    <w:rsid w:val="00FE237C"/>
    <w:rsid w:val="00FE41AF"/>
    <w:rsid w:val="00FE4547"/>
    <w:rsid w:val="00FE4A2E"/>
    <w:rsid w:val="00FE7142"/>
    <w:rsid w:val="00FE744F"/>
    <w:rsid w:val="00FF0BBA"/>
    <w:rsid w:val="00FF3195"/>
    <w:rsid w:val="00FF3D43"/>
    <w:rsid w:val="00FF4844"/>
    <w:rsid w:val="00FF4E6B"/>
    <w:rsid w:val="00FF4F1F"/>
    <w:rsid w:val="00FF70E8"/>
    <w:rsid w:val="00FF7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A01EE"/>
  <w15:chartTrackingRefBased/>
  <w15:docId w15:val="{092A17EB-7A7A-412A-8D72-31880FF4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C0D"/>
  </w:style>
  <w:style w:type="paragraph" w:styleId="Heading1">
    <w:name w:val="heading 1"/>
    <w:basedOn w:val="Normal"/>
    <w:link w:val="Heading1Char"/>
    <w:uiPriority w:val="9"/>
    <w:qFormat/>
    <w:rsid w:val="00671FCB"/>
    <w:pPr>
      <w:spacing w:before="100" w:beforeAutospacing="1" w:after="100" w:afterAutospacing="1"/>
      <w:outlineLvl w:val="0"/>
    </w:pPr>
    <w:rPr>
      <w:rFonts w:eastAsia="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E24F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Normal"/>
    <w:link w:val="FootnoteTextChar"/>
    <w:uiPriority w:val="99"/>
    <w:unhideWhenUsed/>
    <w:rsid w:val="008A7686"/>
    <w:rPr>
      <w:sz w:val="20"/>
      <w:szCs w:val="20"/>
    </w:rPr>
  </w:style>
  <w:style w:type="character" w:customStyle="1" w:styleId="FootnoteTextChar">
    <w:name w:val="Footnote Text Char"/>
    <w:aliases w:val="Footnote Char,Fußnote Char1,Fußnote Char Char,Fußnote Char Char Char Char,Fußnotentext Char Char1,Fußnotentext Char1 Char1 Char,Fußnotentext Char Char Char Char Char,Fußnotentext Char1 Char Char Char Char1,Fußnotentext Char Char Char"/>
    <w:basedOn w:val="DefaultParagraphFont"/>
    <w:link w:val="FootnoteText"/>
    <w:uiPriority w:val="99"/>
    <w:rsid w:val="008A7686"/>
    <w:rPr>
      <w:sz w:val="20"/>
      <w:szCs w:val="20"/>
    </w:rPr>
  </w:style>
  <w:style w:type="character" w:styleId="FootnoteReference">
    <w:name w:val="footnote reference"/>
    <w:aliases w:val="Footnote Reference Number,SUPERS,Footnote symbol,ftref,Footnote Refernece,stylish,BVI fnr,Fußnotenzeichen_Raxen,callout,Footnote Reference Superscript,Footnote symbFootnote Refernece,fr,Odwołanie przypisu,Footnotes refss,Ref,E,E FNZ"/>
    <w:basedOn w:val="DefaultParagraphFont"/>
    <w:link w:val="CharCharCharChar"/>
    <w:uiPriority w:val="99"/>
    <w:unhideWhenUsed/>
    <w:rsid w:val="008A7686"/>
    <w:rPr>
      <w:vertAlign w:val="superscript"/>
    </w:rPr>
  </w:style>
  <w:style w:type="table" w:styleId="TableGrid">
    <w:name w:val="Table Grid"/>
    <w:basedOn w:val="TableNormal"/>
    <w:uiPriority w:val="39"/>
    <w:rsid w:val="001B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OC style,lp1,Bullet OSM,Proposal Bullet List,Dot pt,No Spacing1,List Paragraph Char Char Char,Indicator Text,Numbered Para 1,List Paragraph à moi,Welt L Char,Welt L,Bullet List,FooterText,numbered,Paragraphe de liste1,列出段落,列出段落1"/>
    <w:basedOn w:val="Normal"/>
    <w:link w:val="ListParagraphChar"/>
    <w:uiPriority w:val="34"/>
    <w:qFormat/>
    <w:rsid w:val="004B035B"/>
    <w:pPr>
      <w:ind w:left="720"/>
      <w:contextualSpacing/>
    </w:pPr>
  </w:style>
  <w:style w:type="paragraph" w:styleId="BalloonText">
    <w:name w:val="Balloon Text"/>
    <w:basedOn w:val="Normal"/>
    <w:link w:val="BalloonTextChar"/>
    <w:uiPriority w:val="99"/>
    <w:semiHidden/>
    <w:unhideWhenUsed/>
    <w:rsid w:val="00611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44"/>
    <w:rPr>
      <w:rFonts w:ascii="Segoe UI" w:hAnsi="Segoe UI" w:cs="Segoe UI"/>
      <w:sz w:val="18"/>
      <w:szCs w:val="18"/>
    </w:rPr>
  </w:style>
  <w:style w:type="character" w:styleId="CommentReference">
    <w:name w:val="annotation reference"/>
    <w:basedOn w:val="DefaultParagraphFont"/>
    <w:uiPriority w:val="99"/>
    <w:semiHidden/>
    <w:unhideWhenUsed/>
    <w:rsid w:val="005D2E1D"/>
    <w:rPr>
      <w:sz w:val="16"/>
      <w:szCs w:val="16"/>
    </w:rPr>
  </w:style>
  <w:style w:type="paragraph" w:styleId="CommentText">
    <w:name w:val="annotation text"/>
    <w:basedOn w:val="Normal"/>
    <w:link w:val="CommentTextChar"/>
    <w:uiPriority w:val="99"/>
    <w:unhideWhenUsed/>
    <w:rsid w:val="005D2E1D"/>
    <w:rPr>
      <w:sz w:val="20"/>
      <w:szCs w:val="20"/>
    </w:rPr>
  </w:style>
  <w:style w:type="character" w:customStyle="1" w:styleId="CommentTextChar">
    <w:name w:val="Comment Text Char"/>
    <w:basedOn w:val="DefaultParagraphFont"/>
    <w:link w:val="CommentText"/>
    <w:uiPriority w:val="99"/>
    <w:rsid w:val="005D2E1D"/>
    <w:rPr>
      <w:sz w:val="20"/>
      <w:szCs w:val="20"/>
    </w:rPr>
  </w:style>
  <w:style w:type="paragraph" w:styleId="CommentSubject">
    <w:name w:val="annotation subject"/>
    <w:basedOn w:val="CommentText"/>
    <w:next w:val="CommentText"/>
    <w:link w:val="CommentSubjectChar"/>
    <w:uiPriority w:val="99"/>
    <w:semiHidden/>
    <w:unhideWhenUsed/>
    <w:rsid w:val="005D2E1D"/>
    <w:rPr>
      <w:b/>
      <w:bCs/>
    </w:rPr>
  </w:style>
  <w:style w:type="character" w:customStyle="1" w:styleId="CommentSubjectChar">
    <w:name w:val="Comment Subject Char"/>
    <w:basedOn w:val="CommentTextChar"/>
    <w:link w:val="CommentSubject"/>
    <w:uiPriority w:val="99"/>
    <w:semiHidden/>
    <w:rsid w:val="005D2E1D"/>
    <w:rPr>
      <w:b/>
      <w:bCs/>
      <w:sz w:val="20"/>
      <w:szCs w:val="20"/>
    </w:rPr>
  </w:style>
  <w:style w:type="paragraph" w:styleId="Revision">
    <w:name w:val="Revision"/>
    <w:hidden/>
    <w:uiPriority w:val="99"/>
    <w:semiHidden/>
    <w:rsid w:val="00020833"/>
  </w:style>
  <w:style w:type="paragraph" w:styleId="Header">
    <w:name w:val="header"/>
    <w:basedOn w:val="Normal"/>
    <w:link w:val="HeaderChar"/>
    <w:uiPriority w:val="99"/>
    <w:unhideWhenUsed/>
    <w:rsid w:val="00020833"/>
    <w:pPr>
      <w:tabs>
        <w:tab w:val="center" w:pos="4153"/>
        <w:tab w:val="right" w:pos="8306"/>
      </w:tabs>
    </w:pPr>
  </w:style>
  <w:style w:type="character" w:customStyle="1" w:styleId="HeaderChar">
    <w:name w:val="Header Char"/>
    <w:basedOn w:val="DefaultParagraphFont"/>
    <w:link w:val="Header"/>
    <w:uiPriority w:val="99"/>
    <w:rsid w:val="00020833"/>
  </w:style>
  <w:style w:type="paragraph" w:styleId="Footer">
    <w:name w:val="footer"/>
    <w:basedOn w:val="Normal"/>
    <w:link w:val="FooterChar"/>
    <w:uiPriority w:val="99"/>
    <w:unhideWhenUsed/>
    <w:rsid w:val="00020833"/>
    <w:pPr>
      <w:tabs>
        <w:tab w:val="center" w:pos="4153"/>
        <w:tab w:val="right" w:pos="8306"/>
      </w:tabs>
    </w:pPr>
  </w:style>
  <w:style w:type="character" w:customStyle="1" w:styleId="FooterChar">
    <w:name w:val="Footer Char"/>
    <w:basedOn w:val="DefaultParagraphFont"/>
    <w:link w:val="Footer"/>
    <w:uiPriority w:val="99"/>
    <w:rsid w:val="00020833"/>
  </w:style>
  <w:style w:type="character" w:styleId="Hyperlink">
    <w:name w:val="Hyperlink"/>
    <w:basedOn w:val="DefaultParagraphFont"/>
    <w:uiPriority w:val="99"/>
    <w:unhideWhenUsed/>
    <w:rsid w:val="005342A2"/>
    <w:rPr>
      <w:color w:val="0563C1" w:themeColor="hyperlink"/>
      <w:u w:val="single"/>
    </w:rPr>
  </w:style>
  <w:style w:type="paragraph" w:customStyle="1" w:styleId="CharCharCharChar">
    <w:name w:val="Char Char Char Char"/>
    <w:aliases w:val="Char2"/>
    <w:basedOn w:val="Normal"/>
    <w:next w:val="Normal"/>
    <w:link w:val="FootnoteReference"/>
    <w:uiPriority w:val="99"/>
    <w:rsid w:val="00780D18"/>
    <w:pPr>
      <w:spacing w:after="160" w:line="240" w:lineRule="exact"/>
      <w:jc w:val="both"/>
      <w:textAlignment w:val="baseline"/>
    </w:pPr>
    <w:rPr>
      <w:vertAlign w:val="superscript"/>
    </w:rPr>
  </w:style>
  <w:style w:type="character" w:styleId="Strong">
    <w:name w:val="Strong"/>
    <w:basedOn w:val="DefaultParagraphFont"/>
    <w:uiPriority w:val="22"/>
    <w:qFormat/>
    <w:rsid w:val="007B37B2"/>
    <w:rPr>
      <w:b/>
      <w:bCs/>
    </w:rPr>
  </w:style>
  <w:style w:type="character" w:customStyle="1" w:styleId="Heading1Char">
    <w:name w:val="Heading 1 Char"/>
    <w:basedOn w:val="DefaultParagraphFont"/>
    <w:link w:val="Heading1"/>
    <w:uiPriority w:val="9"/>
    <w:rsid w:val="00671FCB"/>
    <w:rPr>
      <w:rFonts w:eastAsia="Times New Roman" w:cs="Times New Roman"/>
      <w:b/>
      <w:bCs/>
      <w:kern w:val="36"/>
      <w:sz w:val="48"/>
      <w:szCs w:val="48"/>
      <w:lang w:val="en-GB" w:eastAsia="en-GB"/>
    </w:rPr>
  </w:style>
  <w:style w:type="paragraph" w:styleId="NormalWeb">
    <w:name w:val="Normal (Web)"/>
    <w:basedOn w:val="Normal"/>
    <w:uiPriority w:val="99"/>
    <w:unhideWhenUsed/>
    <w:rsid w:val="00671FCB"/>
    <w:pPr>
      <w:spacing w:before="100" w:beforeAutospacing="1" w:after="100" w:afterAutospacing="1"/>
    </w:pPr>
    <w:rPr>
      <w:rFonts w:eastAsia="Times New Roman" w:cs="Times New Roman"/>
      <w:szCs w:val="24"/>
      <w:lang w:val="en-GB" w:eastAsia="en-GB"/>
    </w:rPr>
  </w:style>
  <w:style w:type="paragraph" w:customStyle="1" w:styleId="tvhtml">
    <w:name w:val="tv_html"/>
    <w:basedOn w:val="Normal"/>
    <w:rsid w:val="00610E0F"/>
    <w:pPr>
      <w:spacing w:before="100" w:beforeAutospacing="1" w:after="100" w:afterAutospacing="1"/>
    </w:pPr>
    <w:rPr>
      <w:rFonts w:eastAsia="Times New Roman" w:cs="Times New Roman"/>
      <w:szCs w:val="24"/>
      <w:lang w:eastAsia="lv-LV"/>
    </w:rPr>
  </w:style>
  <w:style w:type="paragraph" w:styleId="NoSpacing">
    <w:name w:val="No Spacing"/>
    <w:link w:val="NoSpacingChar"/>
    <w:uiPriority w:val="1"/>
    <w:qFormat/>
    <w:rsid w:val="00A3142E"/>
    <w:rPr>
      <w:rFonts w:asciiTheme="minorHAnsi" w:hAnsiTheme="minorHAnsi"/>
      <w:sz w:val="22"/>
    </w:rPr>
  </w:style>
  <w:style w:type="character" w:customStyle="1" w:styleId="NoSpacingChar">
    <w:name w:val="No Spacing Char"/>
    <w:basedOn w:val="DefaultParagraphFont"/>
    <w:link w:val="NoSpacing"/>
    <w:uiPriority w:val="1"/>
    <w:locked/>
    <w:rsid w:val="00A3142E"/>
    <w:rPr>
      <w:rFonts w:asciiTheme="minorHAnsi" w:hAnsiTheme="minorHAnsi"/>
      <w:sz w:val="22"/>
    </w:rPr>
  </w:style>
  <w:style w:type="character" w:customStyle="1" w:styleId="ListParagraphChar">
    <w:name w:val="List Paragraph Char"/>
    <w:aliases w:val="TOC style Char,lp1 Char,Bullet OSM Char,Proposal Bullet List Char,Dot pt Char,No Spacing1 Char,List Paragraph Char Char Char Char,Indicator Text Char,Numbered Para 1 Char,List Paragraph à moi Char,Welt L Char Char,Welt L Char1"/>
    <w:basedOn w:val="DefaultParagraphFont"/>
    <w:link w:val="ListParagraph"/>
    <w:uiPriority w:val="34"/>
    <w:qFormat/>
    <w:locked/>
    <w:rsid w:val="00A3142E"/>
  </w:style>
  <w:style w:type="paragraph" w:styleId="TOCHeading">
    <w:name w:val="TOC Heading"/>
    <w:basedOn w:val="Heading1"/>
    <w:next w:val="Normal"/>
    <w:uiPriority w:val="39"/>
    <w:unhideWhenUsed/>
    <w:qFormat/>
    <w:rsid w:val="00B95F8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B95F87"/>
    <w:pPr>
      <w:spacing w:after="100"/>
    </w:pPr>
  </w:style>
  <w:style w:type="character" w:customStyle="1" w:styleId="Heading2Char">
    <w:name w:val="Heading 2 Char"/>
    <w:basedOn w:val="DefaultParagraphFont"/>
    <w:link w:val="Heading2"/>
    <w:uiPriority w:val="9"/>
    <w:rsid w:val="00E24F3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B0D3A"/>
    <w:pPr>
      <w:spacing w:after="100"/>
      <w:ind w:left="240"/>
    </w:pPr>
  </w:style>
  <w:style w:type="paragraph" w:customStyle="1" w:styleId="naisf">
    <w:name w:val="naisf"/>
    <w:basedOn w:val="Normal"/>
    <w:rsid w:val="008B2CD4"/>
    <w:pPr>
      <w:spacing w:before="75" w:after="75"/>
      <w:ind w:firstLine="375"/>
      <w:jc w:val="both"/>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7452">
      <w:bodyDiv w:val="1"/>
      <w:marLeft w:val="0"/>
      <w:marRight w:val="0"/>
      <w:marTop w:val="0"/>
      <w:marBottom w:val="0"/>
      <w:divBdr>
        <w:top w:val="none" w:sz="0" w:space="0" w:color="auto"/>
        <w:left w:val="none" w:sz="0" w:space="0" w:color="auto"/>
        <w:bottom w:val="none" w:sz="0" w:space="0" w:color="auto"/>
        <w:right w:val="none" w:sz="0" w:space="0" w:color="auto"/>
      </w:divBdr>
    </w:div>
    <w:div w:id="220749312">
      <w:bodyDiv w:val="1"/>
      <w:marLeft w:val="0"/>
      <w:marRight w:val="0"/>
      <w:marTop w:val="0"/>
      <w:marBottom w:val="0"/>
      <w:divBdr>
        <w:top w:val="none" w:sz="0" w:space="0" w:color="auto"/>
        <w:left w:val="none" w:sz="0" w:space="0" w:color="auto"/>
        <w:bottom w:val="none" w:sz="0" w:space="0" w:color="auto"/>
        <w:right w:val="none" w:sz="0" w:space="0" w:color="auto"/>
      </w:divBdr>
    </w:div>
    <w:div w:id="268507950">
      <w:bodyDiv w:val="1"/>
      <w:marLeft w:val="0"/>
      <w:marRight w:val="0"/>
      <w:marTop w:val="0"/>
      <w:marBottom w:val="0"/>
      <w:divBdr>
        <w:top w:val="none" w:sz="0" w:space="0" w:color="auto"/>
        <w:left w:val="none" w:sz="0" w:space="0" w:color="auto"/>
        <w:bottom w:val="none" w:sz="0" w:space="0" w:color="auto"/>
        <w:right w:val="none" w:sz="0" w:space="0" w:color="auto"/>
      </w:divBdr>
      <w:divsChild>
        <w:div w:id="189268355">
          <w:marLeft w:val="0"/>
          <w:marRight w:val="0"/>
          <w:marTop w:val="0"/>
          <w:marBottom w:val="0"/>
          <w:divBdr>
            <w:top w:val="none" w:sz="0" w:space="0" w:color="auto"/>
            <w:left w:val="none" w:sz="0" w:space="0" w:color="auto"/>
            <w:bottom w:val="none" w:sz="0" w:space="0" w:color="auto"/>
            <w:right w:val="none" w:sz="0" w:space="0" w:color="auto"/>
          </w:divBdr>
          <w:divsChild>
            <w:div w:id="1541824199">
              <w:marLeft w:val="0"/>
              <w:marRight w:val="0"/>
              <w:marTop w:val="0"/>
              <w:marBottom w:val="0"/>
              <w:divBdr>
                <w:top w:val="none" w:sz="0" w:space="0" w:color="auto"/>
                <w:left w:val="none" w:sz="0" w:space="0" w:color="auto"/>
                <w:bottom w:val="none" w:sz="0" w:space="0" w:color="auto"/>
                <w:right w:val="none" w:sz="0" w:space="0" w:color="auto"/>
              </w:divBdr>
              <w:divsChild>
                <w:div w:id="4730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7970">
      <w:bodyDiv w:val="1"/>
      <w:marLeft w:val="0"/>
      <w:marRight w:val="0"/>
      <w:marTop w:val="0"/>
      <w:marBottom w:val="0"/>
      <w:divBdr>
        <w:top w:val="none" w:sz="0" w:space="0" w:color="auto"/>
        <w:left w:val="none" w:sz="0" w:space="0" w:color="auto"/>
        <w:bottom w:val="none" w:sz="0" w:space="0" w:color="auto"/>
        <w:right w:val="none" w:sz="0" w:space="0" w:color="auto"/>
      </w:divBdr>
    </w:div>
    <w:div w:id="489953325">
      <w:bodyDiv w:val="1"/>
      <w:marLeft w:val="0"/>
      <w:marRight w:val="0"/>
      <w:marTop w:val="0"/>
      <w:marBottom w:val="0"/>
      <w:divBdr>
        <w:top w:val="none" w:sz="0" w:space="0" w:color="auto"/>
        <w:left w:val="none" w:sz="0" w:space="0" w:color="auto"/>
        <w:bottom w:val="none" w:sz="0" w:space="0" w:color="auto"/>
        <w:right w:val="none" w:sz="0" w:space="0" w:color="auto"/>
      </w:divBdr>
    </w:div>
    <w:div w:id="501895791">
      <w:bodyDiv w:val="1"/>
      <w:marLeft w:val="0"/>
      <w:marRight w:val="0"/>
      <w:marTop w:val="0"/>
      <w:marBottom w:val="0"/>
      <w:divBdr>
        <w:top w:val="none" w:sz="0" w:space="0" w:color="auto"/>
        <w:left w:val="none" w:sz="0" w:space="0" w:color="auto"/>
        <w:bottom w:val="none" w:sz="0" w:space="0" w:color="auto"/>
        <w:right w:val="none" w:sz="0" w:space="0" w:color="auto"/>
      </w:divBdr>
    </w:div>
    <w:div w:id="522478633">
      <w:bodyDiv w:val="1"/>
      <w:marLeft w:val="0"/>
      <w:marRight w:val="0"/>
      <w:marTop w:val="0"/>
      <w:marBottom w:val="0"/>
      <w:divBdr>
        <w:top w:val="none" w:sz="0" w:space="0" w:color="auto"/>
        <w:left w:val="none" w:sz="0" w:space="0" w:color="auto"/>
        <w:bottom w:val="none" w:sz="0" w:space="0" w:color="auto"/>
        <w:right w:val="none" w:sz="0" w:space="0" w:color="auto"/>
      </w:divBdr>
    </w:div>
    <w:div w:id="628702648">
      <w:bodyDiv w:val="1"/>
      <w:marLeft w:val="0"/>
      <w:marRight w:val="0"/>
      <w:marTop w:val="0"/>
      <w:marBottom w:val="0"/>
      <w:divBdr>
        <w:top w:val="none" w:sz="0" w:space="0" w:color="auto"/>
        <w:left w:val="none" w:sz="0" w:space="0" w:color="auto"/>
        <w:bottom w:val="none" w:sz="0" w:space="0" w:color="auto"/>
        <w:right w:val="none" w:sz="0" w:space="0" w:color="auto"/>
      </w:divBdr>
    </w:div>
    <w:div w:id="704403679">
      <w:bodyDiv w:val="1"/>
      <w:marLeft w:val="0"/>
      <w:marRight w:val="0"/>
      <w:marTop w:val="0"/>
      <w:marBottom w:val="0"/>
      <w:divBdr>
        <w:top w:val="none" w:sz="0" w:space="0" w:color="auto"/>
        <w:left w:val="none" w:sz="0" w:space="0" w:color="auto"/>
        <w:bottom w:val="none" w:sz="0" w:space="0" w:color="auto"/>
        <w:right w:val="none" w:sz="0" w:space="0" w:color="auto"/>
      </w:divBdr>
    </w:div>
    <w:div w:id="788357557">
      <w:bodyDiv w:val="1"/>
      <w:marLeft w:val="0"/>
      <w:marRight w:val="0"/>
      <w:marTop w:val="0"/>
      <w:marBottom w:val="0"/>
      <w:divBdr>
        <w:top w:val="none" w:sz="0" w:space="0" w:color="auto"/>
        <w:left w:val="none" w:sz="0" w:space="0" w:color="auto"/>
        <w:bottom w:val="none" w:sz="0" w:space="0" w:color="auto"/>
        <w:right w:val="none" w:sz="0" w:space="0" w:color="auto"/>
      </w:divBdr>
      <w:divsChild>
        <w:div w:id="1445034013">
          <w:marLeft w:val="0"/>
          <w:marRight w:val="0"/>
          <w:marTop w:val="0"/>
          <w:marBottom w:val="567"/>
          <w:divBdr>
            <w:top w:val="none" w:sz="0" w:space="0" w:color="auto"/>
            <w:left w:val="none" w:sz="0" w:space="0" w:color="auto"/>
            <w:bottom w:val="none" w:sz="0" w:space="0" w:color="auto"/>
            <w:right w:val="none" w:sz="0" w:space="0" w:color="auto"/>
          </w:divBdr>
        </w:div>
        <w:div w:id="1763530890">
          <w:marLeft w:val="0"/>
          <w:marRight w:val="0"/>
          <w:marTop w:val="480"/>
          <w:marBottom w:val="240"/>
          <w:divBdr>
            <w:top w:val="none" w:sz="0" w:space="0" w:color="auto"/>
            <w:left w:val="none" w:sz="0" w:space="0" w:color="auto"/>
            <w:bottom w:val="none" w:sz="0" w:space="0" w:color="auto"/>
            <w:right w:val="none" w:sz="0" w:space="0" w:color="auto"/>
          </w:divBdr>
        </w:div>
      </w:divsChild>
    </w:div>
    <w:div w:id="790440443">
      <w:bodyDiv w:val="1"/>
      <w:marLeft w:val="0"/>
      <w:marRight w:val="0"/>
      <w:marTop w:val="0"/>
      <w:marBottom w:val="0"/>
      <w:divBdr>
        <w:top w:val="none" w:sz="0" w:space="0" w:color="auto"/>
        <w:left w:val="none" w:sz="0" w:space="0" w:color="auto"/>
        <w:bottom w:val="none" w:sz="0" w:space="0" w:color="auto"/>
        <w:right w:val="none" w:sz="0" w:space="0" w:color="auto"/>
      </w:divBdr>
    </w:div>
    <w:div w:id="849217977">
      <w:bodyDiv w:val="1"/>
      <w:marLeft w:val="0"/>
      <w:marRight w:val="0"/>
      <w:marTop w:val="0"/>
      <w:marBottom w:val="0"/>
      <w:divBdr>
        <w:top w:val="none" w:sz="0" w:space="0" w:color="auto"/>
        <w:left w:val="none" w:sz="0" w:space="0" w:color="auto"/>
        <w:bottom w:val="none" w:sz="0" w:space="0" w:color="auto"/>
        <w:right w:val="none" w:sz="0" w:space="0" w:color="auto"/>
      </w:divBdr>
    </w:div>
    <w:div w:id="851066482">
      <w:bodyDiv w:val="1"/>
      <w:marLeft w:val="0"/>
      <w:marRight w:val="0"/>
      <w:marTop w:val="0"/>
      <w:marBottom w:val="0"/>
      <w:divBdr>
        <w:top w:val="none" w:sz="0" w:space="0" w:color="auto"/>
        <w:left w:val="none" w:sz="0" w:space="0" w:color="auto"/>
        <w:bottom w:val="none" w:sz="0" w:space="0" w:color="auto"/>
        <w:right w:val="none" w:sz="0" w:space="0" w:color="auto"/>
      </w:divBdr>
    </w:div>
    <w:div w:id="1103574402">
      <w:bodyDiv w:val="1"/>
      <w:marLeft w:val="0"/>
      <w:marRight w:val="0"/>
      <w:marTop w:val="0"/>
      <w:marBottom w:val="0"/>
      <w:divBdr>
        <w:top w:val="none" w:sz="0" w:space="0" w:color="auto"/>
        <w:left w:val="none" w:sz="0" w:space="0" w:color="auto"/>
        <w:bottom w:val="none" w:sz="0" w:space="0" w:color="auto"/>
        <w:right w:val="none" w:sz="0" w:space="0" w:color="auto"/>
      </w:divBdr>
    </w:div>
    <w:div w:id="1103845852">
      <w:bodyDiv w:val="1"/>
      <w:marLeft w:val="0"/>
      <w:marRight w:val="0"/>
      <w:marTop w:val="0"/>
      <w:marBottom w:val="0"/>
      <w:divBdr>
        <w:top w:val="none" w:sz="0" w:space="0" w:color="auto"/>
        <w:left w:val="none" w:sz="0" w:space="0" w:color="auto"/>
        <w:bottom w:val="none" w:sz="0" w:space="0" w:color="auto"/>
        <w:right w:val="none" w:sz="0" w:space="0" w:color="auto"/>
      </w:divBdr>
    </w:div>
    <w:div w:id="1139609502">
      <w:bodyDiv w:val="1"/>
      <w:marLeft w:val="0"/>
      <w:marRight w:val="0"/>
      <w:marTop w:val="0"/>
      <w:marBottom w:val="0"/>
      <w:divBdr>
        <w:top w:val="none" w:sz="0" w:space="0" w:color="auto"/>
        <w:left w:val="none" w:sz="0" w:space="0" w:color="auto"/>
        <w:bottom w:val="none" w:sz="0" w:space="0" w:color="auto"/>
        <w:right w:val="none" w:sz="0" w:space="0" w:color="auto"/>
      </w:divBdr>
    </w:div>
    <w:div w:id="1477064829">
      <w:bodyDiv w:val="1"/>
      <w:marLeft w:val="0"/>
      <w:marRight w:val="0"/>
      <w:marTop w:val="0"/>
      <w:marBottom w:val="0"/>
      <w:divBdr>
        <w:top w:val="none" w:sz="0" w:space="0" w:color="auto"/>
        <w:left w:val="none" w:sz="0" w:space="0" w:color="auto"/>
        <w:bottom w:val="none" w:sz="0" w:space="0" w:color="auto"/>
        <w:right w:val="none" w:sz="0" w:space="0" w:color="auto"/>
      </w:divBdr>
    </w:div>
    <w:div w:id="1542282717">
      <w:bodyDiv w:val="1"/>
      <w:marLeft w:val="0"/>
      <w:marRight w:val="0"/>
      <w:marTop w:val="0"/>
      <w:marBottom w:val="0"/>
      <w:divBdr>
        <w:top w:val="none" w:sz="0" w:space="0" w:color="auto"/>
        <w:left w:val="none" w:sz="0" w:space="0" w:color="auto"/>
        <w:bottom w:val="none" w:sz="0" w:space="0" w:color="auto"/>
        <w:right w:val="none" w:sz="0" w:space="0" w:color="auto"/>
      </w:divBdr>
    </w:div>
    <w:div w:id="1557350217">
      <w:bodyDiv w:val="1"/>
      <w:marLeft w:val="0"/>
      <w:marRight w:val="0"/>
      <w:marTop w:val="0"/>
      <w:marBottom w:val="0"/>
      <w:divBdr>
        <w:top w:val="none" w:sz="0" w:space="0" w:color="auto"/>
        <w:left w:val="none" w:sz="0" w:space="0" w:color="auto"/>
        <w:bottom w:val="none" w:sz="0" w:space="0" w:color="auto"/>
        <w:right w:val="none" w:sz="0" w:space="0" w:color="auto"/>
      </w:divBdr>
    </w:div>
    <w:div w:id="1745101976">
      <w:bodyDiv w:val="1"/>
      <w:marLeft w:val="0"/>
      <w:marRight w:val="0"/>
      <w:marTop w:val="0"/>
      <w:marBottom w:val="0"/>
      <w:divBdr>
        <w:top w:val="none" w:sz="0" w:space="0" w:color="auto"/>
        <w:left w:val="none" w:sz="0" w:space="0" w:color="auto"/>
        <w:bottom w:val="none" w:sz="0" w:space="0" w:color="auto"/>
        <w:right w:val="none" w:sz="0" w:space="0" w:color="auto"/>
      </w:divBdr>
    </w:div>
    <w:div w:id="1759253294">
      <w:bodyDiv w:val="1"/>
      <w:marLeft w:val="0"/>
      <w:marRight w:val="0"/>
      <w:marTop w:val="0"/>
      <w:marBottom w:val="0"/>
      <w:divBdr>
        <w:top w:val="none" w:sz="0" w:space="0" w:color="auto"/>
        <w:left w:val="none" w:sz="0" w:space="0" w:color="auto"/>
        <w:bottom w:val="none" w:sz="0" w:space="0" w:color="auto"/>
        <w:right w:val="none" w:sz="0" w:space="0" w:color="auto"/>
      </w:divBdr>
    </w:div>
    <w:div w:id="1772508169">
      <w:bodyDiv w:val="1"/>
      <w:marLeft w:val="0"/>
      <w:marRight w:val="0"/>
      <w:marTop w:val="0"/>
      <w:marBottom w:val="0"/>
      <w:divBdr>
        <w:top w:val="none" w:sz="0" w:space="0" w:color="auto"/>
        <w:left w:val="none" w:sz="0" w:space="0" w:color="auto"/>
        <w:bottom w:val="none" w:sz="0" w:space="0" w:color="auto"/>
        <w:right w:val="none" w:sz="0" w:space="0" w:color="auto"/>
      </w:divBdr>
    </w:div>
    <w:div w:id="1910341442">
      <w:bodyDiv w:val="1"/>
      <w:marLeft w:val="0"/>
      <w:marRight w:val="0"/>
      <w:marTop w:val="0"/>
      <w:marBottom w:val="0"/>
      <w:divBdr>
        <w:top w:val="none" w:sz="0" w:space="0" w:color="auto"/>
        <w:left w:val="none" w:sz="0" w:space="0" w:color="auto"/>
        <w:bottom w:val="none" w:sz="0" w:space="0" w:color="auto"/>
        <w:right w:val="none" w:sz="0" w:space="0" w:color="auto"/>
      </w:divBdr>
    </w:div>
    <w:div w:id="2059812302">
      <w:bodyDiv w:val="1"/>
      <w:marLeft w:val="0"/>
      <w:marRight w:val="0"/>
      <w:marTop w:val="0"/>
      <w:marBottom w:val="0"/>
      <w:divBdr>
        <w:top w:val="none" w:sz="0" w:space="0" w:color="auto"/>
        <w:left w:val="none" w:sz="0" w:space="0" w:color="auto"/>
        <w:bottom w:val="none" w:sz="0" w:space="0" w:color="auto"/>
        <w:right w:val="none" w:sz="0" w:space="0" w:color="auto"/>
      </w:divBdr>
    </w:div>
    <w:div w:id="2069379364">
      <w:bodyDiv w:val="1"/>
      <w:marLeft w:val="0"/>
      <w:marRight w:val="0"/>
      <w:marTop w:val="0"/>
      <w:marBottom w:val="0"/>
      <w:divBdr>
        <w:top w:val="none" w:sz="0" w:space="0" w:color="auto"/>
        <w:left w:val="none" w:sz="0" w:space="0" w:color="auto"/>
        <w:bottom w:val="none" w:sz="0" w:space="0" w:color="auto"/>
        <w:right w:val="none" w:sz="0" w:space="0" w:color="auto"/>
      </w:divBdr>
    </w:div>
    <w:div w:id="2121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0FD1-8967-4887-BB55-E2E2BA44A42F}">
  <ds:schemaRefs>
    <ds:schemaRef ds:uri="http://schemas.openxmlformats.org/officeDocument/2006/bibliography"/>
  </ds:schemaRefs>
</ds:datastoreItem>
</file>

<file path=customXml/itemProps2.xml><?xml version="1.0" encoding="utf-8"?>
<ds:datastoreItem xmlns:ds="http://schemas.openxmlformats.org/officeDocument/2006/customXml" ds:itemID="{AC40ADAC-EC39-4F88-94C8-3996B3182238}">
  <ds:schemaRefs>
    <ds:schemaRef ds:uri="http://schemas.openxmlformats.org/officeDocument/2006/bibliography"/>
  </ds:schemaRefs>
</ds:datastoreItem>
</file>

<file path=customXml/itemProps3.xml><?xml version="1.0" encoding="utf-8"?>
<ds:datastoreItem xmlns:ds="http://schemas.openxmlformats.org/officeDocument/2006/customXml" ds:itemID="{B1BF08DD-E01C-4488-B2B6-8FB10683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81295</Words>
  <Characters>46339</Characters>
  <Application>Microsoft Office Word</Application>
  <DocSecurity>0</DocSecurity>
  <Lines>386</Lines>
  <Paragraphs>254</Paragraphs>
  <ScaleCrop>false</ScaleCrop>
  <HeadingPairs>
    <vt:vector size="2" baseType="variant">
      <vt:variant>
        <vt:lpstr>Title</vt:lpstr>
      </vt:variant>
      <vt:variant>
        <vt:i4>1</vt:i4>
      </vt:variant>
    </vt:vector>
  </HeadingPairs>
  <TitlesOfParts>
    <vt:vector size="1" baseType="lpstr">
      <vt:lpstr>Pasākumu plāns noziedzīgi iegūtu līdzekļu legalizācijas un terorisma finansēšanas risku ierobežošanai 2017.-2019.gadam</vt:lpstr>
    </vt:vector>
  </TitlesOfParts>
  <Company>Finanšu ministrija</Company>
  <LinksUpToDate>false</LinksUpToDate>
  <CharactersWithSpaces>127380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Pasākumu plāns noziedzīgi iegūtu līdzekļu legalizācijas un terorisma finansēšanas risku ierobežošanai 2017.-2019.gadam</dc:title>
  <dc:subject>Pasākumu plāns</dc:subject>
  <dc:creator>Aija Zitcere</dc:creator>
  <cp:keywords/>
  <dc:description>67095553, aija.zitcere@fm.gov.lv</dc:description>
  <cp:lastModifiedBy>Anna Mileika</cp:lastModifiedBy>
  <cp:revision>6</cp:revision>
  <cp:lastPrinted>2018-10-05T07:48:00Z</cp:lastPrinted>
  <dcterms:created xsi:type="dcterms:W3CDTF">2018-10-05T09:30:00Z</dcterms:created>
  <dcterms:modified xsi:type="dcterms:W3CDTF">2018-10-15T13:06:00Z</dcterms:modified>
</cp:coreProperties>
</file>