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561B" w:rsidRPr="008D5C33" w:rsidRDefault="003E561B" w:rsidP="003E561B">
      <w:pPr>
        <w:ind w:firstLine="360"/>
        <w:jc w:val="right"/>
        <w:rPr>
          <w:sz w:val="28"/>
          <w:szCs w:val="28"/>
        </w:rPr>
      </w:pPr>
      <w:bookmarkStart w:id="0" w:name="_Hlk75857131"/>
      <w:r w:rsidRPr="008D5C33">
        <w:rPr>
          <w:sz w:val="28"/>
          <w:szCs w:val="28"/>
        </w:rPr>
        <w:t xml:space="preserve">(Ministru kabineta </w:t>
      </w:r>
    </w:p>
    <w:p w:rsidR="003E561B" w:rsidRPr="008D5C33" w:rsidRDefault="003E561B" w:rsidP="003E561B">
      <w:pPr>
        <w:overflowPunct w:val="0"/>
        <w:autoSpaceDE w:val="0"/>
        <w:autoSpaceDN w:val="0"/>
        <w:adjustRightInd w:val="0"/>
        <w:spacing w:before="20"/>
        <w:jc w:val="right"/>
        <w:textAlignment w:val="baseline"/>
        <w:rPr>
          <w:rFonts w:cstheme="minorHAnsi"/>
          <w:sz w:val="28"/>
          <w:szCs w:val="28"/>
        </w:rPr>
      </w:pPr>
      <w:r w:rsidRPr="008D5C33">
        <w:rPr>
          <w:rFonts w:cstheme="minorHAnsi"/>
          <w:sz w:val="28"/>
          <w:szCs w:val="28"/>
        </w:rPr>
        <w:t>2022. gada 23. marta</w:t>
      </w:r>
    </w:p>
    <w:p w:rsidR="003E561B" w:rsidRPr="008D5C33" w:rsidRDefault="003E561B" w:rsidP="003E561B">
      <w:pPr>
        <w:ind w:firstLine="360"/>
        <w:jc w:val="right"/>
        <w:rPr>
          <w:sz w:val="28"/>
          <w:szCs w:val="28"/>
        </w:rPr>
      </w:pPr>
      <w:r w:rsidRPr="008D5C33">
        <w:rPr>
          <w:sz w:val="28"/>
          <w:szCs w:val="28"/>
        </w:rPr>
        <w:t xml:space="preserve">rīkojums Nr. </w:t>
      </w:r>
      <w:r w:rsidRPr="008D5C33">
        <w:rPr>
          <w:rFonts w:cstheme="minorHAnsi"/>
          <w:sz w:val="28"/>
          <w:szCs w:val="28"/>
        </w:rPr>
        <w:t>201</w:t>
      </w:r>
      <w:r w:rsidRPr="008D5C33">
        <w:rPr>
          <w:sz w:val="28"/>
          <w:szCs w:val="28"/>
        </w:rPr>
        <w:t>)</w:t>
      </w:r>
    </w:p>
    <w:p w:rsidR="007A78AA" w:rsidRDefault="007A78AA" w:rsidP="00C23DA0">
      <w:pPr>
        <w:jc w:val="center"/>
        <w:rPr>
          <w:b/>
          <w:sz w:val="28"/>
        </w:rPr>
      </w:pPr>
    </w:p>
    <w:p w:rsidR="007A78AA" w:rsidRDefault="007A78AA" w:rsidP="00C23DA0">
      <w:pPr>
        <w:jc w:val="center"/>
        <w:rPr>
          <w:b/>
          <w:sz w:val="28"/>
        </w:rPr>
      </w:pPr>
    </w:p>
    <w:p w:rsidR="007A78AA" w:rsidRDefault="007A78AA" w:rsidP="00C23DA0">
      <w:pPr>
        <w:jc w:val="center"/>
        <w:rPr>
          <w:b/>
          <w:sz w:val="28"/>
        </w:rPr>
      </w:pPr>
    </w:p>
    <w:p w:rsidR="00E92BF8" w:rsidRDefault="00E92BF8" w:rsidP="00C23DA0">
      <w:pPr>
        <w:jc w:val="center"/>
        <w:rPr>
          <w:b/>
          <w:sz w:val="28"/>
        </w:rPr>
      </w:pPr>
    </w:p>
    <w:p w:rsidR="00E92BF8" w:rsidRDefault="00E92BF8" w:rsidP="00C23DA0">
      <w:pPr>
        <w:jc w:val="center"/>
        <w:rPr>
          <w:b/>
          <w:sz w:val="28"/>
        </w:rPr>
      </w:pPr>
    </w:p>
    <w:p w:rsidR="00E92BF8" w:rsidRDefault="00E92BF8" w:rsidP="00C23DA0">
      <w:pPr>
        <w:jc w:val="center"/>
        <w:rPr>
          <w:b/>
          <w:sz w:val="28"/>
        </w:rPr>
      </w:pPr>
    </w:p>
    <w:p w:rsidR="00E92BF8" w:rsidRDefault="00E92BF8" w:rsidP="00C23DA0">
      <w:pPr>
        <w:jc w:val="center"/>
        <w:rPr>
          <w:b/>
          <w:sz w:val="28"/>
        </w:rPr>
      </w:pPr>
    </w:p>
    <w:p w:rsidR="00E92BF8" w:rsidRDefault="00E92BF8" w:rsidP="00C23DA0">
      <w:pPr>
        <w:jc w:val="center"/>
        <w:rPr>
          <w:b/>
          <w:sz w:val="28"/>
        </w:rPr>
      </w:pPr>
    </w:p>
    <w:p w:rsidR="00E92BF8" w:rsidRDefault="00ED0ECE" w:rsidP="00ED0ECE">
      <w:pPr>
        <w:tabs>
          <w:tab w:val="left" w:pos="910"/>
        </w:tabs>
        <w:rPr>
          <w:b/>
          <w:sz w:val="28"/>
        </w:rPr>
      </w:pPr>
      <w:r>
        <w:rPr>
          <w:b/>
          <w:sz w:val="28"/>
        </w:rPr>
        <w:tab/>
      </w:r>
    </w:p>
    <w:p w:rsidR="00E92BF8" w:rsidRDefault="00E92BF8" w:rsidP="00C23DA0">
      <w:pPr>
        <w:jc w:val="center"/>
        <w:rPr>
          <w:b/>
          <w:sz w:val="28"/>
        </w:rPr>
      </w:pPr>
    </w:p>
    <w:p w:rsidR="00E92BF8" w:rsidRDefault="00E92BF8" w:rsidP="00C23DA0">
      <w:pPr>
        <w:jc w:val="center"/>
        <w:rPr>
          <w:b/>
          <w:sz w:val="28"/>
        </w:rPr>
      </w:pPr>
    </w:p>
    <w:p w:rsidR="00E92BF8" w:rsidRDefault="00E92BF8" w:rsidP="00C23DA0">
      <w:pPr>
        <w:jc w:val="center"/>
        <w:rPr>
          <w:b/>
          <w:sz w:val="28"/>
        </w:rPr>
      </w:pPr>
    </w:p>
    <w:p w:rsidR="00E92BF8" w:rsidRDefault="00E92BF8" w:rsidP="00C23DA0">
      <w:pPr>
        <w:jc w:val="center"/>
        <w:rPr>
          <w:b/>
          <w:sz w:val="28"/>
        </w:rPr>
      </w:pPr>
    </w:p>
    <w:p w:rsidR="00E92BF8" w:rsidRDefault="00E92BF8" w:rsidP="00C23DA0">
      <w:pPr>
        <w:jc w:val="center"/>
        <w:rPr>
          <w:b/>
          <w:sz w:val="28"/>
        </w:rPr>
      </w:pPr>
    </w:p>
    <w:p w:rsidR="00E92BF8" w:rsidRDefault="00E92BF8" w:rsidP="00C23DA0">
      <w:pPr>
        <w:jc w:val="center"/>
        <w:rPr>
          <w:b/>
          <w:sz w:val="28"/>
        </w:rPr>
      </w:pPr>
      <w:r w:rsidRPr="00E92BF8">
        <w:rPr>
          <w:b/>
          <w:sz w:val="28"/>
        </w:rPr>
        <w:t>Ēnu ekonomikas ierobežošanas plāns 2021.</w:t>
      </w:r>
      <w:r w:rsidR="005E7999">
        <w:rPr>
          <w:b/>
          <w:sz w:val="28"/>
        </w:rPr>
        <w:t>/</w:t>
      </w:r>
      <w:r w:rsidRPr="00E92BF8">
        <w:rPr>
          <w:b/>
          <w:sz w:val="28"/>
        </w:rPr>
        <w:t>2022.</w:t>
      </w:r>
      <w:r w:rsidR="003656D7">
        <w:rPr>
          <w:b/>
          <w:sz w:val="28"/>
        </w:rPr>
        <w:t> </w:t>
      </w:r>
      <w:r w:rsidRPr="00E92BF8">
        <w:rPr>
          <w:b/>
          <w:sz w:val="28"/>
        </w:rPr>
        <w:t>gada</w:t>
      </w:r>
      <w:r w:rsidR="00170389">
        <w:rPr>
          <w:b/>
          <w:sz w:val="28"/>
        </w:rPr>
        <w:t>m</w:t>
      </w:r>
      <w:r w:rsidR="005E7999">
        <w:rPr>
          <w:b/>
          <w:sz w:val="28"/>
        </w:rPr>
        <w:t xml:space="preserve"> </w:t>
      </w:r>
    </w:p>
    <w:p w:rsidR="00E92BF8" w:rsidRDefault="00E92BF8" w:rsidP="00C23DA0">
      <w:pPr>
        <w:jc w:val="center"/>
        <w:rPr>
          <w:b/>
          <w:sz w:val="28"/>
        </w:rPr>
      </w:pPr>
    </w:p>
    <w:p w:rsidR="00E92BF8" w:rsidRDefault="00E92BF8" w:rsidP="00C23DA0">
      <w:pPr>
        <w:jc w:val="center"/>
        <w:rPr>
          <w:b/>
          <w:sz w:val="28"/>
        </w:rPr>
      </w:pPr>
    </w:p>
    <w:p w:rsidR="00E92BF8" w:rsidRDefault="00E92BF8" w:rsidP="00C23DA0">
      <w:pPr>
        <w:jc w:val="center"/>
        <w:rPr>
          <w:b/>
          <w:sz w:val="28"/>
        </w:rPr>
      </w:pPr>
    </w:p>
    <w:p w:rsidR="00E92BF8" w:rsidRDefault="00E92BF8" w:rsidP="00C23DA0">
      <w:pPr>
        <w:jc w:val="center"/>
        <w:rPr>
          <w:b/>
          <w:sz w:val="28"/>
        </w:rPr>
      </w:pPr>
    </w:p>
    <w:p w:rsidR="00E92BF8" w:rsidRDefault="00E92BF8" w:rsidP="00C23DA0">
      <w:pPr>
        <w:jc w:val="center"/>
        <w:rPr>
          <w:b/>
          <w:sz w:val="28"/>
        </w:rPr>
      </w:pPr>
    </w:p>
    <w:p w:rsidR="00E92BF8" w:rsidRDefault="00E92BF8" w:rsidP="00C23DA0">
      <w:pPr>
        <w:jc w:val="center"/>
        <w:rPr>
          <w:b/>
          <w:sz w:val="28"/>
        </w:rPr>
      </w:pPr>
    </w:p>
    <w:p w:rsidR="00E92BF8" w:rsidRDefault="00E92BF8" w:rsidP="00C23DA0">
      <w:pPr>
        <w:jc w:val="center"/>
        <w:rPr>
          <w:b/>
          <w:sz w:val="28"/>
        </w:rPr>
      </w:pPr>
    </w:p>
    <w:p w:rsidR="00E92BF8" w:rsidRDefault="00E92BF8" w:rsidP="00C23DA0">
      <w:pPr>
        <w:jc w:val="center"/>
        <w:rPr>
          <w:b/>
          <w:sz w:val="28"/>
        </w:rPr>
      </w:pPr>
    </w:p>
    <w:p w:rsidR="00E92BF8" w:rsidRDefault="00E92BF8" w:rsidP="00C23DA0">
      <w:pPr>
        <w:jc w:val="center"/>
        <w:rPr>
          <w:b/>
          <w:sz w:val="28"/>
        </w:rPr>
      </w:pPr>
    </w:p>
    <w:p w:rsidR="00E92BF8" w:rsidRDefault="00E92BF8" w:rsidP="00C23DA0">
      <w:pPr>
        <w:jc w:val="center"/>
        <w:rPr>
          <w:b/>
          <w:sz w:val="28"/>
        </w:rPr>
      </w:pPr>
    </w:p>
    <w:p w:rsidR="00E92BF8" w:rsidRDefault="00E92BF8" w:rsidP="00C23DA0">
      <w:pPr>
        <w:jc w:val="center"/>
        <w:rPr>
          <w:b/>
          <w:sz w:val="28"/>
        </w:rPr>
      </w:pPr>
    </w:p>
    <w:p w:rsidR="00E92BF8" w:rsidRDefault="00E92BF8" w:rsidP="00C23DA0">
      <w:pPr>
        <w:jc w:val="center"/>
        <w:rPr>
          <w:b/>
          <w:sz w:val="28"/>
        </w:rPr>
      </w:pPr>
    </w:p>
    <w:p w:rsidR="00E92BF8" w:rsidRDefault="00E92BF8" w:rsidP="00C23DA0">
      <w:pPr>
        <w:jc w:val="center"/>
        <w:rPr>
          <w:b/>
          <w:sz w:val="28"/>
        </w:rPr>
      </w:pPr>
    </w:p>
    <w:p w:rsidR="00E92BF8" w:rsidRDefault="00E92BF8" w:rsidP="00C23DA0">
      <w:pPr>
        <w:jc w:val="center"/>
        <w:rPr>
          <w:b/>
          <w:sz w:val="28"/>
        </w:rPr>
      </w:pPr>
    </w:p>
    <w:p w:rsidR="00E92BF8" w:rsidRDefault="00E92BF8" w:rsidP="00C23DA0">
      <w:pPr>
        <w:jc w:val="center"/>
        <w:rPr>
          <w:b/>
          <w:sz w:val="28"/>
        </w:rPr>
      </w:pPr>
    </w:p>
    <w:p w:rsidR="00E92BF8" w:rsidRDefault="00E92BF8" w:rsidP="00C23DA0">
      <w:pPr>
        <w:jc w:val="center"/>
        <w:rPr>
          <w:bCs/>
          <w:sz w:val="28"/>
        </w:rPr>
      </w:pPr>
    </w:p>
    <w:p w:rsidR="00E92BF8" w:rsidRDefault="00E92BF8" w:rsidP="00C23DA0">
      <w:pPr>
        <w:jc w:val="center"/>
        <w:rPr>
          <w:bCs/>
          <w:sz w:val="28"/>
        </w:rPr>
      </w:pPr>
    </w:p>
    <w:p w:rsidR="00E92BF8" w:rsidRDefault="00E92BF8" w:rsidP="00C23DA0">
      <w:pPr>
        <w:jc w:val="center"/>
        <w:rPr>
          <w:bCs/>
          <w:sz w:val="28"/>
        </w:rPr>
      </w:pPr>
    </w:p>
    <w:p w:rsidR="00E92BF8" w:rsidRDefault="00E92BF8" w:rsidP="00C23DA0">
      <w:pPr>
        <w:jc w:val="center"/>
        <w:rPr>
          <w:bCs/>
          <w:sz w:val="28"/>
        </w:rPr>
      </w:pPr>
    </w:p>
    <w:p w:rsidR="00E92BF8" w:rsidRDefault="00E92BF8" w:rsidP="00C23DA0">
      <w:pPr>
        <w:jc w:val="center"/>
        <w:rPr>
          <w:bCs/>
          <w:sz w:val="28"/>
        </w:rPr>
      </w:pPr>
    </w:p>
    <w:p w:rsidR="00E92BF8" w:rsidRDefault="00E92BF8" w:rsidP="00C23DA0">
      <w:pPr>
        <w:jc w:val="center"/>
        <w:rPr>
          <w:bCs/>
          <w:sz w:val="28"/>
        </w:rPr>
      </w:pPr>
    </w:p>
    <w:p w:rsidR="00E92BF8" w:rsidRDefault="00E92BF8" w:rsidP="00C23DA0">
      <w:pPr>
        <w:jc w:val="center"/>
        <w:rPr>
          <w:bCs/>
          <w:sz w:val="28"/>
        </w:rPr>
      </w:pPr>
    </w:p>
    <w:p w:rsidR="00674C2F" w:rsidRDefault="00674C2F" w:rsidP="00C23DA0">
      <w:pPr>
        <w:jc w:val="center"/>
        <w:rPr>
          <w:bCs/>
          <w:sz w:val="28"/>
        </w:rPr>
      </w:pPr>
    </w:p>
    <w:p w:rsidR="00660A87" w:rsidRDefault="00660A87" w:rsidP="00C23DA0">
      <w:pPr>
        <w:jc w:val="center"/>
        <w:rPr>
          <w:bCs/>
          <w:sz w:val="28"/>
        </w:rPr>
      </w:pPr>
    </w:p>
    <w:p w:rsidR="00B9384C" w:rsidRDefault="00E92BF8" w:rsidP="00C23DA0">
      <w:pPr>
        <w:jc w:val="center"/>
        <w:rPr>
          <w:bCs/>
          <w:sz w:val="28"/>
        </w:rPr>
        <w:sectPr w:rsidR="00B9384C" w:rsidSect="00B9384C">
          <w:headerReference w:type="default" r:id="rId8"/>
          <w:footerReference w:type="default" r:id="rId9"/>
          <w:footerReference w:type="first" r:id="rId10"/>
          <w:pgSz w:w="11906" w:h="16838"/>
          <w:pgMar w:top="1134" w:right="567" w:bottom="1701" w:left="1134" w:header="567" w:footer="584" w:gutter="0"/>
          <w:pgNumType w:start="1"/>
          <w:cols w:space="708"/>
          <w:titlePg/>
          <w:docGrid w:linePitch="360"/>
        </w:sectPr>
      </w:pPr>
      <w:r w:rsidRPr="00E92BF8">
        <w:rPr>
          <w:bCs/>
          <w:sz w:val="28"/>
        </w:rPr>
        <w:t>Rīga, 202</w:t>
      </w:r>
      <w:r w:rsidR="00BE3EF3">
        <w:rPr>
          <w:bCs/>
          <w:sz w:val="28"/>
        </w:rPr>
        <w:t>2</w:t>
      </w:r>
    </w:p>
    <w:p w:rsidR="007A78AA" w:rsidRDefault="00EF5EB3" w:rsidP="00C23DA0">
      <w:pPr>
        <w:jc w:val="center"/>
        <w:rPr>
          <w:b/>
          <w:sz w:val="28"/>
        </w:rPr>
      </w:pPr>
      <w:r w:rsidRPr="00FF326B">
        <w:rPr>
          <w:b/>
          <w:sz w:val="28"/>
          <w:szCs w:val="28"/>
        </w:rPr>
        <w:lastRenderedPageBreak/>
        <w:t>Saturs</w:t>
      </w:r>
    </w:p>
    <w:p w:rsidR="007A78AA" w:rsidRDefault="007A78AA" w:rsidP="00C23DA0">
      <w:pPr>
        <w:jc w:val="center"/>
        <w:rPr>
          <w:b/>
          <w:sz w:val="28"/>
        </w:rPr>
      </w:pPr>
    </w:p>
    <w:p w:rsidR="003656D7" w:rsidRDefault="003656D7" w:rsidP="00C23DA0">
      <w:pPr>
        <w:jc w:val="center"/>
        <w:rPr>
          <w:b/>
          <w:sz w:val="28"/>
        </w:rPr>
      </w:pPr>
    </w:p>
    <w:sdt>
      <w:sdtPr>
        <w:id w:val="-802999032"/>
        <w:docPartObj>
          <w:docPartGallery w:val="Table of Contents"/>
          <w:docPartUnique/>
        </w:docPartObj>
      </w:sdtPr>
      <w:sdtEndPr>
        <w:rPr>
          <w:b/>
          <w:bCs/>
          <w:noProof/>
        </w:rPr>
      </w:sdtEndPr>
      <w:sdtContent>
        <w:p w:rsidR="000B0D02" w:rsidRPr="003B5A2D" w:rsidRDefault="00336530">
          <w:pPr>
            <w:pStyle w:val="TOC1"/>
            <w:tabs>
              <w:tab w:val="right" w:leader="dot" w:pos="10195"/>
            </w:tabs>
            <w:rPr>
              <w:rFonts w:asciiTheme="minorHAnsi" w:eastAsiaTheme="minorEastAsia" w:hAnsiTheme="minorHAnsi"/>
              <w:noProof/>
              <w:sz w:val="22"/>
              <w:szCs w:val="22"/>
              <w:lang w:eastAsia="lv-LV"/>
            </w:rPr>
          </w:pPr>
          <w:r w:rsidRPr="003B5A2D">
            <w:fldChar w:fldCharType="begin"/>
          </w:r>
          <w:r w:rsidRPr="003B5A2D">
            <w:instrText xml:space="preserve"> TOC \o "1-3" \h \z \u </w:instrText>
          </w:r>
          <w:r w:rsidRPr="003B5A2D">
            <w:fldChar w:fldCharType="separate"/>
          </w:r>
          <w:hyperlink w:anchor="_Toc86949434" w:history="1">
            <w:r w:rsidR="000B0D02" w:rsidRPr="003B5A2D">
              <w:rPr>
                <w:rStyle w:val="Hyperlink"/>
                <w:noProof/>
              </w:rPr>
              <w:t>Izmantotie saīsinājumi</w:t>
            </w:r>
            <w:r w:rsidR="000B0D02" w:rsidRPr="003B5A2D">
              <w:rPr>
                <w:noProof/>
                <w:webHidden/>
              </w:rPr>
              <w:tab/>
            </w:r>
            <w:r w:rsidR="000B0D02" w:rsidRPr="003B5A2D">
              <w:rPr>
                <w:noProof/>
                <w:webHidden/>
              </w:rPr>
              <w:fldChar w:fldCharType="begin"/>
            </w:r>
            <w:r w:rsidR="000B0D02" w:rsidRPr="003B5A2D">
              <w:rPr>
                <w:noProof/>
                <w:webHidden/>
              </w:rPr>
              <w:instrText xml:space="preserve"> PAGEREF _Toc86949434 \h </w:instrText>
            </w:r>
            <w:r w:rsidR="000B0D02" w:rsidRPr="003B5A2D">
              <w:rPr>
                <w:noProof/>
                <w:webHidden/>
              </w:rPr>
            </w:r>
            <w:r w:rsidR="000B0D02" w:rsidRPr="003B5A2D">
              <w:rPr>
                <w:noProof/>
                <w:webHidden/>
              </w:rPr>
              <w:fldChar w:fldCharType="separate"/>
            </w:r>
            <w:r w:rsidR="00D4232E">
              <w:rPr>
                <w:noProof/>
                <w:webHidden/>
              </w:rPr>
              <w:t>3</w:t>
            </w:r>
            <w:r w:rsidR="000B0D02" w:rsidRPr="003B5A2D">
              <w:rPr>
                <w:noProof/>
                <w:webHidden/>
              </w:rPr>
              <w:fldChar w:fldCharType="end"/>
            </w:r>
          </w:hyperlink>
        </w:p>
        <w:p w:rsidR="000B0D02" w:rsidRPr="003B5A2D" w:rsidRDefault="00273FC0">
          <w:pPr>
            <w:pStyle w:val="TOC1"/>
            <w:tabs>
              <w:tab w:val="right" w:leader="dot" w:pos="10195"/>
            </w:tabs>
            <w:rPr>
              <w:rFonts w:asciiTheme="minorHAnsi" w:eastAsiaTheme="minorEastAsia" w:hAnsiTheme="minorHAnsi"/>
              <w:noProof/>
              <w:sz w:val="22"/>
              <w:szCs w:val="22"/>
              <w:lang w:eastAsia="lv-LV"/>
            </w:rPr>
          </w:pPr>
          <w:hyperlink w:anchor="_Toc86949435" w:history="1">
            <w:r w:rsidR="000B0D02" w:rsidRPr="003B5A2D">
              <w:rPr>
                <w:rStyle w:val="Hyperlink"/>
                <w:noProof/>
              </w:rPr>
              <w:t>I. Kopsavilkums</w:t>
            </w:r>
            <w:r w:rsidR="000B0D02" w:rsidRPr="003B5A2D">
              <w:rPr>
                <w:noProof/>
                <w:webHidden/>
              </w:rPr>
              <w:tab/>
            </w:r>
            <w:r w:rsidR="000B0D02" w:rsidRPr="003B5A2D">
              <w:rPr>
                <w:noProof/>
                <w:webHidden/>
              </w:rPr>
              <w:fldChar w:fldCharType="begin"/>
            </w:r>
            <w:r w:rsidR="000B0D02" w:rsidRPr="003B5A2D">
              <w:rPr>
                <w:noProof/>
                <w:webHidden/>
              </w:rPr>
              <w:instrText xml:space="preserve"> PAGEREF _Toc86949435 \h </w:instrText>
            </w:r>
            <w:r w:rsidR="000B0D02" w:rsidRPr="003B5A2D">
              <w:rPr>
                <w:noProof/>
                <w:webHidden/>
              </w:rPr>
            </w:r>
            <w:r w:rsidR="000B0D02" w:rsidRPr="003B5A2D">
              <w:rPr>
                <w:noProof/>
                <w:webHidden/>
              </w:rPr>
              <w:fldChar w:fldCharType="separate"/>
            </w:r>
            <w:r w:rsidR="00D4232E">
              <w:rPr>
                <w:noProof/>
                <w:webHidden/>
              </w:rPr>
              <w:t>5</w:t>
            </w:r>
            <w:r w:rsidR="000B0D02" w:rsidRPr="003B5A2D">
              <w:rPr>
                <w:noProof/>
                <w:webHidden/>
              </w:rPr>
              <w:fldChar w:fldCharType="end"/>
            </w:r>
          </w:hyperlink>
        </w:p>
        <w:p w:rsidR="000B0D02" w:rsidRPr="003B5A2D" w:rsidRDefault="00273FC0">
          <w:pPr>
            <w:pStyle w:val="TOC1"/>
            <w:tabs>
              <w:tab w:val="right" w:leader="dot" w:pos="10195"/>
            </w:tabs>
            <w:rPr>
              <w:rFonts w:asciiTheme="minorHAnsi" w:eastAsiaTheme="minorEastAsia" w:hAnsiTheme="minorHAnsi"/>
              <w:noProof/>
              <w:sz w:val="22"/>
              <w:szCs w:val="22"/>
              <w:lang w:eastAsia="lv-LV"/>
            </w:rPr>
          </w:pPr>
          <w:hyperlink w:anchor="_Toc86949436" w:history="1">
            <w:r w:rsidR="000B0D02" w:rsidRPr="003B5A2D">
              <w:rPr>
                <w:rStyle w:val="Hyperlink"/>
                <w:noProof/>
              </w:rPr>
              <w:t>II. Esošās situācijas raksturojums</w:t>
            </w:r>
            <w:r w:rsidR="000B0D02" w:rsidRPr="003B5A2D">
              <w:rPr>
                <w:noProof/>
                <w:webHidden/>
              </w:rPr>
              <w:tab/>
            </w:r>
            <w:r w:rsidR="000B0D02" w:rsidRPr="003B5A2D">
              <w:rPr>
                <w:noProof/>
                <w:webHidden/>
              </w:rPr>
              <w:fldChar w:fldCharType="begin"/>
            </w:r>
            <w:r w:rsidR="000B0D02" w:rsidRPr="003B5A2D">
              <w:rPr>
                <w:noProof/>
                <w:webHidden/>
              </w:rPr>
              <w:instrText xml:space="preserve"> PAGEREF _Toc86949436 \h </w:instrText>
            </w:r>
            <w:r w:rsidR="000B0D02" w:rsidRPr="003B5A2D">
              <w:rPr>
                <w:noProof/>
                <w:webHidden/>
              </w:rPr>
            </w:r>
            <w:r w:rsidR="000B0D02" w:rsidRPr="003B5A2D">
              <w:rPr>
                <w:noProof/>
                <w:webHidden/>
              </w:rPr>
              <w:fldChar w:fldCharType="separate"/>
            </w:r>
            <w:r w:rsidR="00D4232E">
              <w:rPr>
                <w:noProof/>
                <w:webHidden/>
              </w:rPr>
              <w:t>5</w:t>
            </w:r>
            <w:r w:rsidR="000B0D02" w:rsidRPr="003B5A2D">
              <w:rPr>
                <w:noProof/>
                <w:webHidden/>
              </w:rPr>
              <w:fldChar w:fldCharType="end"/>
            </w:r>
          </w:hyperlink>
        </w:p>
        <w:p w:rsidR="000B0D02" w:rsidRPr="003B5A2D" w:rsidRDefault="00273FC0">
          <w:pPr>
            <w:pStyle w:val="TOC1"/>
            <w:tabs>
              <w:tab w:val="right" w:leader="dot" w:pos="10195"/>
            </w:tabs>
            <w:rPr>
              <w:rFonts w:asciiTheme="minorHAnsi" w:eastAsiaTheme="minorEastAsia" w:hAnsiTheme="minorHAnsi"/>
              <w:noProof/>
              <w:sz w:val="22"/>
              <w:szCs w:val="22"/>
              <w:lang w:eastAsia="lv-LV"/>
            </w:rPr>
          </w:pPr>
          <w:hyperlink w:anchor="_Toc86949437" w:history="1">
            <w:r w:rsidR="000B0D02" w:rsidRPr="003B5A2D">
              <w:rPr>
                <w:rStyle w:val="Hyperlink"/>
                <w:noProof/>
              </w:rPr>
              <w:t>III. Pārskatu sniegšanas un novērtēšanas kārtība</w:t>
            </w:r>
            <w:r w:rsidR="000B0D02" w:rsidRPr="003B5A2D">
              <w:rPr>
                <w:noProof/>
                <w:webHidden/>
              </w:rPr>
              <w:tab/>
            </w:r>
            <w:r w:rsidR="000B0D02" w:rsidRPr="003B5A2D">
              <w:rPr>
                <w:noProof/>
                <w:webHidden/>
              </w:rPr>
              <w:fldChar w:fldCharType="begin"/>
            </w:r>
            <w:r w:rsidR="000B0D02" w:rsidRPr="003B5A2D">
              <w:rPr>
                <w:noProof/>
                <w:webHidden/>
              </w:rPr>
              <w:instrText xml:space="preserve"> PAGEREF _Toc86949437 \h </w:instrText>
            </w:r>
            <w:r w:rsidR="000B0D02" w:rsidRPr="003B5A2D">
              <w:rPr>
                <w:noProof/>
                <w:webHidden/>
              </w:rPr>
            </w:r>
            <w:r w:rsidR="000B0D02" w:rsidRPr="003B5A2D">
              <w:rPr>
                <w:noProof/>
                <w:webHidden/>
              </w:rPr>
              <w:fldChar w:fldCharType="separate"/>
            </w:r>
            <w:r w:rsidR="00D4232E">
              <w:rPr>
                <w:noProof/>
                <w:webHidden/>
              </w:rPr>
              <w:t>8</w:t>
            </w:r>
            <w:r w:rsidR="000B0D02" w:rsidRPr="003B5A2D">
              <w:rPr>
                <w:noProof/>
                <w:webHidden/>
              </w:rPr>
              <w:fldChar w:fldCharType="end"/>
            </w:r>
          </w:hyperlink>
        </w:p>
        <w:p w:rsidR="000B0D02" w:rsidRPr="003B5A2D" w:rsidRDefault="00273FC0">
          <w:pPr>
            <w:pStyle w:val="TOC1"/>
            <w:tabs>
              <w:tab w:val="right" w:leader="dot" w:pos="10195"/>
            </w:tabs>
            <w:rPr>
              <w:rFonts w:asciiTheme="minorHAnsi" w:eastAsiaTheme="minorEastAsia" w:hAnsiTheme="minorHAnsi"/>
              <w:noProof/>
              <w:sz w:val="22"/>
              <w:szCs w:val="22"/>
              <w:lang w:eastAsia="lv-LV"/>
            </w:rPr>
          </w:pPr>
          <w:hyperlink w:anchor="_Toc86949438" w:history="1">
            <w:r w:rsidR="000B0D02" w:rsidRPr="003B5A2D">
              <w:rPr>
                <w:rStyle w:val="Hyperlink"/>
                <w:noProof/>
              </w:rPr>
              <w:t>IV. Ēnu ekonomikas ierobežošanas plāns 2021.</w:t>
            </w:r>
            <w:r w:rsidR="00FB631A">
              <w:rPr>
                <w:rStyle w:val="Hyperlink"/>
                <w:noProof/>
              </w:rPr>
              <w:t>/</w:t>
            </w:r>
            <w:r w:rsidR="000B0D02" w:rsidRPr="003B5A2D">
              <w:rPr>
                <w:rStyle w:val="Hyperlink"/>
                <w:noProof/>
              </w:rPr>
              <w:t>2022. gada</w:t>
            </w:r>
            <w:r w:rsidR="00C90B6D">
              <w:rPr>
                <w:rStyle w:val="Hyperlink"/>
                <w:noProof/>
              </w:rPr>
              <w:t>m</w:t>
            </w:r>
            <w:r w:rsidR="000B0D02" w:rsidRPr="003B5A2D">
              <w:rPr>
                <w:noProof/>
                <w:webHidden/>
              </w:rPr>
              <w:tab/>
            </w:r>
            <w:r w:rsidR="000B0D02" w:rsidRPr="003B5A2D">
              <w:rPr>
                <w:noProof/>
                <w:webHidden/>
              </w:rPr>
              <w:fldChar w:fldCharType="begin"/>
            </w:r>
            <w:r w:rsidR="000B0D02" w:rsidRPr="003B5A2D">
              <w:rPr>
                <w:noProof/>
                <w:webHidden/>
              </w:rPr>
              <w:instrText xml:space="preserve"> PAGEREF _Toc86949438 \h </w:instrText>
            </w:r>
            <w:r w:rsidR="000B0D02" w:rsidRPr="003B5A2D">
              <w:rPr>
                <w:noProof/>
                <w:webHidden/>
              </w:rPr>
            </w:r>
            <w:r w:rsidR="000B0D02" w:rsidRPr="003B5A2D">
              <w:rPr>
                <w:noProof/>
                <w:webHidden/>
              </w:rPr>
              <w:fldChar w:fldCharType="separate"/>
            </w:r>
            <w:r w:rsidR="00D4232E">
              <w:rPr>
                <w:noProof/>
                <w:webHidden/>
              </w:rPr>
              <w:t>9</w:t>
            </w:r>
            <w:r w:rsidR="000B0D02" w:rsidRPr="003B5A2D">
              <w:rPr>
                <w:noProof/>
                <w:webHidden/>
              </w:rPr>
              <w:fldChar w:fldCharType="end"/>
            </w:r>
          </w:hyperlink>
        </w:p>
        <w:p w:rsidR="000B0D02" w:rsidRPr="003B5A2D" w:rsidRDefault="00273FC0">
          <w:pPr>
            <w:pStyle w:val="TOC2"/>
            <w:tabs>
              <w:tab w:val="right" w:leader="dot" w:pos="10195"/>
            </w:tabs>
            <w:rPr>
              <w:rFonts w:asciiTheme="minorHAnsi" w:eastAsiaTheme="minorEastAsia" w:hAnsiTheme="minorHAnsi"/>
              <w:noProof/>
              <w:sz w:val="22"/>
              <w:szCs w:val="22"/>
              <w:lang w:eastAsia="lv-LV"/>
            </w:rPr>
          </w:pPr>
          <w:hyperlink w:anchor="_Toc86949439" w:history="1">
            <w:r w:rsidR="000B0D02" w:rsidRPr="003B5A2D">
              <w:rPr>
                <w:rStyle w:val="Hyperlink"/>
                <w:noProof/>
              </w:rPr>
              <w:t>1.</w:t>
            </w:r>
            <w:r w:rsidR="000B0D02" w:rsidRPr="003B5A2D">
              <w:rPr>
                <w:noProof/>
              </w:rPr>
              <w:t xml:space="preserve"> </w:t>
            </w:r>
            <w:r w:rsidR="000B0D02" w:rsidRPr="003B5A2D">
              <w:rPr>
                <w:rStyle w:val="Hyperlink"/>
                <w:noProof/>
              </w:rPr>
              <w:t>rīcības virziens - Nereģistrēta saimnieciskā darbība</w:t>
            </w:r>
            <w:r w:rsidR="000B0D02" w:rsidRPr="003B5A2D">
              <w:rPr>
                <w:noProof/>
                <w:webHidden/>
              </w:rPr>
              <w:tab/>
            </w:r>
            <w:r w:rsidR="000B0D02" w:rsidRPr="003B5A2D">
              <w:rPr>
                <w:noProof/>
                <w:webHidden/>
              </w:rPr>
              <w:fldChar w:fldCharType="begin"/>
            </w:r>
            <w:r w:rsidR="000B0D02" w:rsidRPr="003B5A2D">
              <w:rPr>
                <w:noProof/>
                <w:webHidden/>
              </w:rPr>
              <w:instrText xml:space="preserve"> PAGEREF _Toc86949439 \h </w:instrText>
            </w:r>
            <w:r w:rsidR="000B0D02" w:rsidRPr="003B5A2D">
              <w:rPr>
                <w:noProof/>
                <w:webHidden/>
              </w:rPr>
            </w:r>
            <w:r w:rsidR="000B0D02" w:rsidRPr="003B5A2D">
              <w:rPr>
                <w:noProof/>
                <w:webHidden/>
              </w:rPr>
              <w:fldChar w:fldCharType="separate"/>
            </w:r>
            <w:r w:rsidR="00D4232E">
              <w:rPr>
                <w:noProof/>
                <w:webHidden/>
              </w:rPr>
              <w:t>9</w:t>
            </w:r>
            <w:r w:rsidR="000B0D02" w:rsidRPr="003B5A2D">
              <w:rPr>
                <w:noProof/>
                <w:webHidden/>
              </w:rPr>
              <w:fldChar w:fldCharType="end"/>
            </w:r>
          </w:hyperlink>
        </w:p>
        <w:p w:rsidR="000B0D02" w:rsidRPr="003B5A2D" w:rsidRDefault="00273FC0">
          <w:pPr>
            <w:pStyle w:val="TOC2"/>
            <w:tabs>
              <w:tab w:val="right" w:leader="dot" w:pos="10195"/>
            </w:tabs>
            <w:rPr>
              <w:rFonts w:asciiTheme="minorHAnsi" w:eastAsiaTheme="minorEastAsia" w:hAnsiTheme="minorHAnsi"/>
              <w:noProof/>
              <w:sz w:val="22"/>
              <w:szCs w:val="22"/>
              <w:lang w:eastAsia="lv-LV"/>
            </w:rPr>
          </w:pPr>
          <w:hyperlink w:anchor="_Toc86949440" w:history="1">
            <w:r w:rsidR="000B0D02" w:rsidRPr="003B5A2D">
              <w:rPr>
                <w:rStyle w:val="Hyperlink"/>
                <w:noProof/>
              </w:rPr>
              <w:t>2. rīcības virziens - Nedeklarēta nodarbinātība un neuzrādīta darba samaksa</w:t>
            </w:r>
            <w:r w:rsidR="000B0D02" w:rsidRPr="003B5A2D">
              <w:rPr>
                <w:noProof/>
                <w:webHidden/>
              </w:rPr>
              <w:tab/>
            </w:r>
            <w:r w:rsidR="000B0D02" w:rsidRPr="003B5A2D">
              <w:rPr>
                <w:noProof/>
                <w:webHidden/>
              </w:rPr>
              <w:fldChar w:fldCharType="begin"/>
            </w:r>
            <w:r w:rsidR="000B0D02" w:rsidRPr="003B5A2D">
              <w:rPr>
                <w:noProof/>
                <w:webHidden/>
              </w:rPr>
              <w:instrText xml:space="preserve"> PAGEREF _Toc86949440 \h </w:instrText>
            </w:r>
            <w:r w:rsidR="000B0D02" w:rsidRPr="003B5A2D">
              <w:rPr>
                <w:noProof/>
                <w:webHidden/>
              </w:rPr>
            </w:r>
            <w:r w:rsidR="000B0D02" w:rsidRPr="003B5A2D">
              <w:rPr>
                <w:noProof/>
                <w:webHidden/>
              </w:rPr>
              <w:fldChar w:fldCharType="separate"/>
            </w:r>
            <w:r w:rsidR="00D4232E">
              <w:rPr>
                <w:noProof/>
                <w:webHidden/>
              </w:rPr>
              <w:t>14</w:t>
            </w:r>
            <w:r w:rsidR="000B0D02" w:rsidRPr="003B5A2D">
              <w:rPr>
                <w:noProof/>
                <w:webHidden/>
              </w:rPr>
              <w:fldChar w:fldCharType="end"/>
            </w:r>
          </w:hyperlink>
        </w:p>
        <w:p w:rsidR="000B0D02" w:rsidRPr="003B5A2D" w:rsidRDefault="00273FC0">
          <w:pPr>
            <w:pStyle w:val="TOC2"/>
            <w:tabs>
              <w:tab w:val="right" w:leader="dot" w:pos="10195"/>
            </w:tabs>
            <w:rPr>
              <w:rFonts w:asciiTheme="minorHAnsi" w:eastAsiaTheme="minorEastAsia" w:hAnsiTheme="minorHAnsi"/>
              <w:noProof/>
              <w:sz w:val="22"/>
              <w:szCs w:val="22"/>
              <w:lang w:eastAsia="lv-LV"/>
            </w:rPr>
          </w:pPr>
          <w:hyperlink w:anchor="_Toc86949441" w:history="1">
            <w:r w:rsidR="000B0D02" w:rsidRPr="003B5A2D">
              <w:rPr>
                <w:rStyle w:val="Hyperlink"/>
                <w:noProof/>
              </w:rPr>
              <w:t>3. rīcības virziens - Neuzskaitīti darījumi un nelegāla preču aprite</w:t>
            </w:r>
            <w:r w:rsidR="000B0D02" w:rsidRPr="003B5A2D">
              <w:rPr>
                <w:noProof/>
                <w:webHidden/>
              </w:rPr>
              <w:tab/>
            </w:r>
            <w:r w:rsidR="000B0D02" w:rsidRPr="003B5A2D">
              <w:rPr>
                <w:noProof/>
                <w:webHidden/>
              </w:rPr>
              <w:fldChar w:fldCharType="begin"/>
            </w:r>
            <w:r w:rsidR="000B0D02" w:rsidRPr="003B5A2D">
              <w:rPr>
                <w:noProof/>
                <w:webHidden/>
              </w:rPr>
              <w:instrText xml:space="preserve"> PAGEREF _Toc86949441 \h </w:instrText>
            </w:r>
            <w:r w:rsidR="000B0D02" w:rsidRPr="003B5A2D">
              <w:rPr>
                <w:noProof/>
                <w:webHidden/>
              </w:rPr>
            </w:r>
            <w:r w:rsidR="000B0D02" w:rsidRPr="003B5A2D">
              <w:rPr>
                <w:noProof/>
                <w:webHidden/>
              </w:rPr>
              <w:fldChar w:fldCharType="separate"/>
            </w:r>
            <w:r w:rsidR="00D4232E">
              <w:rPr>
                <w:noProof/>
                <w:webHidden/>
              </w:rPr>
              <w:t>18</w:t>
            </w:r>
            <w:r w:rsidR="000B0D02" w:rsidRPr="003B5A2D">
              <w:rPr>
                <w:noProof/>
                <w:webHidden/>
              </w:rPr>
              <w:fldChar w:fldCharType="end"/>
            </w:r>
          </w:hyperlink>
        </w:p>
        <w:p w:rsidR="000B0D02" w:rsidRPr="003B5A2D" w:rsidRDefault="00273FC0">
          <w:pPr>
            <w:pStyle w:val="TOC2"/>
            <w:tabs>
              <w:tab w:val="right" w:leader="dot" w:pos="10195"/>
            </w:tabs>
            <w:rPr>
              <w:rFonts w:asciiTheme="minorHAnsi" w:eastAsiaTheme="minorEastAsia" w:hAnsiTheme="minorHAnsi"/>
              <w:noProof/>
              <w:sz w:val="22"/>
              <w:szCs w:val="22"/>
              <w:lang w:eastAsia="lv-LV"/>
            </w:rPr>
          </w:pPr>
          <w:hyperlink w:anchor="_Toc86949442" w:history="1">
            <w:r w:rsidR="000B0D02" w:rsidRPr="003B5A2D">
              <w:rPr>
                <w:rStyle w:val="Hyperlink"/>
                <w:noProof/>
              </w:rPr>
              <w:t>4. rīcības virziens - Skaidras naudas neuzskaitīta un nekontrolēta aprite</w:t>
            </w:r>
            <w:r w:rsidR="000B0D02" w:rsidRPr="003B5A2D">
              <w:rPr>
                <w:noProof/>
                <w:webHidden/>
              </w:rPr>
              <w:tab/>
            </w:r>
            <w:r w:rsidR="000B0D02" w:rsidRPr="003B5A2D">
              <w:rPr>
                <w:noProof/>
                <w:webHidden/>
              </w:rPr>
              <w:fldChar w:fldCharType="begin"/>
            </w:r>
            <w:r w:rsidR="000B0D02" w:rsidRPr="003B5A2D">
              <w:rPr>
                <w:noProof/>
                <w:webHidden/>
              </w:rPr>
              <w:instrText xml:space="preserve"> PAGEREF _Toc86949442 \h </w:instrText>
            </w:r>
            <w:r w:rsidR="000B0D02" w:rsidRPr="003B5A2D">
              <w:rPr>
                <w:noProof/>
                <w:webHidden/>
              </w:rPr>
            </w:r>
            <w:r w:rsidR="000B0D02" w:rsidRPr="003B5A2D">
              <w:rPr>
                <w:noProof/>
                <w:webHidden/>
              </w:rPr>
              <w:fldChar w:fldCharType="separate"/>
            </w:r>
            <w:r w:rsidR="00D4232E">
              <w:rPr>
                <w:noProof/>
                <w:webHidden/>
              </w:rPr>
              <w:t>26</w:t>
            </w:r>
            <w:r w:rsidR="000B0D02" w:rsidRPr="003B5A2D">
              <w:rPr>
                <w:noProof/>
                <w:webHidden/>
              </w:rPr>
              <w:fldChar w:fldCharType="end"/>
            </w:r>
          </w:hyperlink>
        </w:p>
        <w:p w:rsidR="000B0D02" w:rsidRPr="003B5A2D" w:rsidRDefault="00273FC0">
          <w:pPr>
            <w:pStyle w:val="TOC2"/>
            <w:tabs>
              <w:tab w:val="right" w:leader="dot" w:pos="10195"/>
            </w:tabs>
            <w:rPr>
              <w:rFonts w:asciiTheme="minorHAnsi" w:eastAsiaTheme="minorEastAsia" w:hAnsiTheme="minorHAnsi"/>
              <w:noProof/>
              <w:sz w:val="22"/>
              <w:szCs w:val="22"/>
              <w:lang w:eastAsia="lv-LV"/>
            </w:rPr>
          </w:pPr>
          <w:hyperlink w:anchor="_Toc86949443" w:history="1">
            <w:r w:rsidR="000B0D02" w:rsidRPr="003B5A2D">
              <w:rPr>
                <w:rStyle w:val="Hyperlink"/>
                <w:noProof/>
              </w:rPr>
              <w:t>5. rīcības virziens - Nodokļu nomaksas veicināšana</w:t>
            </w:r>
            <w:r w:rsidR="000B0D02" w:rsidRPr="003B5A2D">
              <w:rPr>
                <w:noProof/>
                <w:webHidden/>
              </w:rPr>
              <w:tab/>
            </w:r>
            <w:r w:rsidR="000B0D02" w:rsidRPr="003B5A2D">
              <w:rPr>
                <w:noProof/>
                <w:webHidden/>
              </w:rPr>
              <w:fldChar w:fldCharType="begin"/>
            </w:r>
            <w:r w:rsidR="000B0D02" w:rsidRPr="003B5A2D">
              <w:rPr>
                <w:noProof/>
                <w:webHidden/>
              </w:rPr>
              <w:instrText xml:space="preserve"> PAGEREF _Toc86949443 \h </w:instrText>
            </w:r>
            <w:r w:rsidR="000B0D02" w:rsidRPr="003B5A2D">
              <w:rPr>
                <w:noProof/>
                <w:webHidden/>
              </w:rPr>
            </w:r>
            <w:r w:rsidR="000B0D02" w:rsidRPr="003B5A2D">
              <w:rPr>
                <w:noProof/>
                <w:webHidden/>
              </w:rPr>
              <w:fldChar w:fldCharType="separate"/>
            </w:r>
            <w:r w:rsidR="00D4232E">
              <w:rPr>
                <w:noProof/>
                <w:webHidden/>
              </w:rPr>
              <w:t>29</w:t>
            </w:r>
            <w:r w:rsidR="000B0D02" w:rsidRPr="003B5A2D">
              <w:rPr>
                <w:noProof/>
                <w:webHidden/>
              </w:rPr>
              <w:fldChar w:fldCharType="end"/>
            </w:r>
          </w:hyperlink>
        </w:p>
        <w:p w:rsidR="00336530" w:rsidRDefault="00336530">
          <w:r w:rsidRPr="003B5A2D">
            <w:rPr>
              <w:b/>
              <w:bCs/>
              <w:noProof/>
            </w:rPr>
            <w:fldChar w:fldCharType="end"/>
          </w:r>
        </w:p>
      </w:sdtContent>
    </w:sdt>
    <w:bookmarkEnd w:id="0"/>
    <w:p w:rsidR="003656D7" w:rsidRDefault="003656D7">
      <w:pPr>
        <w:rPr>
          <w:szCs w:val="28"/>
        </w:rPr>
      </w:pPr>
    </w:p>
    <w:p w:rsidR="00F9573F" w:rsidRDefault="00F9573F">
      <w:pPr>
        <w:rPr>
          <w:rFonts w:eastAsia="Times New Roman" w:cs="Times New Roman"/>
          <w:b/>
          <w:bCs/>
          <w:kern w:val="36"/>
          <w:sz w:val="28"/>
          <w:szCs w:val="28"/>
          <w:lang w:eastAsia="en-GB"/>
        </w:rPr>
      </w:pPr>
      <w:r>
        <w:rPr>
          <w:szCs w:val="28"/>
        </w:rPr>
        <w:br w:type="page"/>
      </w:r>
    </w:p>
    <w:p w:rsidR="00C23DA0" w:rsidRPr="00C53C6F" w:rsidRDefault="00EF5EB3" w:rsidP="00C53C6F">
      <w:pPr>
        <w:pStyle w:val="Heading1"/>
        <w:spacing w:beforeAutospacing="0" w:afterAutospacing="0"/>
        <w:jc w:val="center"/>
        <w:rPr>
          <w:szCs w:val="28"/>
          <w:lang w:val="lv-LV"/>
        </w:rPr>
      </w:pPr>
      <w:bookmarkStart w:id="1" w:name="_Toc86949434"/>
      <w:r w:rsidRPr="00C53C6F">
        <w:rPr>
          <w:szCs w:val="28"/>
          <w:lang w:val="lv-LV"/>
        </w:rPr>
        <w:t>Izmantotie s</w:t>
      </w:r>
      <w:r w:rsidR="00C23DA0" w:rsidRPr="00C53C6F">
        <w:rPr>
          <w:szCs w:val="28"/>
          <w:lang w:val="lv-LV"/>
        </w:rPr>
        <w:t>aīsinājumi</w:t>
      </w:r>
      <w:bookmarkEnd w:id="1"/>
    </w:p>
    <w:p w:rsidR="00EF5EB3" w:rsidRPr="00EF5EB3" w:rsidRDefault="00EF5EB3" w:rsidP="00C23DA0">
      <w:pPr>
        <w:pStyle w:val="Heading1"/>
        <w:spacing w:beforeAutospacing="0" w:afterAutospacing="0"/>
        <w:rPr>
          <w:sz w:val="26"/>
          <w:szCs w:val="26"/>
          <w:lang w:val="lv-LV"/>
        </w:rPr>
      </w:pPr>
    </w:p>
    <w:tbl>
      <w:tblPr>
        <w:tblpPr w:leftFromText="180" w:rightFromText="180" w:vertAnchor="text" w:tblpY="1"/>
        <w:tblOverlap w:val="never"/>
        <w:tblW w:w="4557" w:type="pct"/>
        <w:shd w:val="clear" w:color="auto" w:fill="FFFFFF"/>
        <w:tblCellMar>
          <w:top w:w="30" w:type="dxa"/>
          <w:left w:w="30" w:type="dxa"/>
          <w:bottom w:w="30" w:type="dxa"/>
          <w:right w:w="30" w:type="dxa"/>
        </w:tblCellMar>
        <w:tblLook w:val="04A0" w:firstRow="1" w:lastRow="0" w:firstColumn="1" w:lastColumn="0" w:noHBand="0" w:noVBand="1"/>
      </w:tblPr>
      <w:tblGrid>
        <w:gridCol w:w="2163"/>
        <w:gridCol w:w="7138"/>
      </w:tblGrid>
      <w:tr w:rsidR="00416E9A" w:rsidRPr="0052651D" w:rsidTr="00287767">
        <w:trPr>
          <w:trHeight w:val="56"/>
        </w:trPr>
        <w:tc>
          <w:tcPr>
            <w:tcW w:w="1163" w:type="pct"/>
            <w:shd w:val="clear" w:color="auto" w:fill="FFFFFF"/>
          </w:tcPr>
          <w:p w:rsidR="00D644D1" w:rsidRPr="00AE147F" w:rsidRDefault="00D644D1" w:rsidP="00D644D1">
            <w:pPr>
              <w:rPr>
                <w:rFonts w:eastAsia="Times New Roman" w:cs="Times New Roman"/>
                <w:color w:val="000000" w:themeColor="text1"/>
                <w:lang w:eastAsia="lv-LV"/>
              </w:rPr>
            </w:pPr>
            <w:r w:rsidRPr="00AE147F">
              <w:rPr>
                <w:rFonts w:eastAsia="Times New Roman" w:cs="Times New Roman"/>
                <w:color w:val="000000" w:themeColor="text1"/>
                <w:lang w:eastAsia="lv-LV"/>
              </w:rPr>
              <w:t>ĀM</w:t>
            </w:r>
          </w:p>
          <w:p w:rsidR="00D644D1" w:rsidRDefault="00D644D1" w:rsidP="00D644D1">
            <w:pPr>
              <w:rPr>
                <w:rFonts w:cs="Times New Roman"/>
                <w:bCs/>
                <w:color w:val="000000" w:themeColor="text1"/>
              </w:rPr>
            </w:pPr>
            <w:r w:rsidRPr="0052651D">
              <w:rPr>
                <w:rFonts w:cs="Times New Roman"/>
                <w:bCs/>
                <w:color w:val="000000" w:themeColor="text1"/>
              </w:rPr>
              <w:t>BICEPS</w:t>
            </w:r>
          </w:p>
          <w:p w:rsidR="00F2633A" w:rsidRDefault="00D644D1" w:rsidP="00D644D1">
            <w:pPr>
              <w:rPr>
                <w:rFonts w:eastAsia="Times New Roman" w:cs="Times New Roman"/>
                <w:color w:val="000000" w:themeColor="text1"/>
                <w:lang w:eastAsia="lv-LV"/>
              </w:rPr>
            </w:pPr>
            <w:r w:rsidRPr="0052651D">
              <w:rPr>
                <w:rFonts w:eastAsia="Times New Roman" w:cs="Times New Roman"/>
                <w:color w:val="000000" w:themeColor="text1"/>
                <w:lang w:eastAsia="lv-LV"/>
              </w:rPr>
              <w:t>BVKB</w:t>
            </w:r>
          </w:p>
          <w:p w:rsidR="00ED07E4" w:rsidRPr="0052651D" w:rsidRDefault="00ED07E4" w:rsidP="00D644D1">
            <w:pPr>
              <w:rPr>
                <w:rFonts w:eastAsia="Calibri" w:cs="Times New Roman"/>
                <w:color w:val="000000" w:themeColor="text1"/>
              </w:rPr>
            </w:pPr>
            <w:r w:rsidRPr="0052651D">
              <w:rPr>
                <w:rFonts w:eastAsia="Calibri" w:cs="Times New Roman"/>
                <w:color w:val="000000" w:themeColor="text1"/>
              </w:rPr>
              <w:t>CSDD</w:t>
            </w:r>
          </w:p>
          <w:p w:rsidR="00B74742" w:rsidRDefault="00ED07E4" w:rsidP="00ED07E4">
            <w:pPr>
              <w:rPr>
                <w:rFonts w:cs="Times New Roman"/>
                <w:bCs/>
                <w:color w:val="000000" w:themeColor="text1"/>
              </w:rPr>
            </w:pPr>
            <w:r w:rsidRPr="0052651D">
              <w:rPr>
                <w:rFonts w:eastAsia="Calibri" w:cs="Times New Roman"/>
                <w:color w:val="000000" w:themeColor="text1"/>
              </w:rPr>
              <w:t>CSP</w:t>
            </w:r>
          </w:p>
          <w:p w:rsidR="00ED07E4" w:rsidRPr="0052651D" w:rsidRDefault="00ED07E4" w:rsidP="00ED07E4">
            <w:pPr>
              <w:rPr>
                <w:rFonts w:eastAsia="Times New Roman" w:cs="Times New Roman"/>
                <w:color w:val="000000" w:themeColor="text1"/>
                <w:lang w:eastAsia="lv-LV"/>
              </w:rPr>
            </w:pPr>
            <w:r w:rsidRPr="0052651D">
              <w:rPr>
                <w:rFonts w:eastAsia="Times New Roman" w:cs="Times New Roman"/>
                <w:color w:val="000000" w:themeColor="text1"/>
                <w:lang w:eastAsia="lv-LV"/>
              </w:rPr>
              <w:t>DRN</w:t>
            </w:r>
          </w:p>
          <w:p w:rsidR="00AE147F" w:rsidRDefault="00AE147F" w:rsidP="00ED07E4">
            <w:pPr>
              <w:rPr>
                <w:rFonts w:eastAsia="Times New Roman" w:cs="Times New Roman"/>
                <w:color w:val="000000" w:themeColor="text1"/>
                <w:lang w:eastAsia="lv-LV"/>
              </w:rPr>
            </w:pPr>
            <w:r>
              <w:rPr>
                <w:rFonts w:eastAsia="Times New Roman" w:cs="Times New Roman"/>
                <w:color w:val="000000" w:themeColor="text1"/>
                <w:lang w:eastAsia="lv-LV"/>
              </w:rPr>
              <w:t>DNKA</w:t>
            </w:r>
          </w:p>
          <w:p w:rsidR="007E3242" w:rsidRDefault="007E3242" w:rsidP="00ED07E4">
            <w:pPr>
              <w:rPr>
                <w:rFonts w:eastAsia="Times New Roman" w:cs="Times New Roman"/>
                <w:color w:val="000000" w:themeColor="text1"/>
                <w:lang w:eastAsia="lv-LV"/>
              </w:rPr>
            </w:pPr>
            <w:r>
              <w:rPr>
                <w:rFonts w:eastAsia="Times New Roman" w:cs="Times New Roman"/>
                <w:color w:val="000000" w:themeColor="text1"/>
                <w:lang w:eastAsia="lv-LV"/>
              </w:rPr>
              <w:t>DPA</w:t>
            </w:r>
          </w:p>
          <w:p w:rsidR="00ED07E4" w:rsidRPr="0052651D" w:rsidRDefault="00ED07E4" w:rsidP="00ED07E4">
            <w:pPr>
              <w:rPr>
                <w:rFonts w:eastAsia="Times New Roman" w:cs="Times New Roman"/>
                <w:color w:val="000000" w:themeColor="text1"/>
                <w:lang w:eastAsia="lv-LV"/>
              </w:rPr>
            </w:pPr>
            <w:r w:rsidRPr="0052651D">
              <w:rPr>
                <w:rFonts w:eastAsia="Times New Roman" w:cs="Times New Roman"/>
                <w:color w:val="000000" w:themeColor="text1"/>
                <w:lang w:eastAsia="lv-LV"/>
              </w:rPr>
              <w:t>EK</w:t>
            </w:r>
          </w:p>
          <w:p w:rsidR="00ED07E4" w:rsidRPr="0052651D" w:rsidRDefault="00ED07E4" w:rsidP="00ED07E4">
            <w:pPr>
              <w:rPr>
                <w:rFonts w:eastAsia="Times New Roman" w:cs="Times New Roman"/>
                <w:color w:val="000000" w:themeColor="text1"/>
                <w:lang w:eastAsia="lv-LV"/>
              </w:rPr>
            </w:pPr>
            <w:r w:rsidRPr="0052651D">
              <w:rPr>
                <w:rFonts w:eastAsia="Times New Roman" w:cs="Times New Roman"/>
                <w:color w:val="000000" w:themeColor="text1"/>
                <w:lang w:eastAsia="lv-LV"/>
              </w:rPr>
              <w:t>EM</w:t>
            </w:r>
          </w:p>
          <w:p w:rsidR="00ED07E4" w:rsidRDefault="00ED07E4" w:rsidP="00ED07E4">
            <w:pPr>
              <w:rPr>
                <w:rFonts w:cs="Times New Roman"/>
                <w:bCs/>
                <w:color w:val="000000" w:themeColor="text1"/>
              </w:rPr>
            </w:pPr>
            <w:r w:rsidRPr="0052651D">
              <w:rPr>
                <w:rFonts w:eastAsia="Times New Roman" w:cs="Times New Roman"/>
                <w:color w:val="000000" w:themeColor="text1"/>
                <w:lang w:eastAsia="lv-LV"/>
              </w:rPr>
              <w:t>ES</w:t>
            </w:r>
          </w:p>
          <w:p w:rsidR="00ED07E4" w:rsidRPr="0052651D" w:rsidRDefault="00ED07E4" w:rsidP="00ED07E4">
            <w:pPr>
              <w:rPr>
                <w:rFonts w:eastAsia="Times New Roman" w:cs="Times New Roman"/>
                <w:color w:val="000000" w:themeColor="text1"/>
                <w:lang w:eastAsia="lv-LV"/>
              </w:rPr>
            </w:pPr>
            <w:r w:rsidRPr="0052651D">
              <w:rPr>
                <w:rFonts w:eastAsia="Times New Roman" w:cs="Times New Roman"/>
                <w:color w:val="000000" w:themeColor="text1"/>
                <w:lang w:eastAsia="lv-LV"/>
              </w:rPr>
              <w:t>FICIL</w:t>
            </w:r>
          </w:p>
          <w:p w:rsidR="00ED07E4" w:rsidRPr="0052651D" w:rsidRDefault="00ED07E4" w:rsidP="00ED07E4">
            <w:pPr>
              <w:rPr>
                <w:rFonts w:eastAsia="Times New Roman" w:cs="Times New Roman"/>
                <w:color w:val="000000" w:themeColor="text1"/>
                <w:lang w:eastAsia="lv-LV"/>
              </w:rPr>
            </w:pPr>
            <w:r w:rsidRPr="0052651D">
              <w:rPr>
                <w:rFonts w:eastAsia="Times New Roman" w:cs="Times New Roman"/>
                <w:color w:val="000000" w:themeColor="text1"/>
                <w:lang w:eastAsia="lv-LV"/>
              </w:rPr>
              <w:t>FID</w:t>
            </w:r>
          </w:p>
          <w:p w:rsidR="00ED07E4" w:rsidRPr="0052651D" w:rsidRDefault="00ED07E4" w:rsidP="00ED07E4">
            <w:pPr>
              <w:rPr>
                <w:rFonts w:eastAsia="Times New Roman" w:cs="Times New Roman"/>
                <w:color w:val="000000" w:themeColor="text1"/>
                <w:lang w:eastAsia="lv-LV"/>
              </w:rPr>
            </w:pPr>
            <w:r w:rsidRPr="0052651D">
              <w:rPr>
                <w:rFonts w:eastAsia="Times New Roman" w:cs="Times New Roman"/>
                <w:color w:val="000000" w:themeColor="text1"/>
                <w:lang w:eastAsia="lv-LV"/>
              </w:rPr>
              <w:t>FKTK</w:t>
            </w:r>
          </w:p>
          <w:p w:rsidR="00ED07E4" w:rsidRDefault="00ED07E4" w:rsidP="00ED07E4">
            <w:pPr>
              <w:rPr>
                <w:rFonts w:cs="Times New Roman"/>
                <w:bCs/>
                <w:color w:val="000000" w:themeColor="text1"/>
              </w:rPr>
            </w:pPr>
            <w:r w:rsidRPr="0052651D">
              <w:rPr>
                <w:rFonts w:eastAsia="Times New Roman" w:cs="Times New Roman"/>
                <w:color w:val="000000" w:themeColor="text1"/>
                <w:lang w:eastAsia="lv-LV"/>
              </w:rPr>
              <w:t>FM</w:t>
            </w:r>
          </w:p>
          <w:p w:rsidR="00194739" w:rsidRDefault="00194739" w:rsidP="00ED07E4">
            <w:pPr>
              <w:rPr>
                <w:rFonts w:eastAsia="Times New Roman" w:cs="Times New Roman"/>
                <w:color w:val="000000" w:themeColor="text1"/>
                <w:lang w:eastAsia="lv-LV"/>
              </w:rPr>
            </w:pPr>
            <w:r w:rsidRPr="00194739">
              <w:rPr>
                <w:rFonts w:eastAsia="Times New Roman" w:cs="Times New Roman"/>
                <w:color w:val="000000" w:themeColor="text1"/>
                <w:lang w:eastAsia="lv-LV"/>
              </w:rPr>
              <w:t>IAUI</w:t>
            </w:r>
          </w:p>
          <w:p w:rsidR="00ED07E4" w:rsidRPr="0052651D" w:rsidRDefault="00ED07E4" w:rsidP="00ED07E4">
            <w:pPr>
              <w:rPr>
                <w:rFonts w:eastAsia="Times New Roman" w:cs="Times New Roman"/>
                <w:color w:val="000000" w:themeColor="text1"/>
                <w:lang w:eastAsia="lv-LV"/>
              </w:rPr>
            </w:pPr>
            <w:r w:rsidRPr="0052651D">
              <w:rPr>
                <w:rFonts w:eastAsia="Times New Roman" w:cs="Times New Roman"/>
                <w:color w:val="000000" w:themeColor="text1"/>
                <w:lang w:eastAsia="lv-LV"/>
              </w:rPr>
              <w:t>IeM</w:t>
            </w:r>
          </w:p>
          <w:p w:rsidR="00ED07E4" w:rsidRPr="0052651D" w:rsidRDefault="00ED07E4" w:rsidP="00ED07E4">
            <w:pPr>
              <w:rPr>
                <w:rFonts w:eastAsia="Times New Roman" w:cs="Times New Roman"/>
                <w:color w:val="000000" w:themeColor="text1"/>
                <w:lang w:eastAsia="lv-LV"/>
              </w:rPr>
            </w:pPr>
            <w:r w:rsidRPr="0052651D">
              <w:rPr>
                <w:rFonts w:eastAsia="Times New Roman" w:cs="Times New Roman"/>
                <w:color w:val="000000" w:themeColor="text1"/>
                <w:lang w:eastAsia="lv-LV"/>
              </w:rPr>
              <w:t>IeM IC</w:t>
            </w:r>
          </w:p>
          <w:p w:rsidR="00ED07E4" w:rsidRPr="0052651D" w:rsidRDefault="00ED07E4" w:rsidP="00ED07E4">
            <w:pPr>
              <w:rPr>
                <w:rFonts w:eastAsia="Calibri" w:cs="Times New Roman"/>
                <w:color w:val="000000" w:themeColor="text1"/>
              </w:rPr>
            </w:pPr>
            <w:r w:rsidRPr="0052651D">
              <w:rPr>
                <w:rFonts w:eastAsia="Calibri" w:cs="Times New Roman"/>
                <w:color w:val="000000" w:themeColor="text1"/>
              </w:rPr>
              <w:t xml:space="preserve">IIN </w:t>
            </w:r>
          </w:p>
          <w:p w:rsidR="00ED07E4" w:rsidRDefault="00ED07E4" w:rsidP="00ED07E4">
            <w:pPr>
              <w:rPr>
                <w:rFonts w:cs="Times New Roman"/>
                <w:bCs/>
                <w:color w:val="000000" w:themeColor="text1"/>
              </w:rPr>
            </w:pPr>
            <w:r w:rsidRPr="0052651D">
              <w:rPr>
                <w:rFonts w:eastAsia="Calibri" w:cs="Times New Roman"/>
                <w:color w:val="000000" w:themeColor="text1"/>
              </w:rPr>
              <w:t>IKP</w:t>
            </w:r>
          </w:p>
          <w:p w:rsidR="00ED07E4" w:rsidRPr="0052651D" w:rsidRDefault="00ED07E4" w:rsidP="00ED07E4">
            <w:pPr>
              <w:rPr>
                <w:rFonts w:eastAsia="Calibri" w:cs="Times New Roman"/>
                <w:color w:val="000000" w:themeColor="text1"/>
              </w:rPr>
            </w:pPr>
            <w:r>
              <w:rPr>
                <w:rFonts w:eastAsia="Calibri" w:cs="Times New Roman"/>
                <w:color w:val="000000" w:themeColor="text1"/>
              </w:rPr>
              <w:t>IKVD</w:t>
            </w:r>
          </w:p>
          <w:p w:rsidR="00194739" w:rsidRPr="00194739" w:rsidRDefault="00ED07E4" w:rsidP="00ED07E4">
            <w:pPr>
              <w:rPr>
                <w:rFonts w:eastAsia="Calibri" w:cs="Times New Roman"/>
                <w:color w:val="000000" w:themeColor="text1"/>
              </w:rPr>
            </w:pPr>
            <w:r w:rsidRPr="0052651D">
              <w:rPr>
                <w:rFonts w:eastAsia="Calibri" w:cs="Times New Roman"/>
                <w:color w:val="000000" w:themeColor="text1"/>
              </w:rPr>
              <w:t>IZM</w:t>
            </w:r>
          </w:p>
          <w:p w:rsidR="00ED07E4" w:rsidRPr="0052651D" w:rsidRDefault="00ED07E4" w:rsidP="00ED07E4">
            <w:pPr>
              <w:rPr>
                <w:rFonts w:eastAsia="Times New Roman" w:cs="Times New Roman"/>
                <w:color w:val="000000" w:themeColor="text1"/>
                <w:lang w:eastAsia="lv-LV"/>
              </w:rPr>
            </w:pPr>
            <w:r w:rsidRPr="0052651D">
              <w:rPr>
                <w:rFonts w:eastAsia="Times New Roman" w:cs="Times New Roman"/>
                <w:color w:val="000000" w:themeColor="text1"/>
                <w:lang w:eastAsia="lv-LV"/>
              </w:rPr>
              <w:t>KM</w:t>
            </w:r>
          </w:p>
          <w:p w:rsidR="00ED07E4" w:rsidRDefault="00ED07E4" w:rsidP="00ED07E4">
            <w:pPr>
              <w:rPr>
                <w:rFonts w:cs="Times New Roman"/>
                <w:bCs/>
                <w:color w:val="000000" w:themeColor="text1"/>
              </w:rPr>
            </w:pPr>
            <w:r w:rsidRPr="0052651D">
              <w:rPr>
                <w:rFonts w:eastAsia="Times New Roman" w:cs="Times New Roman"/>
                <w:color w:val="000000" w:themeColor="text1"/>
                <w:lang w:eastAsia="lv-LV"/>
              </w:rPr>
              <w:t>KP</w:t>
            </w:r>
          </w:p>
          <w:p w:rsidR="00ED07E4" w:rsidRPr="00287767" w:rsidRDefault="00ED07E4" w:rsidP="00ED07E4">
            <w:pPr>
              <w:rPr>
                <w:rFonts w:eastAsia="Times New Roman" w:cs="Times New Roman"/>
                <w:color w:val="000000" w:themeColor="text1"/>
                <w:lang w:eastAsia="lv-LV"/>
              </w:rPr>
            </w:pPr>
            <w:r w:rsidRPr="00287767">
              <w:rPr>
                <w:rFonts w:eastAsia="Times New Roman" w:cs="Times New Roman"/>
                <w:color w:val="000000" w:themeColor="text1"/>
                <w:lang w:eastAsia="lv-LV"/>
              </w:rPr>
              <w:t>LAD</w:t>
            </w:r>
          </w:p>
          <w:p w:rsidR="00ED07E4" w:rsidRPr="00287767" w:rsidRDefault="00ED07E4" w:rsidP="00ED07E4">
            <w:pPr>
              <w:rPr>
                <w:rFonts w:eastAsia="Times New Roman" w:cs="Times New Roman"/>
                <w:color w:val="000000" w:themeColor="text1"/>
                <w:lang w:eastAsia="lv-LV"/>
              </w:rPr>
            </w:pPr>
            <w:r w:rsidRPr="00287767">
              <w:rPr>
                <w:rFonts w:eastAsia="Times New Roman" w:cs="Times New Roman"/>
                <w:color w:val="000000" w:themeColor="text1"/>
                <w:lang w:eastAsia="lv-LV"/>
              </w:rPr>
              <w:t>LB</w:t>
            </w:r>
          </w:p>
          <w:p w:rsidR="00904732" w:rsidRDefault="00904732" w:rsidP="00ED07E4">
            <w:pPr>
              <w:rPr>
                <w:rFonts w:eastAsia="Times New Roman" w:cs="Times New Roman"/>
                <w:color w:val="000000" w:themeColor="text1"/>
                <w:lang w:eastAsia="lv-LV"/>
              </w:rPr>
            </w:pPr>
            <w:r>
              <w:rPr>
                <w:rFonts w:eastAsia="Times New Roman" w:cs="Times New Roman"/>
                <w:color w:val="000000" w:themeColor="text1"/>
                <w:lang w:eastAsia="lv-LV"/>
              </w:rPr>
              <w:t>LBAS</w:t>
            </w:r>
          </w:p>
          <w:p w:rsidR="007E3242" w:rsidRDefault="007E3242" w:rsidP="00ED07E4">
            <w:pPr>
              <w:rPr>
                <w:rFonts w:eastAsia="Times New Roman" w:cs="Times New Roman"/>
                <w:color w:val="000000" w:themeColor="text1"/>
                <w:lang w:eastAsia="lv-LV"/>
              </w:rPr>
            </w:pPr>
            <w:r>
              <w:rPr>
                <w:rFonts w:eastAsia="Times New Roman" w:cs="Times New Roman"/>
                <w:color w:val="000000" w:themeColor="text1"/>
                <w:lang w:eastAsia="lv-LV"/>
              </w:rPr>
              <w:t>LDBA</w:t>
            </w:r>
          </w:p>
          <w:p w:rsidR="00ED07E4" w:rsidRPr="00287767" w:rsidRDefault="00ED07E4" w:rsidP="00ED07E4">
            <w:pPr>
              <w:rPr>
                <w:rFonts w:eastAsia="Times New Roman" w:cs="Times New Roman"/>
                <w:color w:val="000000" w:themeColor="text1"/>
                <w:lang w:eastAsia="lv-LV"/>
              </w:rPr>
            </w:pPr>
            <w:r w:rsidRPr="00287767">
              <w:rPr>
                <w:rFonts w:eastAsia="Times New Roman" w:cs="Times New Roman"/>
                <w:color w:val="000000" w:themeColor="text1"/>
                <w:lang w:eastAsia="lv-LV"/>
              </w:rPr>
              <w:t>LDDK</w:t>
            </w:r>
          </w:p>
          <w:p w:rsidR="00ED07E4" w:rsidRPr="00287767" w:rsidRDefault="00ED07E4" w:rsidP="00ED07E4">
            <w:pPr>
              <w:rPr>
                <w:rFonts w:eastAsia="Times New Roman" w:cs="Times New Roman"/>
                <w:color w:val="000000" w:themeColor="text1"/>
                <w:lang w:eastAsia="lv-LV"/>
              </w:rPr>
            </w:pPr>
            <w:r w:rsidRPr="00287767">
              <w:rPr>
                <w:rFonts w:eastAsia="Times New Roman" w:cs="Times New Roman"/>
                <w:color w:val="000000" w:themeColor="text1"/>
                <w:lang w:eastAsia="lv-LV"/>
              </w:rPr>
              <w:t>LĢIA</w:t>
            </w:r>
          </w:p>
          <w:p w:rsidR="00ED07E4" w:rsidRPr="00287767" w:rsidRDefault="00ED07E4" w:rsidP="00ED07E4">
            <w:pPr>
              <w:rPr>
                <w:rFonts w:eastAsia="Times New Roman" w:cs="Times New Roman"/>
                <w:color w:val="000000" w:themeColor="text1"/>
                <w:lang w:eastAsia="lv-LV"/>
              </w:rPr>
            </w:pPr>
            <w:r w:rsidRPr="00287767">
              <w:rPr>
                <w:rFonts w:eastAsia="Times New Roman" w:cs="Times New Roman"/>
                <w:color w:val="000000" w:themeColor="text1"/>
                <w:lang w:eastAsia="lv-LV"/>
              </w:rPr>
              <w:t>LM</w:t>
            </w:r>
          </w:p>
          <w:p w:rsidR="00ED07E4" w:rsidRPr="00287767" w:rsidRDefault="00ED07E4" w:rsidP="00ED07E4">
            <w:pPr>
              <w:rPr>
                <w:rFonts w:eastAsia="Times New Roman" w:cs="Times New Roman"/>
                <w:color w:val="000000" w:themeColor="text1"/>
                <w:lang w:eastAsia="lv-LV"/>
              </w:rPr>
            </w:pPr>
            <w:r w:rsidRPr="00287767">
              <w:rPr>
                <w:rFonts w:eastAsia="Calibri" w:cs="Times New Roman"/>
                <w:color w:val="000000" w:themeColor="text1"/>
              </w:rPr>
              <w:t>LTRK</w:t>
            </w:r>
          </w:p>
          <w:p w:rsidR="005D522B" w:rsidRDefault="005D522B" w:rsidP="00ED07E4">
            <w:pPr>
              <w:rPr>
                <w:rFonts w:eastAsia="Times New Roman" w:cs="Times New Roman"/>
                <w:color w:val="000000" w:themeColor="text1"/>
                <w:lang w:eastAsia="lv-LV"/>
              </w:rPr>
            </w:pPr>
            <w:r>
              <w:rPr>
                <w:rFonts w:eastAsia="Times New Roman" w:cs="Times New Roman"/>
                <w:color w:val="000000" w:themeColor="text1"/>
                <w:lang w:eastAsia="lv-LV"/>
              </w:rPr>
              <w:t>LUA</w:t>
            </w:r>
          </w:p>
          <w:p w:rsidR="005D522B" w:rsidRDefault="005D522B" w:rsidP="005D522B">
            <w:pPr>
              <w:rPr>
                <w:rFonts w:cs="Times New Roman"/>
                <w:bCs/>
              </w:rPr>
            </w:pPr>
            <w:r w:rsidRPr="00287767">
              <w:rPr>
                <w:rFonts w:cs="Times New Roman"/>
                <w:bCs/>
              </w:rPr>
              <w:t>LVĢMC</w:t>
            </w:r>
          </w:p>
          <w:p w:rsidR="00ED07E4" w:rsidRPr="00287767" w:rsidRDefault="00ED07E4" w:rsidP="00ED07E4">
            <w:pPr>
              <w:rPr>
                <w:rFonts w:eastAsia="Times New Roman" w:cs="Times New Roman"/>
                <w:color w:val="000000" w:themeColor="text1"/>
                <w:lang w:eastAsia="lv-LV"/>
              </w:rPr>
            </w:pPr>
            <w:r w:rsidRPr="00287767">
              <w:rPr>
                <w:rFonts w:eastAsia="Times New Roman" w:cs="Times New Roman"/>
                <w:color w:val="000000" w:themeColor="text1"/>
                <w:lang w:eastAsia="lv-LV"/>
              </w:rPr>
              <w:t>LZP</w:t>
            </w:r>
          </w:p>
          <w:p w:rsidR="00ED07E4" w:rsidRDefault="00ED07E4" w:rsidP="00ED07E4">
            <w:pPr>
              <w:rPr>
                <w:rFonts w:cs="Times New Roman"/>
                <w:bCs/>
                <w:color w:val="000000" w:themeColor="text1"/>
              </w:rPr>
            </w:pPr>
            <w:r w:rsidRPr="0052651D">
              <w:rPr>
                <w:rFonts w:eastAsia="Times New Roman" w:cs="Times New Roman"/>
                <w:color w:val="000000" w:themeColor="text1"/>
                <w:lang w:eastAsia="lv-LV"/>
              </w:rPr>
              <w:t>MK</w:t>
            </w:r>
          </w:p>
          <w:p w:rsidR="00ED07E4" w:rsidRPr="0052651D" w:rsidRDefault="00ED07E4" w:rsidP="00ED07E4">
            <w:pPr>
              <w:rPr>
                <w:rFonts w:eastAsia="Calibri" w:cs="Times New Roman"/>
                <w:color w:val="000000" w:themeColor="text1"/>
              </w:rPr>
            </w:pPr>
            <w:r w:rsidRPr="0052651D">
              <w:rPr>
                <w:rFonts w:eastAsia="Calibri" w:cs="Times New Roman"/>
                <w:color w:val="000000" w:themeColor="text1"/>
              </w:rPr>
              <w:t>NEPLP</w:t>
            </w:r>
          </w:p>
          <w:p w:rsidR="00ED07E4" w:rsidRPr="0052651D" w:rsidRDefault="00ED07E4" w:rsidP="00ED07E4">
            <w:pPr>
              <w:rPr>
                <w:rFonts w:eastAsia="Times New Roman" w:cs="Times New Roman"/>
                <w:color w:val="000000" w:themeColor="text1"/>
                <w:lang w:eastAsia="lv-LV"/>
              </w:rPr>
            </w:pPr>
            <w:r w:rsidRPr="0052651D">
              <w:rPr>
                <w:rFonts w:eastAsia="Times New Roman" w:cs="Times New Roman"/>
                <w:color w:val="000000" w:themeColor="text1"/>
                <w:lang w:eastAsia="lv-LV"/>
              </w:rPr>
              <w:t>NILLTPFN</w:t>
            </w:r>
          </w:p>
          <w:p w:rsidR="00F15FA2" w:rsidRDefault="00F15FA2" w:rsidP="00ED07E4">
            <w:pPr>
              <w:rPr>
                <w:rFonts w:eastAsia="Times New Roman" w:cs="Times New Roman"/>
                <w:color w:val="000000" w:themeColor="text1"/>
                <w:lang w:eastAsia="lv-LV"/>
              </w:rPr>
            </w:pPr>
          </w:p>
          <w:p w:rsidR="00ED07E4" w:rsidRDefault="00ED07E4" w:rsidP="00ED07E4">
            <w:pPr>
              <w:rPr>
                <w:rFonts w:eastAsia="Times New Roman" w:cs="Times New Roman"/>
                <w:color w:val="000000" w:themeColor="text1"/>
                <w:lang w:eastAsia="lv-LV"/>
              </w:rPr>
            </w:pPr>
            <w:r w:rsidRPr="0052651D">
              <w:rPr>
                <w:rFonts w:eastAsia="Times New Roman" w:cs="Times New Roman"/>
                <w:color w:val="000000" w:themeColor="text1"/>
                <w:lang w:eastAsia="lv-LV"/>
              </w:rPr>
              <w:t>NVA</w:t>
            </w:r>
          </w:p>
          <w:p w:rsidR="00ED07E4" w:rsidRDefault="00ED07E4" w:rsidP="00ED07E4">
            <w:pPr>
              <w:rPr>
                <w:rFonts w:eastAsia="Calibri" w:cs="Times New Roman"/>
                <w:color w:val="000000" w:themeColor="text1"/>
              </w:rPr>
            </w:pPr>
            <w:r>
              <w:rPr>
                <w:rFonts w:eastAsia="Calibri" w:cs="Times New Roman"/>
                <w:color w:val="000000" w:themeColor="text1"/>
              </w:rPr>
              <w:t>NVD</w:t>
            </w:r>
          </w:p>
          <w:p w:rsidR="00ED07E4" w:rsidRDefault="00ED07E4" w:rsidP="00ED07E4">
            <w:pPr>
              <w:rPr>
                <w:rFonts w:eastAsia="Calibri" w:cs="Times New Roman"/>
                <w:color w:val="000000" w:themeColor="text1"/>
              </w:rPr>
            </w:pPr>
            <w:r w:rsidRPr="0052651D">
              <w:rPr>
                <w:rFonts w:eastAsia="Calibri" w:cs="Times New Roman"/>
                <w:color w:val="000000" w:themeColor="text1"/>
              </w:rPr>
              <w:t xml:space="preserve">NVO </w:t>
            </w:r>
          </w:p>
          <w:p w:rsidR="00ED07E4" w:rsidRPr="0052651D" w:rsidRDefault="00ED07E4" w:rsidP="00ED07E4">
            <w:pPr>
              <w:rPr>
                <w:rFonts w:eastAsia="Calibri" w:cs="Times New Roman"/>
                <w:color w:val="000000" w:themeColor="text1"/>
              </w:rPr>
            </w:pPr>
            <w:r w:rsidRPr="0052651D">
              <w:rPr>
                <w:rFonts w:eastAsia="Calibri" w:cs="Times New Roman"/>
                <w:color w:val="000000" w:themeColor="text1"/>
              </w:rPr>
              <w:t>PMLP</w:t>
            </w:r>
          </w:p>
          <w:p w:rsidR="00ED07E4" w:rsidRPr="0052651D" w:rsidRDefault="00ED07E4" w:rsidP="00ED07E4">
            <w:pPr>
              <w:rPr>
                <w:rFonts w:eastAsia="Times New Roman" w:cs="Times New Roman"/>
                <w:color w:val="000000" w:themeColor="text1"/>
                <w:lang w:eastAsia="lv-LV"/>
              </w:rPr>
            </w:pPr>
            <w:r w:rsidRPr="0052651D">
              <w:rPr>
                <w:rFonts w:eastAsia="Times New Roman" w:cs="Times New Roman"/>
                <w:color w:val="000000" w:themeColor="text1"/>
                <w:lang w:eastAsia="lv-LV"/>
              </w:rPr>
              <w:t>PVD</w:t>
            </w:r>
          </w:p>
          <w:p w:rsidR="00ED07E4" w:rsidRDefault="00ED07E4" w:rsidP="00ED07E4">
            <w:pPr>
              <w:rPr>
                <w:rFonts w:eastAsia="Times New Roman" w:cs="Times New Roman"/>
                <w:color w:val="000000" w:themeColor="text1"/>
                <w:lang w:eastAsia="lv-LV"/>
              </w:rPr>
            </w:pPr>
            <w:r w:rsidRPr="0052651D">
              <w:rPr>
                <w:rFonts w:eastAsia="Times New Roman" w:cs="Times New Roman"/>
                <w:color w:val="000000" w:themeColor="text1"/>
                <w:lang w:eastAsia="lv-LV"/>
              </w:rPr>
              <w:t>PVN</w:t>
            </w:r>
          </w:p>
          <w:p w:rsidR="00ED07E4" w:rsidRDefault="00ED07E4" w:rsidP="00ED07E4">
            <w:pPr>
              <w:rPr>
                <w:rFonts w:eastAsia="Calibri" w:cs="Times New Roman"/>
                <w:color w:val="000000" w:themeColor="text1"/>
              </w:rPr>
            </w:pPr>
            <w:r w:rsidRPr="0052651D">
              <w:rPr>
                <w:rFonts w:eastAsia="Calibri" w:cs="Times New Roman"/>
                <w:color w:val="000000" w:themeColor="text1"/>
              </w:rPr>
              <w:t>SM</w:t>
            </w:r>
          </w:p>
          <w:p w:rsidR="00ED07E4" w:rsidRDefault="00ED07E4" w:rsidP="00ED07E4">
            <w:pPr>
              <w:rPr>
                <w:rFonts w:cs="Times New Roman"/>
                <w:bCs/>
                <w:color w:val="000000" w:themeColor="text1"/>
              </w:rPr>
            </w:pPr>
            <w:r w:rsidRPr="0052651D">
              <w:rPr>
                <w:rFonts w:eastAsia="Calibri" w:cs="Times New Roman"/>
                <w:color w:val="000000" w:themeColor="text1"/>
              </w:rPr>
              <w:t>SPRK</w:t>
            </w:r>
          </w:p>
          <w:p w:rsidR="00ED07E4" w:rsidRDefault="00ED07E4" w:rsidP="00ED07E4">
            <w:pPr>
              <w:rPr>
                <w:rFonts w:eastAsia="Times New Roman" w:cs="Times New Roman"/>
                <w:color w:val="000000" w:themeColor="text1"/>
                <w:lang w:eastAsia="lv-LV"/>
              </w:rPr>
            </w:pPr>
            <w:r w:rsidRPr="0052651D">
              <w:rPr>
                <w:rFonts w:eastAsia="Times New Roman" w:cs="Times New Roman"/>
                <w:color w:val="000000" w:themeColor="text1"/>
                <w:lang w:eastAsia="lv-LV"/>
              </w:rPr>
              <w:t>TM</w:t>
            </w:r>
          </w:p>
          <w:p w:rsidR="00B55384" w:rsidRDefault="00B55384" w:rsidP="00B55384">
            <w:pPr>
              <w:rPr>
                <w:rFonts w:eastAsia="Calibri" w:cs="Times New Roman"/>
                <w:color w:val="000000" w:themeColor="text1"/>
              </w:rPr>
            </w:pPr>
            <w:r w:rsidRPr="0052651D">
              <w:rPr>
                <w:rFonts w:eastAsia="Times New Roman" w:cs="Times New Roman"/>
                <w:color w:val="000000" w:themeColor="text1"/>
                <w:lang w:eastAsia="lv-LV"/>
              </w:rPr>
              <w:t>VADDA</w:t>
            </w:r>
          </w:p>
          <w:p w:rsidR="00B55384" w:rsidRPr="002959CA" w:rsidRDefault="00B55384" w:rsidP="00B55384">
            <w:pPr>
              <w:rPr>
                <w:rFonts w:eastAsia="Calibri" w:cs="Times New Roman"/>
                <w:color w:val="000000" w:themeColor="text1"/>
              </w:rPr>
            </w:pPr>
            <w:r w:rsidRPr="0052651D">
              <w:rPr>
                <w:rFonts w:eastAsia="Calibri" w:cs="Times New Roman"/>
                <w:color w:val="000000" w:themeColor="text1"/>
              </w:rPr>
              <w:t>VARAM</w:t>
            </w:r>
          </w:p>
          <w:p w:rsidR="00B55384" w:rsidRPr="0052651D" w:rsidRDefault="00B55384" w:rsidP="00B55384">
            <w:pPr>
              <w:rPr>
                <w:rFonts w:eastAsia="Times New Roman" w:cs="Times New Roman"/>
                <w:color w:val="000000" w:themeColor="text1"/>
                <w:lang w:eastAsia="lv-LV"/>
              </w:rPr>
            </w:pPr>
            <w:r w:rsidRPr="0052651D">
              <w:rPr>
                <w:rFonts w:eastAsia="Times New Roman" w:cs="Times New Roman"/>
                <w:color w:val="000000" w:themeColor="text1"/>
                <w:lang w:eastAsia="lv-LV"/>
              </w:rPr>
              <w:t>VDD</w:t>
            </w:r>
          </w:p>
          <w:p w:rsidR="00B55384" w:rsidRPr="0052651D" w:rsidRDefault="00B55384" w:rsidP="00B55384">
            <w:pPr>
              <w:rPr>
                <w:rFonts w:eastAsia="Times New Roman" w:cs="Times New Roman"/>
                <w:color w:val="000000" w:themeColor="text1"/>
                <w:lang w:eastAsia="lv-LV"/>
              </w:rPr>
            </w:pPr>
            <w:r w:rsidRPr="0052651D">
              <w:rPr>
                <w:rFonts w:eastAsia="Times New Roman" w:cs="Times New Roman"/>
                <w:color w:val="000000" w:themeColor="text1"/>
                <w:lang w:eastAsia="lv-LV"/>
              </w:rPr>
              <w:t>VDI</w:t>
            </w:r>
          </w:p>
          <w:p w:rsidR="00B55384" w:rsidRPr="0052651D" w:rsidRDefault="00B55384" w:rsidP="00B55384">
            <w:pPr>
              <w:rPr>
                <w:rFonts w:eastAsia="Times New Roman" w:cs="Times New Roman"/>
                <w:color w:val="000000" w:themeColor="text1"/>
                <w:lang w:eastAsia="lv-LV"/>
              </w:rPr>
            </w:pPr>
            <w:r w:rsidRPr="0052651D">
              <w:rPr>
                <w:rFonts w:eastAsia="Calibri" w:cs="Times New Roman"/>
                <w:color w:val="000000" w:themeColor="text1"/>
              </w:rPr>
              <w:t>VI</w:t>
            </w:r>
          </w:p>
          <w:p w:rsidR="00B55384" w:rsidRPr="0052651D" w:rsidRDefault="00B55384" w:rsidP="00B55384">
            <w:pPr>
              <w:rPr>
                <w:rFonts w:eastAsia="Times New Roman" w:cs="Times New Roman"/>
                <w:color w:val="000000" w:themeColor="text1"/>
                <w:lang w:eastAsia="lv-LV"/>
              </w:rPr>
            </w:pPr>
            <w:r w:rsidRPr="0052651D">
              <w:rPr>
                <w:rFonts w:eastAsia="Times New Roman" w:cs="Times New Roman"/>
                <w:color w:val="000000" w:themeColor="text1"/>
                <w:lang w:eastAsia="lv-LV"/>
              </w:rPr>
              <w:t>VID</w:t>
            </w:r>
          </w:p>
          <w:p w:rsidR="00B55384" w:rsidRPr="0052651D" w:rsidRDefault="00B55384" w:rsidP="00B55384">
            <w:pPr>
              <w:rPr>
                <w:rFonts w:eastAsia="Times New Roman" w:cs="Times New Roman"/>
                <w:color w:val="000000" w:themeColor="text1"/>
                <w:lang w:eastAsia="lv-LV"/>
              </w:rPr>
            </w:pPr>
            <w:r w:rsidRPr="0052651D">
              <w:rPr>
                <w:rFonts w:ascii="Times New Roman,Calibri" w:eastAsia="Times New Roman,Calibri" w:hAnsi="Times New Roman,Calibri" w:cs="Times New Roman,Calibri"/>
                <w:color w:val="000000" w:themeColor="text1"/>
              </w:rPr>
              <w:t>VM</w:t>
            </w:r>
          </w:p>
          <w:p w:rsidR="00B55384" w:rsidRPr="0052651D" w:rsidRDefault="00B55384" w:rsidP="00B55384">
            <w:pPr>
              <w:rPr>
                <w:rFonts w:eastAsia="Calibri" w:cs="Times New Roman"/>
                <w:color w:val="000000" w:themeColor="text1"/>
              </w:rPr>
            </w:pPr>
            <w:r w:rsidRPr="0052651D">
              <w:rPr>
                <w:rFonts w:eastAsia="Times New Roman" w:cs="Times New Roman"/>
                <w:color w:val="000000" w:themeColor="text1"/>
                <w:lang w:eastAsia="lv-LV"/>
              </w:rPr>
              <w:t>VP</w:t>
            </w:r>
          </w:p>
          <w:p w:rsidR="00B55384" w:rsidRPr="0052651D" w:rsidRDefault="00B55384" w:rsidP="00B55384">
            <w:pPr>
              <w:rPr>
                <w:rFonts w:eastAsia="Calibri" w:cs="Times New Roman"/>
                <w:color w:val="000000" w:themeColor="text1"/>
              </w:rPr>
            </w:pPr>
            <w:r w:rsidRPr="0052651D">
              <w:rPr>
                <w:rFonts w:eastAsia="Calibri" w:cs="Times New Roman"/>
                <w:color w:val="000000" w:themeColor="text1"/>
              </w:rPr>
              <w:t>VRS</w:t>
            </w:r>
          </w:p>
          <w:p w:rsidR="00B55384" w:rsidRPr="0052651D" w:rsidRDefault="00B55384" w:rsidP="00B55384">
            <w:pPr>
              <w:rPr>
                <w:rFonts w:eastAsia="Calibri" w:cs="Times New Roman"/>
                <w:color w:val="000000" w:themeColor="text1"/>
              </w:rPr>
            </w:pPr>
            <w:r w:rsidRPr="0052651D">
              <w:rPr>
                <w:rFonts w:eastAsia="Calibri" w:cs="Times New Roman"/>
                <w:color w:val="000000" w:themeColor="text1"/>
              </w:rPr>
              <w:t>VSAOI</w:t>
            </w:r>
          </w:p>
          <w:p w:rsidR="00B55384" w:rsidRPr="0052651D" w:rsidRDefault="00B55384" w:rsidP="00B55384">
            <w:pPr>
              <w:rPr>
                <w:rFonts w:eastAsia="Calibri" w:cs="Times New Roman"/>
                <w:color w:val="000000" w:themeColor="text1"/>
                <w:u w:val="single"/>
              </w:rPr>
            </w:pPr>
            <w:r w:rsidRPr="0052651D">
              <w:rPr>
                <w:rFonts w:eastAsia="Times New Roman" w:cs="Times New Roman"/>
                <w:color w:val="000000" w:themeColor="text1"/>
                <w:lang w:eastAsia="lv-LV"/>
              </w:rPr>
              <w:t>VUGD</w:t>
            </w:r>
          </w:p>
          <w:p w:rsidR="00B55384" w:rsidRPr="0052651D" w:rsidRDefault="00B55384" w:rsidP="00B55384">
            <w:pPr>
              <w:rPr>
                <w:rFonts w:eastAsia="Calibri" w:cs="Times New Roman"/>
                <w:color w:val="000000" w:themeColor="text1"/>
              </w:rPr>
            </w:pPr>
            <w:r w:rsidRPr="0052651D">
              <w:rPr>
                <w:rFonts w:eastAsia="Calibri" w:cs="Times New Roman"/>
                <w:color w:val="000000" w:themeColor="text1"/>
              </w:rPr>
              <w:t>VVD</w:t>
            </w:r>
          </w:p>
          <w:p w:rsidR="00B55384" w:rsidRDefault="00B55384" w:rsidP="00B55384">
            <w:pPr>
              <w:rPr>
                <w:rFonts w:eastAsia="Calibri" w:cs="Times New Roman"/>
                <w:color w:val="000000" w:themeColor="text1"/>
              </w:rPr>
            </w:pPr>
            <w:r w:rsidRPr="0052651D">
              <w:rPr>
                <w:rFonts w:eastAsia="Calibri" w:cs="Times New Roman"/>
                <w:color w:val="000000" w:themeColor="text1"/>
              </w:rPr>
              <w:t>ZM</w:t>
            </w:r>
          </w:p>
          <w:p w:rsidR="00ED07E4" w:rsidRPr="0052651D" w:rsidRDefault="00B55384" w:rsidP="00ED07E4">
            <w:pPr>
              <w:rPr>
                <w:rFonts w:cs="Times New Roman"/>
                <w:bCs/>
                <w:color w:val="000000" w:themeColor="text1"/>
              </w:rPr>
            </w:pPr>
            <w:r>
              <w:rPr>
                <w:rFonts w:eastAsia="Calibri" w:cs="Times New Roman"/>
                <w:color w:val="000000" w:themeColor="text1"/>
              </w:rPr>
              <w:t>ZVA</w:t>
            </w:r>
          </w:p>
        </w:tc>
        <w:tc>
          <w:tcPr>
            <w:tcW w:w="3837" w:type="pct"/>
            <w:shd w:val="clear" w:color="auto" w:fill="FFFFFF"/>
          </w:tcPr>
          <w:p w:rsidR="00D644D1" w:rsidRPr="00AE147F" w:rsidRDefault="00D644D1" w:rsidP="00D644D1">
            <w:pPr>
              <w:rPr>
                <w:rFonts w:eastAsia="Times New Roman" w:cs="Times New Roman"/>
                <w:color w:val="000000" w:themeColor="text1"/>
                <w:lang w:eastAsia="lv-LV"/>
              </w:rPr>
            </w:pPr>
            <w:r w:rsidRPr="00AE147F">
              <w:rPr>
                <w:rFonts w:eastAsia="Times New Roman" w:cs="Times New Roman"/>
                <w:color w:val="000000" w:themeColor="text1"/>
                <w:lang w:eastAsia="lv-LV"/>
              </w:rPr>
              <w:t xml:space="preserve">Ārlietu ministrija </w:t>
            </w:r>
          </w:p>
          <w:p w:rsidR="00D644D1" w:rsidRDefault="00D644D1" w:rsidP="00D644D1">
            <w:pPr>
              <w:rPr>
                <w:rFonts w:eastAsia="Times New Roman" w:cs="Times New Roman"/>
                <w:color w:val="000000" w:themeColor="text1"/>
                <w:lang w:eastAsia="lv-LV"/>
              </w:rPr>
            </w:pPr>
            <w:r w:rsidRPr="0052651D">
              <w:rPr>
                <w:rFonts w:eastAsia="Times New Roman" w:cs="Times New Roman"/>
                <w:color w:val="000000" w:themeColor="text1"/>
                <w:lang w:eastAsia="lv-LV"/>
              </w:rPr>
              <w:t xml:space="preserve">Baltijas Starptautiskais ekonomikas politikas studiju centrs </w:t>
            </w:r>
          </w:p>
          <w:p w:rsidR="00F2633A" w:rsidRDefault="00D644D1" w:rsidP="00D644D1">
            <w:pPr>
              <w:rPr>
                <w:rFonts w:eastAsia="Calibri" w:cs="Times New Roman"/>
                <w:color w:val="000000" w:themeColor="text1"/>
              </w:rPr>
            </w:pPr>
            <w:r w:rsidRPr="0052651D">
              <w:rPr>
                <w:rFonts w:eastAsia="Times New Roman" w:cs="Times New Roman"/>
                <w:color w:val="000000" w:themeColor="text1"/>
                <w:lang w:eastAsia="lv-LV"/>
              </w:rPr>
              <w:t>Būvniecības valsts kontroles birojs</w:t>
            </w:r>
            <w:r w:rsidRPr="0052651D">
              <w:rPr>
                <w:rFonts w:eastAsia="Calibri" w:cs="Times New Roman"/>
                <w:color w:val="000000" w:themeColor="text1"/>
              </w:rPr>
              <w:t xml:space="preserve"> </w:t>
            </w:r>
          </w:p>
          <w:p w:rsidR="00ED07E4" w:rsidRPr="0052651D" w:rsidRDefault="00ED07E4" w:rsidP="00D644D1">
            <w:pPr>
              <w:rPr>
                <w:rFonts w:eastAsia="Calibri" w:cs="Times New Roman"/>
                <w:color w:val="000000" w:themeColor="text1"/>
              </w:rPr>
            </w:pPr>
            <w:r w:rsidRPr="0052651D">
              <w:rPr>
                <w:rFonts w:eastAsia="Calibri" w:cs="Times New Roman"/>
                <w:color w:val="000000" w:themeColor="text1"/>
              </w:rPr>
              <w:t>Ceļu satiksmes drošības direkcija</w:t>
            </w:r>
          </w:p>
          <w:p w:rsidR="00ED07E4" w:rsidRDefault="00ED07E4" w:rsidP="00ED07E4">
            <w:pPr>
              <w:rPr>
                <w:rFonts w:eastAsia="Times New Roman" w:cs="Times New Roman"/>
                <w:color w:val="000000" w:themeColor="text1"/>
                <w:lang w:eastAsia="lv-LV"/>
              </w:rPr>
            </w:pPr>
            <w:r w:rsidRPr="0052651D">
              <w:rPr>
                <w:rFonts w:eastAsia="Calibri" w:cs="Times New Roman"/>
                <w:color w:val="000000" w:themeColor="text1"/>
              </w:rPr>
              <w:t>Centrālā statistikas pārvalde</w:t>
            </w:r>
            <w:r w:rsidRPr="0052651D">
              <w:rPr>
                <w:rFonts w:eastAsia="Times New Roman" w:cs="Times New Roman"/>
                <w:color w:val="000000" w:themeColor="text1"/>
                <w:lang w:eastAsia="lv-LV"/>
              </w:rPr>
              <w:t xml:space="preserve"> </w:t>
            </w:r>
          </w:p>
          <w:p w:rsidR="00ED07E4" w:rsidRPr="007E3242" w:rsidRDefault="00ED07E4" w:rsidP="00ED07E4">
            <w:pPr>
              <w:rPr>
                <w:rFonts w:eastAsia="Times New Roman" w:cs="Times New Roman"/>
                <w:color w:val="000000" w:themeColor="text1"/>
                <w:lang w:eastAsia="lv-LV"/>
              </w:rPr>
            </w:pPr>
            <w:r w:rsidRPr="007E3242">
              <w:rPr>
                <w:rFonts w:eastAsia="Times New Roman" w:cs="Times New Roman"/>
                <w:color w:val="000000" w:themeColor="text1"/>
                <w:lang w:eastAsia="lv-LV"/>
              </w:rPr>
              <w:t>Dabas resursu nodoklis</w:t>
            </w:r>
          </w:p>
          <w:p w:rsidR="00AE147F" w:rsidRPr="007E3242" w:rsidRDefault="00AE147F" w:rsidP="00ED07E4">
            <w:pPr>
              <w:rPr>
                <w:rFonts w:eastAsia="Times New Roman" w:cs="Times New Roman"/>
                <w:color w:val="000000" w:themeColor="text1"/>
                <w:lang w:eastAsia="lv-LV"/>
              </w:rPr>
            </w:pPr>
            <w:r w:rsidRPr="007E3242">
              <w:rPr>
                <w:rFonts w:eastAsia="Times New Roman" w:cs="Times New Roman"/>
                <w:color w:val="000000" w:themeColor="text1"/>
                <w:lang w:eastAsia="lv-LV"/>
              </w:rPr>
              <w:t xml:space="preserve">Drošības </w:t>
            </w:r>
            <w:r w:rsidR="00D31E60">
              <w:rPr>
                <w:rFonts w:eastAsia="Times New Roman" w:cs="Times New Roman"/>
                <w:color w:val="000000" w:themeColor="text1"/>
                <w:lang w:eastAsia="lv-LV"/>
              </w:rPr>
              <w:t>n</w:t>
            </w:r>
            <w:r w:rsidRPr="007E3242">
              <w:rPr>
                <w:rFonts w:eastAsia="Times New Roman" w:cs="Times New Roman"/>
                <w:color w:val="000000" w:themeColor="text1"/>
                <w:lang w:eastAsia="lv-LV"/>
              </w:rPr>
              <w:t xml:space="preserve">ozares </w:t>
            </w:r>
            <w:r w:rsidR="00D31E60">
              <w:rPr>
                <w:rFonts w:eastAsia="Times New Roman" w:cs="Times New Roman"/>
                <w:color w:val="000000" w:themeColor="text1"/>
                <w:lang w:eastAsia="lv-LV"/>
              </w:rPr>
              <w:t>k</w:t>
            </w:r>
            <w:r w:rsidRPr="007E3242">
              <w:rPr>
                <w:rFonts w:eastAsia="Times New Roman" w:cs="Times New Roman"/>
                <w:color w:val="000000" w:themeColor="text1"/>
                <w:lang w:eastAsia="lv-LV"/>
              </w:rPr>
              <w:t xml:space="preserve">ompāniju </w:t>
            </w:r>
            <w:r w:rsidR="00D31E60">
              <w:rPr>
                <w:rFonts w:eastAsia="Times New Roman" w:cs="Times New Roman"/>
                <w:color w:val="000000" w:themeColor="text1"/>
                <w:lang w:eastAsia="lv-LV"/>
              </w:rPr>
              <w:t>a</w:t>
            </w:r>
            <w:r w:rsidRPr="007E3242">
              <w:rPr>
                <w:rFonts w:eastAsia="Times New Roman" w:cs="Times New Roman"/>
                <w:color w:val="000000" w:themeColor="text1"/>
                <w:lang w:eastAsia="lv-LV"/>
              </w:rPr>
              <w:t>sociācija</w:t>
            </w:r>
          </w:p>
          <w:p w:rsidR="007E3242" w:rsidRDefault="007E3242" w:rsidP="00ED07E4">
            <w:pPr>
              <w:rPr>
                <w:rFonts w:eastAsia="Times New Roman" w:cs="Times New Roman"/>
                <w:color w:val="000000" w:themeColor="text1"/>
                <w:lang w:eastAsia="lv-LV"/>
              </w:rPr>
            </w:pPr>
            <w:r w:rsidRPr="007E3242">
              <w:rPr>
                <w:rFonts w:eastAsia="Times New Roman" w:cs="Times New Roman"/>
                <w:color w:val="000000" w:themeColor="text1"/>
                <w:lang w:eastAsia="lv-LV"/>
              </w:rPr>
              <w:t>Drošības profesionāļu asociācija</w:t>
            </w:r>
          </w:p>
          <w:p w:rsidR="00ED07E4" w:rsidRPr="007E3242" w:rsidRDefault="00ED07E4" w:rsidP="00ED07E4">
            <w:pPr>
              <w:rPr>
                <w:rFonts w:eastAsia="Times New Roman" w:cs="Times New Roman"/>
                <w:color w:val="000000" w:themeColor="text1"/>
                <w:lang w:eastAsia="lv-LV"/>
              </w:rPr>
            </w:pPr>
            <w:r w:rsidRPr="007E3242">
              <w:rPr>
                <w:rFonts w:eastAsia="Times New Roman" w:cs="Times New Roman"/>
                <w:color w:val="000000" w:themeColor="text1"/>
                <w:lang w:eastAsia="lv-LV"/>
              </w:rPr>
              <w:t>Eiropas Komisija</w:t>
            </w:r>
          </w:p>
          <w:p w:rsidR="00ED07E4" w:rsidRPr="007E3242" w:rsidRDefault="00ED07E4" w:rsidP="00ED07E4">
            <w:pPr>
              <w:rPr>
                <w:rFonts w:eastAsia="Times New Roman" w:cs="Times New Roman"/>
                <w:color w:val="000000" w:themeColor="text1"/>
                <w:lang w:eastAsia="lv-LV"/>
              </w:rPr>
            </w:pPr>
            <w:r w:rsidRPr="007E3242">
              <w:rPr>
                <w:rFonts w:eastAsia="Times New Roman" w:cs="Times New Roman"/>
                <w:color w:val="000000" w:themeColor="text1"/>
                <w:lang w:eastAsia="lv-LV"/>
              </w:rPr>
              <w:t>Ekonomikas ministrija</w:t>
            </w:r>
          </w:p>
          <w:p w:rsidR="00416E9A" w:rsidRDefault="00ED07E4" w:rsidP="00ED07E4">
            <w:pPr>
              <w:rPr>
                <w:rFonts w:eastAsia="Times New Roman" w:cs="Times New Roman"/>
                <w:color w:val="000000" w:themeColor="text1"/>
                <w:lang w:eastAsia="lv-LV"/>
              </w:rPr>
            </w:pPr>
            <w:r w:rsidRPr="007E3242">
              <w:rPr>
                <w:rFonts w:eastAsia="Times New Roman" w:cs="Times New Roman"/>
                <w:color w:val="000000" w:themeColor="text1"/>
                <w:lang w:eastAsia="lv-LV"/>
              </w:rPr>
              <w:t>Eiropas</w:t>
            </w:r>
            <w:r w:rsidRPr="0052651D">
              <w:rPr>
                <w:rFonts w:eastAsia="Times New Roman" w:cs="Times New Roman"/>
                <w:color w:val="000000" w:themeColor="text1"/>
                <w:lang w:eastAsia="lv-LV"/>
              </w:rPr>
              <w:t xml:space="preserve"> Savienība</w:t>
            </w:r>
          </w:p>
          <w:p w:rsidR="00ED07E4" w:rsidRPr="0052651D" w:rsidRDefault="00ED07E4" w:rsidP="00ED07E4">
            <w:pPr>
              <w:rPr>
                <w:rFonts w:eastAsia="Times New Roman" w:cs="Times New Roman"/>
                <w:color w:val="000000" w:themeColor="text1"/>
                <w:lang w:eastAsia="lv-LV"/>
              </w:rPr>
            </w:pPr>
            <w:r w:rsidRPr="0052651D">
              <w:rPr>
                <w:rFonts w:eastAsia="Times New Roman" w:cs="Times New Roman"/>
                <w:color w:val="000000" w:themeColor="text1"/>
                <w:lang w:eastAsia="lv-LV"/>
              </w:rPr>
              <w:t>Ārvalstu investoru padome Latvijā</w:t>
            </w:r>
          </w:p>
          <w:p w:rsidR="00ED07E4" w:rsidRPr="0052651D" w:rsidRDefault="00ED07E4" w:rsidP="00ED07E4">
            <w:pPr>
              <w:rPr>
                <w:rFonts w:eastAsia="Times New Roman" w:cs="Times New Roman"/>
                <w:color w:val="000000" w:themeColor="text1"/>
                <w:lang w:eastAsia="lv-LV"/>
              </w:rPr>
            </w:pPr>
            <w:r w:rsidRPr="0052651D">
              <w:rPr>
                <w:rFonts w:eastAsia="Times New Roman" w:cs="Times New Roman"/>
                <w:color w:val="000000" w:themeColor="text1"/>
                <w:lang w:eastAsia="lv-LV"/>
              </w:rPr>
              <w:t xml:space="preserve">Finanšu izlūkošanas dienests </w:t>
            </w:r>
          </w:p>
          <w:p w:rsidR="00ED07E4" w:rsidRPr="0052651D" w:rsidRDefault="00ED07E4" w:rsidP="00ED07E4">
            <w:pPr>
              <w:rPr>
                <w:rFonts w:eastAsia="Times New Roman" w:cs="Times New Roman"/>
                <w:color w:val="000000" w:themeColor="text1"/>
                <w:lang w:eastAsia="lv-LV"/>
              </w:rPr>
            </w:pPr>
            <w:r w:rsidRPr="0052651D">
              <w:rPr>
                <w:rFonts w:eastAsia="Times New Roman" w:cs="Times New Roman"/>
                <w:color w:val="000000" w:themeColor="text1"/>
                <w:lang w:eastAsia="lv-LV"/>
              </w:rPr>
              <w:t xml:space="preserve">Finanšu un kapitāla tirgus komisija </w:t>
            </w:r>
          </w:p>
          <w:p w:rsidR="00ED07E4" w:rsidRDefault="00ED07E4" w:rsidP="00ED07E4">
            <w:pPr>
              <w:rPr>
                <w:rFonts w:eastAsia="Times New Roman" w:cs="Times New Roman"/>
                <w:color w:val="000000" w:themeColor="text1"/>
                <w:lang w:eastAsia="lv-LV"/>
              </w:rPr>
            </w:pPr>
            <w:r w:rsidRPr="0052651D">
              <w:rPr>
                <w:rFonts w:eastAsia="Times New Roman" w:cs="Times New Roman"/>
                <w:color w:val="000000" w:themeColor="text1"/>
                <w:lang w:eastAsia="lv-LV"/>
              </w:rPr>
              <w:t>Finanšu ministrija</w:t>
            </w:r>
          </w:p>
          <w:p w:rsidR="00194739" w:rsidRDefault="00194739" w:rsidP="00ED07E4">
            <w:pPr>
              <w:rPr>
                <w:rFonts w:eastAsia="Times New Roman" w:cs="Times New Roman"/>
                <w:color w:val="000000" w:themeColor="text1"/>
                <w:lang w:eastAsia="lv-LV"/>
              </w:rPr>
            </w:pPr>
            <w:r w:rsidRPr="00194739">
              <w:rPr>
                <w:rFonts w:eastAsia="Times New Roman" w:cs="Times New Roman"/>
                <w:color w:val="000000" w:themeColor="text1"/>
                <w:lang w:eastAsia="lv-LV"/>
              </w:rPr>
              <w:t>Izložu un azartspēļu uzraudzības inspekcija</w:t>
            </w:r>
          </w:p>
          <w:p w:rsidR="00ED07E4" w:rsidRPr="0052651D" w:rsidRDefault="00ED07E4" w:rsidP="00ED07E4">
            <w:pPr>
              <w:rPr>
                <w:rFonts w:eastAsia="Calibri" w:cs="Times New Roman"/>
                <w:color w:val="000000" w:themeColor="text1"/>
              </w:rPr>
            </w:pPr>
            <w:r w:rsidRPr="0052651D">
              <w:rPr>
                <w:rFonts w:eastAsia="Times New Roman" w:cs="Times New Roman"/>
                <w:color w:val="000000" w:themeColor="text1"/>
                <w:lang w:eastAsia="lv-LV"/>
              </w:rPr>
              <w:t>Iekšlietu ministrija</w:t>
            </w:r>
            <w:r w:rsidRPr="0052651D">
              <w:rPr>
                <w:rFonts w:eastAsia="Calibri" w:cs="Times New Roman"/>
                <w:color w:val="000000" w:themeColor="text1"/>
              </w:rPr>
              <w:t xml:space="preserve"> </w:t>
            </w:r>
          </w:p>
          <w:p w:rsidR="00ED07E4" w:rsidRPr="0052651D" w:rsidRDefault="00ED07E4" w:rsidP="00ED07E4">
            <w:pPr>
              <w:rPr>
                <w:rFonts w:eastAsia="Calibri" w:cs="Times New Roman"/>
                <w:color w:val="000000" w:themeColor="text1"/>
              </w:rPr>
            </w:pPr>
            <w:r w:rsidRPr="0052651D">
              <w:rPr>
                <w:rFonts w:eastAsia="Calibri" w:cs="Times New Roman"/>
                <w:color w:val="000000" w:themeColor="text1"/>
              </w:rPr>
              <w:t>Iekšlietu ministrijas Informācijas centrs</w:t>
            </w:r>
          </w:p>
          <w:p w:rsidR="00ED07E4" w:rsidRPr="0052651D" w:rsidRDefault="00ED07E4" w:rsidP="00ED07E4">
            <w:pPr>
              <w:rPr>
                <w:rFonts w:eastAsia="Calibri" w:cs="Times New Roman"/>
                <w:color w:val="000000" w:themeColor="text1"/>
              </w:rPr>
            </w:pPr>
            <w:r w:rsidRPr="0052651D">
              <w:rPr>
                <w:rFonts w:eastAsia="Calibri" w:cs="Times New Roman"/>
                <w:color w:val="000000" w:themeColor="text1"/>
              </w:rPr>
              <w:t xml:space="preserve">Iedzīvotāju ienākuma nodoklis </w:t>
            </w:r>
          </w:p>
          <w:p w:rsidR="00ED07E4" w:rsidRDefault="00ED07E4" w:rsidP="00ED07E4">
            <w:pPr>
              <w:rPr>
                <w:rFonts w:eastAsia="Calibri" w:cs="Times New Roman"/>
                <w:color w:val="000000" w:themeColor="text1"/>
              </w:rPr>
            </w:pPr>
            <w:r w:rsidRPr="0052651D">
              <w:rPr>
                <w:rFonts w:eastAsia="Calibri" w:cs="Times New Roman"/>
                <w:color w:val="000000" w:themeColor="text1"/>
              </w:rPr>
              <w:t>Iekšzemes kopprodukts</w:t>
            </w:r>
          </w:p>
          <w:p w:rsidR="00ED07E4" w:rsidRPr="0052651D" w:rsidRDefault="00ED07E4" w:rsidP="00ED07E4">
            <w:pPr>
              <w:rPr>
                <w:rFonts w:eastAsia="Calibri" w:cs="Times New Roman"/>
                <w:color w:val="000000" w:themeColor="text1"/>
              </w:rPr>
            </w:pPr>
            <w:r w:rsidRPr="002959CA">
              <w:rPr>
                <w:rFonts w:eastAsia="Calibri" w:cs="Times New Roman"/>
                <w:color w:val="000000" w:themeColor="text1"/>
              </w:rPr>
              <w:t>Izglītības kvalitātes valsts dienests</w:t>
            </w:r>
          </w:p>
          <w:p w:rsidR="00194739" w:rsidRDefault="00ED07E4" w:rsidP="00ED07E4">
            <w:pPr>
              <w:rPr>
                <w:rFonts w:eastAsia="Times New Roman" w:cs="Times New Roman"/>
                <w:color w:val="000000" w:themeColor="text1"/>
                <w:lang w:eastAsia="lv-LV"/>
              </w:rPr>
            </w:pPr>
            <w:r w:rsidRPr="0052651D">
              <w:rPr>
                <w:rFonts w:eastAsia="Calibri" w:cs="Times New Roman"/>
                <w:color w:val="000000" w:themeColor="text1"/>
              </w:rPr>
              <w:t>Izglītības un zinātnes ministrija</w:t>
            </w:r>
            <w:r w:rsidRPr="0052651D">
              <w:rPr>
                <w:rFonts w:eastAsia="Times New Roman" w:cs="Times New Roman"/>
                <w:color w:val="000000" w:themeColor="text1"/>
                <w:lang w:eastAsia="lv-LV"/>
              </w:rPr>
              <w:t xml:space="preserve"> </w:t>
            </w:r>
          </w:p>
          <w:p w:rsidR="00ED07E4" w:rsidRPr="0052651D" w:rsidRDefault="00ED07E4" w:rsidP="00ED07E4">
            <w:pPr>
              <w:rPr>
                <w:rFonts w:eastAsia="Times New Roman" w:cs="Times New Roman"/>
                <w:color w:val="000000" w:themeColor="text1"/>
                <w:lang w:eastAsia="lv-LV"/>
              </w:rPr>
            </w:pPr>
            <w:r w:rsidRPr="0052651D">
              <w:rPr>
                <w:rFonts w:eastAsia="Times New Roman" w:cs="Times New Roman"/>
                <w:color w:val="000000" w:themeColor="text1"/>
                <w:lang w:eastAsia="lv-LV"/>
              </w:rPr>
              <w:t>Kultūras ministrija</w:t>
            </w:r>
          </w:p>
          <w:p w:rsidR="00ED07E4" w:rsidRPr="007E3242" w:rsidRDefault="00ED07E4" w:rsidP="00ED07E4">
            <w:pPr>
              <w:rPr>
                <w:rFonts w:eastAsia="Times New Roman" w:cs="Times New Roman"/>
                <w:color w:val="000000" w:themeColor="text1"/>
                <w:lang w:eastAsia="lv-LV"/>
              </w:rPr>
            </w:pPr>
            <w:r w:rsidRPr="007E3242">
              <w:rPr>
                <w:rFonts w:eastAsia="Times New Roman" w:cs="Times New Roman"/>
                <w:color w:val="000000" w:themeColor="text1"/>
                <w:lang w:eastAsia="lv-LV"/>
              </w:rPr>
              <w:t>Konkurences padome</w:t>
            </w:r>
          </w:p>
          <w:p w:rsidR="00ED07E4" w:rsidRPr="007E3242" w:rsidRDefault="00ED07E4" w:rsidP="00ED07E4">
            <w:pPr>
              <w:rPr>
                <w:rFonts w:eastAsia="Calibri" w:cs="Times New Roman"/>
                <w:color w:val="000000" w:themeColor="text1"/>
              </w:rPr>
            </w:pPr>
            <w:r w:rsidRPr="007E3242">
              <w:rPr>
                <w:rFonts w:eastAsia="Times New Roman" w:cs="Times New Roman"/>
                <w:color w:val="000000" w:themeColor="text1"/>
                <w:lang w:eastAsia="lv-LV"/>
              </w:rPr>
              <w:t>Lauku atbalsta dienests</w:t>
            </w:r>
          </w:p>
          <w:p w:rsidR="00ED07E4" w:rsidRPr="007E3242" w:rsidRDefault="00ED07E4" w:rsidP="00ED07E4">
            <w:pPr>
              <w:rPr>
                <w:rFonts w:eastAsia="Times New Roman" w:cs="Times New Roman"/>
                <w:color w:val="000000" w:themeColor="text1"/>
                <w:lang w:eastAsia="lv-LV"/>
              </w:rPr>
            </w:pPr>
            <w:r w:rsidRPr="007E3242">
              <w:rPr>
                <w:rFonts w:eastAsia="Times New Roman" w:cs="Times New Roman"/>
                <w:color w:val="000000" w:themeColor="text1"/>
                <w:lang w:eastAsia="lv-LV"/>
              </w:rPr>
              <w:t>Latvijas Banka</w:t>
            </w:r>
          </w:p>
          <w:p w:rsidR="00904732" w:rsidRDefault="00904732" w:rsidP="00ED07E4">
            <w:pPr>
              <w:rPr>
                <w:rStyle w:val="Strong"/>
                <w:rFonts w:cs="Times New Roman"/>
                <w:b w:val="0"/>
                <w:bCs w:val="0"/>
                <w:color w:val="000000"/>
                <w:shd w:val="clear" w:color="auto" w:fill="FFFFFF"/>
              </w:rPr>
            </w:pPr>
            <w:r w:rsidRPr="00904732">
              <w:rPr>
                <w:rStyle w:val="Strong"/>
                <w:rFonts w:cs="Times New Roman"/>
                <w:b w:val="0"/>
                <w:bCs w:val="0"/>
                <w:color w:val="000000"/>
                <w:shd w:val="clear" w:color="auto" w:fill="FFFFFF"/>
              </w:rPr>
              <w:t>Latvijas Brīvo arodbiedrību savienība</w:t>
            </w:r>
          </w:p>
          <w:p w:rsidR="007E3242" w:rsidRPr="007E3242" w:rsidRDefault="007E3242" w:rsidP="00ED07E4">
            <w:pPr>
              <w:rPr>
                <w:rFonts w:eastAsia="Calibri" w:cs="Times New Roman"/>
                <w:b/>
                <w:bCs/>
                <w:color w:val="000000" w:themeColor="text1"/>
              </w:rPr>
            </w:pPr>
            <w:r w:rsidRPr="007E3242">
              <w:rPr>
                <w:rStyle w:val="Strong"/>
                <w:rFonts w:cs="Times New Roman"/>
                <w:b w:val="0"/>
                <w:bCs w:val="0"/>
                <w:color w:val="000000"/>
                <w:shd w:val="clear" w:color="auto" w:fill="FFFFFF"/>
              </w:rPr>
              <w:t>Latvijas</w:t>
            </w:r>
            <w:r w:rsidRPr="007E3242">
              <w:rPr>
                <w:rFonts w:cs="Times New Roman"/>
                <w:b/>
                <w:bCs/>
                <w:color w:val="000000"/>
                <w:shd w:val="clear" w:color="auto" w:fill="FFFFFF"/>
              </w:rPr>
              <w:t> </w:t>
            </w:r>
            <w:r w:rsidRPr="007E3242">
              <w:rPr>
                <w:rFonts w:cs="Times New Roman"/>
                <w:color w:val="000000"/>
                <w:shd w:val="clear" w:color="auto" w:fill="FFFFFF"/>
              </w:rPr>
              <w:t>Drošības biznesa asociācija</w:t>
            </w:r>
          </w:p>
          <w:p w:rsidR="00ED07E4" w:rsidRPr="007E3242" w:rsidRDefault="00ED07E4" w:rsidP="00ED07E4">
            <w:pPr>
              <w:rPr>
                <w:rFonts w:eastAsia="Calibri" w:cs="Times New Roman"/>
                <w:color w:val="000000" w:themeColor="text1"/>
              </w:rPr>
            </w:pPr>
            <w:r w:rsidRPr="007E3242">
              <w:rPr>
                <w:rFonts w:eastAsia="Calibri" w:cs="Times New Roman"/>
                <w:color w:val="000000" w:themeColor="text1"/>
              </w:rPr>
              <w:t>Latvijas Darba devēju konfederācija</w:t>
            </w:r>
          </w:p>
          <w:p w:rsidR="00ED07E4" w:rsidRPr="007E3242" w:rsidRDefault="00ED07E4" w:rsidP="00ED07E4">
            <w:pPr>
              <w:rPr>
                <w:rFonts w:eastAsia="Calibri" w:cs="Times New Roman"/>
                <w:color w:val="000000" w:themeColor="text1"/>
              </w:rPr>
            </w:pPr>
            <w:r w:rsidRPr="007E3242">
              <w:rPr>
                <w:rFonts w:eastAsia="Calibri" w:cs="Times New Roman"/>
                <w:color w:val="000000" w:themeColor="text1"/>
              </w:rPr>
              <w:t>Latvijas Ģeotelpiskās informācijas aģentūra</w:t>
            </w:r>
          </w:p>
          <w:p w:rsidR="00ED07E4" w:rsidRPr="007E3242" w:rsidRDefault="00ED07E4" w:rsidP="00ED07E4">
            <w:pPr>
              <w:rPr>
                <w:rFonts w:eastAsia="Calibri" w:cs="Times New Roman"/>
                <w:color w:val="000000" w:themeColor="text1"/>
              </w:rPr>
            </w:pPr>
            <w:r w:rsidRPr="007E3242">
              <w:rPr>
                <w:rFonts w:eastAsia="Calibri" w:cs="Times New Roman"/>
                <w:color w:val="000000" w:themeColor="text1"/>
              </w:rPr>
              <w:t>Labklājības ministrija</w:t>
            </w:r>
          </w:p>
          <w:p w:rsidR="00ED07E4" w:rsidRPr="00287767" w:rsidRDefault="00ED07E4" w:rsidP="00ED07E4">
            <w:pPr>
              <w:rPr>
                <w:rFonts w:eastAsia="Times New Roman" w:cs="Times New Roman"/>
                <w:color w:val="000000" w:themeColor="text1"/>
                <w:lang w:eastAsia="lv-LV"/>
              </w:rPr>
            </w:pPr>
            <w:r w:rsidRPr="007E3242">
              <w:rPr>
                <w:rFonts w:eastAsia="Calibri" w:cs="Times New Roman"/>
                <w:color w:val="000000" w:themeColor="text1"/>
              </w:rPr>
              <w:t>Latvijas Tirdzniecības un</w:t>
            </w:r>
            <w:r w:rsidRPr="00287767">
              <w:rPr>
                <w:rFonts w:eastAsia="Calibri" w:cs="Times New Roman"/>
                <w:color w:val="000000" w:themeColor="text1"/>
              </w:rPr>
              <w:t xml:space="preserve"> rūpniecības kamera</w:t>
            </w:r>
          </w:p>
          <w:p w:rsidR="005D522B" w:rsidRDefault="005D522B" w:rsidP="005D522B">
            <w:pPr>
              <w:rPr>
                <w:rFonts w:eastAsia="Times New Roman" w:cs="Times New Roman"/>
                <w:color w:val="000000" w:themeColor="text1"/>
                <w:lang w:eastAsia="lv-LV"/>
              </w:rPr>
            </w:pPr>
            <w:r w:rsidRPr="005D522B">
              <w:rPr>
                <w:rFonts w:eastAsia="Times New Roman" w:cs="Times New Roman"/>
                <w:color w:val="000000" w:themeColor="text1"/>
                <w:lang w:eastAsia="lv-LV"/>
              </w:rPr>
              <w:t>Latvijas Ugunsdrošības asociācija</w:t>
            </w:r>
          </w:p>
          <w:p w:rsidR="005D522B" w:rsidRDefault="005D522B" w:rsidP="005D522B">
            <w:pPr>
              <w:rPr>
                <w:rFonts w:eastAsia="Times New Roman" w:cs="Times New Roman"/>
                <w:color w:val="000000" w:themeColor="text1"/>
                <w:lang w:eastAsia="lv-LV"/>
              </w:rPr>
            </w:pPr>
            <w:r w:rsidRPr="00287767">
              <w:rPr>
                <w:rFonts w:eastAsia="Times New Roman" w:cs="Times New Roman"/>
                <w:color w:val="000000" w:themeColor="text1"/>
                <w:lang w:eastAsia="lv-LV"/>
              </w:rPr>
              <w:t>Latvijas Vides, ģeoloģijas un meteoroloģijas centrs</w:t>
            </w:r>
          </w:p>
          <w:p w:rsidR="00ED07E4" w:rsidRPr="00287767" w:rsidRDefault="00ED07E4" w:rsidP="00ED07E4">
            <w:pPr>
              <w:rPr>
                <w:rFonts w:eastAsia="Times New Roman" w:cs="Times New Roman"/>
                <w:color w:val="000000" w:themeColor="text1"/>
                <w:lang w:eastAsia="lv-LV"/>
              </w:rPr>
            </w:pPr>
            <w:r w:rsidRPr="00287767">
              <w:rPr>
                <w:rFonts w:eastAsia="Times New Roman" w:cs="Times New Roman"/>
                <w:color w:val="000000" w:themeColor="text1"/>
                <w:lang w:eastAsia="lv-LV"/>
              </w:rPr>
              <w:t>Latvijas Zinātnes padome</w:t>
            </w:r>
          </w:p>
          <w:p w:rsidR="00ED07E4" w:rsidRDefault="00ED07E4" w:rsidP="00ED07E4">
            <w:pPr>
              <w:rPr>
                <w:rFonts w:eastAsia="Times New Roman" w:cs="Times New Roman"/>
                <w:color w:val="000000" w:themeColor="text1"/>
                <w:lang w:eastAsia="lv-LV"/>
              </w:rPr>
            </w:pPr>
            <w:r w:rsidRPr="0052651D">
              <w:rPr>
                <w:rFonts w:eastAsia="Times New Roman" w:cs="Times New Roman"/>
                <w:color w:val="000000" w:themeColor="text1"/>
                <w:lang w:eastAsia="lv-LV"/>
              </w:rPr>
              <w:t>Ministru kabinets</w:t>
            </w:r>
          </w:p>
          <w:p w:rsidR="00ED07E4" w:rsidRPr="0052651D" w:rsidRDefault="00ED07E4" w:rsidP="00ED07E4">
            <w:pPr>
              <w:rPr>
                <w:rFonts w:eastAsia="Times New Roman" w:cs="Times New Roman"/>
                <w:color w:val="000000" w:themeColor="text1"/>
                <w:lang w:eastAsia="lv-LV"/>
              </w:rPr>
            </w:pPr>
            <w:r w:rsidRPr="0052651D">
              <w:rPr>
                <w:rFonts w:eastAsia="Calibri" w:cs="Times New Roman"/>
                <w:color w:val="000000" w:themeColor="text1"/>
              </w:rPr>
              <w:t>Nacionālā elektronisko plašsaziņas līdzekļu padome</w:t>
            </w:r>
          </w:p>
          <w:p w:rsidR="00ED07E4" w:rsidRPr="0052651D" w:rsidRDefault="00ED07E4" w:rsidP="00ED07E4">
            <w:pPr>
              <w:rPr>
                <w:rFonts w:eastAsia="Times New Roman" w:cs="Times New Roman"/>
                <w:color w:val="000000" w:themeColor="text1"/>
                <w:lang w:eastAsia="lv-LV"/>
              </w:rPr>
            </w:pPr>
            <w:r w:rsidRPr="0052651D">
              <w:rPr>
                <w:rFonts w:eastAsia="Times New Roman" w:cs="Times New Roman"/>
                <w:color w:val="000000" w:themeColor="text1"/>
                <w:lang w:eastAsia="lv-LV"/>
              </w:rPr>
              <w:t xml:space="preserve">Noziedzīgi iegūtu līdzekļu legalizācijas un terorisma un proliferācijas finansēšanas novēršana </w:t>
            </w:r>
          </w:p>
          <w:p w:rsidR="00ED07E4" w:rsidRDefault="00ED07E4" w:rsidP="00ED07E4">
            <w:pPr>
              <w:rPr>
                <w:rFonts w:eastAsia="Times New Roman" w:cs="Times New Roman"/>
                <w:color w:val="000000" w:themeColor="text1"/>
                <w:lang w:eastAsia="lv-LV"/>
              </w:rPr>
            </w:pPr>
            <w:r w:rsidRPr="0052651D">
              <w:rPr>
                <w:rFonts w:eastAsia="Times New Roman" w:cs="Times New Roman"/>
                <w:color w:val="000000" w:themeColor="text1"/>
                <w:lang w:eastAsia="lv-LV"/>
              </w:rPr>
              <w:t>Nodarbinātības valsts aģentūra</w:t>
            </w:r>
          </w:p>
          <w:p w:rsidR="00ED07E4" w:rsidRDefault="00ED07E4" w:rsidP="00ED07E4">
            <w:pPr>
              <w:rPr>
                <w:rFonts w:eastAsia="Times New Roman" w:cs="Times New Roman"/>
                <w:color w:val="000000" w:themeColor="text1"/>
                <w:lang w:eastAsia="lv-LV"/>
              </w:rPr>
            </w:pPr>
            <w:r w:rsidRPr="002959CA">
              <w:rPr>
                <w:rFonts w:eastAsia="Times New Roman" w:cs="Times New Roman"/>
                <w:color w:val="000000" w:themeColor="text1"/>
                <w:lang w:eastAsia="lv-LV"/>
              </w:rPr>
              <w:t>Nacionālais veselības dienests</w:t>
            </w:r>
          </w:p>
          <w:p w:rsidR="00ED07E4" w:rsidRDefault="00ED07E4" w:rsidP="00ED07E4">
            <w:pPr>
              <w:rPr>
                <w:rFonts w:eastAsia="Times New Roman" w:cs="Times New Roman"/>
                <w:color w:val="000000" w:themeColor="text1"/>
                <w:lang w:eastAsia="lv-LV"/>
              </w:rPr>
            </w:pPr>
            <w:r w:rsidRPr="0052651D">
              <w:rPr>
                <w:rFonts w:eastAsia="Calibri" w:cs="Times New Roman"/>
                <w:color w:val="000000" w:themeColor="text1"/>
              </w:rPr>
              <w:t>Nevalstiskās organizācijas</w:t>
            </w:r>
          </w:p>
          <w:p w:rsidR="00ED07E4" w:rsidRPr="0052651D" w:rsidRDefault="00ED07E4" w:rsidP="00ED07E4">
            <w:pPr>
              <w:rPr>
                <w:rFonts w:eastAsia="Times New Roman" w:cs="Times New Roman"/>
                <w:color w:val="000000" w:themeColor="text1"/>
                <w:lang w:eastAsia="lv-LV"/>
              </w:rPr>
            </w:pPr>
            <w:r w:rsidRPr="0052651D">
              <w:rPr>
                <w:rFonts w:eastAsia="Calibri" w:cs="Times New Roman"/>
                <w:color w:val="000000" w:themeColor="text1"/>
              </w:rPr>
              <w:t>Pilsonības un migrācijas lietu pārvalde</w:t>
            </w:r>
          </w:p>
          <w:p w:rsidR="00ED07E4" w:rsidRPr="0052651D" w:rsidRDefault="00ED07E4" w:rsidP="00ED07E4">
            <w:pPr>
              <w:rPr>
                <w:rFonts w:eastAsia="Times New Roman" w:cs="Times New Roman"/>
                <w:color w:val="000000" w:themeColor="text1"/>
                <w:lang w:eastAsia="lv-LV"/>
              </w:rPr>
            </w:pPr>
            <w:r w:rsidRPr="0052651D">
              <w:rPr>
                <w:rFonts w:eastAsia="Times New Roman" w:cs="Times New Roman"/>
                <w:color w:val="000000" w:themeColor="text1"/>
                <w:lang w:eastAsia="lv-LV"/>
              </w:rPr>
              <w:t>Pārtikas un veterinārais dienests</w:t>
            </w:r>
          </w:p>
          <w:p w:rsidR="00ED07E4" w:rsidRDefault="00ED07E4" w:rsidP="00ED07E4">
            <w:pPr>
              <w:rPr>
                <w:rFonts w:eastAsia="Times New Roman" w:cs="Times New Roman"/>
                <w:color w:val="000000" w:themeColor="text1"/>
                <w:lang w:eastAsia="lv-LV"/>
              </w:rPr>
            </w:pPr>
            <w:r w:rsidRPr="0052651D">
              <w:rPr>
                <w:rFonts w:eastAsia="Times New Roman" w:cs="Times New Roman"/>
                <w:color w:val="000000" w:themeColor="text1"/>
                <w:lang w:eastAsia="lv-LV"/>
              </w:rPr>
              <w:t>Pievienotās vērtības nodoklis</w:t>
            </w:r>
          </w:p>
          <w:p w:rsidR="00ED07E4" w:rsidRDefault="00ED07E4" w:rsidP="00ED07E4">
            <w:pPr>
              <w:rPr>
                <w:rFonts w:eastAsia="Calibri" w:cs="Times New Roman"/>
                <w:color w:val="000000" w:themeColor="text1"/>
              </w:rPr>
            </w:pPr>
            <w:r w:rsidRPr="0052651D">
              <w:rPr>
                <w:rFonts w:eastAsia="Calibri" w:cs="Times New Roman"/>
                <w:color w:val="000000" w:themeColor="text1"/>
              </w:rPr>
              <w:t xml:space="preserve">Satiksmes ministrija </w:t>
            </w:r>
          </w:p>
          <w:p w:rsidR="00ED07E4" w:rsidRDefault="00ED07E4" w:rsidP="00ED07E4">
            <w:pPr>
              <w:rPr>
                <w:rFonts w:eastAsia="Times New Roman" w:cs="Times New Roman"/>
                <w:color w:val="000000" w:themeColor="text1"/>
                <w:lang w:eastAsia="lv-LV"/>
              </w:rPr>
            </w:pPr>
            <w:r w:rsidRPr="0052651D">
              <w:rPr>
                <w:rFonts w:eastAsia="Calibri" w:cs="Times New Roman"/>
                <w:color w:val="000000" w:themeColor="text1"/>
              </w:rPr>
              <w:t>Sabiedrisko pakalpojumu regulēšanas komisija</w:t>
            </w:r>
          </w:p>
          <w:p w:rsidR="00ED07E4" w:rsidRDefault="00ED07E4" w:rsidP="00ED07E4">
            <w:pPr>
              <w:rPr>
                <w:rFonts w:eastAsia="Times New Roman" w:cs="Times New Roman"/>
                <w:color w:val="000000" w:themeColor="text1"/>
                <w:lang w:eastAsia="lv-LV"/>
              </w:rPr>
            </w:pPr>
            <w:r w:rsidRPr="0052651D">
              <w:rPr>
                <w:rFonts w:eastAsia="Times New Roman" w:cs="Times New Roman"/>
                <w:color w:val="000000" w:themeColor="text1"/>
                <w:lang w:eastAsia="lv-LV"/>
              </w:rPr>
              <w:t>Ties</w:t>
            </w:r>
            <w:r>
              <w:rPr>
                <w:rFonts w:eastAsia="Times New Roman" w:cs="Times New Roman"/>
                <w:color w:val="000000" w:themeColor="text1"/>
                <w:lang w:eastAsia="lv-LV"/>
              </w:rPr>
              <w:t>l</w:t>
            </w:r>
            <w:r w:rsidRPr="0052651D">
              <w:rPr>
                <w:rFonts w:eastAsia="Times New Roman" w:cs="Times New Roman"/>
                <w:color w:val="000000" w:themeColor="text1"/>
                <w:lang w:eastAsia="lv-LV"/>
              </w:rPr>
              <w:t>ietu ministrija</w:t>
            </w:r>
          </w:p>
          <w:p w:rsidR="00B55384" w:rsidRDefault="00B55384" w:rsidP="00B55384">
            <w:pPr>
              <w:rPr>
                <w:rFonts w:eastAsia="Calibri" w:cs="Times New Roman"/>
                <w:color w:val="000000" w:themeColor="text1"/>
              </w:rPr>
            </w:pPr>
            <w:r w:rsidRPr="0052651D">
              <w:rPr>
                <w:rFonts w:eastAsia="Times New Roman" w:cs="Times New Roman"/>
                <w:color w:val="000000" w:themeColor="text1"/>
                <w:lang w:eastAsia="lv-LV"/>
              </w:rPr>
              <w:t>Veselības aprūpes darba devēju asociācija</w:t>
            </w:r>
          </w:p>
          <w:p w:rsidR="00B55384" w:rsidRDefault="00B55384" w:rsidP="00B55384">
            <w:pPr>
              <w:rPr>
                <w:rFonts w:eastAsia="Times New Roman" w:cs="Times New Roman"/>
                <w:color w:val="000000" w:themeColor="text1"/>
                <w:lang w:eastAsia="lv-LV"/>
              </w:rPr>
            </w:pPr>
            <w:r w:rsidRPr="0052651D">
              <w:rPr>
                <w:rFonts w:eastAsia="Calibri" w:cs="Times New Roman"/>
                <w:color w:val="000000" w:themeColor="text1"/>
              </w:rPr>
              <w:t>Vides aizsardzības un reģionālas attīstības ministrija</w:t>
            </w:r>
          </w:p>
          <w:p w:rsidR="00B55384" w:rsidRPr="0052651D" w:rsidRDefault="00B55384" w:rsidP="00B55384">
            <w:pPr>
              <w:rPr>
                <w:rFonts w:eastAsia="Times New Roman" w:cs="Times New Roman"/>
                <w:color w:val="000000" w:themeColor="text1"/>
                <w:lang w:eastAsia="lv-LV"/>
              </w:rPr>
            </w:pPr>
            <w:r w:rsidRPr="0052651D">
              <w:rPr>
                <w:rFonts w:eastAsia="Times New Roman" w:cs="Times New Roman"/>
                <w:color w:val="000000" w:themeColor="text1"/>
                <w:lang w:eastAsia="lv-LV"/>
              </w:rPr>
              <w:t>Valsts drošības dienests</w:t>
            </w:r>
          </w:p>
          <w:p w:rsidR="00B55384" w:rsidRPr="0052651D" w:rsidRDefault="00B55384" w:rsidP="00B55384">
            <w:pPr>
              <w:rPr>
                <w:rFonts w:eastAsia="Times New Roman" w:cs="Times New Roman"/>
                <w:color w:val="000000" w:themeColor="text1"/>
                <w:lang w:eastAsia="lv-LV"/>
              </w:rPr>
            </w:pPr>
            <w:r w:rsidRPr="0052651D">
              <w:rPr>
                <w:rFonts w:eastAsia="Calibri" w:cs="Times New Roman"/>
                <w:color w:val="000000" w:themeColor="text1"/>
              </w:rPr>
              <w:t>Valsts darba inspekcija</w:t>
            </w:r>
          </w:p>
          <w:p w:rsidR="00B55384" w:rsidRPr="0052651D" w:rsidRDefault="00B55384" w:rsidP="00B55384">
            <w:pPr>
              <w:rPr>
                <w:rFonts w:eastAsia="Times New Roman" w:cs="Times New Roman"/>
                <w:color w:val="000000" w:themeColor="text1"/>
                <w:lang w:eastAsia="lv-LV"/>
              </w:rPr>
            </w:pPr>
            <w:r w:rsidRPr="0052651D">
              <w:rPr>
                <w:rFonts w:eastAsia="Calibri" w:cs="Times New Roman"/>
                <w:color w:val="000000" w:themeColor="text1"/>
              </w:rPr>
              <w:t>Veselības inspekcija</w:t>
            </w:r>
          </w:p>
          <w:p w:rsidR="00B55384" w:rsidRPr="0052651D" w:rsidRDefault="00B55384" w:rsidP="00B55384">
            <w:pPr>
              <w:rPr>
                <w:rFonts w:eastAsia="Times New Roman" w:cs="Times New Roman"/>
                <w:color w:val="000000" w:themeColor="text1"/>
                <w:lang w:eastAsia="lv-LV"/>
              </w:rPr>
            </w:pPr>
            <w:r w:rsidRPr="0052651D">
              <w:rPr>
                <w:rFonts w:eastAsia="Times New Roman" w:cs="Times New Roman"/>
                <w:color w:val="000000" w:themeColor="text1"/>
                <w:lang w:eastAsia="lv-LV"/>
              </w:rPr>
              <w:t>Valsts ieņēmumu dienests</w:t>
            </w:r>
          </w:p>
          <w:p w:rsidR="00B55384" w:rsidRPr="0052651D" w:rsidRDefault="00B55384" w:rsidP="00B55384">
            <w:pPr>
              <w:rPr>
                <w:rFonts w:eastAsia="Times New Roman" w:cs="Times New Roman"/>
                <w:color w:val="000000" w:themeColor="text1"/>
                <w:lang w:eastAsia="lv-LV"/>
              </w:rPr>
            </w:pPr>
            <w:r w:rsidRPr="0052651D">
              <w:rPr>
                <w:rFonts w:ascii="Times New Roman,Calibri" w:eastAsia="Times New Roman,Calibri" w:hAnsi="Times New Roman,Calibri" w:cs="Times New Roman,Calibri"/>
                <w:color w:val="000000" w:themeColor="text1"/>
              </w:rPr>
              <w:t>Veselības ministrija</w:t>
            </w:r>
          </w:p>
          <w:p w:rsidR="00B55384" w:rsidRPr="0052651D" w:rsidRDefault="00B55384" w:rsidP="00B55384">
            <w:pPr>
              <w:rPr>
                <w:rFonts w:eastAsia="Times New Roman" w:cs="Times New Roman"/>
                <w:color w:val="000000" w:themeColor="text1"/>
                <w:lang w:eastAsia="lv-LV"/>
              </w:rPr>
            </w:pPr>
            <w:r w:rsidRPr="0052651D">
              <w:rPr>
                <w:rFonts w:eastAsia="Times New Roman" w:cs="Times New Roman"/>
                <w:color w:val="000000" w:themeColor="text1"/>
                <w:lang w:eastAsia="lv-LV"/>
              </w:rPr>
              <w:t>Valsts policija</w:t>
            </w:r>
          </w:p>
          <w:p w:rsidR="00B55384" w:rsidRPr="0052651D" w:rsidRDefault="00B55384" w:rsidP="00B55384">
            <w:pPr>
              <w:rPr>
                <w:rFonts w:eastAsia="Times New Roman" w:cs="Times New Roman"/>
                <w:color w:val="000000" w:themeColor="text1"/>
                <w:lang w:eastAsia="lv-LV"/>
              </w:rPr>
            </w:pPr>
            <w:r w:rsidRPr="0052651D">
              <w:rPr>
                <w:rFonts w:eastAsia="Times New Roman" w:cs="Times New Roman"/>
                <w:color w:val="000000" w:themeColor="text1"/>
                <w:lang w:eastAsia="lv-LV"/>
              </w:rPr>
              <w:t>Valsts robežsardze</w:t>
            </w:r>
          </w:p>
          <w:p w:rsidR="00B55384" w:rsidRPr="0052651D" w:rsidRDefault="00B55384" w:rsidP="00B55384">
            <w:pPr>
              <w:rPr>
                <w:rFonts w:eastAsia="Times New Roman" w:cs="Times New Roman"/>
                <w:color w:val="000000" w:themeColor="text1"/>
                <w:lang w:eastAsia="lv-LV"/>
              </w:rPr>
            </w:pPr>
            <w:r w:rsidRPr="0052651D">
              <w:rPr>
                <w:rFonts w:eastAsia="Calibri" w:cs="Times New Roman"/>
                <w:color w:val="000000" w:themeColor="text1"/>
              </w:rPr>
              <w:t>Valsts sociālās obligātās apdrošināšanas iemaksas</w:t>
            </w:r>
          </w:p>
          <w:p w:rsidR="00B55384" w:rsidRPr="0052651D" w:rsidRDefault="00B55384" w:rsidP="00B55384">
            <w:pPr>
              <w:rPr>
                <w:rFonts w:eastAsia="Times New Roman" w:cs="Times New Roman"/>
                <w:color w:val="000000" w:themeColor="text1"/>
                <w:lang w:eastAsia="lv-LV"/>
              </w:rPr>
            </w:pPr>
            <w:r w:rsidRPr="0052651D">
              <w:rPr>
                <w:rFonts w:eastAsia="Times New Roman" w:cs="Times New Roman"/>
                <w:color w:val="000000" w:themeColor="text1"/>
                <w:lang w:eastAsia="lv-LV"/>
              </w:rPr>
              <w:t>Valsts ugunsdzēsības un glābšanas dienests</w:t>
            </w:r>
          </w:p>
          <w:p w:rsidR="00B55384" w:rsidRPr="0052651D" w:rsidRDefault="00B55384" w:rsidP="00B55384">
            <w:pPr>
              <w:rPr>
                <w:rFonts w:eastAsia="Times New Roman" w:cs="Times New Roman"/>
                <w:color w:val="000000" w:themeColor="text1"/>
                <w:lang w:eastAsia="lv-LV"/>
              </w:rPr>
            </w:pPr>
            <w:r w:rsidRPr="0052651D">
              <w:rPr>
                <w:rFonts w:eastAsia="Times New Roman" w:cs="Times New Roman"/>
                <w:color w:val="000000" w:themeColor="text1"/>
                <w:lang w:eastAsia="lv-LV"/>
              </w:rPr>
              <w:t>Valsts vides dienests</w:t>
            </w:r>
          </w:p>
          <w:p w:rsidR="00B55384" w:rsidRDefault="00B55384" w:rsidP="00B55384">
            <w:pPr>
              <w:rPr>
                <w:rFonts w:eastAsia="Times New Roman" w:cs="Times New Roman"/>
                <w:color w:val="000000" w:themeColor="text1"/>
                <w:lang w:eastAsia="lv-LV"/>
              </w:rPr>
            </w:pPr>
            <w:r w:rsidRPr="0052651D">
              <w:rPr>
                <w:rFonts w:eastAsia="Times New Roman" w:cs="Times New Roman"/>
                <w:color w:val="000000" w:themeColor="text1"/>
                <w:lang w:eastAsia="lv-LV"/>
              </w:rPr>
              <w:t>Zemkopības ministrija</w:t>
            </w:r>
          </w:p>
          <w:p w:rsidR="00B55384" w:rsidRPr="0052651D" w:rsidRDefault="00B55384" w:rsidP="00ED07E4">
            <w:pPr>
              <w:rPr>
                <w:rFonts w:eastAsia="Times New Roman" w:cs="Times New Roman"/>
                <w:color w:val="000000" w:themeColor="text1"/>
                <w:lang w:eastAsia="lv-LV"/>
              </w:rPr>
            </w:pPr>
            <w:r w:rsidRPr="00265889">
              <w:rPr>
                <w:rFonts w:eastAsia="Times New Roman" w:cs="Times New Roman"/>
                <w:color w:val="000000" w:themeColor="text1"/>
                <w:lang w:eastAsia="lv-LV"/>
              </w:rPr>
              <w:t>Zāļu valsts aģentūra</w:t>
            </w:r>
          </w:p>
        </w:tc>
      </w:tr>
    </w:tbl>
    <w:p w:rsidR="009E054A" w:rsidRPr="002A2B61" w:rsidRDefault="00287767">
      <w:pPr>
        <w:rPr>
          <w:rFonts w:eastAsia="Times New Roman" w:cs="Times New Roman"/>
          <w:b/>
          <w:bCs/>
          <w:kern w:val="36"/>
          <w:sz w:val="4"/>
          <w:szCs w:val="6"/>
          <w:lang w:eastAsia="en-GB"/>
        </w:rPr>
      </w:pPr>
      <w:r w:rsidRPr="002A2B61">
        <w:rPr>
          <w:sz w:val="16"/>
          <w:szCs w:val="20"/>
        </w:rPr>
        <w:br w:type="textWrapping" w:clear="all"/>
      </w:r>
      <w:r w:rsidR="009E054A" w:rsidRPr="002A2B61">
        <w:rPr>
          <w:sz w:val="2"/>
          <w:szCs w:val="6"/>
        </w:rPr>
        <w:br w:type="page"/>
      </w:r>
    </w:p>
    <w:p w:rsidR="00C23DA0" w:rsidRPr="00336530" w:rsidRDefault="00C23DA0" w:rsidP="00D31E60">
      <w:pPr>
        <w:pStyle w:val="Heading1"/>
        <w:numPr>
          <w:ilvl w:val="0"/>
          <w:numId w:val="11"/>
        </w:numPr>
        <w:spacing w:beforeAutospacing="0" w:afterAutospacing="0"/>
        <w:rPr>
          <w:szCs w:val="28"/>
          <w:lang w:val="lv-LV"/>
        </w:rPr>
      </w:pPr>
      <w:bookmarkStart w:id="2" w:name="_Toc86949435"/>
      <w:r w:rsidRPr="00336530">
        <w:rPr>
          <w:szCs w:val="28"/>
          <w:lang w:val="lv-LV"/>
        </w:rPr>
        <w:t>Kopsavilkums</w:t>
      </w:r>
      <w:bookmarkEnd w:id="2"/>
    </w:p>
    <w:p w:rsidR="00F404F2" w:rsidRDefault="00F404F2" w:rsidP="00F404F2"/>
    <w:p w:rsidR="00771C2A" w:rsidRDefault="00A14087" w:rsidP="003B5A2D">
      <w:pPr>
        <w:ind w:firstLine="720"/>
        <w:jc w:val="both"/>
      </w:pPr>
      <w:r>
        <w:t>Ēnu ekonomikas ierobežošanas p</w:t>
      </w:r>
      <w:r w:rsidR="00F404F2" w:rsidRPr="00F404F2">
        <w:t>lāns</w:t>
      </w:r>
      <w:r w:rsidR="00713F64">
        <w:t xml:space="preserve"> </w:t>
      </w:r>
      <w:r w:rsidR="00D63DF9" w:rsidRPr="00D63DF9">
        <w:t>2021.</w:t>
      </w:r>
      <w:r w:rsidR="00FB631A">
        <w:t>/</w:t>
      </w:r>
      <w:r w:rsidR="0095671B">
        <w:t>202</w:t>
      </w:r>
      <w:r w:rsidR="00826668">
        <w:t>2</w:t>
      </w:r>
      <w:r w:rsidR="0095671B">
        <w:t>. </w:t>
      </w:r>
      <w:r w:rsidR="00D63DF9" w:rsidRPr="00D63DF9">
        <w:t>gada</w:t>
      </w:r>
      <w:r w:rsidR="00170389">
        <w:t>m</w:t>
      </w:r>
      <w:r w:rsidR="00FB631A">
        <w:t xml:space="preserve"> </w:t>
      </w:r>
      <w:r w:rsidR="00713F64">
        <w:t>(turpmāk</w:t>
      </w:r>
      <w:r w:rsidR="003A04E4">
        <w:t xml:space="preserve"> </w:t>
      </w:r>
      <w:r w:rsidR="00171F21" w:rsidRPr="00435D8D">
        <w:rPr>
          <w:rFonts w:cs="Times New Roman"/>
          <w:bCs/>
        </w:rPr>
        <w:t>–</w:t>
      </w:r>
      <w:r w:rsidR="003A04E4">
        <w:rPr>
          <w:rFonts w:cs="Times New Roman"/>
          <w:bCs/>
        </w:rPr>
        <w:t xml:space="preserve"> </w:t>
      </w:r>
      <w:r w:rsidR="00260DEA">
        <w:t>p</w:t>
      </w:r>
      <w:r w:rsidR="00713F64">
        <w:t>lāns)</w:t>
      </w:r>
      <w:r w:rsidR="00F404F2" w:rsidRPr="00F404F2">
        <w:t xml:space="preserve"> ir izstrādāts</w:t>
      </w:r>
      <w:r w:rsidR="00F404F2">
        <w:t xml:space="preserve">, lai turpinātu </w:t>
      </w:r>
      <w:r w:rsidR="00FC6F70">
        <w:t xml:space="preserve">valsts pārvaldes </w:t>
      </w:r>
      <w:r w:rsidRPr="004B6C12">
        <w:t>iestāžu sadarbību</w:t>
      </w:r>
      <w:r w:rsidR="00771C2A">
        <w:t>, mērķtiecīgi</w:t>
      </w:r>
      <w:r>
        <w:t xml:space="preserve"> </w:t>
      </w:r>
      <w:r w:rsidR="00771C2A">
        <w:t xml:space="preserve">veicot pasākumus noteiktas ēnu ekonomikas problēmas mazināšanai un </w:t>
      </w:r>
      <w:r w:rsidR="00FC6F70">
        <w:t>ierobežojot</w:t>
      </w:r>
      <w:r>
        <w:t xml:space="preserve"> </w:t>
      </w:r>
      <w:r w:rsidRPr="004B6C12">
        <w:t>ēnu ekonomik</w:t>
      </w:r>
      <w:r>
        <w:t>u</w:t>
      </w:r>
      <w:r w:rsidR="00771C2A">
        <w:t xml:space="preserve"> kopumā</w:t>
      </w:r>
      <w:r w:rsidR="006F0985">
        <w:t>.</w:t>
      </w:r>
      <w:r w:rsidR="00771C2A">
        <w:t xml:space="preserve"> </w:t>
      </w:r>
    </w:p>
    <w:p w:rsidR="002C2A26" w:rsidRPr="00087D43" w:rsidRDefault="002C2A26" w:rsidP="003B5A2D">
      <w:pPr>
        <w:ind w:right="142" w:firstLine="720"/>
        <w:jc w:val="both"/>
        <w:rPr>
          <w:rFonts w:cs="Times New Roman"/>
        </w:rPr>
      </w:pPr>
      <w:r w:rsidRPr="00087D43">
        <w:rPr>
          <w:rFonts w:cs="Times New Roman"/>
        </w:rPr>
        <w:t>Plānā 2016.</w:t>
      </w:r>
      <w:r w:rsidRPr="00435D8D">
        <w:rPr>
          <w:rFonts w:eastAsia="Calibri" w:cs="Times New Roman"/>
        </w:rPr>
        <w:t>–</w:t>
      </w:r>
      <w:r w:rsidRPr="00087D43">
        <w:rPr>
          <w:rFonts w:cs="Times New Roman"/>
        </w:rPr>
        <w:t>2020.</w:t>
      </w:r>
      <w:r w:rsidR="002548F1">
        <w:rPr>
          <w:rFonts w:cs="Times New Roman"/>
        </w:rPr>
        <w:t> </w:t>
      </w:r>
      <w:r w:rsidRPr="00087D43">
        <w:rPr>
          <w:rFonts w:cs="Times New Roman"/>
        </w:rPr>
        <w:t xml:space="preserve">gadam ietverto uzdevumu izpilde ir devusi pozitīvu rezultātu ēnu ekonomikas mazināšanai, tomēr </w:t>
      </w:r>
      <w:r w:rsidR="008175EA">
        <w:rPr>
          <w:rFonts w:cs="Times New Roman"/>
        </w:rPr>
        <w:t>C</w:t>
      </w:r>
      <w:r w:rsidR="004934FB">
        <w:rPr>
          <w:rFonts w:cs="Times New Roman"/>
        </w:rPr>
        <w:t>ovid</w:t>
      </w:r>
      <w:r w:rsidR="00D619C9">
        <w:rPr>
          <w:rFonts w:cs="Times New Roman"/>
        </w:rPr>
        <w:t>-19 pandēmijas izraisītās sekas</w:t>
      </w:r>
      <w:r w:rsidRPr="00087D43">
        <w:rPr>
          <w:rFonts w:cs="Times New Roman"/>
        </w:rPr>
        <w:t xml:space="preserve">, jaunu komercdarbību formu rašanās, digitālās vides izmantošana komercdarbībā, pieaugošie </w:t>
      </w:r>
      <w:proofErr w:type="spellStart"/>
      <w:r w:rsidRPr="00087D43">
        <w:rPr>
          <w:rFonts w:cs="Times New Roman"/>
        </w:rPr>
        <w:t>kibernoziedzības</w:t>
      </w:r>
      <w:proofErr w:type="spellEnd"/>
      <w:r w:rsidRPr="00087D43">
        <w:rPr>
          <w:rFonts w:cs="Times New Roman"/>
        </w:rPr>
        <w:t xml:space="preserve"> riski, kā arī citi faktori nosaka nepieciešamību meklēt jaunus veidus mērķtiecīgu pasākumu īstenošanai, kuru rezultātā tiktu panākts noteikts un izmērāms efekts ēnu ekonomikas samazinājumā kopumā vai noteiktā tautsaimniecības nozarē.</w:t>
      </w:r>
      <w:r>
        <w:rPr>
          <w:rFonts w:cs="Times New Roman"/>
        </w:rPr>
        <w:t xml:space="preserve"> </w:t>
      </w:r>
      <w:r w:rsidR="00523DF7">
        <w:rPr>
          <w:rFonts w:cs="Times New Roman"/>
        </w:rPr>
        <w:t>P</w:t>
      </w:r>
      <w:r w:rsidRPr="00087D43">
        <w:rPr>
          <w:rFonts w:cs="Times New Roman"/>
        </w:rPr>
        <w:t>lān</w:t>
      </w:r>
      <w:r w:rsidR="00523DF7">
        <w:rPr>
          <w:rFonts w:cs="Times New Roman"/>
        </w:rPr>
        <w:t>s ir veidots,</w:t>
      </w:r>
      <w:r w:rsidRPr="00087D43">
        <w:rPr>
          <w:rFonts w:cs="Times New Roman"/>
        </w:rPr>
        <w:t xml:space="preserve"> ievērojot šādus nosacījumus:</w:t>
      </w:r>
    </w:p>
    <w:p w:rsidR="002C2A26" w:rsidRDefault="002C2A26" w:rsidP="003B5A2D">
      <w:pPr>
        <w:ind w:right="142" w:firstLine="720"/>
        <w:jc w:val="both"/>
        <w:rPr>
          <w:rFonts w:cs="Times New Roman"/>
        </w:rPr>
      </w:pPr>
      <w:r w:rsidRPr="00087D43">
        <w:rPr>
          <w:rFonts w:cs="Times New Roman"/>
        </w:rPr>
        <w:t>- ēnu ekonomiku veicinošu faktoru (cēloņu) identificēšana un novērtēšana</w:t>
      </w:r>
      <w:r>
        <w:rPr>
          <w:rFonts w:cs="Times New Roman"/>
        </w:rPr>
        <w:t xml:space="preserve"> konkrētas problēmas risinājumam</w:t>
      </w:r>
      <w:r w:rsidR="009A5C33">
        <w:rPr>
          <w:rFonts w:cs="Times New Roman"/>
        </w:rPr>
        <w:t>;</w:t>
      </w:r>
    </w:p>
    <w:p w:rsidR="00771C2A" w:rsidRPr="002C2A26" w:rsidRDefault="002C2A26" w:rsidP="003B5A2D">
      <w:pPr>
        <w:ind w:right="142" w:firstLine="720"/>
        <w:jc w:val="both"/>
        <w:rPr>
          <w:rFonts w:cs="Times New Roman"/>
        </w:rPr>
      </w:pPr>
      <w:r w:rsidRPr="00087D43">
        <w:rPr>
          <w:rFonts w:cs="Times New Roman"/>
        </w:rPr>
        <w:t>- iesaistīto iestāžu mērķtiecīgi īstenoti pasākumi noteiktu faktoru ietekmes mazināšanai.</w:t>
      </w:r>
    </w:p>
    <w:p w:rsidR="00523DF7" w:rsidRDefault="008C7D89" w:rsidP="003B5A2D">
      <w:pPr>
        <w:ind w:right="142" w:firstLine="720"/>
        <w:jc w:val="both"/>
        <w:rPr>
          <w:rFonts w:cs="Times New Roman"/>
        </w:rPr>
      </w:pPr>
      <w:r>
        <w:t xml:space="preserve">Ņemot vērā mūsdienu mainīgo </w:t>
      </w:r>
      <w:r w:rsidR="009A5C33">
        <w:t>vidi</w:t>
      </w:r>
      <w:r w:rsidR="00237168">
        <w:t>,</w:t>
      </w:r>
      <w:r>
        <w:t xml:space="preserve"> </w:t>
      </w:r>
      <w:r w:rsidR="000809C2">
        <w:t>identificējot nodokļu nomaksas riskus un jaunus</w:t>
      </w:r>
      <w:r w:rsidR="00171F21" w:rsidRPr="00CC63CE">
        <w:t xml:space="preserve"> ēnu ekonomiku iete</w:t>
      </w:r>
      <w:r w:rsidR="00171F21">
        <w:t>kmējošu</w:t>
      </w:r>
      <w:r w:rsidR="000809C2">
        <w:t>s</w:t>
      </w:r>
      <w:r w:rsidR="00171F21">
        <w:t xml:space="preserve"> faktoru</w:t>
      </w:r>
      <w:r w:rsidR="000809C2">
        <w:t>s</w:t>
      </w:r>
      <w:r w:rsidR="00237168">
        <w:t>, vienmēr pas</w:t>
      </w:r>
      <w:r w:rsidR="00CC1CB9">
        <w:t>t</w:t>
      </w:r>
      <w:r w:rsidR="00237168">
        <w:t>āv</w:t>
      </w:r>
      <w:r w:rsidR="00CC1CB9">
        <w:t xml:space="preserve"> </w:t>
      </w:r>
      <w:r w:rsidR="00237168">
        <w:t xml:space="preserve">iespēja </w:t>
      </w:r>
      <w:r w:rsidR="00523DF7">
        <w:rPr>
          <w:rFonts w:cs="Times New Roman"/>
        </w:rPr>
        <w:t>īstenot p</w:t>
      </w:r>
      <w:r w:rsidR="00237168">
        <w:rPr>
          <w:rFonts w:cs="Times New Roman"/>
        </w:rPr>
        <w:t>a</w:t>
      </w:r>
      <w:r w:rsidR="00523DF7">
        <w:rPr>
          <w:rFonts w:cs="Times New Roman"/>
        </w:rPr>
        <w:t>sākumus</w:t>
      </w:r>
      <w:r w:rsidR="009A5C33">
        <w:rPr>
          <w:rFonts w:cs="Times New Roman"/>
        </w:rPr>
        <w:t xml:space="preserve"> </w:t>
      </w:r>
      <w:r w:rsidR="00237168">
        <w:rPr>
          <w:rFonts w:cs="Times New Roman"/>
        </w:rPr>
        <w:t>paralēli apstip</w:t>
      </w:r>
      <w:r w:rsidR="009A5C33">
        <w:rPr>
          <w:rFonts w:cs="Times New Roman"/>
        </w:rPr>
        <w:t xml:space="preserve">rinātajam plānam, iekļaujot tos </w:t>
      </w:r>
      <w:r w:rsidR="009A5C33">
        <w:t>citos plānošanas dokumentos</w:t>
      </w:r>
      <w:r w:rsidR="00352A9D">
        <w:t>.</w:t>
      </w:r>
    </w:p>
    <w:p w:rsidR="00F404F2" w:rsidRDefault="00F404F2" w:rsidP="00F404F2"/>
    <w:p w:rsidR="002A2B61" w:rsidRDefault="002A2B61" w:rsidP="00F404F2"/>
    <w:p w:rsidR="00F404F2" w:rsidRPr="00336530" w:rsidRDefault="00F404F2" w:rsidP="00F404F2">
      <w:pPr>
        <w:pStyle w:val="Heading1"/>
        <w:spacing w:beforeAutospacing="0" w:afterAutospacing="0"/>
        <w:rPr>
          <w:szCs w:val="28"/>
          <w:lang w:val="lv-LV"/>
        </w:rPr>
      </w:pPr>
      <w:bookmarkStart w:id="3" w:name="_Toc86949436"/>
      <w:r w:rsidRPr="00336530">
        <w:rPr>
          <w:szCs w:val="28"/>
          <w:lang w:val="lv-LV"/>
        </w:rPr>
        <w:t>II</w:t>
      </w:r>
      <w:r w:rsidR="00674C2F" w:rsidRPr="00336530">
        <w:rPr>
          <w:szCs w:val="28"/>
          <w:lang w:val="lv-LV"/>
        </w:rPr>
        <w:t>.</w:t>
      </w:r>
      <w:r w:rsidRPr="00336530">
        <w:rPr>
          <w:szCs w:val="28"/>
          <w:lang w:val="lv-LV"/>
        </w:rPr>
        <w:t xml:space="preserve"> Esošās situācijas raksturojums</w:t>
      </w:r>
      <w:bookmarkEnd w:id="3"/>
    </w:p>
    <w:p w:rsidR="00171F21" w:rsidRPr="00657009" w:rsidRDefault="00171F21" w:rsidP="00F404F2">
      <w:pPr>
        <w:pStyle w:val="Heading1"/>
        <w:spacing w:beforeAutospacing="0" w:afterAutospacing="0"/>
        <w:rPr>
          <w:b w:val="0"/>
          <w:bCs w:val="0"/>
          <w:sz w:val="24"/>
          <w:szCs w:val="24"/>
          <w:lang w:val="lv-LV"/>
        </w:rPr>
      </w:pPr>
    </w:p>
    <w:p w:rsidR="003C1C9E" w:rsidRPr="00435D8D" w:rsidRDefault="00F404F2" w:rsidP="003B5A2D">
      <w:pPr>
        <w:ind w:right="142" w:firstLine="709"/>
        <w:jc w:val="both"/>
        <w:rPr>
          <w:rFonts w:eastAsia="Calibri" w:cs="Times New Roman"/>
        </w:rPr>
      </w:pPr>
      <w:r>
        <w:t>Ministru kabineta 2019.</w:t>
      </w:r>
      <w:r w:rsidR="000F7CCC">
        <w:t> </w:t>
      </w:r>
      <w:r>
        <w:t>gada 7.</w:t>
      </w:r>
      <w:r w:rsidR="000F7CCC">
        <w:t> </w:t>
      </w:r>
      <w:r>
        <w:t>maija rīkojuma Nr.</w:t>
      </w:r>
      <w:r w:rsidR="00C73014">
        <w:t> </w:t>
      </w:r>
      <w:r>
        <w:t>210 “Par Valdības rīcības plānu Deklarācijas par Artura Krišjāņa Kariņa vadītā Ministru kabineta iecerēto darbību īstenošanai”</w:t>
      </w:r>
      <w:r w:rsidR="00B551CD">
        <w:t> </w:t>
      </w:r>
      <w:r>
        <w:t>12.2.</w:t>
      </w:r>
      <w:r w:rsidR="000F7CCC">
        <w:t> </w:t>
      </w:r>
      <w:r>
        <w:t>punkts paredz t</w:t>
      </w:r>
      <w:r w:rsidRPr="00A02350">
        <w:t>urpinā</w:t>
      </w:r>
      <w:r>
        <w:t>t</w:t>
      </w:r>
      <w:r w:rsidRPr="00A02350">
        <w:t xml:space="preserve"> īstenot pasākumus ēnu ekonomikas ierobežošanai, prioritāri īstenojot pasākumus nodokļu samaksas uzlabošanai un godīgas konkurences veicināšanai tautsaimniecības nozarēs ar augstāko ēnu ekonomikas risku, lai sekmētu ekonomisko izaugsmi tautsaimniecībā kopumā.</w:t>
      </w:r>
      <w:r w:rsidR="00A14087">
        <w:t xml:space="preserve"> </w:t>
      </w:r>
      <w:r w:rsidR="00A14087" w:rsidRPr="004B6C12">
        <w:t xml:space="preserve">Ēnu ekonomikas īpatsvara samazināšana ir prioritārs uzdevums, kas ir svarīgs, lai nodrošinātu sabiedrības labklājības </w:t>
      </w:r>
      <w:r w:rsidR="00713F64">
        <w:t>līmeni</w:t>
      </w:r>
      <w:r w:rsidR="00713F64" w:rsidRPr="004B6C12">
        <w:t xml:space="preserve"> </w:t>
      </w:r>
      <w:r w:rsidR="00A14087" w:rsidRPr="004B6C12">
        <w:t xml:space="preserve">un </w:t>
      </w:r>
      <w:r w:rsidR="00713F64">
        <w:t xml:space="preserve">sekmētu </w:t>
      </w:r>
      <w:r w:rsidR="00A14087" w:rsidRPr="004B6C12">
        <w:t xml:space="preserve">tautsaimniecības </w:t>
      </w:r>
      <w:r w:rsidR="00A14087">
        <w:t xml:space="preserve">attīstību, tāpēc ir jāturpina īstenot </w:t>
      </w:r>
      <w:r w:rsidR="00A14087" w:rsidRPr="004B6C12">
        <w:t xml:space="preserve">valsts politiku ēnu ekonomikas ierobežošanā, veicinot iestāžu sadarbību un nostiprinot to </w:t>
      </w:r>
      <w:r w:rsidR="00A14087">
        <w:t>Plānā.</w:t>
      </w:r>
      <w:r w:rsidR="00CC63CE">
        <w:t xml:space="preserve"> </w:t>
      </w:r>
      <w:r w:rsidR="00592B4E">
        <w:t xml:space="preserve">Kopējo pasākumu īstenošanas </w:t>
      </w:r>
      <w:r w:rsidR="00592B4E">
        <w:rPr>
          <w:rFonts w:eastAsia="Calibri" w:cs="Times New Roman"/>
        </w:rPr>
        <w:t>d</w:t>
      </w:r>
      <w:r w:rsidR="003C1C9E" w:rsidRPr="00435D8D">
        <w:rPr>
          <w:rFonts w:eastAsia="Calibri" w:cs="Times New Roman"/>
        </w:rPr>
        <w:t>arba rezultātā ir noteikts sasniedzamais mērķis 2022.</w:t>
      </w:r>
      <w:r w:rsidR="00C73014">
        <w:rPr>
          <w:rFonts w:eastAsia="Calibri" w:cs="Times New Roman"/>
        </w:rPr>
        <w:t> </w:t>
      </w:r>
      <w:r w:rsidR="003C1C9E" w:rsidRPr="00435D8D">
        <w:rPr>
          <w:rFonts w:eastAsia="Calibri" w:cs="Times New Roman"/>
        </w:rPr>
        <w:t xml:space="preserve">gadā Latvijā sasniegt Eiropas valstīs esošās ēnu ekonomikas īpatsvara vidējo rādītāju. </w:t>
      </w:r>
    </w:p>
    <w:p w:rsidR="00435D8D" w:rsidRPr="00435D8D" w:rsidRDefault="00435D8D" w:rsidP="003B5A2D">
      <w:pPr>
        <w:ind w:right="142" w:firstLine="709"/>
        <w:jc w:val="both"/>
        <w:rPr>
          <w:rFonts w:eastAsia="Calibri" w:cs="Times New Roman"/>
        </w:rPr>
      </w:pPr>
      <w:r w:rsidRPr="00435D8D">
        <w:rPr>
          <w:rFonts w:eastAsia="Calibri" w:cs="Times New Roman"/>
        </w:rPr>
        <w:t>Saskaņā ar Latvijas pētnieku Dr.</w:t>
      </w:r>
      <w:r w:rsidR="009A5C33">
        <w:rPr>
          <w:rFonts w:eastAsia="Calibri" w:cs="Times New Roman"/>
        </w:rPr>
        <w:t> </w:t>
      </w:r>
      <w:r w:rsidRPr="00435D8D">
        <w:rPr>
          <w:rFonts w:eastAsia="Calibri" w:cs="Times New Roman"/>
        </w:rPr>
        <w:t>A.</w:t>
      </w:r>
      <w:r w:rsidR="009A5C33">
        <w:rPr>
          <w:rFonts w:eastAsia="Calibri" w:cs="Times New Roman"/>
        </w:rPr>
        <w:t> </w:t>
      </w:r>
      <w:r w:rsidRPr="00435D8D">
        <w:rPr>
          <w:rFonts w:eastAsia="Calibri" w:cs="Times New Roman"/>
        </w:rPr>
        <w:t>Saukas un Dr.</w:t>
      </w:r>
      <w:r w:rsidR="009A5C33">
        <w:rPr>
          <w:rFonts w:eastAsia="Calibri" w:cs="Times New Roman"/>
        </w:rPr>
        <w:t> </w:t>
      </w:r>
      <w:r w:rsidRPr="00435D8D">
        <w:rPr>
          <w:rFonts w:eastAsia="Calibri" w:cs="Times New Roman"/>
        </w:rPr>
        <w:t>T.</w:t>
      </w:r>
      <w:r w:rsidR="009A5C33">
        <w:rPr>
          <w:rFonts w:eastAsia="Calibri" w:cs="Times New Roman"/>
        </w:rPr>
        <w:t> </w:t>
      </w:r>
      <w:r w:rsidRPr="00435D8D">
        <w:rPr>
          <w:rFonts w:eastAsia="Calibri" w:cs="Times New Roman"/>
        </w:rPr>
        <w:t>Putniņa pētījumu ēnu ekonomikas īpatsvars Latvijā 20</w:t>
      </w:r>
      <w:r w:rsidR="00CD38C5">
        <w:rPr>
          <w:rFonts w:eastAsia="Calibri" w:cs="Times New Roman"/>
        </w:rPr>
        <w:t>20</w:t>
      </w:r>
      <w:r w:rsidRPr="00435D8D">
        <w:rPr>
          <w:rFonts w:eastAsia="Calibri" w:cs="Times New Roman"/>
        </w:rPr>
        <w:t>.</w:t>
      </w:r>
      <w:r w:rsidR="00C73014">
        <w:rPr>
          <w:rFonts w:eastAsia="Calibri" w:cs="Times New Roman"/>
        </w:rPr>
        <w:t> </w:t>
      </w:r>
      <w:r w:rsidRPr="00435D8D">
        <w:rPr>
          <w:rFonts w:eastAsia="Calibri" w:cs="Times New Roman"/>
        </w:rPr>
        <w:t>gadā bija 2</w:t>
      </w:r>
      <w:r w:rsidR="00EA11FB">
        <w:rPr>
          <w:rFonts w:eastAsia="Calibri" w:cs="Times New Roman"/>
        </w:rPr>
        <w:t>5,5</w:t>
      </w:r>
      <w:r w:rsidR="00746930">
        <w:rPr>
          <w:rFonts w:eastAsia="Calibri" w:cs="Times New Roman"/>
        </w:rPr>
        <w:t> </w:t>
      </w:r>
      <w:r w:rsidRPr="00435D8D">
        <w:rPr>
          <w:rFonts w:eastAsia="Calibri" w:cs="Times New Roman"/>
        </w:rPr>
        <w:t>% no IKP, savukārt saskaņā ar austriešu ekonomikas profesora Dr.</w:t>
      </w:r>
      <w:r w:rsidR="009A5C33">
        <w:rPr>
          <w:rFonts w:eastAsia="Calibri" w:cs="Times New Roman"/>
        </w:rPr>
        <w:t> </w:t>
      </w:r>
      <w:r w:rsidRPr="00435D8D">
        <w:rPr>
          <w:rFonts w:eastAsia="Calibri" w:cs="Times New Roman"/>
        </w:rPr>
        <w:t>F.</w:t>
      </w:r>
      <w:r w:rsidR="009A5C33">
        <w:rPr>
          <w:rFonts w:eastAsia="Calibri" w:cs="Times New Roman"/>
        </w:rPr>
        <w:t> </w:t>
      </w:r>
      <w:r w:rsidRPr="00435D8D">
        <w:rPr>
          <w:rFonts w:eastAsia="Calibri" w:cs="Times New Roman"/>
        </w:rPr>
        <w:t>Šneidera pētījumu</w:t>
      </w:r>
      <w:r w:rsidR="008C6B4D">
        <w:rPr>
          <w:rFonts w:eastAsia="Calibri" w:cs="Times New Roman"/>
        </w:rPr>
        <w:t xml:space="preserve"> </w:t>
      </w:r>
      <w:r w:rsidR="00C31C9B" w:rsidRPr="0013432E">
        <w:rPr>
          <w:rFonts w:eastAsia="Calibri" w:cs="Times New Roman"/>
        </w:rPr>
        <w:t xml:space="preserve">ēnu ekonomikas īpatsvars Latvijā </w:t>
      </w:r>
      <w:r w:rsidR="00C31C9B">
        <w:rPr>
          <w:rFonts w:eastAsia="Calibri" w:cs="Times New Roman"/>
        </w:rPr>
        <w:t>turpināja samazināties un 2019.</w:t>
      </w:r>
      <w:r w:rsidR="00C73014">
        <w:rPr>
          <w:rFonts w:eastAsia="Calibri" w:cs="Times New Roman"/>
        </w:rPr>
        <w:t> </w:t>
      </w:r>
      <w:r w:rsidR="00C31C9B">
        <w:rPr>
          <w:rFonts w:eastAsia="Calibri" w:cs="Times New Roman"/>
        </w:rPr>
        <w:t>gadā tas veidoja</w:t>
      </w:r>
      <w:r w:rsidR="008C6B4D">
        <w:rPr>
          <w:rFonts w:eastAsia="Calibri" w:cs="Times New Roman"/>
        </w:rPr>
        <w:t xml:space="preserve"> </w:t>
      </w:r>
      <w:r w:rsidRPr="00435D8D">
        <w:rPr>
          <w:rFonts w:eastAsia="Calibri" w:cs="Times New Roman"/>
        </w:rPr>
        <w:t>19,9</w:t>
      </w:r>
      <w:r w:rsidR="00746930">
        <w:rPr>
          <w:rFonts w:eastAsia="Calibri" w:cs="Times New Roman"/>
        </w:rPr>
        <w:t> </w:t>
      </w:r>
      <w:r w:rsidRPr="00435D8D">
        <w:rPr>
          <w:rFonts w:eastAsia="Calibri" w:cs="Times New Roman"/>
        </w:rPr>
        <w:t>% no IKP</w:t>
      </w:r>
      <w:r w:rsidR="007C51B6" w:rsidRPr="007C51B6">
        <w:rPr>
          <w:rFonts w:eastAsia="Calibri" w:cs="Times New Roman"/>
          <w:vertAlign w:val="superscript"/>
        </w:rPr>
        <w:footnoteReference w:id="1"/>
      </w:r>
      <w:r w:rsidRPr="00435D8D">
        <w:rPr>
          <w:rFonts w:eastAsia="Calibri" w:cs="Times New Roman"/>
        </w:rPr>
        <w:t>, bet vidējais ēnu ekonomikas īpatsvars Eiropas valstīs</w:t>
      </w:r>
      <w:r w:rsidR="008C6B4D">
        <w:rPr>
          <w:rFonts w:eastAsia="Calibri" w:cs="Times New Roman"/>
        </w:rPr>
        <w:t xml:space="preserve"> </w:t>
      </w:r>
      <w:r w:rsidRPr="00435D8D">
        <w:rPr>
          <w:rFonts w:eastAsia="Calibri" w:cs="Times New Roman"/>
        </w:rPr>
        <w:t>–</w:t>
      </w:r>
      <w:r w:rsidR="008C6B4D">
        <w:rPr>
          <w:rFonts w:eastAsia="Calibri" w:cs="Times New Roman"/>
        </w:rPr>
        <w:t xml:space="preserve"> </w:t>
      </w:r>
      <w:r w:rsidRPr="00435D8D">
        <w:rPr>
          <w:rFonts w:eastAsia="Calibri" w:cs="Times New Roman"/>
        </w:rPr>
        <w:t>16</w:t>
      </w:r>
      <w:r w:rsidR="000F079B">
        <w:rPr>
          <w:rFonts w:eastAsia="Calibri" w:cs="Times New Roman"/>
        </w:rPr>
        <w:t>,</w:t>
      </w:r>
      <w:r w:rsidRPr="00435D8D">
        <w:rPr>
          <w:rFonts w:eastAsia="Calibri" w:cs="Times New Roman"/>
        </w:rPr>
        <w:t>3</w:t>
      </w:r>
      <w:r w:rsidR="00C73014">
        <w:rPr>
          <w:rFonts w:eastAsia="Calibri" w:cs="Times New Roman"/>
        </w:rPr>
        <w:t> </w:t>
      </w:r>
      <w:r w:rsidRPr="00435D8D">
        <w:rPr>
          <w:rFonts w:eastAsia="Calibri" w:cs="Times New Roman"/>
        </w:rPr>
        <w:t>%</w:t>
      </w:r>
      <w:r w:rsidR="0013432E" w:rsidRPr="0013432E">
        <w:t xml:space="preserve"> </w:t>
      </w:r>
      <w:r w:rsidR="0013432E" w:rsidRPr="0013432E">
        <w:rPr>
          <w:rFonts w:eastAsia="Calibri" w:cs="Times New Roman"/>
        </w:rPr>
        <w:t>no IKP.</w:t>
      </w:r>
    </w:p>
    <w:p w:rsidR="004C150D" w:rsidRDefault="00435D8D" w:rsidP="003B5A2D">
      <w:pPr>
        <w:ind w:firstLine="709"/>
        <w:jc w:val="both"/>
        <w:rPr>
          <w:rFonts w:eastAsia="Calibri" w:cs="Times New Roman"/>
        </w:rPr>
      </w:pPr>
      <w:r w:rsidRPr="00435D8D">
        <w:rPr>
          <w:rFonts w:eastAsia="Calibri" w:cs="Times New Roman"/>
        </w:rPr>
        <w:t xml:space="preserve">Jānorāda, ka dažādu pētījumu dati sniedz atšķirīgu novērtējumu par ēnu ekonomikas apmēriem Baltijas valstīs. Tā piemēram, Latvijas pētnieku </w:t>
      </w:r>
      <w:r w:rsidR="000F079B">
        <w:rPr>
          <w:rFonts w:eastAsia="Calibri" w:cs="Times New Roman"/>
        </w:rPr>
        <w:t xml:space="preserve">Dr. </w:t>
      </w:r>
      <w:r w:rsidRPr="00435D8D">
        <w:rPr>
          <w:rFonts w:eastAsia="Calibri" w:cs="Times New Roman"/>
        </w:rPr>
        <w:t>A.</w:t>
      </w:r>
      <w:r w:rsidR="00230B22">
        <w:rPr>
          <w:rFonts w:eastAsia="Calibri" w:cs="Times New Roman"/>
        </w:rPr>
        <w:t> </w:t>
      </w:r>
      <w:r w:rsidRPr="00435D8D">
        <w:rPr>
          <w:rFonts w:eastAsia="Calibri" w:cs="Times New Roman"/>
        </w:rPr>
        <w:t xml:space="preserve">Saukas un </w:t>
      </w:r>
      <w:r w:rsidR="000F079B">
        <w:rPr>
          <w:rFonts w:eastAsia="Calibri" w:cs="Times New Roman"/>
        </w:rPr>
        <w:t xml:space="preserve">Dr. </w:t>
      </w:r>
      <w:r w:rsidRPr="00435D8D">
        <w:rPr>
          <w:rFonts w:eastAsia="Calibri" w:cs="Times New Roman"/>
        </w:rPr>
        <w:t>T.</w:t>
      </w:r>
      <w:r w:rsidR="00230B22">
        <w:rPr>
          <w:rFonts w:eastAsia="Calibri" w:cs="Times New Roman"/>
        </w:rPr>
        <w:t> </w:t>
      </w:r>
      <w:r w:rsidRPr="00435D8D">
        <w:rPr>
          <w:rFonts w:eastAsia="Calibri" w:cs="Times New Roman"/>
        </w:rPr>
        <w:t>Putniņa pētījumu dati konsekventi norāda, ka Latvijā ēnu ekonomikas īpatsvars ir lielākais Baltijā. Turpretim, saskaņā ar pazīstamā pētnieka, Lincas universitātes profesora Dr.</w:t>
      </w:r>
      <w:r w:rsidR="009A5C33">
        <w:rPr>
          <w:rFonts w:eastAsia="Calibri" w:cs="Times New Roman"/>
        </w:rPr>
        <w:t> </w:t>
      </w:r>
      <w:r w:rsidRPr="00435D8D">
        <w:rPr>
          <w:rFonts w:eastAsia="Calibri" w:cs="Times New Roman"/>
        </w:rPr>
        <w:t>F.</w:t>
      </w:r>
      <w:r w:rsidR="009A5C33">
        <w:rPr>
          <w:rFonts w:eastAsia="Calibri" w:cs="Times New Roman"/>
        </w:rPr>
        <w:t> </w:t>
      </w:r>
      <w:r w:rsidRPr="00435D8D">
        <w:rPr>
          <w:rFonts w:eastAsia="Calibri" w:cs="Times New Roman"/>
        </w:rPr>
        <w:t xml:space="preserve">Šneidera pētījuma datiem </w:t>
      </w:r>
      <w:r w:rsidR="00CD38C5" w:rsidRPr="00435D8D">
        <w:rPr>
          <w:rFonts w:eastAsia="Calibri" w:cs="Times New Roman"/>
        </w:rPr>
        <w:t>2019</w:t>
      </w:r>
      <w:r w:rsidR="00CD38C5">
        <w:rPr>
          <w:rFonts w:eastAsia="Calibri" w:cs="Times New Roman"/>
        </w:rPr>
        <w:t>.</w:t>
      </w:r>
      <w:r w:rsidR="00C73014">
        <w:rPr>
          <w:rFonts w:eastAsia="Calibri" w:cs="Times New Roman"/>
        </w:rPr>
        <w:t> </w:t>
      </w:r>
      <w:r w:rsidR="00CD38C5" w:rsidRPr="00435D8D">
        <w:rPr>
          <w:rFonts w:eastAsia="Calibri" w:cs="Times New Roman"/>
        </w:rPr>
        <w:t xml:space="preserve">gadā </w:t>
      </w:r>
      <w:r w:rsidRPr="00435D8D">
        <w:rPr>
          <w:rFonts w:eastAsia="Calibri" w:cs="Times New Roman"/>
        </w:rPr>
        <w:t>ēnu ekonomikas īpatsvars Latvijā ir mazākais starp Baltijas valstīm: Latvija</w:t>
      </w:r>
      <w:r w:rsidR="008C6B4D">
        <w:rPr>
          <w:rFonts w:eastAsia="Calibri" w:cs="Times New Roman"/>
        </w:rPr>
        <w:t xml:space="preserve"> </w:t>
      </w:r>
      <w:r w:rsidRPr="00435D8D">
        <w:rPr>
          <w:rFonts w:eastAsia="Calibri" w:cs="Times New Roman"/>
        </w:rPr>
        <w:t>–</w:t>
      </w:r>
      <w:r w:rsidR="008C6B4D">
        <w:rPr>
          <w:rFonts w:eastAsia="Calibri" w:cs="Times New Roman"/>
        </w:rPr>
        <w:t xml:space="preserve"> </w:t>
      </w:r>
      <w:r w:rsidRPr="00435D8D">
        <w:rPr>
          <w:rFonts w:eastAsia="Calibri" w:cs="Times New Roman"/>
        </w:rPr>
        <w:t>19</w:t>
      </w:r>
      <w:r w:rsidR="000F079B">
        <w:rPr>
          <w:rFonts w:eastAsia="Calibri" w:cs="Times New Roman"/>
        </w:rPr>
        <w:t>,</w:t>
      </w:r>
      <w:r w:rsidRPr="00435D8D">
        <w:rPr>
          <w:rFonts w:eastAsia="Calibri" w:cs="Times New Roman"/>
        </w:rPr>
        <w:t>9</w:t>
      </w:r>
      <w:r w:rsidR="00746930">
        <w:rPr>
          <w:rFonts w:eastAsia="Calibri" w:cs="Times New Roman"/>
        </w:rPr>
        <w:t> </w:t>
      </w:r>
      <w:r w:rsidRPr="00435D8D">
        <w:rPr>
          <w:rFonts w:eastAsia="Calibri" w:cs="Times New Roman"/>
        </w:rPr>
        <w:t>%</w:t>
      </w:r>
      <w:r>
        <w:rPr>
          <w:rFonts w:eastAsia="Calibri" w:cs="Times New Roman"/>
        </w:rPr>
        <w:t>,</w:t>
      </w:r>
      <w:r w:rsidRPr="00435D8D">
        <w:rPr>
          <w:rFonts w:cs="Times New Roman"/>
          <w:b/>
        </w:rPr>
        <w:t xml:space="preserve"> </w:t>
      </w:r>
      <w:r w:rsidRPr="00435D8D">
        <w:rPr>
          <w:rFonts w:cs="Times New Roman"/>
          <w:bCs/>
        </w:rPr>
        <w:t>Lietuv</w:t>
      </w:r>
      <w:r w:rsidR="00702E21">
        <w:rPr>
          <w:rFonts w:cs="Times New Roman"/>
          <w:bCs/>
        </w:rPr>
        <w:t>a</w:t>
      </w:r>
      <w:r w:rsidR="008C6B4D">
        <w:rPr>
          <w:rFonts w:cs="Times New Roman"/>
          <w:bCs/>
        </w:rPr>
        <w:t xml:space="preserve"> </w:t>
      </w:r>
      <w:r w:rsidRPr="00435D8D">
        <w:rPr>
          <w:rFonts w:cs="Times New Roman"/>
          <w:bCs/>
        </w:rPr>
        <w:t>–</w:t>
      </w:r>
      <w:r w:rsidR="008C6B4D">
        <w:rPr>
          <w:rFonts w:cs="Times New Roman"/>
          <w:bCs/>
        </w:rPr>
        <w:t xml:space="preserve"> </w:t>
      </w:r>
      <w:r w:rsidRPr="00435D8D">
        <w:rPr>
          <w:rFonts w:cs="Times New Roman"/>
          <w:bCs/>
        </w:rPr>
        <w:t>21</w:t>
      </w:r>
      <w:r w:rsidR="000F079B">
        <w:rPr>
          <w:rFonts w:cs="Times New Roman"/>
          <w:bCs/>
        </w:rPr>
        <w:t>,</w:t>
      </w:r>
      <w:r w:rsidRPr="00435D8D">
        <w:rPr>
          <w:rFonts w:cs="Times New Roman"/>
          <w:bCs/>
        </w:rPr>
        <w:t>9</w:t>
      </w:r>
      <w:r w:rsidR="00746930">
        <w:rPr>
          <w:rFonts w:cs="Times New Roman"/>
          <w:bCs/>
        </w:rPr>
        <w:t> </w:t>
      </w:r>
      <w:r w:rsidRPr="00435D8D">
        <w:rPr>
          <w:rFonts w:cs="Times New Roman"/>
          <w:bCs/>
        </w:rPr>
        <w:t>%</w:t>
      </w:r>
      <w:r>
        <w:rPr>
          <w:rFonts w:cs="Times New Roman"/>
          <w:bCs/>
        </w:rPr>
        <w:t>,</w:t>
      </w:r>
      <w:r w:rsidRPr="00435D8D">
        <w:t xml:space="preserve"> </w:t>
      </w:r>
      <w:r w:rsidRPr="00435D8D">
        <w:rPr>
          <w:rFonts w:cs="Times New Roman"/>
          <w:bCs/>
        </w:rPr>
        <w:t>Igaunija</w:t>
      </w:r>
      <w:r w:rsidR="008C6B4D">
        <w:rPr>
          <w:rFonts w:cs="Times New Roman"/>
          <w:bCs/>
        </w:rPr>
        <w:t xml:space="preserve"> </w:t>
      </w:r>
      <w:r w:rsidRPr="00435D8D">
        <w:rPr>
          <w:rFonts w:cs="Times New Roman"/>
          <w:bCs/>
        </w:rPr>
        <w:t>–</w:t>
      </w:r>
      <w:r w:rsidR="008C6B4D">
        <w:rPr>
          <w:rFonts w:cs="Times New Roman"/>
          <w:bCs/>
        </w:rPr>
        <w:t xml:space="preserve"> </w:t>
      </w:r>
      <w:r w:rsidRPr="00435D8D">
        <w:rPr>
          <w:rFonts w:cs="Times New Roman"/>
          <w:bCs/>
        </w:rPr>
        <w:t>22</w:t>
      </w:r>
      <w:r w:rsidR="000F079B">
        <w:rPr>
          <w:rFonts w:cs="Times New Roman"/>
          <w:bCs/>
        </w:rPr>
        <w:t>,</w:t>
      </w:r>
      <w:r w:rsidRPr="00435D8D">
        <w:rPr>
          <w:rFonts w:cs="Times New Roman"/>
          <w:bCs/>
        </w:rPr>
        <w:t>1</w:t>
      </w:r>
      <w:r w:rsidR="00746930">
        <w:rPr>
          <w:rFonts w:cs="Times New Roman"/>
          <w:bCs/>
        </w:rPr>
        <w:t> </w:t>
      </w:r>
      <w:r w:rsidRPr="00435D8D">
        <w:rPr>
          <w:rFonts w:cs="Times New Roman"/>
          <w:bCs/>
        </w:rPr>
        <w:t>%</w:t>
      </w:r>
      <w:r w:rsidR="00CD38C5">
        <w:rPr>
          <w:rFonts w:cs="Times New Roman"/>
          <w:bCs/>
        </w:rPr>
        <w:t xml:space="preserve"> </w:t>
      </w:r>
      <w:r w:rsidR="00CD38C5" w:rsidRPr="00435D8D">
        <w:rPr>
          <w:rFonts w:eastAsia="Calibri" w:cs="Times New Roman"/>
        </w:rPr>
        <w:t>(dati par 2020.</w:t>
      </w:r>
      <w:r w:rsidR="009A5C33">
        <w:rPr>
          <w:rFonts w:eastAsia="Calibri" w:cs="Times New Roman"/>
        </w:rPr>
        <w:t> </w:t>
      </w:r>
      <w:r w:rsidR="00CD38C5" w:rsidRPr="00435D8D">
        <w:rPr>
          <w:rFonts w:eastAsia="Calibri" w:cs="Times New Roman"/>
        </w:rPr>
        <w:t>gadu nav pieejami)</w:t>
      </w:r>
      <w:r>
        <w:rPr>
          <w:rFonts w:cs="Times New Roman"/>
          <w:bCs/>
        </w:rPr>
        <w:t>.</w:t>
      </w:r>
      <w:r w:rsidR="00DE4B4A">
        <w:rPr>
          <w:rFonts w:cs="Times New Roman"/>
          <w:bCs/>
        </w:rPr>
        <w:t xml:space="preserve"> </w:t>
      </w:r>
      <w:r w:rsidR="00B82A44" w:rsidRPr="00B82A44">
        <w:rPr>
          <w:rFonts w:eastAsia="Calibri" w:cs="Times New Roman"/>
        </w:rPr>
        <w:t xml:space="preserve">Pamatojoties uz </w:t>
      </w:r>
      <w:r w:rsidR="000F079B">
        <w:rPr>
          <w:rFonts w:eastAsia="Calibri" w:cs="Times New Roman"/>
        </w:rPr>
        <w:t>Dr.</w:t>
      </w:r>
      <w:r w:rsidR="00814CEA">
        <w:rPr>
          <w:rFonts w:eastAsia="Calibri" w:cs="Times New Roman"/>
        </w:rPr>
        <w:t> </w:t>
      </w:r>
      <w:r w:rsidR="00B82A44" w:rsidRPr="00B82A44">
        <w:rPr>
          <w:rFonts w:eastAsia="Calibri" w:cs="Times New Roman"/>
        </w:rPr>
        <w:t>A.</w:t>
      </w:r>
      <w:r w:rsidR="00746930">
        <w:rPr>
          <w:rFonts w:eastAsia="Calibri" w:cs="Times New Roman"/>
        </w:rPr>
        <w:t> </w:t>
      </w:r>
      <w:r w:rsidR="00B82A44" w:rsidRPr="00B82A44">
        <w:rPr>
          <w:rFonts w:eastAsia="Calibri" w:cs="Times New Roman"/>
        </w:rPr>
        <w:t>Saukas pētījuma rezultātiem 20</w:t>
      </w:r>
      <w:r w:rsidR="00CD38C5">
        <w:rPr>
          <w:rFonts w:eastAsia="Calibri" w:cs="Times New Roman"/>
        </w:rPr>
        <w:t>20</w:t>
      </w:r>
      <w:r w:rsidR="00B82A44" w:rsidRPr="00B82A44">
        <w:rPr>
          <w:rFonts w:eastAsia="Calibri" w:cs="Times New Roman"/>
        </w:rPr>
        <w:t>.</w:t>
      </w:r>
      <w:r w:rsidR="00746930">
        <w:rPr>
          <w:rFonts w:eastAsia="Calibri" w:cs="Times New Roman"/>
        </w:rPr>
        <w:t> </w:t>
      </w:r>
      <w:r w:rsidR="00B82A44" w:rsidRPr="00B82A44">
        <w:rPr>
          <w:rFonts w:eastAsia="Calibri" w:cs="Times New Roman"/>
        </w:rPr>
        <w:t>gadā Latvijā nozīmīgākā ēnu ekonomikas komponente ir “aplokšņu algas</w:t>
      </w:r>
      <w:r w:rsidR="002572F0" w:rsidRPr="00B82A44">
        <w:rPr>
          <w:rFonts w:eastAsia="Calibri" w:cs="Times New Roman"/>
        </w:rPr>
        <w:t>”</w:t>
      </w:r>
      <w:r w:rsidR="00B82A44" w:rsidRPr="00B82A44">
        <w:rPr>
          <w:rFonts w:eastAsia="Calibri" w:cs="Times New Roman"/>
        </w:rPr>
        <w:t xml:space="preserve">, kas veido </w:t>
      </w:r>
      <w:r w:rsidR="002572F0">
        <w:rPr>
          <w:rFonts w:eastAsia="Calibri" w:cs="Times New Roman"/>
        </w:rPr>
        <w:t>4</w:t>
      </w:r>
      <w:r w:rsidR="00CD38C5">
        <w:rPr>
          <w:rFonts w:eastAsia="Calibri" w:cs="Times New Roman"/>
        </w:rPr>
        <w:t>6</w:t>
      </w:r>
      <w:r w:rsidR="00B82A44" w:rsidRPr="00B82A44">
        <w:rPr>
          <w:rFonts w:eastAsia="Calibri" w:cs="Times New Roman"/>
        </w:rPr>
        <w:t>,</w:t>
      </w:r>
      <w:r w:rsidR="00CD38C5">
        <w:rPr>
          <w:rFonts w:eastAsia="Calibri" w:cs="Times New Roman"/>
        </w:rPr>
        <w:t>9</w:t>
      </w:r>
      <w:r w:rsidR="00746930">
        <w:rPr>
          <w:rFonts w:eastAsia="Calibri" w:cs="Times New Roman"/>
        </w:rPr>
        <w:t> </w:t>
      </w:r>
      <w:r w:rsidR="00B82A44" w:rsidRPr="00B82A44">
        <w:rPr>
          <w:rFonts w:eastAsia="Calibri" w:cs="Times New Roman"/>
        </w:rPr>
        <w:t>%</w:t>
      </w:r>
      <w:r w:rsidR="00070674">
        <w:rPr>
          <w:rFonts w:eastAsia="Calibri" w:cs="Times New Roman"/>
        </w:rPr>
        <w:t xml:space="preserve"> no kopējās ēnu ekonomikas</w:t>
      </w:r>
      <w:r w:rsidR="00B82A44" w:rsidRPr="00B82A44">
        <w:rPr>
          <w:rFonts w:eastAsia="Calibri" w:cs="Times New Roman"/>
        </w:rPr>
        <w:t>, savukārt neuzrādīt</w:t>
      </w:r>
      <w:r w:rsidR="003F7C8C">
        <w:rPr>
          <w:rFonts w:eastAsia="Calibri" w:cs="Times New Roman"/>
        </w:rPr>
        <w:t>o</w:t>
      </w:r>
      <w:r w:rsidR="00B82A44" w:rsidRPr="00B82A44">
        <w:rPr>
          <w:rFonts w:eastAsia="Calibri" w:cs="Times New Roman"/>
        </w:rPr>
        <w:t xml:space="preserve"> ienākum</w:t>
      </w:r>
      <w:r w:rsidR="003F7C8C">
        <w:rPr>
          <w:rFonts w:eastAsia="Calibri" w:cs="Times New Roman"/>
        </w:rPr>
        <w:t>u</w:t>
      </w:r>
      <w:r w:rsidR="00B82A44" w:rsidRPr="00B82A44">
        <w:rPr>
          <w:rFonts w:eastAsia="Calibri" w:cs="Times New Roman"/>
        </w:rPr>
        <w:t xml:space="preserve"> un neuzrādīt</w:t>
      </w:r>
      <w:r w:rsidR="003F7C8C">
        <w:rPr>
          <w:rFonts w:eastAsia="Calibri" w:cs="Times New Roman"/>
        </w:rPr>
        <w:t>o</w:t>
      </w:r>
      <w:r w:rsidR="00B82A44" w:rsidRPr="00B82A44">
        <w:rPr>
          <w:rFonts w:eastAsia="Calibri" w:cs="Times New Roman"/>
        </w:rPr>
        <w:t xml:space="preserve"> darbiniek</w:t>
      </w:r>
      <w:r w:rsidR="003F7C8C">
        <w:rPr>
          <w:rFonts w:eastAsia="Calibri" w:cs="Times New Roman"/>
        </w:rPr>
        <w:t>u</w:t>
      </w:r>
      <w:r w:rsidR="00B82A44" w:rsidRPr="00B82A44">
        <w:rPr>
          <w:rFonts w:eastAsia="Calibri" w:cs="Times New Roman"/>
        </w:rPr>
        <w:t xml:space="preserve"> </w:t>
      </w:r>
      <w:r w:rsidR="003F7C8C">
        <w:rPr>
          <w:rFonts w:eastAsia="Calibri" w:cs="Times New Roman"/>
        </w:rPr>
        <w:t xml:space="preserve">komponente </w:t>
      </w:r>
      <w:r w:rsidR="00B82A44" w:rsidRPr="00B82A44">
        <w:rPr>
          <w:rFonts w:eastAsia="Calibri" w:cs="Times New Roman"/>
        </w:rPr>
        <w:t xml:space="preserve">attiecīgi </w:t>
      </w:r>
      <w:r w:rsidR="00070674">
        <w:rPr>
          <w:rFonts w:eastAsia="Calibri" w:cs="Times New Roman"/>
        </w:rPr>
        <w:t xml:space="preserve">veido </w:t>
      </w:r>
      <w:r w:rsidR="00CD38C5">
        <w:rPr>
          <w:rFonts w:eastAsia="Calibri" w:cs="Times New Roman"/>
        </w:rPr>
        <w:t>29,9</w:t>
      </w:r>
      <w:r w:rsidR="007E6A46">
        <w:rPr>
          <w:rFonts w:eastAsia="Calibri" w:cs="Times New Roman"/>
        </w:rPr>
        <w:t> </w:t>
      </w:r>
      <w:r w:rsidR="00B82A44" w:rsidRPr="00B82A44">
        <w:rPr>
          <w:rFonts w:eastAsia="Calibri" w:cs="Times New Roman"/>
        </w:rPr>
        <w:t xml:space="preserve">% un </w:t>
      </w:r>
      <w:r w:rsidR="00CA7D87">
        <w:rPr>
          <w:rFonts w:eastAsia="Calibri" w:cs="Times New Roman"/>
        </w:rPr>
        <w:t>23</w:t>
      </w:r>
      <w:r w:rsidR="00B82A44" w:rsidRPr="00B82A44">
        <w:rPr>
          <w:rFonts w:eastAsia="Calibri" w:cs="Times New Roman"/>
        </w:rPr>
        <w:t>,</w:t>
      </w:r>
      <w:r w:rsidR="00CD38C5">
        <w:rPr>
          <w:rFonts w:eastAsia="Calibri" w:cs="Times New Roman"/>
        </w:rPr>
        <w:t>2</w:t>
      </w:r>
      <w:r w:rsidR="007E6A46">
        <w:rPr>
          <w:rFonts w:eastAsia="Calibri" w:cs="Times New Roman"/>
        </w:rPr>
        <w:t> </w:t>
      </w:r>
      <w:r w:rsidR="00B82A44" w:rsidRPr="00B82A44">
        <w:rPr>
          <w:rFonts w:eastAsia="Calibri" w:cs="Times New Roman"/>
        </w:rPr>
        <w:t xml:space="preserve">%. </w:t>
      </w:r>
      <w:bookmarkStart w:id="4" w:name="_Hlk75857196"/>
      <w:r w:rsidR="00B82A44" w:rsidRPr="00B82A44">
        <w:rPr>
          <w:rFonts w:eastAsia="Calibri" w:cs="Times New Roman"/>
        </w:rPr>
        <w:t>Augstākais ēnu ekonomikas apjoms Latvijā 20</w:t>
      </w:r>
      <w:r w:rsidR="00CD38C5">
        <w:rPr>
          <w:rFonts w:eastAsia="Calibri" w:cs="Times New Roman"/>
        </w:rPr>
        <w:t>20</w:t>
      </w:r>
      <w:r w:rsidR="00B82A44" w:rsidRPr="00B82A44">
        <w:rPr>
          <w:rFonts w:eastAsia="Calibri" w:cs="Times New Roman"/>
        </w:rPr>
        <w:t>.</w:t>
      </w:r>
      <w:r w:rsidR="00746930">
        <w:rPr>
          <w:rFonts w:eastAsia="Calibri" w:cs="Times New Roman"/>
        </w:rPr>
        <w:t> </w:t>
      </w:r>
      <w:r w:rsidR="00B82A44" w:rsidRPr="00B82A44">
        <w:rPr>
          <w:rFonts w:eastAsia="Calibri" w:cs="Times New Roman"/>
        </w:rPr>
        <w:t xml:space="preserve">gadā, pamatojoties uz </w:t>
      </w:r>
      <w:r w:rsidR="005E7C16">
        <w:rPr>
          <w:rFonts w:eastAsia="Calibri" w:cs="Times New Roman"/>
        </w:rPr>
        <w:t>Dr. </w:t>
      </w:r>
      <w:r w:rsidR="00B82A44" w:rsidRPr="00B82A44">
        <w:rPr>
          <w:rFonts w:eastAsia="Calibri" w:cs="Times New Roman"/>
        </w:rPr>
        <w:t>A.</w:t>
      </w:r>
      <w:r w:rsidR="005E7C16">
        <w:rPr>
          <w:rFonts w:eastAsia="Calibri" w:cs="Times New Roman"/>
        </w:rPr>
        <w:t> </w:t>
      </w:r>
      <w:r w:rsidR="00B82A44" w:rsidRPr="00B82A44">
        <w:rPr>
          <w:rFonts w:eastAsia="Calibri" w:cs="Times New Roman"/>
        </w:rPr>
        <w:t>Saukas pētījumu, ir būvniecības nozarē</w:t>
      </w:r>
      <w:r w:rsidR="008C6B4D">
        <w:rPr>
          <w:rFonts w:eastAsia="Calibri" w:cs="Times New Roman"/>
        </w:rPr>
        <w:t xml:space="preserve"> </w:t>
      </w:r>
      <w:r w:rsidR="00B82A44" w:rsidRPr="00B82A44">
        <w:rPr>
          <w:rFonts w:eastAsia="Calibri" w:cs="Times New Roman"/>
        </w:rPr>
        <w:t>–</w:t>
      </w:r>
      <w:r w:rsidR="008C6B4D">
        <w:rPr>
          <w:rFonts w:eastAsia="Calibri" w:cs="Times New Roman"/>
        </w:rPr>
        <w:t xml:space="preserve"> </w:t>
      </w:r>
      <w:r w:rsidR="00EA11FB">
        <w:rPr>
          <w:rFonts w:eastAsia="Calibri" w:cs="Times New Roman"/>
        </w:rPr>
        <w:t>28,7</w:t>
      </w:r>
      <w:r w:rsidR="00746930">
        <w:rPr>
          <w:rFonts w:eastAsia="Calibri" w:cs="Times New Roman"/>
        </w:rPr>
        <w:t> </w:t>
      </w:r>
      <w:r w:rsidR="00B82A44" w:rsidRPr="00B82A44">
        <w:rPr>
          <w:rFonts w:eastAsia="Calibri" w:cs="Times New Roman"/>
        </w:rPr>
        <w:t xml:space="preserve">%, </w:t>
      </w:r>
      <w:r w:rsidR="00EA11FB" w:rsidRPr="00B82A44">
        <w:rPr>
          <w:rFonts w:eastAsia="Calibri" w:cs="Times New Roman"/>
        </w:rPr>
        <w:t>vairumtirdzniecībā</w:t>
      </w:r>
      <w:r w:rsidR="00EA11FB">
        <w:rPr>
          <w:rFonts w:eastAsia="Calibri" w:cs="Times New Roman"/>
        </w:rPr>
        <w:t xml:space="preserve"> </w:t>
      </w:r>
      <w:r w:rsidR="00EA11FB" w:rsidRPr="00B82A44">
        <w:rPr>
          <w:rFonts w:eastAsia="Calibri" w:cs="Times New Roman"/>
        </w:rPr>
        <w:t>–</w:t>
      </w:r>
      <w:r w:rsidR="00EA11FB">
        <w:rPr>
          <w:rFonts w:eastAsia="Calibri" w:cs="Times New Roman"/>
        </w:rPr>
        <w:t xml:space="preserve"> </w:t>
      </w:r>
      <w:r w:rsidR="00EA11FB" w:rsidRPr="00B82A44">
        <w:rPr>
          <w:rFonts w:eastAsia="Calibri" w:cs="Times New Roman"/>
        </w:rPr>
        <w:t>2</w:t>
      </w:r>
      <w:r w:rsidR="00EA11FB">
        <w:rPr>
          <w:rFonts w:eastAsia="Calibri" w:cs="Times New Roman"/>
        </w:rPr>
        <w:t>5</w:t>
      </w:r>
      <w:r w:rsidR="00EA11FB" w:rsidRPr="00B82A44">
        <w:rPr>
          <w:rFonts w:eastAsia="Calibri" w:cs="Times New Roman"/>
        </w:rPr>
        <w:t>,</w:t>
      </w:r>
      <w:r w:rsidR="00EA11FB">
        <w:rPr>
          <w:rFonts w:eastAsia="Calibri" w:cs="Times New Roman"/>
        </w:rPr>
        <w:t>3</w:t>
      </w:r>
      <w:r w:rsidR="00AF023E">
        <w:rPr>
          <w:rFonts w:eastAsia="Calibri" w:cs="Times New Roman"/>
        </w:rPr>
        <w:t> </w:t>
      </w:r>
      <w:r w:rsidR="00EA11FB">
        <w:rPr>
          <w:rFonts w:eastAsia="Calibri" w:cs="Times New Roman"/>
        </w:rPr>
        <w:t>%, pakalpojumi – 24,9</w:t>
      </w:r>
      <w:r w:rsidR="00AF023E">
        <w:rPr>
          <w:rFonts w:eastAsia="Calibri" w:cs="Times New Roman"/>
        </w:rPr>
        <w:t> </w:t>
      </w:r>
      <w:r w:rsidR="00EA11FB">
        <w:rPr>
          <w:rFonts w:eastAsia="Calibri" w:cs="Times New Roman"/>
        </w:rPr>
        <w:t xml:space="preserve">% un </w:t>
      </w:r>
      <w:r w:rsidR="00B82A44" w:rsidRPr="00B82A44">
        <w:rPr>
          <w:rFonts w:eastAsia="Calibri" w:cs="Times New Roman"/>
        </w:rPr>
        <w:t>mazumtirdzniecībā – 2</w:t>
      </w:r>
      <w:r w:rsidR="00EA11FB">
        <w:rPr>
          <w:rFonts w:eastAsia="Calibri" w:cs="Times New Roman"/>
        </w:rPr>
        <w:t>3</w:t>
      </w:r>
      <w:r w:rsidR="00B82A44" w:rsidRPr="00B82A44">
        <w:rPr>
          <w:rFonts w:eastAsia="Calibri" w:cs="Times New Roman"/>
        </w:rPr>
        <w:t>,</w:t>
      </w:r>
      <w:r w:rsidR="00EA11FB">
        <w:rPr>
          <w:rFonts w:eastAsia="Calibri" w:cs="Times New Roman"/>
        </w:rPr>
        <w:t>9</w:t>
      </w:r>
      <w:r w:rsidR="00746930">
        <w:rPr>
          <w:rFonts w:eastAsia="Calibri" w:cs="Times New Roman"/>
        </w:rPr>
        <w:t> </w:t>
      </w:r>
      <w:r w:rsidR="00B82A44" w:rsidRPr="00B82A44">
        <w:rPr>
          <w:rFonts w:eastAsia="Calibri" w:cs="Times New Roman"/>
        </w:rPr>
        <w:t xml:space="preserve">% </w:t>
      </w:r>
      <w:r w:rsidR="00B82A44">
        <w:rPr>
          <w:rFonts w:eastAsia="Calibri" w:cs="Times New Roman"/>
        </w:rPr>
        <w:t>.</w:t>
      </w:r>
      <w:bookmarkEnd w:id="4"/>
      <w:r w:rsidR="0013432E">
        <w:rPr>
          <w:rStyle w:val="FootnoteReference"/>
          <w:rFonts w:eastAsia="Calibri" w:cs="Times New Roman"/>
        </w:rPr>
        <w:footnoteReference w:id="2"/>
      </w:r>
      <w:r w:rsidR="00B82A44" w:rsidRPr="00B82A44">
        <w:rPr>
          <w:rFonts w:eastAsia="Calibri" w:cs="Times New Roman"/>
        </w:rPr>
        <w:t xml:space="preserve"> </w:t>
      </w:r>
      <w:r w:rsidR="004C150D" w:rsidRPr="004C150D">
        <w:rPr>
          <w:rFonts w:eastAsia="Calibri" w:cs="Times New Roman"/>
        </w:rPr>
        <w:t>Izvairīšan</w:t>
      </w:r>
      <w:r w:rsidR="005E7C16">
        <w:rPr>
          <w:rFonts w:eastAsia="Calibri" w:cs="Times New Roman"/>
        </w:rPr>
        <w:t>ā</w:t>
      </w:r>
      <w:r w:rsidR="004C150D" w:rsidRPr="004C150D">
        <w:rPr>
          <w:rFonts w:eastAsia="Calibri" w:cs="Times New Roman"/>
        </w:rPr>
        <w:t>s no nodokļu nomaksas un PVN krāpšana ir aktuāla problēma un tās risināšana ir iekļauta F</w:t>
      </w:r>
      <w:r w:rsidR="00E45615">
        <w:rPr>
          <w:rFonts w:eastAsia="Calibri" w:cs="Times New Roman"/>
        </w:rPr>
        <w:t>M</w:t>
      </w:r>
      <w:r w:rsidR="004C150D" w:rsidRPr="004C150D">
        <w:rPr>
          <w:rFonts w:eastAsia="Calibri" w:cs="Times New Roman"/>
        </w:rPr>
        <w:t>, VID un citu valsts institūciju ikdienas darba kārtībā, jo gan izvairīšanās no nodokļu nomaksas, gan PVN krāpšana rada būtiskus zaudējumus valsts budžeta ieņēmumiem, negatīvu iespaidu uz valsts ieņēmumiem nodokļu iekasēšanas jomā un vienlaikus ietekmē valsts tautsaimniecību un sabiedrības labklājības kvalitāti (izglītības, veselības, sociālās aizsardzības u.c. jomās).</w:t>
      </w:r>
    </w:p>
    <w:p w:rsidR="00AF72CC" w:rsidRPr="00EF6C1B" w:rsidRDefault="00AF72CC" w:rsidP="003B5A2D">
      <w:pPr>
        <w:autoSpaceDE w:val="0"/>
        <w:autoSpaceDN w:val="0"/>
        <w:adjustRightInd w:val="0"/>
        <w:ind w:firstLine="709"/>
        <w:jc w:val="both"/>
        <w:rPr>
          <w:rFonts w:cs="Times New Roman"/>
          <w:color w:val="000000"/>
        </w:rPr>
      </w:pPr>
      <w:r w:rsidRPr="003D5C5A">
        <w:rPr>
          <w:rFonts w:cs="Times New Roman"/>
          <w:color w:val="000000"/>
        </w:rPr>
        <w:t>Ēnu ekonomika sevī ietver dažādas komponentes, sākot ar legālām darbībām, kas tiek īstenotas nelikumīgi, līdz pat nelegālām darbībām. Ēnu ekonomikas komponentes ir “aplokšņu algas”, līdzekļi, kas iegūti vedot dubulto grāmatvedību un izvairoties no nodokļu nomaksas, noziedzīgi iegūti līdzekļi, kas iegūti no kontrabandas, aizliegtu preču tirdzniecības u.tml. Ekonomikas neuzskaitītā daļa ietver arī pavisam ikdienišķas darbības – dzīvokļa izīrēšanu bez līguma u</w:t>
      </w:r>
      <w:r w:rsidR="006F0985">
        <w:rPr>
          <w:rFonts w:cs="Times New Roman"/>
          <w:color w:val="000000"/>
        </w:rPr>
        <w:t>n ienākumu uzrādīšanas, samaksu</w:t>
      </w:r>
      <w:r w:rsidR="00D619C9">
        <w:rPr>
          <w:rFonts w:cs="Times New Roman"/>
          <w:color w:val="000000"/>
        </w:rPr>
        <w:t xml:space="preserve"> par dažāda veida pakalpojumiem</w:t>
      </w:r>
      <w:r w:rsidRPr="003D5C5A">
        <w:rPr>
          <w:rFonts w:cs="Times New Roman"/>
          <w:color w:val="000000"/>
        </w:rPr>
        <w:t xml:space="preserve"> skaidrā naudā, kases čeka neizsniegšanu veikalā vai tirgū u.c.</w:t>
      </w:r>
      <w:r w:rsidRPr="003D5C5A">
        <w:rPr>
          <w:rStyle w:val="FootnoteReference"/>
          <w:rFonts w:eastAsia="Calibri" w:cs="Times New Roman"/>
        </w:rPr>
        <w:footnoteReference w:id="3"/>
      </w:r>
      <w:r>
        <w:rPr>
          <w:rFonts w:cs="Times New Roman"/>
          <w:color w:val="000000"/>
        </w:rPr>
        <w:t xml:space="preserve"> </w:t>
      </w:r>
    </w:p>
    <w:p w:rsidR="00320C73" w:rsidRDefault="00320C73" w:rsidP="003B5A2D">
      <w:pPr>
        <w:ind w:firstLine="709"/>
        <w:jc w:val="both"/>
        <w:rPr>
          <w:rFonts w:eastAsia="Calibri" w:cs="Times New Roman"/>
        </w:rPr>
      </w:pPr>
      <w:r w:rsidRPr="00320C73">
        <w:rPr>
          <w:rFonts w:eastAsia="Calibri" w:cs="Times New Roman"/>
        </w:rPr>
        <w:t xml:space="preserve">Ņemot vērā, ka </w:t>
      </w:r>
      <w:r w:rsidR="00E905D0">
        <w:rPr>
          <w:rFonts w:eastAsia="Calibri" w:cs="Times New Roman"/>
        </w:rPr>
        <w:t>“</w:t>
      </w:r>
      <w:r w:rsidRPr="00320C73">
        <w:rPr>
          <w:rFonts w:eastAsia="Calibri" w:cs="Times New Roman"/>
        </w:rPr>
        <w:t>aplokšņu algas</w:t>
      </w:r>
      <w:r w:rsidR="00E905D0">
        <w:rPr>
          <w:rFonts w:eastAsia="Calibri" w:cs="Times New Roman"/>
        </w:rPr>
        <w:t>”</w:t>
      </w:r>
      <w:r w:rsidRPr="00320C73">
        <w:rPr>
          <w:rFonts w:eastAsia="Calibri" w:cs="Times New Roman"/>
        </w:rPr>
        <w:t xml:space="preserve"> ir viena no būtiskākajām ēnu ekonomikas komponentēm, VID 20</w:t>
      </w:r>
      <w:r>
        <w:rPr>
          <w:rFonts w:eastAsia="Calibri" w:cs="Times New Roman"/>
        </w:rPr>
        <w:t>20</w:t>
      </w:r>
      <w:r w:rsidRPr="00320C73">
        <w:rPr>
          <w:rFonts w:eastAsia="Calibri" w:cs="Times New Roman"/>
        </w:rPr>
        <w:t>.</w:t>
      </w:r>
      <w:r w:rsidR="00C73014">
        <w:rPr>
          <w:rFonts w:eastAsia="Calibri" w:cs="Times New Roman"/>
        </w:rPr>
        <w:t> </w:t>
      </w:r>
      <w:r w:rsidRPr="00320C73">
        <w:rPr>
          <w:rFonts w:eastAsia="Calibri" w:cs="Times New Roman"/>
        </w:rPr>
        <w:t>gadā</w:t>
      </w:r>
      <w:r w:rsidR="007E6A46">
        <w:rPr>
          <w:rFonts w:eastAsia="Calibri" w:cs="Times New Roman"/>
        </w:rPr>
        <w:t xml:space="preserve"> tika </w:t>
      </w:r>
      <w:r w:rsidRPr="00320C73">
        <w:rPr>
          <w:rFonts w:eastAsia="Calibri" w:cs="Times New Roman"/>
        </w:rPr>
        <w:t>vei</w:t>
      </w:r>
      <w:r w:rsidR="007E6A46">
        <w:rPr>
          <w:rFonts w:eastAsia="Calibri" w:cs="Times New Roman"/>
        </w:rPr>
        <w:t xml:space="preserve">kts </w:t>
      </w:r>
      <w:r w:rsidR="004F3DCC">
        <w:rPr>
          <w:rFonts w:eastAsia="Calibri" w:cs="Times New Roman"/>
        </w:rPr>
        <w:t xml:space="preserve">ikgadējais </w:t>
      </w:r>
      <w:r w:rsidR="00592B4E">
        <w:rPr>
          <w:rFonts w:eastAsia="Calibri" w:cs="Times New Roman"/>
        </w:rPr>
        <w:t>novērtējum</w:t>
      </w:r>
      <w:r w:rsidR="007E6A46">
        <w:rPr>
          <w:rFonts w:eastAsia="Calibri" w:cs="Times New Roman"/>
        </w:rPr>
        <w:t>s</w:t>
      </w:r>
      <w:r w:rsidRPr="00320C73">
        <w:rPr>
          <w:rFonts w:eastAsia="Calibri" w:cs="Times New Roman"/>
        </w:rPr>
        <w:t xml:space="preserve"> par to, kā mainījusies situācija valstī nedeklarēt</w:t>
      </w:r>
      <w:r w:rsidR="004F3DCC">
        <w:rPr>
          <w:rFonts w:eastAsia="Calibri" w:cs="Times New Roman"/>
        </w:rPr>
        <w:t>o</w:t>
      </w:r>
      <w:r w:rsidRPr="00320C73">
        <w:rPr>
          <w:rFonts w:eastAsia="Calibri" w:cs="Times New Roman"/>
        </w:rPr>
        <w:t xml:space="preserve"> darba </w:t>
      </w:r>
      <w:r w:rsidR="005D026B">
        <w:rPr>
          <w:rFonts w:eastAsia="Calibri" w:cs="Times New Roman"/>
        </w:rPr>
        <w:t>ienākumu</w:t>
      </w:r>
      <w:r w:rsidRPr="00320C73">
        <w:rPr>
          <w:rFonts w:eastAsia="Calibri" w:cs="Times New Roman"/>
        </w:rPr>
        <w:t xml:space="preserve"> jeb </w:t>
      </w:r>
      <w:r w:rsidR="002572F0">
        <w:rPr>
          <w:rFonts w:eastAsia="Calibri" w:cs="Times New Roman"/>
        </w:rPr>
        <w:t>“</w:t>
      </w:r>
      <w:r w:rsidRPr="00320C73">
        <w:rPr>
          <w:rFonts w:eastAsia="Calibri" w:cs="Times New Roman"/>
        </w:rPr>
        <w:t>aplokšņu algu</w:t>
      </w:r>
      <w:r w:rsidR="002572F0">
        <w:rPr>
          <w:rFonts w:eastAsia="Calibri" w:cs="Times New Roman"/>
        </w:rPr>
        <w:t>”</w:t>
      </w:r>
      <w:r w:rsidRPr="00320C73">
        <w:rPr>
          <w:rFonts w:eastAsia="Calibri" w:cs="Times New Roman"/>
        </w:rPr>
        <w:t xml:space="preserve"> jomā. </w:t>
      </w:r>
      <w:r w:rsidR="00E905D0" w:rsidRPr="003F2454">
        <w:rPr>
          <w:rFonts w:eastAsia="Calibri" w:cs="Times New Roman"/>
        </w:rPr>
        <w:t>Kā rāda dati, tad nedeklarēto darba ienākumu īpatsvars komercsektorā Latvijā vēl joprojām ir augsts – pēc VID aplēsēm 2018.</w:t>
      </w:r>
      <w:r w:rsidR="00D56FA2">
        <w:rPr>
          <w:rFonts w:eastAsia="Calibri" w:cs="Times New Roman"/>
        </w:rPr>
        <w:t> </w:t>
      </w:r>
      <w:r w:rsidR="00E905D0" w:rsidRPr="003F2454">
        <w:rPr>
          <w:rFonts w:eastAsia="Calibri" w:cs="Times New Roman"/>
        </w:rPr>
        <w:t>gadā “aplokšņu algās” tika izmaksāti apmēram 17,5</w:t>
      </w:r>
      <w:r w:rsidR="00D56FA2">
        <w:rPr>
          <w:rFonts w:eastAsia="Calibri" w:cs="Times New Roman"/>
        </w:rPr>
        <w:t> </w:t>
      </w:r>
      <w:r w:rsidR="00E905D0" w:rsidRPr="003F2454">
        <w:rPr>
          <w:rFonts w:eastAsia="Calibri" w:cs="Times New Roman"/>
        </w:rPr>
        <w:t>% no kopējiem darba samaksas ienākumiem, savukārt 2019.</w:t>
      </w:r>
      <w:r w:rsidR="00AF023E">
        <w:rPr>
          <w:rFonts w:eastAsia="Calibri" w:cs="Times New Roman"/>
        </w:rPr>
        <w:t> </w:t>
      </w:r>
      <w:r w:rsidR="00E905D0" w:rsidRPr="003F2454">
        <w:rPr>
          <w:rFonts w:eastAsia="Calibri" w:cs="Times New Roman"/>
        </w:rPr>
        <w:t>gadā – 17,3</w:t>
      </w:r>
      <w:r w:rsidR="00D56FA2">
        <w:rPr>
          <w:rFonts w:eastAsia="Calibri" w:cs="Times New Roman"/>
        </w:rPr>
        <w:t> </w:t>
      </w:r>
      <w:r w:rsidR="00E905D0" w:rsidRPr="003F2454">
        <w:rPr>
          <w:rFonts w:eastAsia="Calibri" w:cs="Times New Roman"/>
        </w:rPr>
        <w:t xml:space="preserve">%, kas nozīmē, ka samazinājums </w:t>
      </w:r>
      <w:r w:rsidR="003A04E4" w:rsidRPr="003F2454">
        <w:rPr>
          <w:rFonts w:eastAsia="Calibri" w:cs="Times New Roman"/>
        </w:rPr>
        <w:t>ne</w:t>
      </w:r>
      <w:r w:rsidR="00E905D0" w:rsidRPr="003F2454">
        <w:rPr>
          <w:rFonts w:eastAsia="Calibri" w:cs="Times New Roman"/>
        </w:rPr>
        <w:t xml:space="preserve">bija </w:t>
      </w:r>
      <w:r w:rsidR="003A04E4" w:rsidRPr="003F2454">
        <w:rPr>
          <w:rFonts w:eastAsia="Calibri" w:cs="Times New Roman"/>
        </w:rPr>
        <w:t>būtisks</w:t>
      </w:r>
      <w:r w:rsidR="00C673ED">
        <w:rPr>
          <w:rFonts w:eastAsia="Calibri" w:cs="Times New Roman"/>
        </w:rPr>
        <w:t>.</w:t>
      </w:r>
      <w:r w:rsidRPr="00320C73">
        <w:rPr>
          <w:rFonts w:eastAsia="Calibri" w:cs="Times New Roman"/>
        </w:rPr>
        <w:t xml:space="preserve"> </w:t>
      </w:r>
    </w:p>
    <w:p w:rsidR="00435D8D" w:rsidRDefault="0052655C" w:rsidP="003B5A2D">
      <w:pPr>
        <w:ind w:firstLine="709"/>
        <w:jc w:val="both"/>
        <w:rPr>
          <w:rFonts w:eastAsia="Calibri" w:cs="Times New Roman"/>
        </w:rPr>
      </w:pPr>
      <w:r w:rsidRPr="0052655C">
        <w:rPr>
          <w:rFonts w:eastAsia="Calibri" w:cs="Times New Roman"/>
        </w:rPr>
        <w:t>Saskaņā ar VID veikto nodokļu plaisu novērtējumu 2019.</w:t>
      </w:r>
      <w:r w:rsidR="00AF023E">
        <w:rPr>
          <w:rFonts w:eastAsia="Calibri" w:cs="Times New Roman"/>
        </w:rPr>
        <w:t> </w:t>
      </w:r>
      <w:r w:rsidRPr="0052655C">
        <w:rPr>
          <w:rFonts w:eastAsia="Calibri" w:cs="Times New Roman"/>
        </w:rPr>
        <w:t>gadā, PVN plaisa ir 7,1</w:t>
      </w:r>
      <w:r w:rsidR="00D56FA2">
        <w:rPr>
          <w:rFonts w:eastAsia="Calibri" w:cs="Times New Roman"/>
        </w:rPr>
        <w:t> </w:t>
      </w:r>
      <w:r w:rsidRPr="0052655C">
        <w:rPr>
          <w:rFonts w:eastAsia="Calibri" w:cs="Times New Roman"/>
        </w:rPr>
        <w:t>%. Salīdzinot ar 2018.</w:t>
      </w:r>
      <w:r w:rsidR="00C73014">
        <w:rPr>
          <w:rFonts w:eastAsia="Calibri" w:cs="Times New Roman"/>
        </w:rPr>
        <w:t> </w:t>
      </w:r>
      <w:r w:rsidRPr="0052655C">
        <w:rPr>
          <w:rFonts w:eastAsia="Calibri" w:cs="Times New Roman"/>
        </w:rPr>
        <w:t>gadu (10,2</w:t>
      </w:r>
      <w:r w:rsidR="00D56FA2">
        <w:rPr>
          <w:rFonts w:eastAsia="Calibri" w:cs="Times New Roman"/>
        </w:rPr>
        <w:t> </w:t>
      </w:r>
      <w:r w:rsidRPr="0052655C">
        <w:rPr>
          <w:rFonts w:eastAsia="Calibri" w:cs="Times New Roman"/>
        </w:rPr>
        <w:t>%), PVN plaisas īpatsvars samazinājies par 3,1 procentpunktu, kas absolūtā izteiksmē ir 75</w:t>
      </w:r>
      <w:r w:rsidR="009A5C33">
        <w:rPr>
          <w:rFonts w:eastAsia="Calibri" w:cs="Times New Roman"/>
        </w:rPr>
        <w:t> </w:t>
      </w:r>
      <w:r w:rsidRPr="0052655C">
        <w:rPr>
          <w:rFonts w:eastAsia="Calibri" w:cs="Times New Roman"/>
        </w:rPr>
        <w:t xml:space="preserve">milj. </w:t>
      </w:r>
      <w:r w:rsidR="00320C73" w:rsidRPr="00320C73">
        <w:rPr>
          <w:rFonts w:eastAsia="Calibri" w:cs="Times New Roman"/>
          <w:i/>
          <w:iCs/>
        </w:rPr>
        <w:t>euro</w:t>
      </w:r>
      <w:r w:rsidRPr="0052655C">
        <w:rPr>
          <w:rFonts w:eastAsia="Calibri" w:cs="Times New Roman"/>
        </w:rPr>
        <w:t>. 2019.</w:t>
      </w:r>
      <w:r w:rsidR="00D56FA2">
        <w:rPr>
          <w:rFonts w:eastAsia="Calibri" w:cs="Times New Roman"/>
        </w:rPr>
        <w:t> </w:t>
      </w:r>
      <w:r w:rsidRPr="0052655C">
        <w:rPr>
          <w:rFonts w:eastAsia="Calibri" w:cs="Times New Roman"/>
        </w:rPr>
        <w:t>gadā VSAOI plaisa no nedeklarētās darba samaksas ir 17,18</w:t>
      </w:r>
      <w:r w:rsidR="00D56FA2">
        <w:rPr>
          <w:rFonts w:eastAsia="Calibri" w:cs="Times New Roman"/>
        </w:rPr>
        <w:t> </w:t>
      </w:r>
      <w:r w:rsidRPr="0052655C">
        <w:rPr>
          <w:rFonts w:eastAsia="Calibri" w:cs="Times New Roman"/>
        </w:rPr>
        <w:t>% un, salīdzinot ar 2018.</w:t>
      </w:r>
      <w:r w:rsidR="00C73014">
        <w:rPr>
          <w:rFonts w:eastAsia="Calibri" w:cs="Times New Roman"/>
        </w:rPr>
        <w:t> </w:t>
      </w:r>
      <w:r w:rsidRPr="0052655C">
        <w:rPr>
          <w:rFonts w:eastAsia="Calibri" w:cs="Times New Roman"/>
        </w:rPr>
        <w:t>gadu (17,29</w:t>
      </w:r>
      <w:r w:rsidR="00D56FA2">
        <w:rPr>
          <w:rFonts w:eastAsia="Calibri" w:cs="Times New Roman"/>
        </w:rPr>
        <w:t> </w:t>
      </w:r>
      <w:r w:rsidRPr="0052655C">
        <w:rPr>
          <w:rFonts w:eastAsia="Calibri" w:cs="Times New Roman"/>
        </w:rPr>
        <w:t>%</w:t>
      </w:r>
      <w:r w:rsidRPr="00171B94">
        <w:rPr>
          <w:rFonts w:eastAsia="Calibri" w:cs="Times New Roman"/>
        </w:rPr>
        <w:t>),</w:t>
      </w:r>
      <w:r w:rsidRPr="0052655C">
        <w:rPr>
          <w:rFonts w:eastAsia="Calibri" w:cs="Times New Roman"/>
        </w:rPr>
        <w:t xml:space="preserve"> tā samazināju</w:t>
      </w:r>
      <w:r w:rsidR="00F32F1D">
        <w:rPr>
          <w:rFonts w:eastAsia="Calibri" w:cs="Times New Roman"/>
        </w:rPr>
        <w:t>sies</w:t>
      </w:r>
      <w:r w:rsidRPr="0052655C">
        <w:rPr>
          <w:rFonts w:eastAsia="Calibri" w:cs="Times New Roman"/>
        </w:rPr>
        <w:t xml:space="preserve"> par </w:t>
      </w:r>
      <w:r w:rsidRPr="00FD39A0">
        <w:rPr>
          <w:rFonts w:eastAsia="Calibri" w:cs="Times New Roman"/>
        </w:rPr>
        <w:t>0,11 procentpunkti</w:t>
      </w:r>
      <w:r w:rsidRPr="00171B94">
        <w:rPr>
          <w:rFonts w:eastAsia="Calibri" w:cs="Times New Roman"/>
        </w:rPr>
        <w:t>em</w:t>
      </w:r>
      <w:r w:rsidRPr="0052655C">
        <w:rPr>
          <w:rFonts w:eastAsia="Calibri" w:cs="Times New Roman"/>
        </w:rPr>
        <w:t>. Savukārt IIN plaisa 2019.</w:t>
      </w:r>
      <w:r w:rsidR="00C73014">
        <w:rPr>
          <w:rFonts w:eastAsia="Calibri" w:cs="Times New Roman"/>
        </w:rPr>
        <w:t> </w:t>
      </w:r>
      <w:r w:rsidRPr="0052655C">
        <w:rPr>
          <w:rFonts w:eastAsia="Calibri" w:cs="Times New Roman"/>
        </w:rPr>
        <w:t>gadā ir 17,27</w:t>
      </w:r>
      <w:r w:rsidR="00D56FA2">
        <w:rPr>
          <w:rFonts w:eastAsia="Calibri" w:cs="Times New Roman"/>
        </w:rPr>
        <w:t> </w:t>
      </w:r>
      <w:r w:rsidRPr="0052655C">
        <w:rPr>
          <w:rFonts w:eastAsia="Calibri" w:cs="Times New Roman"/>
        </w:rPr>
        <w:t>% un, salīdzinot ar 2018.</w:t>
      </w:r>
      <w:r w:rsidR="00C73014">
        <w:rPr>
          <w:rFonts w:eastAsia="Calibri" w:cs="Times New Roman"/>
        </w:rPr>
        <w:t> </w:t>
      </w:r>
      <w:r w:rsidRPr="0052655C">
        <w:rPr>
          <w:rFonts w:eastAsia="Calibri" w:cs="Times New Roman"/>
        </w:rPr>
        <w:t>gadu (</w:t>
      </w:r>
      <w:r w:rsidR="007F38A0" w:rsidRPr="00171B94">
        <w:rPr>
          <w:rFonts w:eastAsia="Calibri" w:cs="Times New Roman"/>
        </w:rPr>
        <w:t>17,40</w:t>
      </w:r>
      <w:r w:rsidR="00B10CBD">
        <w:rPr>
          <w:rFonts w:eastAsia="Calibri" w:cs="Times New Roman"/>
        </w:rPr>
        <w:t> </w:t>
      </w:r>
      <w:r w:rsidR="007F38A0" w:rsidRPr="00171B94">
        <w:rPr>
          <w:rFonts w:eastAsia="Calibri" w:cs="Times New Roman"/>
        </w:rPr>
        <w:t>%</w:t>
      </w:r>
      <w:r w:rsidRPr="0052655C">
        <w:rPr>
          <w:rFonts w:eastAsia="Calibri" w:cs="Times New Roman"/>
        </w:rPr>
        <w:t>) tā samazināju</w:t>
      </w:r>
      <w:r w:rsidR="00F32F1D">
        <w:rPr>
          <w:rFonts w:eastAsia="Calibri" w:cs="Times New Roman"/>
        </w:rPr>
        <w:t>sies</w:t>
      </w:r>
      <w:r w:rsidRPr="0052655C">
        <w:rPr>
          <w:rFonts w:eastAsia="Calibri" w:cs="Times New Roman"/>
        </w:rPr>
        <w:t xml:space="preserve"> par 0,13 procentpunktiem.</w:t>
      </w:r>
      <w:r w:rsidR="0013432E">
        <w:rPr>
          <w:rStyle w:val="FootnoteReference"/>
          <w:rFonts w:eastAsia="Calibri" w:cs="Times New Roman"/>
        </w:rPr>
        <w:footnoteReference w:id="4"/>
      </w:r>
    </w:p>
    <w:p w:rsidR="00BD7162" w:rsidRPr="00BD7162" w:rsidRDefault="00BD7162" w:rsidP="003B5A2D">
      <w:pPr>
        <w:ind w:firstLine="709"/>
        <w:jc w:val="both"/>
        <w:rPr>
          <w:rFonts w:cs="Times New Roman"/>
        </w:rPr>
      </w:pPr>
      <w:r w:rsidRPr="00BD7162">
        <w:rPr>
          <w:rFonts w:cs="Times New Roman"/>
        </w:rPr>
        <w:t xml:space="preserve">Latvijas tautsaimniecība </w:t>
      </w:r>
      <w:r w:rsidR="004934FB">
        <w:rPr>
          <w:rFonts w:cs="Times New Roman"/>
        </w:rPr>
        <w:t>Covid-1</w:t>
      </w:r>
      <w:r w:rsidRPr="00BD7162">
        <w:rPr>
          <w:rFonts w:cs="Times New Roman"/>
        </w:rPr>
        <w:t>9 krīzes ietekmē piedzīvo ekonomikas samazināšanos. 2020.</w:t>
      </w:r>
      <w:r w:rsidR="009A5C33">
        <w:rPr>
          <w:rFonts w:cs="Times New Roman"/>
        </w:rPr>
        <w:t> </w:t>
      </w:r>
      <w:r w:rsidRPr="00BD7162">
        <w:rPr>
          <w:rFonts w:cs="Times New Roman"/>
        </w:rPr>
        <w:t>gadā IKP samazinājās par 3,6</w:t>
      </w:r>
      <w:r w:rsidR="009A5C33">
        <w:rPr>
          <w:rFonts w:cs="Times New Roman"/>
        </w:rPr>
        <w:t> </w:t>
      </w:r>
      <w:r w:rsidRPr="00BD7162">
        <w:rPr>
          <w:rFonts w:cs="Times New Roman"/>
        </w:rPr>
        <w:t>% salīdzinājumā ar 2019.</w:t>
      </w:r>
      <w:r w:rsidR="00C73014">
        <w:rPr>
          <w:rFonts w:cs="Times New Roman"/>
        </w:rPr>
        <w:t> </w:t>
      </w:r>
      <w:r w:rsidRPr="00BD7162">
        <w:rPr>
          <w:rFonts w:cs="Times New Roman"/>
        </w:rPr>
        <w:t>gadu. Attīstības tendences nozarēs nav bijušas vienmērīgas, tostarp ražojošo nozaru pievienotā vērtība 2020.</w:t>
      </w:r>
      <w:r w:rsidR="003656D7">
        <w:rPr>
          <w:rFonts w:cs="Times New Roman"/>
        </w:rPr>
        <w:t> </w:t>
      </w:r>
      <w:r w:rsidRPr="00BD7162">
        <w:rPr>
          <w:rFonts w:cs="Times New Roman"/>
        </w:rPr>
        <w:t>gada laikā pieaugusi par 0,4</w:t>
      </w:r>
      <w:r>
        <w:rPr>
          <w:rFonts w:cs="Times New Roman"/>
        </w:rPr>
        <w:t> %</w:t>
      </w:r>
      <w:r w:rsidRPr="00BD7162">
        <w:rPr>
          <w:rFonts w:cs="Times New Roman"/>
        </w:rPr>
        <w:t xml:space="preserve">, </w:t>
      </w:r>
      <w:r w:rsidR="007A71B5">
        <w:rPr>
          <w:rFonts w:cs="Times New Roman"/>
        </w:rPr>
        <w:t xml:space="preserve">bet </w:t>
      </w:r>
      <w:r w:rsidRPr="00BD7162">
        <w:rPr>
          <w:rFonts w:cs="Times New Roman"/>
        </w:rPr>
        <w:t>pakalpojumu nozaru pievienotā vērtība samazinājās par 4,8</w:t>
      </w:r>
      <w:r w:rsidR="009A5C33">
        <w:rPr>
          <w:rFonts w:cs="Times New Roman"/>
        </w:rPr>
        <w:t> </w:t>
      </w:r>
      <w:r w:rsidRPr="00BD7162">
        <w:rPr>
          <w:rFonts w:cs="Times New Roman"/>
        </w:rPr>
        <w:t>%.</w:t>
      </w:r>
    </w:p>
    <w:p w:rsidR="00BD7162" w:rsidRDefault="00BD7162" w:rsidP="003B5A2D">
      <w:pPr>
        <w:ind w:firstLine="709"/>
        <w:jc w:val="both"/>
        <w:rPr>
          <w:rFonts w:cs="Times New Roman"/>
        </w:rPr>
      </w:pPr>
      <w:r w:rsidRPr="00BD7162">
        <w:rPr>
          <w:rFonts w:cs="Times New Roman"/>
        </w:rPr>
        <w:t>Arī darba ņēmēju skaita samazinājums un bezdarbnieku skaita palielinājums saistāms ar valstī ieviesto ārkārt</w:t>
      </w:r>
      <w:r w:rsidR="005A58A0">
        <w:rPr>
          <w:rFonts w:cs="Times New Roman"/>
        </w:rPr>
        <w:t>ējo</w:t>
      </w:r>
      <w:r w:rsidRPr="00BD7162">
        <w:rPr>
          <w:rFonts w:cs="Times New Roman"/>
        </w:rPr>
        <w:t xml:space="preserve"> </w:t>
      </w:r>
      <w:r w:rsidR="005A58A0">
        <w:rPr>
          <w:rFonts w:cs="Times New Roman"/>
        </w:rPr>
        <w:t>situāciju</w:t>
      </w:r>
      <w:r w:rsidR="005A58A0" w:rsidRPr="00BD7162">
        <w:rPr>
          <w:rFonts w:cs="Times New Roman"/>
        </w:rPr>
        <w:t xml:space="preserve"> </w:t>
      </w:r>
      <w:r w:rsidRPr="00BD7162">
        <w:rPr>
          <w:rFonts w:cs="Times New Roman"/>
        </w:rPr>
        <w:t xml:space="preserve">sakarā ar </w:t>
      </w:r>
      <w:r w:rsidR="004934FB">
        <w:rPr>
          <w:rFonts w:cs="Times New Roman"/>
        </w:rPr>
        <w:t>Covid-</w:t>
      </w:r>
      <w:r w:rsidRPr="00BD7162">
        <w:rPr>
          <w:rFonts w:cs="Times New Roman"/>
        </w:rPr>
        <w:t>19 izplatību. 2020.</w:t>
      </w:r>
      <w:r w:rsidR="00C73014">
        <w:rPr>
          <w:rFonts w:cs="Times New Roman"/>
        </w:rPr>
        <w:t> </w:t>
      </w:r>
      <w:r w:rsidRPr="00BD7162">
        <w:rPr>
          <w:rFonts w:cs="Times New Roman"/>
        </w:rPr>
        <w:t>gadā 78,7 tūkstoši iedzīvotāju vecumā no 15 līdz 74 gadiem bija bezdarbnieki, liecina CSP darbaspēka apsekojuma rezultāti. Salīdzinot ar 2</w:t>
      </w:r>
      <w:r w:rsidR="00537D58">
        <w:rPr>
          <w:rFonts w:cs="Times New Roman"/>
        </w:rPr>
        <w:t>019.</w:t>
      </w:r>
      <w:r w:rsidR="00C73014">
        <w:rPr>
          <w:rFonts w:cs="Times New Roman"/>
        </w:rPr>
        <w:t> </w:t>
      </w:r>
      <w:r w:rsidRPr="00BD7162">
        <w:rPr>
          <w:rFonts w:cs="Times New Roman"/>
        </w:rPr>
        <w:t>gadu, bezdarbnieku skaits ir palielinājies par 17,4 tūkstošiem jeb 28,4</w:t>
      </w:r>
      <w:r w:rsidR="003656D7">
        <w:rPr>
          <w:rFonts w:cs="Times New Roman"/>
        </w:rPr>
        <w:t> </w:t>
      </w:r>
      <w:r w:rsidRPr="00BD7162">
        <w:rPr>
          <w:rFonts w:cs="Times New Roman"/>
        </w:rPr>
        <w:t>%. Pērn bezdarba līmenis Latvijā bija 8,1</w:t>
      </w:r>
      <w:r w:rsidR="00C73014">
        <w:rPr>
          <w:rFonts w:cs="Times New Roman"/>
        </w:rPr>
        <w:t> </w:t>
      </w:r>
      <w:r w:rsidRPr="00BD7162">
        <w:rPr>
          <w:rFonts w:cs="Times New Roman"/>
        </w:rPr>
        <w:t>%, kas ir par 1,8 procentpunktiem augstāks nekā 2019.</w:t>
      </w:r>
      <w:r w:rsidR="00C73014">
        <w:rPr>
          <w:rFonts w:cs="Times New Roman"/>
        </w:rPr>
        <w:t> </w:t>
      </w:r>
      <w:r w:rsidRPr="00BD7162">
        <w:rPr>
          <w:rFonts w:cs="Times New Roman"/>
        </w:rPr>
        <w:t>gadā.</w:t>
      </w:r>
    </w:p>
    <w:p w:rsidR="00BD7162" w:rsidRDefault="00BD7162" w:rsidP="003B5A2D">
      <w:pPr>
        <w:ind w:firstLine="709"/>
        <w:jc w:val="both"/>
        <w:rPr>
          <w:rFonts w:cs="Times New Roman"/>
        </w:rPr>
      </w:pPr>
      <w:r w:rsidRPr="00BD7162">
        <w:rPr>
          <w:rFonts w:cs="Times New Roman"/>
        </w:rPr>
        <w:t xml:space="preserve">Jāatzīmē, ka </w:t>
      </w:r>
      <w:r w:rsidR="008175EA">
        <w:rPr>
          <w:rFonts w:cs="Times New Roman"/>
        </w:rPr>
        <w:t>C</w:t>
      </w:r>
      <w:r w:rsidR="004934FB">
        <w:rPr>
          <w:rFonts w:cs="Times New Roman"/>
        </w:rPr>
        <w:t>ovid</w:t>
      </w:r>
      <w:r w:rsidRPr="00BD7162">
        <w:rPr>
          <w:rFonts w:cs="Times New Roman"/>
        </w:rPr>
        <w:t>-19 pandēmija ir ieviesusi izmaiņas arī valsts fiskālajā situācijā, samazinājušies ir ieņēmumi budžetā. VID administrētie kopbudžeta ieņēmumi 2020.</w:t>
      </w:r>
      <w:r w:rsidR="00537D58">
        <w:rPr>
          <w:rFonts w:cs="Times New Roman"/>
        </w:rPr>
        <w:t> </w:t>
      </w:r>
      <w:r w:rsidRPr="00BD7162">
        <w:rPr>
          <w:rFonts w:cs="Times New Roman"/>
        </w:rPr>
        <w:t xml:space="preserve">gadā bija 9,86 miljardi </w:t>
      </w:r>
      <w:r w:rsidRPr="003D5C5A">
        <w:rPr>
          <w:rFonts w:cs="Times New Roman"/>
          <w:i/>
          <w:iCs/>
        </w:rPr>
        <w:t>euro</w:t>
      </w:r>
      <w:r w:rsidRPr="00BD7162">
        <w:rPr>
          <w:rFonts w:cs="Times New Roman"/>
        </w:rPr>
        <w:t xml:space="preserve"> un, salīdzinot ar 2019.</w:t>
      </w:r>
      <w:r w:rsidR="00537D58">
        <w:rPr>
          <w:rFonts w:cs="Times New Roman"/>
        </w:rPr>
        <w:t> </w:t>
      </w:r>
      <w:r w:rsidRPr="00BD7162">
        <w:rPr>
          <w:rFonts w:cs="Times New Roman"/>
        </w:rPr>
        <w:t xml:space="preserve">gadu, tie ir nedaudz mazāki – par 0,05 miljardiem </w:t>
      </w:r>
      <w:r w:rsidRPr="003D5C5A">
        <w:rPr>
          <w:rFonts w:cs="Times New Roman"/>
          <w:i/>
          <w:iCs/>
        </w:rPr>
        <w:t>euro</w:t>
      </w:r>
      <w:r w:rsidRPr="00BD7162">
        <w:rPr>
          <w:rFonts w:cs="Times New Roman"/>
        </w:rPr>
        <w:t xml:space="preserve"> jeb 0,5</w:t>
      </w:r>
      <w:r w:rsidR="00C73014">
        <w:rPr>
          <w:rFonts w:cs="Times New Roman"/>
        </w:rPr>
        <w:t> </w:t>
      </w:r>
      <w:r w:rsidRPr="00BD7162">
        <w:rPr>
          <w:rFonts w:cs="Times New Roman"/>
        </w:rPr>
        <w:t xml:space="preserve">%, ko ietekmēja ieviestie pasākumi </w:t>
      </w:r>
      <w:r w:rsidR="008175EA">
        <w:rPr>
          <w:rFonts w:cs="Times New Roman"/>
        </w:rPr>
        <w:t>C</w:t>
      </w:r>
      <w:r w:rsidR="004934FB">
        <w:rPr>
          <w:rFonts w:cs="Times New Roman"/>
        </w:rPr>
        <w:t>ovid</w:t>
      </w:r>
      <w:r w:rsidRPr="00BD7162">
        <w:rPr>
          <w:rFonts w:cs="Times New Roman"/>
        </w:rPr>
        <w:t>-19 izplatības ierobežošanai, sākot ar 2020.</w:t>
      </w:r>
      <w:r w:rsidR="00537D58">
        <w:rPr>
          <w:rFonts w:cs="Times New Roman"/>
        </w:rPr>
        <w:t> </w:t>
      </w:r>
      <w:r w:rsidRPr="00BD7162">
        <w:rPr>
          <w:rFonts w:cs="Times New Roman"/>
        </w:rPr>
        <w:t>gada 12.</w:t>
      </w:r>
      <w:r w:rsidR="00537D58">
        <w:rPr>
          <w:rFonts w:cs="Times New Roman"/>
        </w:rPr>
        <w:t> </w:t>
      </w:r>
      <w:r w:rsidRPr="00BD7162">
        <w:rPr>
          <w:rFonts w:cs="Times New Roman"/>
        </w:rPr>
        <w:t xml:space="preserve">martu, liekot atsevišķām nodokļu maksātāju grupām būtiski ierobežot vai pilnībā apturēt savu saimniecisko darbību. Lai gan </w:t>
      </w:r>
      <w:r w:rsidR="006E1C75">
        <w:rPr>
          <w:rFonts w:cs="Times New Roman"/>
        </w:rPr>
        <w:t>ārkārtējā situācija</w:t>
      </w:r>
      <w:r w:rsidRPr="00BD7162">
        <w:rPr>
          <w:rFonts w:cs="Times New Roman"/>
        </w:rPr>
        <w:t xml:space="preserve"> tika atcelt</w:t>
      </w:r>
      <w:r w:rsidR="006E1C75">
        <w:rPr>
          <w:rFonts w:cs="Times New Roman"/>
        </w:rPr>
        <w:t>a</w:t>
      </w:r>
      <w:r w:rsidRPr="00BD7162">
        <w:rPr>
          <w:rFonts w:cs="Times New Roman"/>
        </w:rPr>
        <w:t>, atsevišķi ierobežojumi tika saglabāti un no 9.</w:t>
      </w:r>
      <w:r w:rsidR="00537D58">
        <w:rPr>
          <w:rFonts w:cs="Times New Roman"/>
        </w:rPr>
        <w:t> </w:t>
      </w:r>
      <w:r w:rsidRPr="00BD7162">
        <w:rPr>
          <w:rFonts w:cs="Times New Roman"/>
        </w:rPr>
        <w:t xml:space="preserve">novembra atkārtoti  </w:t>
      </w:r>
      <w:r w:rsidR="005A58A0">
        <w:rPr>
          <w:rFonts w:cs="Times New Roman"/>
        </w:rPr>
        <w:t xml:space="preserve">izsludinātā </w:t>
      </w:r>
      <w:r w:rsidR="006E1C75">
        <w:rPr>
          <w:rFonts w:cs="Times New Roman"/>
        </w:rPr>
        <w:t>ārkārtējā situācija</w:t>
      </w:r>
      <w:r w:rsidRPr="00BD7162">
        <w:rPr>
          <w:rFonts w:cs="Times New Roman"/>
        </w:rPr>
        <w:t xml:space="preserve"> turpina ietekmēt nodokļu maksātāju ekonomisko aktivitāti. </w:t>
      </w:r>
    </w:p>
    <w:p w:rsidR="00087D43" w:rsidRPr="00CC6B3D" w:rsidRDefault="00087D43" w:rsidP="003B5A2D">
      <w:pPr>
        <w:ind w:firstLine="709"/>
        <w:jc w:val="both"/>
        <w:rPr>
          <w:rFonts w:cs="Times New Roman"/>
        </w:rPr>
      </w:pPr>
      <w:r w:rsidRPr="00087D43">
        <w:rPr>
          <w:rFonts w:cs="Times New Roman"/>
        </w:rPr>
        <w:t xml:space="preserve">Neapšaubāmi, ka ēnu ekonomikas izpausmes risku būtiski palielina ar </w:t>
      </w:r>
      <w:r w:rsidR="008175EA">
        <w:rPr>
          <w:rFonts w:cs="Times New Roman"/>
        </w:rPr>
        <w:t>C</w:t>
      </w:r>
      <w:r w:rsidR="004934FB">
        <w:rPr>
          <w:rFonts w:cs="Times New Roman"/>
        </w:rPr>
        <w:t>ovid</w:t>
      </w:r>
      <w:r w:rsidRPr="00087D43">
        <w:rPr>
          <w:rFonts w:cs="Times New Roman"/>
        </w:rPr>
        <w:t xml:space="preserve">-19 vīrusa izplatību saistītās sekas, ietekmējot finanšu stāvokli noteiktās tautsaimniecības nozarēs un valstī kopumā. </w:t>
      </w:r>
      <w:r w:rsidR="008175EA">
        <w:rPr>
          <w:rFonts w:cs="Times New Roman"/>
        </w:rPr>
        <w:t>C</w:t>
      </w:r>
      <w:r w:rsidR="004934FB">
        <w:rPr>
          <w:rFonts w:cs="Times New Roman"/>
        </w:rPr>
        <w:t>ovid</w:t>
      </w:r>
      <w:r w:rsidRPr="00087D43">
        <w:rPr>
          <w:rFonts w:cs="Times New Roman"/>
        </w:rPr>
        <w:t>-19 izraisītā ietekme uz ekonomikas attīstību veicina bezdarba pieaugumu, kas savukārt var veicināt darba meklētāju toleranci, pieņemot piedāvājumus atalgojuma samaksai “aplokšņu algās”.</w:t>
      </w:r>
      <w:r w:rsidR="00702E21">
        <w:rPr>
          <w:rFonts w:cs="Times New Roman"/>
        </w:rPr>
        <w:t xml:space="preserve"> </w:t>
      </w:r>
      <w:r w:rsidRPr="00087D43">
        <w:rPr>
          <w:rFonts w:cs="Times New Roman"/>
        </w:rPr>
        <w:t>Savukārt, uzņēmumu darbības apgrozījuma samazināšanās, finanšu līdzekļu trūkums un citi apstākļi var veicināt darbības nolūkā izvairīties no nodokļu nomaksas vai iesaistīties nodokļu optimizācijas “</w:t>
      </w:r>
      <w:r w:rsidRPr="00CC6B3D">
        <w:rPr>
          <w:rFonts w:cs="Times New Roman"/>
        </w:rPr>
        <w:t>shēmās”.</w:t>
      </w:r>
      <w:r w:rsidR="00702E21" w:rsidRPr="00CC6B3D">
        <w:rPr>
          <w:rFonts w:cs="Times New Roman"/>
        </w:rPr>
        <w:t xml:space="preserve"> </w:t>
      </w:r>
      <w:r w:rsidR="00CC6B3D" w:rsidRPr="003D5C5A">
        <w:rPr>
          <w:rFonts w:cs="Times New Roman"/>
        </w:rPr>
        <w:t xml:space="preserve">Tāpēc visām nozaru ministrijām savā kompetencē esošajās tautsaimniecības nozarēs, kuru darbību ir ietekmējuši </w:t>
      </w:r>
      <w:r w:rsidR="008175EA">
        <w:rPr>
          <w:rFonts w:cs="Times New Roman"/>
        </w:rPr>
        <w:t>C</w:t>
      </w:r>
      <w:r w:rsidR="004934FB">
        <w:rPr>
          <w:rFonts w:cs="Times New Roman"/>
        </w:rPr>
        <w:t>ovid</w:t>
      </w:r>
      <w:r w:rsidR="003D5C5A" w:rsidRPr="00087D43">
        <w:rPr>
          <w:rFonts w:cs="Times New Roman"/>
        </w:rPr>
        <w:t>-19</w:t>
      </w:r>
      <w:r w:rsidR="00CC6B3D" w:rsidRPr="003D5C5A">
        <w:rPr>
          <w:rFonts w:cs="Times New Roman"/>
        </w:rPr>
        <w:t xml:space="preserve"> krīzes dēļ ieviestie ierobežojumi, ir nepieciešams veikt ierobežojumu rezultātā </w:t>
      </w:r>
      <w:r w:rsidR="00727D3D" w:rsidRPr="003D5C5A">
        <w:rPr>
          <w:rFonts w:cs="Times New Roman"/>
        </w:rPr>
        <w:t xml:space="preserve">radušās </w:t>
      </w:r>
      <w:r w:rsidR="00CC6B3D" w:rsidRPr="003D5C5A">
        <w:rPr>
          <w:rFonts w:cs="Times New Roman"/>
        </w:rPr>
        <w:t>ietekmes uz noteiktas tautsaimniecības nozares darbību izvērtējumu, novērtējot risku un veidus nozares komercdarbības darbībai</w:t>
      </w:r>
      <w:r w:rsidR="00ED1C72" w:rsidRPr="003D5C5A">
        <w:rPr>
          <w:rFonts w:cs="Times New Roman"/>
        </w:rPr>
        <w:t xml:space="preserve"> “ēnu ekonomikā”, kā arī plānot un veikt pasākumus</w:t>
      </w:r>
      <w:r w:rsidR="00CC6B3D" w:rsidRPr="003D5C5A">
        <w:rPr>
          <w:rFonts w:cs="Times New Roman"/>
        </w:rPr>
        <w:t xml:space="preserve"> ierobežojumu rezultātā radītās ietekmes mazināšanai un novēršanai</w:t>
      </w:r>
      <w:r w:rsidR="00CC6B3D">
        <w:rPr>
          <w:rFonts w:cs="Times New Roman"/>
          <w:color w:val="000000"/>
        </w:rPr>
        <w:t>.</w:t>
      </w:r>
      <w:r w:rsidR="00AF72CC">
        <w:rPr>
          <w:rFonts w:cs="Times New Roman"/>
          <w:color w:val="000000"/>
        </w:rPr>
        <w:t xml:space="preserve"> Turklāt, l</w:t>
      </w:r>
      <w:r w:rsidR="00AF72CC" w:rsidRPr="006A1AD1">
        <w:rPr>
          <w:rFonts w:cs="Times New Roman"/>
          <w:color w:val="000000"/>
          <w:shd w:val="clear" w:color="auto" w:fill="FFFFFF"/>
        </w:rPr>
        <w:t>ai novērstu koronavīrusa pandēmijas radīto kaitējumu ekonomikai un sociālajai jomai, stimulētu Eiropas atgūšanos, kā arī ai</w:t>
      </w:r>
      <w:r w:rsidR="00AF72CC">
        <w:rPr>
          <w:rFonts w:cs="Times New Roman"/>
          <w:color w:val="000000"/>
          <w:shd w:val="clear" w:color="auto" w:fill="FFFFFF"/>
        </w:rPr>
        <w:t xml:space="preserve">zsargātu un radītu darbavietas, </w:t>
      </w:r>
      <w:r w:rsidR="00AF72CC" w:rsidRPr="006A1AD1">
        <w:rPr>
          <w:rFonts w:cs="Times New Roman"/>
          <w:color w:val="000000"/>
          <w:shd w:val="clear" w:color="auto" w:fill="FFFFFF"/>
        </w:rPr>
        <w:t>E</w:t>
      </w:r>
      <w:r w:rsidR="00C0137C">
        <w:rPr>
          <w:rFonts w:cs="Times New Roman"/>
          <w:color w:val="000000"/>
          <w:shd w:val="clear" w:color="auto" w:fill="FFFFFF"/>
        </w:rPr>
        <w:t xml:space="preserve">K </w:t>
      </w:r>
      <w:r w:rsidR="00AF72CC">
        <w:rPr>
          <w:rFonts w:cs="Times New Roman"/>
          <w:color w:val="000000"/>
          <w:shd w:val="clear" w:color="auto" w:fill="FFFFFF"/>
        </w:rPr>
        <w:t xml:space="preserve">ir ieviesusi </w:t>
      </w:r>
      <w:r w:rsidR="00AF72CC" w:rsidRPr="00C0137C">
        <w:rPr>
          <w:rFonts w:cs="Times New Roman"/>
          <w:color w:val="000000" w:themeColor="text1"/>
          <w:shd w:val="clear" w:color="auto" w:fill="FFFFFF"/>
        </w:rPr>
        <w:t>vērienīgu </w:t>
      </w:r>
      <w:hyperlink r:id="rId11" w:tgtFrame="_blank" w:history="1">
        <w:r w:rsidR="00AF72CC" w:rsidRPr="00C0137C">
          <w:rPr>
            <w:rStyle w:val="Hyperlink"/>
            <w:rFonts w:cs="Times New Roman"/>
            <w:bCs/>
            <w:color w:val="000000" w:themeColor="text1"/>
            <w:u w:val="none"/>
            <w:bdr w:val="none" w:sz="0" w:space="0" w:color="auto" w:frame="1"/>
            <w:shd w:val="clear" w:color="auto" w:fill="FFFFFF"/>
          </w:rPr>
          <w:t>Eiropas atveseļošanas plānu.</w:t>
        </w:r>
      </w:hyperlink>
      <w:r w:rsidR="00AF72CC" w:rsidRPr="006A1AD1">
        <w:rPr>
          <w:rFonts w:cs="Times New Roman"/>
          <w:color w:val="000000"/>
          <w:shd w:val="clear" w:color="auto" w:fill="FFFFFF"/>
        </w:rPr>
        <w:t> Būtiska daļa no Eiropas atveseļošanas finansējuma tiks novirzīti Atveseļošanas un noturības mehānismam </w:t>
      </w:r>
      <w:r w:rsidR="00AF72CC" w:rsidRPr="006A1AD1">
        <w:rPr>
          <w:rStyle w:val="Emphasis"/>
          <w:rFonts w:cs="Times New Roman"/>
          <w:color w:val="000000"/>
          <w:bdr w:val="none" w:sz="0" w:space="0" w:color="auto" w:frame="1"/>
          <w:shd w:val="clear" w:color="auto" w:fill="FFFFFF"/>
        </w:rPr>
        <w:t>(</w:t>
      </w:r>
      <w:proofErr w:type="spellStart"/>
      <w:r w:rsidR="00AF72CC" w:rsidRPr="006A1AD1">
        <w:rPr>
          <w:rStyle w:val="Emphasis"/>
          <w:rFonts w:cs="Times New Roman"/>
          <w:color w:val="000000"/>
          <w:bdr w:val="none" w:sz="0" w:space="0" w:color="auto" w:frame="1"/>
          <w:shd w:val="clear" w:color="auto" w:fill="FFFFFF"/>
        </w:rPr>
        <w:t>R</w:t>
      </w:r>
      <w:r w:rsidR="00AF72CC">
        <w:rPr>
          <w:rStyle w:val="Emphasis"/>
          <w:rFonts w:cs="Times New Roman"/>
          <w:color w:val="000000"/>
          <w:bdr w:val="none" w:sz="0" w:space="0" w:color="auto" w:frame="1"/>
          <w:shd w:val="clear" w:color="auto" w:fill="FFFFFF"/>
        </w:rPr>
        <w:t>ecovery</w:t>
      </w:r>
      <w:proofErr w:type="spellEnd"/>
      <w:r w:rsidR="00AF72CC">
        <w:rPr>
          <w:rStyle w:val="Emphasis"/>
          <w:rFonts w:cs="Times New Roman"/>
          <w:color w:val="000000"/>
          <w:bdr w:val="none" w:sz="0" w:space="0" w:color="auto" w:frame="1"/>
          <w:shd w:val="clear" w:color="auto" w:fill="FFFFFF"/>
        </w:rPr>
        <w:t xml:space="preserve"> </w:t>
      </w:r>
      <w:proofErr w:type="spellStart"/>
      <w:r w:rsidR="00AF72CC">
        <w:rPr>
          <w:rStyle w:val="Emphasis"/>
          <w:rFonts w:cs="Times New Roman"/>
          <w:color w:val="000000"/>
          <w:bdr w:val="none" w:sz="0" w:space="0" w:color="auto" w:frame="1"/>
          <w:shd w:val="clear" w:color="auto" w:fill="FFFFFF"/>
        </w:rPr>
        <w:t>and</w:t>
      </w:r>
      <w:proofErr w:type="spellEnd"/>
      <w:r w:rsidR="00AF72CC">
        <w:rPr>
          <w:rStyle w:val="Emphasis"/>
          <w:rFonts w:cs="Times New Roman"/>
          <w:color w:val="000000"/>
          <w:bdr w:val="none" w:sz="0" w:space="0" w:color="auto" w:frame="1"/>
          <w:shd w:val="clear" w:color="auto" w:fill="FFFFFF"/>
        </w:rPr>
        <w:t xml:space="preserve"> </w:t>
      </w:r>
      <w:proofErr w:type="spellStart"/>
      <w:r w:rsidR="00AF72CC">
        <w:rPr>
          <w:rStyle w:val="Emphasis"/>
          <w:rFonts w:cs="Times New Roman"/>
          <w:color w:val="000000"/>
          <w:bdr w:val="none" w:sz="0" w:space="0" w:color="auto" w:frame="1"/>
          <w:shd w:val="clear" w:color="auto" w:fill="FFFFFF"/>
        </w:rPr>
        <w:t>Resilience</w:t>
      </w:r>
      <w:proofErr w:type="spellEnd"/>
      <w:r w:rsidR="00AF72CC">
        <w:rPr>
          <w:rStyle w:val="Emphasis"/>
          <w:rFonts w:cs="Times New Roman"/>
          <w:color w:val="000000"/>
          <w:bdr w:val="none" w:sz="0" w:space="0" w:color="auto" w:frame="1"/>
          <w:shd w:val="clear" w:color="auto" w:fill="FFFFFF"/>
        </w:rPr>
        <w:t xml:space="preserve"> </w:t>
      </w:r>
      <w:proofErr w:type="spellStart"/>
      <w:r w:rsidR="00AF72CC">
        <w:rPr>
          <w:rStyle w:val="Emphasis"/>
          <w:rFonts w:cs="Times New Roman"/>
          <w:color w:val="000000"/>
          <w:bdr w:val="none" w:sz="0" w:space="0" w:color="auto" w:frame="1"/>
          <w:shd w:val="clear" w:color="auto" w:fill="FFFFFF"/>
        </w:rPr>
        <w:t>Facility</w:t>
      </w:r>
      <w:proofErr w:type="spellEnd"/>
      <w:r w:rsidR="00AF72CC" w:rsidRPr="006A1AD1">
        <w:rPr>
          <w:rStyle w:val="Emphasis"/>
          <w:rFonts w:cs="Times New Roman"/>
          <w:color w:val="000000"/>
          <w:bdr w:val="none" w:sz="0" w:space="0" w:color="auto" w:frame="1"/>
          <w:shd w:val="clear" w:color="auto" w:fill="FFFFFF"/>
        </w:rPr>
        <w:t>)</w:t>
      </w:r>
      <w:r w:rsidR="00AF72CC" w:rsidRPr="006A1AD1">
        <w:rPr>
          <w:rFonts w:cs="Times New Roman"/>
          <w:color w:val="000000"/>
          <w:shd w:val="clear" w:color="auto" w:fill="FFFFFF"/>
        </w:rPr>
        <w:t> – jaunai EK centralizēti</w:t>
      </w:r>
      <w:r w:rsidR="00AF72CC">
        <w:rPr>
          <w:rFonts w:cs="Times New Roman"/>
          <w:color w:val="000000"/>
          <w:shd w:val="clear" w:color="auto" w:fill="FFFFFF"/>
        </w:rPr>
        <w:t xml:space="preserve"> pārvaldītai budžeta programmai, kuras </w:t>
      </w:r>
      <w:r w:rsidR="00AF72CC" w:rsidRPr="006A1AD1">
        <w:rPr>
          <w:rStyle w:val="Strong"/>
          <w:rFonts w:cs="Times New Roman"/>
          <w:b w:val="0"/>
          <w:color w:val="000000"/>
          <w:bdr w:val="none" w:sz="0" w:space="0" w:color="auto" w:frame="1"/>
          <w:shd w:val="clear" w:color="auto" w:fill="FFFFFF"/>
        </w:rPr>
        <w:t>mērķis</w:t>
      </w:r>
      <w:r w:rsidR="00AF72CC">
        <w:rPr>
          <w:rFonts w:cs="Times New Roman"/>
          <w:color w:val="000000"/>
          <w:shd w:val="clear" w:color="auto" w:fill="FFFFFF"/>
        </w:rPr>
        <w:t> ir</w:t>
      </w:r>
      <w:r w:rsidR="00AF72CC" w:rsidRPr="006A1AD1">
        <w:rPr>
          <w:rFonts w:cs="Times New Roman"/>
          <w:color w:val="000000"/>
          <w:shd w:val="clear" w:color="auto" w:fill="FFFFFF"/>
        </w:rPr>
        <w:t xml:space="preserve"> atbalstīt reformas un investīcijas, īpaši, kas saistītas ar pāreju uz zaļo un digitālo ekonomiku, kā arī mazināt krīzes radīto sociālo un ekonomisko ietekmi.</w:t>
      </w:r>
      <w:r w:rsidR="00AF72CC">
        <w:rPr>
          <w:rFonts w:cs="Times New Roman"/>
          <w:color w:val="000000"/>
          <w:shd w:val="clear" w:color="auto" w:fill="FFFFFF"/>
        </w:rPr>
        <w:t xml:space="preserve"> Ņemot vērā</w:t>
      </w:r>
      <w:r w:rsidR="00813688">
        <w:rPr>
          <w:rFonts w:cs="Times New Roman"/>
          <w:color w:val="000000"/>
          <w:shd w:val="clear" w:color="auto" w:fill="FFFFFF"/>
        </w:rPr>
        <w:t xml:space="preserve"> to, ka</w:t>
      </w:r>
      <w:r w:rsidR="00AF72CC">
        <w:rPr>
          <w:rFonts w:cs="Times New Roman"/>
          <w:color w:val="000000"/>
          <w:shd w:val="clear" w:color="auto" w:fill="FFFFFF"/>
        </w:rPr>
        <w:t xml:space="preserve"> pandēmijas izraisīto seku ietekmes mazināšanai nozaru ministriju pieteiktiem pasākumiem ir nepieciešams valsts budžeta līdzfinansējums, piesakot pasākumus </w:t>
      </w:r>
      <w:r w:rsidR="00AF72CC" w:rsidRPr="006A1AD1">
        <w:rPr>
          <w:rFonts w:cs="Times New Roman"/>
          <w:color w:val="000000"/>
          <w:shd w:val="clear" w:color="auto" w:fill="FFFFFF"/>
        </w:rPr>
        <w:t>Atves</w:t>
      </w:r>
      <w:r w:rsidR="00AF72CC">
        <w:rPr>
          <w:rFonts w:cs="Times New Roman"/>
          <w:color w:val="000000"/>
          <w:shd w:val="clear" w:color="auto" w:fill="FFFFFF"/>
        </w:rPr>
        <w:t xml:space="preserve">eļošanas un noturības mehānisma finansējuma saņemšanai, nozaru ministrijām ir </w:t>
      </w:r>
      <w:r w:rsidR="00813688">
        <w:rPr>
          <w:rFonts w:cs="Times New Roman"/>
          <w:color w:val="000000"/>
          <w:shd w:val="clear" w:color="auto" w:fill="FFFFFF"/>
        </w:rPr>
        <w:t>ieteicams iesniegt priekšlikumus</w:t>
      </w:r>
      <w:r w:rsidR="00AF72CC">
        <w:rPr>
          <w:rFonts w:cs="Times New Roman"/>
          <w:color w:val="000000"/>
          <w:shd w:val="clear" w:color="auto" w:fill="FFFFFF"/>
        </w:rPr>
        <w:t xml:space="preserve"> pasākumiem ēnu ekonomikas apmēra mazināšanai un papildus nodokļu ieņēmumiem, ko sniegs pandēmijas ietekmē cietušām nozarēm sniegtais atbalsts.</w:t>
      </w:r>
    </w:p>
    <w:p w:rsidR="00943EE0" w:rsidRPr="00943EE0" w:rsidRDefault="00AF72CC" w:rsidP="003B5A2D">
      <w:pPr>
        <w:ind w:right="-31" w:firstLine="709"/>
        <w:jc w:val="both"/>
        <w:rPr>
          <w:rFonts w:cs="Times New Roman"/>
        </w:rPr>
      </w:pPr>
      <w:r>
        <w:rPr>
          <w:rFonts w:cs="Times New Roman"/>
        </w:rPr>
        <w:t>Tāpat, l</w:t>
      </w:r>
      <w:r w:rsidR="00943EE0" w:rsidRPr="00943EE0">
        <w:rPr>
          <w:rFonts w:cs="Times New Roman"/>
        </w:rPr>
        <w:t>ai rastu jaunus risinājumus un pieeju ēnu ekonomikas ierobežošanas pasākumiem, aktīvāk</w:t>
      </w:r>
      <w:r>
        <w:rPr>
          <w:rFonts w:cs="Times New Roman"/>
        </w:rPr>
        <w:t xml:space="preserve"> ir jā</w:t>
      </w:r>
      <w:r w:rsidR="00943EE0" w:rsidRPr="00943EE0">
        <w:rPr>
          <w:rFonts w:cs="Times New Roman"/>
        </w:rPr>
        <w:t>izmanto</w:t>
      </w:r>
      <w:r w:rsidR="003D5C5A">
        <w:rPr>
          <w:rFonts w:cs="Times New Roman"/>
        </w:rPr>
        <w:t xml:space="preserve"> </w:t>
      </w:r>
      <w:r w:rsidR="00943EE0" w:rsidRPr="00943EE0">
        <w:rPr>
          <w:rFonts w:cs="Times New Roman"/>
        </w:rPr>
        <w:t>tautsaimniecības nozaru ekspertu atbalstu un arī pavisam jaunu Latvijā rosinātu pieeju</w:t>
      </w:r>
      <w:r w:rsidR="008C6B4D">
        <w:rPr>
          <w:rFonts w:cs="Times New Roman"/>
        </w:rPr>
        <w:t xml:space="preserve"> </w:t>
      </w:r>
      <w:r w:rsidR="00943EE0" w:rsidRPr="00943EE0">
        <w:rPr>
          <w:rFonts w:cs="Times New Roman"/>
        </w:rPr>
        <w:t>–</w:t>
      </w:r>
      <w:r w:rsidR="008C6B4D">
        <w:rPr>
          <w:rFonts w:cs="Times New Roman"/>
        </w:rPr>
        <w:t xml:space="preserve"> </w:t>
      </w:r>
      <w:r w:rsidR="00943EE0" w:rsidRPr="00943EE0">
        <w:rPr>
          <w:rFonts w:cs="Times New Roman"/>
        </w:rPr>
        <w:t>zinātniski pētnieciskā darba rezultātus.</w:t>
      </w:r>
    </w:p>
    <w:p w:rsidR="00943EE0" w:rsidRPr="00943EE0" w:rsidRDefault="00943EE0" w:rsidP="003B5A2D">
      <w:pPr>
        <w:ind w:right="-31" w:firstLine="709"/>
        <w:jc w:val="both"/>
        <w:rPr>
          <w:rFonts w:cs="Times New Roman"/>
        </w:rPr>
      </w:pPr>
      <w:r w:rsidRPr="00943EE0">
        <w:rPr>
          <w:rFonts w:cs="Times New Roman"/>
        </w:rPr>
        <w:t>2020.</w:t>
      </w:r>
      <w:r w:rsidR="00C73014">
        <w:rPr>
          <w:rFonts w:cs="Times New Roman"/>
        </w:rPr>
        <w:t> </w:t>
      </w:r>
      <w:r w:rsidRPr="00943EE0">
        <w:rPr>
          <w:rFonts w:cs="Times New Roman"/>
        </w:rPr>
        <w:t xml:space="preserve">gadā </w:t>
      </w:r>
      <w:r w:rsidR="004274BE">
        <w:rPr>
          <w:rFonts w:cs="Times New Roman"/>
        </w:rPr>
        <w:t>FM</w:t>
      </w:r>
      <w:r w:rsidRPr="00943EE0">
        <w:rPr>
          <w:rFonts w:cs="Times New Roman"/>
        </w:rPr>
        <w:t xml:space="preserve"> uzsāka darbu pie valsts pētījumu programmas “Ēnu ekonomikas mazināšana ilgtspējīgas ekonomikas attīstības nodrošināšanai” īstenošanas.</w:t>
      </w:r>
      <w:r w:rsidR="004274BE">
        <w:rPr>
          <w:rFonts w:cs="Times New Roman"/>
        </w:rPr>
        <w:t xml:space="preserve"> </w:t>
      </w:r>
      <w:r w:rsidRPr="00943EE0">
        <w:rPr>
          <w:rFonts w:cs="Times New Roman"/>
        </w:rPr>
        <w:t xml:space="preserve">Viens no pētījumu programmas uzdevumiem ir novērtēt ēnu ekonomikas ietekmējošos faktorus tautsaimniecības nozarēs ar nozīmīgāko finanšu ietekmi (t.sk. nozarēs, kas ir skartas </w:t>
      </w:r>
      <w:r w:rsidR="008175EA">
        <w:rPr>
          <w:rFonts w:cs="Times New Roman"/>
        </w:rPr>
        <w:t>C</w:t>
      </w:r>
      <w:r w:rsidR="004934FB">
        <w:rPr>
          <w:rFonts w:cs="Times New Roman"/>
        </w:rPr>
        <w:t>ovid</w:t>
      </w:r>
      <w:r w:rsidRPr="00943EE0">
        <w:rPr>
          <w:rFonts w:cs="Times New Roman"/>
        </w:rPr>
        <w:t xml:space="preserve">-19 krīzē), kā arī sniegt pamatotus un ar finanšu ietekmi novērtētus rīcībpolitikas ieteikumus ēnu ekonomikas mazināšanai. </w:t>
      </w:r>
    </w:p>
    <w:p w:rsidR="00087D43" w:rsidRDefault="00087D43" w:rsidP="003B5A2D">
      <w:pPr>
        <w:ind w:right="-31" w:firstLine="709"/>
        <w:jc w:val="both"/>
        <w:rPr>
          <w:rFonts w:cs="Times New Roman"/>
        </w:rPr>
      </w:pPr>
      <w:r w:rsidRPr="00087D43">
        <w:rPr>
          <w:rFonts w:cs="Times New Roman"/>
        </w:rPr>
        <w:t>Ir jāatzīmē, ka nozaru ministrijās ir nepieciešams vairot iniciatīvu sadarboties ar noteiktu tautsaimniecības nozaru organizācijām (uzņēmējiem, kas godīgi pilda savas saistības pret valsti), lai identificētu ēnu ekonomiku veicinošus faktorus un rastu risinājumus to ietekmes mazināšanai, sadarbojoties vairākām nozaru ministrijām un iestādēm. Vienlaikus secināms, ka nozaru ministrijām ir jāpaplašina savs redzējums par ēnu ekonomikas izpausmēm, faktoriem un nozares problēmām, ņemot vērā uzņēmēju organizāciju sniegto informāciju un aprēķinus par ēnu ekonomikas īpatsvaru</w:t>
      </w:r>
      <w:r>
        <w:rPr>
          <w:rFonts w:cs="Times New Roman"/>
        </w:rPr>
        <w:t>.</w:t>
      </w:r>
      <w:r w:rsidRPr="00087D43">
        <w:rPr>
          <w:rFonts w:cs="Times New Roman"/>
        </w:rPr>
        <w:t xml:space="preserve"> </w:t>
      </w:r>
      <w:r w:rsidR="00AF72CC" w:rsidRPr="001E64C6">
        <w:rPr>
          <w:rFonts w:cs="Times New Roman"/>
        </w:rPr>
        <w:t xml:space="preserve">Ēnu ekonomikas ierobežošanas plāna </w:t>
      </w:r>
      <w:r w:rsidR="00AF72CC">
        <w:rPr>
          <w:rFonts w:cs="Times New Roman"/>
        </w:rPr>
        <w:t>s</w:t>
      </w:r>
      <w:r w:rsidR="00AF72CC" w:rsidRPr="001E64C6">
        <w:rPr>
          <w:rFonts w:cs="Times New Roman"/>
        </w:rPr>
        <w:t>tratēģisk</w:t>
      </w:r>
      <w:r w:rsidR="00AF72CC">
        <w:rPr>
          <w:rFonts w:cs="Times New Roman"/>
        </w:rPr>
        <w:t>am</w:t>
      </w:r>
      <w:r w:rsidR="00AF72CC" w:rsidRPr="001E64C6">
        <w:rPr>
          <w:rFonts w:cs="Times New Roman"/>
        </w:rPr>
        <w:t xml:space="preserve"> mērķi</w:t>
      </w:r>
      <w:r w:rsidR="00AF72CC">
        <w:rPr>
          <w:rFonts w:cs="Times New Roman"/>
        </w:rPr>
        <w:t>m ir jākļūst par n</w:t>
      </w:r>
      <w:r w:rsidR="00AF72CC" w:rsidRPr="002D0CDA">
        <w:rPr>
          <w:rFonts w:cs="Times New Roman"/>
          <w:bCs/>
        </w:rPr>
        <w:t>ozaru ministr</w:t>
      </w:r>
      <w:r w:rsidR="00AF72CC" w:rsidRPr="001E64C6">
        <w:rPr>
          <w:rFonts w:cs="Times New Roman"/>
          <w:bCs/>
        </w:rPr>
        <w:t xml:space="preserve">iju un valsts iestāžu integrētu un mērķtiecīgu </w:t>
      </w:r>
      <w:r w:rsidR="00AF72CC">
        <w:rPr>
          <w:rFonts w:cs="Times New Roman"/>
          <w:bCs/>
        </w:rPr>
        <w:t>darbību</w:t>
      </w:r>
      <w:r w:rsidR="00AF72CC" w:rsidRPr="002D0CDA">
        <w:rPr>
          <w:rFonts w:cs="Times New Roman"/>
          <w:bCs/>
        </w:rPr>
        <w:t>, identificējot un novērtējot ēnu ekonomiku veicinošus faktorus nozares politikās un ministriju atbildības darbības jomās, īstenojot rīcībpolitikas pasākumus identificēto faktoru ietekmes mazināšanai.</w:t>
      </w:r>
    </w:p>
    <w:p w:rsidR="006424D4" w:rsidRPr="0005656D" w:rsidRDefault="006424D4" w:rsidP="003B5A2D">
      <w:pPr>
        <w:ind w:right="-31" w:firstLine="709"/>
        <w:jc w:val="both"/>
        <w:rPr>
          <w:rFonts w:cs="Times New Roman"/>
        </w:rPr>
      </w:pPr>
      <w:bookmarkStart w:id="5" w:name="_Hlk63065104"/>
      <w:r w:rsidRPr="0005656D">
        <w:rPr>
          <w:rFonts w:cs="Times New Roman"/>
        </w:rPr>
        <w:t xml:space="preserve">Apkopojot iepriekš minēto, efektivizējot un mērķtiecīgi pilnveidojot cīņu ar izvairīšanos no nodokļu nomaksas, </w:t>
      </w:r>
      <w:r w:rsidRPr="0005656D">
        <w:rPr>
          <w:b/>
        </w:rPr>
        <w:t>noteikt “</w:t>
      </w:r>
      <w:r w:rsidRPr="0005656D">
        <w:rPr>
          <w:rFonts w:cs="Times New Roman"/>
          <w:b/>
        </w:rPr>
        <w:t>aplokšņu algu” maksāšanas ierobežošan</w:t>
      </w:r>
      <w:r w:rsidR="00F32F1D">
        <w:rPr>
          <w:rFonts w:cs="Times New Roman"/>
          <w:b/>
        </w:rPr>
        <w:t xml:space="preserve">u kā </w:t>
      </w:r>
      <w:r w:rsidR="00260DEA">
        <w:rPr>
          <w:rFonts w:cs="Times New Roman"/>
          <w:b/>
        </w:rPr>
        <w:t>p</w:t>
      </w:r>
      <w:r w:rsidR="00F32F1D">
        <w:rPr>
          <w:rFonts w:cs="Times New Roman"/>
          <w:b/>
        </w:rPr>
        <w:t>lāna darbības prioritā</w:t>
      </w:r>
      <w:r w:rsidRPr="0005656D">
        <w:rPr>
          <w:rFonts w:cs="Times New Roman"/>
          <w:b/>
        </w:rPr>
        <w:t>ti turpmākajiem diviem gadiem</w:t>
      </w:r>
      <w:r w:rsidRPr="0005656D">
        <w:rPr>
          <w:rFonts w:cs="Times New Roman"/>
        </w:rPr>
        <w:t xml:space="preserve">. </w:t>
      </w:r>
    </w:p>
    <w:p w:rsidR="006424D4" w:rsidRPr="0005656D" w:rsidRDefault="006424D4" w:rsidP="003B5A2D">
      <w:pPr>
        <w:ind w:right="-31" w:firstLine="709"/>
        <w:jc w:val="both"/>
        <w:rPr>
          <w:rFonts w:cs="Times New Roman"/>
          <w:b/>
        </w:rPr>
      </w:pPr>
      <w:r w:rsidRPr="0005656D">
        <w:rPr>
          <w:rFonts w:cs="Times New Roman"/>
        </w:rPr>
        <w:t xml:space="preserve">“Aplokšņu algu” </w:t>
      </w:r>
      <w:r w:rsidR="004274BE">
        <w:rPr>
          <w:rFonts w:cs="Times New Roman"/>
        </w:rPr>
        <w:t>mazināšanai</w:t>
      </w:r>
      <w:r w:rsidR="004274BE" w:rsidRPr="0005656D">
        <w:rPr>
          <w:rFonts w:cs="Times New Roman"/>
        </w:rPr>
        <w:t xml:space="preserve"> </w:t>
      </w:r>
      <w:r w:rsidRPr="0005656D">
        <w:rPr>
          <w:rFonts w:cs="Times New Roman"/>
        </w:rPr>
        <w:t xml:space="preserve">veicami pasākumi attiecībā uz nelegālas izcelsmes skaidras naudas izcelsmes avotiem katrā specifiskā tautsaimniecības </w:t>
      </w:r>
      <w:r w:rsidR="00260DEA">
        <w:rPr>
          <w:rFonts w:cs="Times New Roman"/>
        </w:rPr>
        <w:t>jomā, tādēļ</w:t>
      </w:r>
      <w:r w:rsidRPr="0005656D">
        <w:rPr>
          <w:rFonts w:cs="Times New Roman"/>
        </w:rPr>
        <w:t xml:space="preserve"> nozaru ministrijām sadarbībā ar noteiktas tautsaimniecības nozares ekspertiem (asociācijām, biedrībām u.c.) </w:t>
      </w:r>
      <w:r w:rsidR="00260DEA" w:rsidRPr="00260DEA">
        <w:rPr>
          <w:rFonts w:cs="Times New Roman"/>
          <w:b/>
          <w:bCs/>
        </w:rPr>
        <w:t>jā</w:t>
      </w:r>
      <w:r w:rsidRPr="0005656D">
        <w:rPr>
          <w:rFonts w:cs="Times New Roman"/>
          <w:b/>
        </w:rPr>
        <w:t>identificē apstākļus un faktorus, kuri sekmē neuzskaitītu skaidras naudas līdzekļu izcelsmi un tālāku apriti, t.sk. “aplokšņu algu” izmaks</w:t>
      </w:r>
      <w:r w:rsidR="00260DEA">
        <w:rPr>
          <w:rFonts w:cs="Times New Roman"/>
          <w:b/>
        </w:rPr>
        <w:t>a</w:t>
      </w:r>
      <w:r w:rsidRPr="0005656D">
        <w:rPr>
          <w:rFonts w:cs="Times New Roman"/>
          <w:b/>
        </w:rPr>
        <w:t xml:space="preserve">s. </w:t>
      </w:r>
    </w:p>
    <w:p w:rsidR="00F07C23" w:rsidRPr="0005656D" w:rsidRDefault="00260DEA" w:rsidP="003B5A2D">
      <w:pPr>
        <w:ind w:right="-31" w:firstLine="709"/>
        <w:jc w:val="both"/>
        <w:rPr>
          <w:rFonts w:cs="Times New Roman"/>
          <w:b/>
        </w:rPr>
      </w:pPr>
      <w:r>
        <w:rPr>
          <w:rFonts w:cs="Times New Roman"/>
          <w:bCs/>
        </w:rPr>
        <w:t>P</w:t>
      </w:r>
      <w:r w:rsidR="00F07C23" w:rsidRPr="00260DEA">
        <w:rPr>
          <w:rFonts w:cs="Times New Roman"/>
          <w:bCs/>
        </w:rPr>
        <w:t>lāna struktūra ir veidota kā</w:t>
      </w:r>
      <w:r w:rsidR="00F07C23" w:rsidRPr="0005656D">
        <w:rPr>
          <w:rFonts w:cs="Times New Roman"/>
          <w:b/>
        </w:rPr>
        <w:t xml:space="preserve"> rīcības virzieni </w:t>
      </w:r>
      <w:r w:rsidR="00F07C23" w:rsidRPr="00260DEA">
        <w:rPr>
          <w:rFonts w:cs="Times New Roman"/>
          <w:b/>
        </w:rPr>
        <w:t xml:space="preserve">risku un iespēju mazināšanai </w:t>
      </w:r>
      <w:r w:rsidR="004274BE" w:rsidRPr="00260DEA">
        <w:rPr>
          <w:rFonts w:cs="Times New Roman"/>
          <w:b/>
        </w:rPr>
        <w:t xml:space="preserve">skaidras </w:t>
      </w:r>
      <w:r w:rsidR="00F07C23" w:rsidRPr="00260DEA">
        <w:rPr>
          <w:rFonts w:cs="Times New Roman"/>
          <w:b/>
        </w:rPr>
        <w:t>naudas līdzekļu izcelsmei</w:t>
      </w:r>
      <w:r w:rsidR="00F07C23" w:rsidRPr="00260DEA">
        <w:rPr>
          <w:rFonts w:cs="Times New Roman"/>
          <w:bCs/>
        </w:rPr>
        <w:t>, kura tiek maksāta nedeklarētā un grāmatvedībā neuzskaitītā veidā – “aploksnēs”</w:t>
      </w:r>
      <w:r>
        <w:rPr>
          <w:rFonts w:cs="Times New Roman"/>
          <w:bCs/>
        </w:rPr>
        <w:t xml:space="preserve">. </w:t>
      </w:r>
      <w:r w:rsidR="00F07C23" w:rsidRPr="00260DEA">
        <w:rPr>
          <w:rFonts w:cs="Times New Roman"/>
          <w:bCs/>
        </w:rPr>
        <w:t>“</w:t>
      </w:r>
      <w:r w:rsidRPr="00260DEA">
        <w:rPr>
          <w:rFonts w:cs="Times New Roman"/>
          <w:bCs/>
        </w:rPr>
        <w:t>A</w:t>
      </w:r>
      <w:r w:rsidR="00F07C23" w:rsidRPr="00260DEA">
        <w:rPr>
          <w:rFonts w:cs="Times New Roman"/>
          <w:bCs/>
        </w:rPr>
        <w:t>plokšņu algu” cēloņu izskaušanai, nevis cīņai ar sekām</w:t>
      </w:r>
      <w:r w:rsidR="00BD538A">
        <w:rPr>
          <w:rFonts w:cs="Times New Roman"/>
          <w:bCs/>
        </w:rPr>
        <w:t>, plānā</w:t>
      </w:r>
      <w:r w:rsidRPr="00260DEA">
        <w:rPr>
          <w:rFonts w:cs="Times New Roman"/>
          <w:b/>
        </w:rPr>
        <w:t xml:space="preserve"> </w:t>
      </w:r>
      <w:r w:rsidRPr="00260DEA">
        <w:rPr>
          <w:rFonts w:cs="Times New Roman"/>
          <w:bCs/>
        </w:rPr>
        <w:t>noteikti</w:t>
      </w:r>
      <w:r>
        <w:rPr>
          <w:rFonts w:cs="Times New Roman"/>
          <w:b/>
        </w:rPr>
        <w:t xml:space="preserve"> pieci </w:t>
      </w:r>
      <w:r w:rsidRPr="0005656D">
        <w:rPr>
          <w:rFonts w:cs="Times New Roman"/>
          <w:b/>
        </w:rPr>
        <w:t>rīcības virzieni</w:t>
      </w:r>
      <w:r w:rsidR="00F07C23" w:rsidRPr="0005656D">
        <w:rPr>
          <w:rFonts w:cs="Times New Roman"/>
          <w:b/>
        </w:rPr>
        <w:t>:</w:t>
      </w:r>
    </w:p>
    <w:p w:rsidR="006424D4" w:rsidRPr="0005656D" w:rsidRDefault="00F07C23" w:rsidP="003B5A2D">
      <w:pPr>
        <w:pStyle w:val="ListParagraph"/>
        <w:numPr>
          <w:ilvl w:val="0"/>
          <w:numId w:val="15"/>
        </w:numPr>
        <w:ind w:left="1134" w:right="142" w:hanging="425"/>
        <w:jc w:val="both"/>
        <w:rPr>
          <w:rFonts w:ascii="Times New Roman" w:hAnsi="Times New Roman" w:cs="Times New Roman"/>
          <w:sz w:val="24"/>
        </w:rPr>
      </w:pPr>
      <w:r w:rsidRPr="0005656D">
        <w:rPr>
          <w:rFonts w:ascii="Times New Roman" w:hAnsi="Times New Roman" w:cs="Times New Roman"/>
          <w:sz w:val="24"/>
        </w:rPr>
        <w:t>Nereģistrēta saimnieciskā darbība;</w:t>
      </w:r>
    </w:p>
    <w:p w:rsidR="00F07C23" w:rsidRPr="0005656D" w:rsidRDefault="00F07C23" w:rsidP="003B5A2D">
      <w:pPr>
        <w:pStyle w:val="ListParagraph"/>
        <w:numPr>
          <w:ilvl w:val="0"/>
          <w:numId w:val="15"/>
        </w:numPr>
        <w:ind w:left="1134" w:right="142" w:hanging="425"/>
        <w:jc w:val="both"/>
        <w:rPr>
          <w:rFonts w:ascii="Times New Roman" w:hAnsi="Times New Roman" w:cs="Times New Roman"/>
          <w:sz w:val="24"/>
        </w:rPr>
      </w:pPr>
      <w:r w:rsidRPr="0005656D">
        <w:rPr>
          <w:rFonts w:ascii="Times New Roman" w:hAnsi="Times New Roman" w:cs="Times New Roman"/>
          <w:sz w:val="24"/>
        </w:rPr>
        <w:t>Nedeklarēta nodarbin</w:t>
      </w:r>
      <w:r w:rsidR="00BE5565" w:rsidRPr="0005656D">
        <w:rPr>
          <w:rFonts w:ascii="Times New Roman" w:hAnsi="Times New Roman" w:cs="Times New Roman"/>
          <w:sz w:val="24"/>
        </w:rPr>
        <w:t>ā</w:t>
      </w:r>
      <w:r w:rsidRPr="0005656D">
        <w:rPr>
          <w:rFonts w:ascii="Times New Roman" w:hAnsi="Times New Roman" w:cs="Times New Roman"/>
          <w:sz w:val="24"/>
        </w:rPr>
        <w:t>tība</w:t>
      </w:r>
      <w:r w:rsidR="00121DAE">
        <w:rPr>
          <w:rFonts w:ascii="Times New Roman" w:hAnsi="Times New Roman" w:cs="Times New Roman"/>
          <w:sz w:val="24"/>
        </w:rPr>
        <w:t xml:space="preserve"> </w:t>
      </w:r>
      <w:r w:rsidR="00121DAE" w:rsidRPr="00121DAE">
        <w:rPr>
          <w:rFonts w:ascii="Times New Roman" w:hAnsi="Times New Roman" w:cs="Times New Roman"/>
          <w:sz w:val="24"/>
        </w:rPr>
        <w:t>un neuzrādīta darba samaksa</w:t>
      </w:r>
      <w:r w:rsidRPr="0005656D">
        <w:rPr>
          <w:rFonts w:ascii="Times New Roman" w:hAnsi="Times New Roman" w:cs="Times New Roman"/>
          <w:sz w:val="24"/>
        </w:rPr>
        <w:t>;</w:t>
      </w:r>
    </w:p>
    <w:p w:rsidR="00F07C23" w:rsidRPr="002F461C" w:rsidRDefault="00F07C23" w:rsidP="003B5A2D">
      <w:pPr>
        <w:pStyle w:val="ListParagraph"/>
        <w:numPr>
          <w:ilvl w:val="0"/>
          <w:numId w:val="15"/>
        </w:numPr>
        <w:ind w:left="1134" w:right="142" w:hanging="425"/>
        <w:jc w:val="both"/>
        <w:rPr>
          <w:rFonts w:ascii="Times New Roman" w:hAnsi="Times New Roman" w:cs="Times New Roman"/>
          <w:sz w:val="24"/>
        </w:rPr>
      </w:pPr>
      <w:bookmarkStart w:id="6" w:name="_Hlk63927097"/>
      <w:r w:rsidRPr="003D5C5A">
        <w:rPr>
          <w:rFonts w:ascii="Times New Roman" w:hAnsi="Times New Roman" w:cs="Times New Roman"/>
          <w:sz w:val="24"/>
        </w:rPr>
        <w:t>Neuzskaitīti darījumi</w:t>
      </w:r>
      <w:bookmarkEnd w:id="6"/>
      <w:r w:rsidR="00A83BFB" w:rsidRPr="003D5C5A">
        <w:rPr>
          <w:rFonts w:ascii="Times New Roman" w:hAnsi="Times New Roman" w:cs="Times New Roman"/>
          <w:sz w:val="24"/>
        </w:rPr>
        <w:t xml:space="preserve"> un nelegāla preču aprite</w:t>
      </w:r>
      <w:r w:rsidRPr="0005656D">
        <w:rPr>
          <w:rFonts w:ascii="Times New Roman" w:hAnsi="Times New Roman" w:cs="Times New Roman"/>
          <w:sz w:val="24"/>
        </w:rPr>
        <w:t>;</w:t>
      </w:r>
    </w:p>
    <w:p w:rsidR="00F07C23" w:rsidRPr="0005656D" w:rsidRDefault="002B058E" w:rsidP="003B5A2D">
      <w:pPr>
        <w:pStyle w:val="ListParagraph"/>
        <w:numPr>
          <w:ilvl w:val="0"/>
          <w:numId w:val="15"/>
        </w:numPr>
        <w:ind w:left="1134" w:right="142" w:hanging="425"/>
        <w:jc w:val="both"/>
        <w:rPr>
          <w:rFonts w:ascii="Times New Roman" w:hAnsi="Times New Roman" w:cs="Times New Roman"/>
          <w:sz w:val="24"/>
        </w:rPr>
      </w:pPr>
      <w:bookmarkStart w:id="7" w:name="_Hlk63927219"/>
      <w:r w:rsidRPr="0005656D">
        <w:rPr>
          <w:rFonts w:ascii="Times New Roman" w:hAnsi="Times New Roman" w:cs="Times New Roman"/>
          <w:sz w:val="24"/>
        </w:rPr>
        <w:t>Skaidras naudas neuzs</w:t>
      </w:r>
      <w:r w:rsidR="00F07C23" w:rsidRPr="0005656D">
        <w:rPr>
          <w:rFonts w:ascii="Times New Roman" w:hAnsi="Times New Roman" w:cs="Times New Roman"/>
          <w:sz w:val="24"/>
        </w:rPr>
        <w:t>kaitīta</w:t>
      </w:r>
      <w:r w:rsidR="00121DAE">
        <w:rPr>
          <w:rFonts w:ascii="Times New Roman" w:hAnsi="Times New Roman" w:cs="Times New Roman"/>
          <w:sz w:val="24"/>
        </w:rPr>
        <w:t xml:space="preserve"> un </w:t>
      </w:r>
      <w:r w:rsidR="00F07C23" w:rsidRPr="0005656D">
        <w:rPr>
          <w:rFonts w:ascii="Times New Roman" w:hAnsi="Times New Roman" w:cs="Times New Roman"/>
          <w:sz w:val="24"/>
        </w:rPr>
        <w:t>nekontrolēta aprite</w:t>
      </w:r>
      <w:bookmarkEnd w:id="7"/>
      <w:r w:rsidR="00F07C23" w:rsidRPr="0005656D">
        <w:rPr>
          <w:rFonts w:ascii="Times New Roman" w:hAnsi="Times New Roman" w:cs="Times New Roman"/>
          <w:sz w:val="24"/>
        </w:rPr>
        <w:t>;</w:t>
      </w:r>
    </w:p>
    <w:p w:rsidR="00F07C23" w:rsidRPr="0005656D" w:rsidRDefault="00F07C23" w:rsidP="003B5A2D">
      <w:pPr>
        <w:pStyle w:val="ListParagraph"/>
        <w:numPr>
          <w:ilvl w:val="0"/>
          <w:numId w:val="15"/>
        </w:numPr>
        <w:ind w:left="1134" w:right="142" w:hanging="425"/>
        <w:jc w:val="both"/>
        <w:rPr>
          <w:rFonts w:ascii="Times New Roman" w:hAnsi="Times New Roman" w:cs="Times New Roman"/>
          <w:sz w:val="24"/>
        </w:rPr>
      </w:pPr>
      <w:bookmarkStart w:id="8" w:name="_Hlk63927273"/>
      <w:r w:rsidRPr="0005656D">
        <w:rPr>
          <w:rFonts w:ascii="Times New Roman" w:hAnsi="Times New Roman" w:cs="Times New Roman"/>
          <w:sz w:val="24"/>
        </w:rPr>
        <w:t xml:space="preserve">Nodokļu </w:t>
      </w:r>
      <w:bookmarkEnd w:id="8"/>
      <w:r w:rsidR="00121DAE">
        <w:rPr>
          <w:rFonts w:ascii="Times New Roman" w:hAnsi="Times New Roman" w:cs="Times New Roman"/>
          <w:sz w:val="24"/>
        </w:rPr>
        <w:t>nomaksas ve</w:t>
      </w:r>
      <w:r w:rsidR="00863B3C">
        <w:rPr>
          <w:rFonts w:ascii="Times New Roman" w:hAnsi="Times New Roman" w:cs="Times New Roman"/>
          <w:sz w:val="24"/>
        </w:rPr>
        <w:t>i</w:t>
      </w:r>
      <w:r w:rsidR="00121DAE">
        <w:rPr>
          <w:rFonts w:ascii="Times New Roman" w:hAnsi="Times New Roman" w:cs="Times New Roman"/>
          <w:sz w:val="24"/>
        </w:rPr>
        <w:t>cināšana</w:t>
      </w:r>
      <w:r w:rsidR="000D044F">
        <w:rPr>
          <w:rFonts w:ascii="Times New Roman" w:hAnsi="Times New Roman" w:cs="Times New Roman"/>
          <w:sz w:val="24"/>
        </w:rPr>
        <w:t>.</w:t>
      </w:r>
    </w:p>
    <w:p w:rsidR="00AF72CC" w:rsidRPr="002D0CDA" w:rsidRDefault="00256E1C" w:rsidP="003B5A2D">
      <w:pPr>
        <w:ind w:right="142" w:firstLine="709"/>
        <w:jc w:val="both"/>
        <w:rPr>
          <w:rFonts w:cs="Times New Roman"/>
        </w:rPr>
      </w:pPr>
      <w:r>
        <w:rPr>
          <w:rFonts w:cs="Times New Roman"/>
        </w:rPr>
        <w:t>A</w:t>
      </w:r>
      <w:r w:rsidR="00AF72CC" w:rsidRPr="000F0B45">
        <w:rPr>
          <w:rFonts w:cs="Times New Roman"/>
        </w:rPr>
        <w:t>tkarībā no apzinātiem ēnu ekonomiku ietekm</w:t>
      </w:r>
      <w:r w:rsidR="00AF72CC" w:rsidRPr="00E5368D">
        <w:rPr>
          <w:rFonts w:cs="Times New Roman"/>
        </w:rPr>
        <w:t xml:space="preserve">ējošiem faktoriem un rastiem risinājumiem to ietekmes </w:t>
      </w:r>
      <w:r w:rsidR="00AF72CC" w:rsidRPr="002D0CDA">
        <w:rPr>
          <w:rFonts w:cs="Times New Roman"/>
        </w:rPr>
        <w:t xml:space="preserve">mazināšanai, lai aktivizētu visu nozaru ministriju līdzdalību ēnu ekonomiku veicinošu faktoru identificēšanā un novērtēšanā, kā arī sniegtu priekšlikumus ēnu ekonomikas mazināšanai tautsaimniecības nozarēs, t.sk. </w:t>
      </w:r>
      <w:r w:rsidR="008175EA">
        <w:rPr>
          <w:rFonts w:cs="Times New Roman"/>
        </w:rPr>
        <w:t>C</w:t>
      </w:r>
      <w:r w:rsidR="004934FB">
        <w:rPr>
          <w:rFonts w:cs="Times New Roman"/>
        </w:rPr>
        <w:t>ovid</w:t>
      </w:r>
      <w:r w:rsidR="0027028E" w:rsidRPr="0027028E">
        <w:rPr>
          <w:rFonts w:cs="Times New Roman"/>
        </w:rPr>
        <w:t>-19</w:t>
      </w:r>
      <w:r w:rsidR="00AF72CC" w:rsidRPr="002D0CDA">
        <w:rPr>
          <w:rFonts w:cs="Times New Roman"/>
        </w:rPr>
        <w:t xml:space="preserve"> pandēmijas radīto seku mazināšanai:</w:t>
      </w:r>
    </w:p>
    <w:p w:rsidR="00AF72CC" w:rsidRPr="002D0CDA" w:rsidRDefault="00AF72CC" w:rsidP="003B5A2D">
      <w:pPr>
        <w:pStyle w:val="ListParagraph"/>
        <w:numPr>
          <w:ilvl w:val="0"/>
          <w:numId w:val="17"/>
        </w:numPr>
        <w:ind w:left="993" w:right="142" w:hanging="284"/>
        <w:jc w:val="both"/>
        <w:rPr>
          <w:rFonts w:ascii="Times New Roman" w:hAnsi="Times New Roman" w:cs="Times New Roman"/>
          <w:sz w:val="24"/>
        </w:rPr>
      </w:pPr>
      <w:r w:rsidRPr="002D0CDA">
        <w:rPr>
          <w:rFonts w:ascii="Times New Roman" w:hAnsi="Times New Roman" w:cs="Times New Roman"/>
          <w:sz w:val="24"/>
        </w:rPr>
        <w:t>vis</w:t>
      </w:r>
      <w:r w:rsidR="00DE2966">
        <w:rPr>
          <w:rFonts w:ascii="Times New Roman" w:hAnsi="Times New Roman" w:cs="Times New Roman"/>
          <w:sz w:val="24"/>
        </w:rPr>
        <w:t>as</w:t>
      </w:r>
      <w:r w:rsidRPr="002D0CDA">
        <w:rPr>
          <w:rFonts w:ascii="Times New Roman" w:hAnsi="Times New Roman" w:cs="Times New Roman"/>
          <w:sz w:val="24"/>
        </w:rPr>
        <w:t xml:space="preserve"> nozaru ministrij</w:t>
      </w:r>
      <w:r w:rsidR="00DE2966">
        <w:rPr>
          <w:rFonts w:ascii="Times New Roman" w:hAnsi="Times New Roman" w:cs="Times New Roman"/>
          <w:sz w:val="24"/>
        </w:rPr>
        <w:t>as</w:t>
      </w:r>
      <w:r w:rsidRPr="002D0CDA">
        <w:rPr>
          <w:rFonts w:ascii="Times New Roman" w:hAnsi="Times New Roman" w:cs="Times New Roman"/>
          <w:sz w:val="24"/>
        </w:rPr>
        <w:t xml:space="preserve"> </w:t>
      </w:r>
      <w:r w:rsidR="00DE2966">
        <w:rPr>
          <w:rFonts w:ascii="Times New Roman" w:hAnsi="Times New Roman" w:cs="Times New Roman"/>
          <w:sz w:val="24"/>
        </w:rPr>
        <w:t>līdz 2021.</w:t>
      </w:r>
      <w:r w:rsidR="00C73014">
        <w:rPr>
          <w:rFonts w:ascii="Times New Roman" w:hAnsi="Times New Roman" w:cs="Times New Roman"/>
          <w:sz w:val="24"/>
        </w:rPr>
        <w:t> </w:t>
      </w:r>
      <w:r w:rsidR="00DE2966">
        <w:rPr>
          <w:rFonts w:ascii="Times New Roman" w:hAnsi="Times New Roman" w:cs="Times New Roman"/>
          <w:sz w:val="24"/>
        </w:rPr>
        <w:t>gada 1.</w:t>
      </w:r>
      <w:r w:rsidR="00C73014">
        <w:rPr>
          <w:rFonts w:ascii="Times New Roman" w:hAnsi="Times New Roman" w:cs="Times New Roman"/>
          <w:sz w:val="24"/>
        </w:rPr>
        <w:t> </w:t>
      </w:r>
      <w:r w:rsidR="00DE2966">
        <w:rPr>
          <w:rFonts w:ascii="Times New Roman" w:hAnsi="Times New Roman" w:cs="Times New Roman"/>
          <w:sz w:val="24"/>
        </w:rPr>
        <w:t xml:space="preserve">jūnijam </w:t>
      </w:r>
      <w:r w:rsidRPr="002D0CDA">
        <w:rPr>
          <w:rFonts w:ascii="Times New Roman" w:hAnsi="Times New Roman" w:cs="Times New Roman"/>
          <w:sz w:val="24"/>
        </w:rPr>
        <w:t xml:space="preserve">sadarbībā ar nozares ministrijas atbildībā esošo tautsaimniecības nozaru ekspertiem </w:t>
      </w:r>
      <w:r w:rsidR="00DE2966">
        <w:rPr>
          <w:rFonts w:ascii="Times New Roman" w:hAnsi="Times New Roman" w:cs="Times New Roman"/>
          <w:sz w:val="24"/>
        </w:rPr>
        <w:t xml:space="preserve">apzināja </w:t>
      </w:r>
      <w:r w:rsidRPr="002D0CDA">
        <w:rPr>
          <w:rFonts w:ascii="Times New Roman" w:hAnsi="Times New Roman" w:cs="Times New Roman"/>
          <w:sz w:val="24"/>
        </w:rPr>
        <w:t>ēnu ekonom</w:t>
      </w:r>
      <w:r w:rsidR="0027028E">
        <w:rPr>
          <w:rFonts w:ascii="Times New Roman" w:hAnsi="Times New Roman" w:cs="Times New Roman"/>
          <w:sz w:val="24"/>
        </w:rPr>
        <w:t>iku veicinošu</w:t>
      </w:r>
      <w:r w:rsidR="00DE2966">
        <w:rPr>
          <w:rFonts w:ascii="Times New Roman" w:hAnsi="Times New Roman" w:cs="Times New Roman"/>
          <w:sz w:val="24"/>
        </w:rPr>
        <w:t>s</w:t>
      </w:r>
      <w:r w:rsidR="0027028E">
        <w:rPr>
          <w:rFonts w:ascii="Times New Roman" w:hAnsi="Times New Roman" w:cs="Times New Roman"/>
          <w:sz w:val="24"/>
        </w:rPr>
        <w:t xml:space="preserve"> faktoru</w:t>
      </w:r>
      <w:r w:rsidR="00DE2966">
        <w:rPr>
          <w:rFonts w:ascii="Times New Roman" w:hAnsi="Times New Roman" w:cs="Times New Roman"/>
          <w:sz w:val="24"/>
        </w:rPr>
        <w:t xml:space="preserve">s un </w:t>
      </w:r>
      <w:r w:rsidR="0027028E">
        <w:rPr>
          <w:rFonts w:ascii="Times New Roman" w:hAnsi="Times New Roman" w:cs="Times New Roman"/>
          <w:sz w:val="24"/>
        </w:rPr>
        <w:t>sniedz</w:t>
      </w:r>
      <w:r w:rsidR="00DE2966">
        <w:rPr>
          <w:rFonts w:ascii="Times New Roman" w:hAnsi="Times New Roman" w:cs="Times New Roman"/>
          <w:sz w:val="24"/>
        </w:rPr>
        <w:t>a</w:t>
      </w:r>
      <w:r w:rsidRPr="002D0CDA">
        <w:rPr>
          <w:rFonts w:ascii="Times New Roman" w:hAnsi="Times New Roman" w:cs="Times New Roman"/>
          <w:sz w:val="24"/>
        </w:rPr>
        <w:t xml:space="preserve"> </w:t>
      </w:r>
      <w:r w:rsidR="00256E1C">
        <w:rPr>
          <w:rFonts w:ascii="Times New Roman" w:hAnsi="Times New Roman" w:cs="Times New Roman"/>
          <w:sz w:val="24"/>
        </w:rPr>
        <w:t>FM</w:t>
      </w:r>
      <w:r w:rsidRPr="002D0CDA">
        <w:rPr>
          <w:rFonts w:ascii="Times New Roman" w:hAnsi="Times New Roman" w:cs="Times New Roman"/>
          <w:sz w:val="24"/>
        </w:rPr>
        <w:t xml:space="preserve"> priekšlikumus ēnu ekonomiku mazinošiem pasākumiem noteiktā nozarē </w:t>
      </w:r>
      <w:r w:rsidR="0022281F">
        <w:rPr>
          <w:rFonts w:ascii="Times New Roman" w:hAnsi="Times New Roman" w:cs="Times New Roman"/>
          <w:sz w:val="24"/>
        </w:rPr>
        <w:t>un</w:t>
      </w:r>
      <w:r w:rsidRPr="002D0CDA">
        <w:rPr>
          <w:rFonts w:ascii="Times New Roman" w:hAnsi="Times New Roman" w:cs="Times New Roman"/>
          <w:sz w:val="24"/>
        </w:rPr>
        <w:t xml:space="preserve"> tautsa</w:t>
      </w:r>
      <w:r w:rsidR="0067324C">
        <w:rPr>
          <w:rFonts w:ascii="Times New Roman" w:hAnsi="Times New Roman" w:cs="Times New Roman"/>
          <w:sz w:val="24"/>
        </w:rPr>
        <w:t>i</w:t>
      </w:r>
      <w:r w:rsidRPr="002D0CDA">
        <w:rPr>
          <w:rFonts w:ascii="Times New Roman" w:hAnsi="Times New Roman" w:cs="Times New Roman"/>
          <w:sz w:val="24"/>
        </w:rPr>
        <w:t>mniecībā kopumā;</w:t>
      </w:r>
    </w:p>
    <w:p w:rsidR="00AF72CC" w:rsidRDefault="00AF72CC" w:rsidP="003B5A2D">
      <w:pPr>
        <w:pStyle w:val="ListParagraph"/>
        <w:numPr>
          <w:ilvl w:val="0"/>
          <w:numId w:val="17"/>
        </w:numPr>
        <w:ind w:left="993" w:right="142" w:hanging="284"/>
        <w:jc w:val="both"/>
        <w:rPr>
          <w:rFonts w:ascii="Times New Roman" w:hAnsi="Times New Roman" w:cs="Times New Roman"/>
          <w:sz w:val="24"/>
        </w:rPr>
      </w:pPr>
      <w:r w:rsidRPr="002D0CDA">
        <w:rPr>
          <w:rFonts w:ascii="Times New Roman" w:hAnsi="Times New Roman" w:cs="Times New Roman"/>
          <w:sz w:val="24"/>
        </w:rPr>
        <w:t>F</w:t>
      </w:r>
      <w:r w:rsidR="00256E1C">
        <w:rPr>
          <w:rFonts w:ascii="Times New Roman" w:hAnsi="Times New Roman" w:cs="Times New Roman"/>
          <w:sz w:val="24"/>
        </w:rPr>
        <w:t xml:space="preserve">M </w:t>
      </w:r>
      <w:r w:rsidR="0027028E">
        <w:rPr>
          <w:rFonts w:ascii="Times New Roman" w:hAnsi="Times New Roman" w:cs="Times New Roman"/>
          <w:sz w:val="24"/>
        </w:rPr>
        <w:t>apkopo</w:t>
      </w:r>
      <w:r w:rsidR="006B39ED">
        <w:rPr>
          <w:rFonts w:ascii="Times New Roman" w:hAnsi="Times New Roman" w:cs="Times New Roman"/>
          <w:sz w:val="24"/>
        </w:rPr>
        <w:t>ja</w:t>
      </w:r>
      <w:r w:rsidR="0027028E">
        <w:rPr>
          <w:rFonts w:ascii="Times New Roman" w:hAnsi="Times New Roman" w:cs="Times New Roman"/>
          <w:sz w:val="24"/>
        </w:rPr>
        <w:t xml:space="preserve"> iesniegt</w:t>
      </w:r>
      <w:r w:rsidR="006B39ED">
        <w:rPr>
          <w:rFonts w:ascii="Times New Roman" w:hAnsi="Times New Roman" w:cs="Times New Roman"/>
          <w:sz w:val="24"/>
        </w:rPr>
        <w:t xml:space="preserve">os </w:t>
      </w:r>
      <w:r w:rsidRPr="002D0CDA">
        <w:rPr>
          <w:rFonts w:ascii="Times New Roman" w:hAnsi="Times New Roman" w:cs="Times New Roman"/>
          <w:sz w:val="24"/>
        </w:rPr>
        <w:t>priek</w:t>
      </w:r>
      <w:r w:rsidR="0027028E">
        <w:rPr>
          <w:rFonts w:ascii="Times New Roman" w:hAnsi="Times New Roman" w:cs="Times New Roman"/>
          <w:sz w:val="24"/>
        </w:rPr>
        <w:t>šlikum</w:t>
      </w:r>
      <w:r w:rsidR="006B39ED">
        <w:rPr>
          <w:rFonts w:ascii="Times New Roman" w:hAnsi="Times New Roman" w:cs="Times New Roman"/>
          <w:sz w:val="24"/>
        </w:rPr>
        <w:t>us</w:t>
      </w:r>
      <w:r w:rsidRPr="0089183B">
        <w:rPr>
          <w:rFonts w:ascii="Times New Roman" w:hAnsi="Times New Roman" w:cs="Times New Roman"/>
          <w:sz w:val="24"/>
        </w:rPr>
        <w:t>, i</w:t>
      </w:r>
      <w:r w:rsidR="0027028E">
        <w:rPr>
          <w:rFonts w:ascii="Times New Roman" w:hAnsi="Times New Roman" w:cs="Times New Roman"/>
          <w:sz w:val="24"/>
        </w:rPr>
        <w:t>zvērtē</w:t>
      </w:r>
      <w:r w:rsidR="00DE2966">
        <w:rPr>
          <w:rFonts w:ascii="Times New Roman" w:hAnsi="Times New Roman" w:cs="Times New Roman"/>
          <w:sz w:val="24"/>
        </w:rPr>
        <w:t>ja tos k</w:t>
      </w:r>
      <w:r w:rsidRPr="002D0CDA">
        <w:rPr>
          <w:rFonts w:ascii="Times New Roman" w:hAnsi="Times New Roman" w:cs="Times New Roman"/>
          <w:sz w:val="24"/>
        </w:rPr>
        <w:t xml:space="preserve">opsakarā ar citiem priekšlikumiem un </w:t>
      </w:r>
      <w:r w:rsidR="00FB47E6">
        <w:rPr>
          <w:rFonts w:ascii="Times New Roman" w:hAnsi="Times New Roman" w:cs="Times New Roman"/>
          <w:sz w:val="24"/>
        </w:rPr>
        <w:t xml:space="preserve">papildināja </w:t>
      </w:r>
      <w:r>
        <w:rPr>
          <w:rFonts w:ascii="Times New Roman" w:hAnsi="Times New Roman" w:cs="Times New Roman"/>
          <w:sz w:val="24"/>
        </w:rPr>
        <w:t>Ēnu ekonomikas ierob</w:t>
      </w:r>
      <w:r w:rsidR="006F0985">
        <w:rPr>
          <w:rFonts w:ascii="Times New Roman" w:hAnsi="Times New Roman" w:cs="Times New Roman"/>
          <w:sz w:val="24"/>
        </w:rPr>
        <w:t>ežo</w:t>
      </w:r>
      <w:r w:rsidR="0067324C">
        <w:rPr>
          <w:rFonts w:ascii="Times New Roman" w:hAnsi="Times New Roman" w:cs="Times New Roman"/>
          <w:sz w:val="24"/>
        </w:rPr>
        <w:t>š</w:t>
      </w:r>
      <w:r w:rsidR="006F0985">
        <w:rPr>
          <w:rFonts w:ascii="Times New Roman" w:hAnsi="Times New Roman" w:cs="Times New Roman"/>
          <w:sz w:val="24"/>
        </w:rPr>
        <w:t>anas plān</w:t>
      </w:r>
      <w:r w:rsidR="00FB47E6">
        <w:rPr>
          <w:rFonts w:ascii="Times New Roman" w:hAnsi="Times New Roman" w:cs="Times New Roman"/>
          <w:sz w:val="24"/>
        </w:rPr>
        <w:t xml:space="preserve">u. </w:t>
      </w:r>
    </w:p>
    <w:p w:rsidR="00947675" w:rsidRPr="00336530" w:rsidRDefault="00017D3B" w:rsidP="003B5A2D">
      <w:pPr>
        <w:ind w:right="142" w:firstLine="709"/>
        <w:jc w:val="both"/>
      </w:pPr>
      <w:r w:rsidRPr="00336530">
        <w:rPr>
          <w:rFonts w:cs="Times New Roman"/>
        </w:rPr>
        <w:t>2021.</w:t>
      </w:r>
      <w:r w:rsidR="00256E1C" w:rsidRPr="00336530">
        <w:rPr>
          <w:rFonts w:cs="Times New Roman"/>
        </w:rPr>
        <w:t> </w:t>
      </w:r>
      <w:r w:rsidRPr="00336530">
        <w:rPr>
          <w:rFonts w:cs="Times New Roman"/>
        </w:rPr>
        <w:t>gada 23.</w:t>
      </w:r>
      <w:r w:rsidR="00256E1C" w:rsidRPr="00336530">
        <w:rPr>
          <w:rFonts w:cs="Times New Roman"/>
        </w:rPr>
        <w:t> </w:t>
      </w:r>
      <w:r w:rsidRPr="00336530">
        <w:rPr>
          <w:rFonts w:cs="Times New Roman"/>
        </w:rPr>
        <w:t>septembrī notikušajā Ēnu ekonomikas apkarošanas padomes sēdē izskatīts plān</w:t>
      </w:r>
      <w:r w:rsidR="00657009" w:rsidRPr="00336530">
        <w:rPr>
          <w:rFonts w:cs="Times New Roman"/>
        </w:rPr>
        <w:t xml:space="preserve">a projekts </w:t>
      </w:r>
      <w:r w:rsidRPr="00336530">
        <w:rPr>
          <w:rFonts w:cs="Times New Roman"/>
        </w:rPr>
        <w:t xml:space="preserve">un </w:t>
      </w:r>
      <w:r w:rsidR="00595DA4" w:rsidRPr="00336530">
        <w:rPr>
          <w:rFonts w:cs="Times New Roman"/>
        </w:rPr>
        <w:t>apstiprināt</w:t>
      </w:r>
      <w:r w:rsidRPr="00336530">
        <w:rPr>
          <w:rFonts w:cs="Times New Roman"/>
        </w:rPr>
        <w:t>i</w:t>
      </w:r>
      <w:r w:rsidR="00595DA4" w:rsidRPr="00336530">
        <w:rPr>
          <w:rFonts w:cs="Times New Roman"/>
        </w:rPr>
        <w:t xml:space="preserve"> piec</w:t>
      </w:r>
      <w:r w:rsidRPr="00336530">
        <w:rPr>
          <w:rFonts w:cs="Times New Roman"/>
        </w:rPr>
        <w:t>i</w:t>
      </w:r>
      <w:r w:rsidR="00595DA4" w:rsidRPr="00336530">
        <w:rPr>
          <w:rFonts w:cs="Times New Roman"/>
        </w:rPr>
        <w:t xml:space="preserve"> rīcības virzien</w:t>
      </w:r>
      <w:r w:rsidR="0068203A" w:rsidRPr="00336530">
        <w:rPr>
          <w:rFonts w:cs="Times New Roman"/>
        </w:rPr>
        <w:t>i</w:t>
      </w:r>
      <w:r w:rsidR="00595DA4" w:rsidRPr="00336530">
        <w:rPr>
          <w:rFonts w:cs="Times New Roman"/>
        </w:rPr>
        <w:t xml:space="preserve"> “aplokšņu alg</w:t>
      </w:r>
      <w:r w:rsidR="0068203A" w:rsidRPr="00336530">
        <w:rPr>
          <w:rFonts w:cs="Times New Roman"/>
        </w:rPr>
        <w:t>u</w:t>
      </w:r>
      <w:r w:rsidR="00595DA4" w:rsidRPr="00336530">
        <w:rPr>
          <w:rFonts w:cs="Times New Roman"/>
        </w:rPr>
        <w:t>” maksājamo līdzekļu izcelsmes avotu mazināšanai</w:t>
      </w:r>
      <w:r w:rsidR="0068203A" w:rsidRPr="00336530">
        <w:rPr>
          <w:rFonts w:cs="Times New Roman"/>
        </w:rPr>
        <w:t xml:space="preserve">. </w:t>
      </w:r>
      <w:r w:rsidR="00595DA4" w:rsidRPr="00336530">
        <w:t xml:space="preserve">Saskaņā ar </w:t>
      </w:r>
      <w:r w:rsidR="0068203A" w:rsidRPr="00336530">
        <w:rPr>
          <w:rFonts w:cs="Times New Roman"/>
        </w:rPr>
        <w:t>Ēnu ekonomikas apkarošanas padomes sēdē nolemto n</w:t>
      </w:r>
      <w:r w:rsidR="00595DA4" w:rsidRPr="00336530">
        <w:t>ozaru ministrijas sadarbībā ar tautsaimniecības nozarēm līdz 2021.</w:t>
      </w:r>
      <w:r w:rsidR="00256E1C" w:rsidRPr="00336530">
        <w:t> </w:t>
      </w:r>
      <w:r w:rsidR="00595DA4" w:rsidRPr="00336530">
        <w:t>gada 22.</w:t>
      </w:r>
      <w:r w:rsidR="00256E1C" w:rsidRPr="00336530">
        <w:t> </w:t>
      </w:r>
      <w:r w:rsidR="00595DA4" w:rsidRPr="00336530">
        <w:t xml:space="preserve">oktobrim, atkārtoti izvērtējot riska faktorus, sniedza </w:t>
      </w:r>
      <w:r w:rsidR="00947675" w:rsidRPr="00336530">
        <w:t>F</w:t>
      </w:r>
      <w:r w:rsidR="00256E1C" w:rsidRPr="00336530">
        <w:t xml:space="preserve">M </w:t>
      </w:r>
      <w:r w:rsidR="00595DA4" w:rsidRPr="00336530">
        <w:t>priekšlikumus plāna papildināšanai</w:t>
      </w:r>
      <w:r w:rsidR="0068203A" w:rsidRPr="00336530">
        <w:t xml:space="preserve">. </w:t>
      </w:r>
      <w:r w:rsidR="00947675" w:rsidRPr="00336530">
        <w:t>F</w:t>
      </w:r>
      <w:r w:rsidR="00256E1C" w:rsidRPr="00336530">
        <w:t xml:space="preserve">M </w:t>
      </w:r>
      <w:r w:rsidR="00947675" w:rsidRPr="00336530">
        <w:t xml:space="preserve">uzdots virzīt </w:t>
      </w:r>
      <w:r w:rsidR="0068203A" w:rsidRPr="00336530">
        <w:t xml:space="preserve">plāna projektu </w:t>
      </w:r>
      <w:r w:rsidR="00595DA4" w:rsidRPr="00336530">
        <w:t>apstiprināšanai Ministru kabinetā</w:t>
      </w:r>
      <w:r w:rsidR="00947675" w:rsidRPr="00336530">
        <w:t xml:space="preserve">. </w:t>
      </w:r>
    </w:p>
    <w:p w:rsidR="00657009" w:rsidRPr="00336530" w:rsidRDefault="00657009" w:rsidP="003502C4">
      <w:pPr>
        <w:ind w:right="142" w:firstLine="567"/>
        <w:jc w:val="both"/>
      </w:pPr>
    </w:p>
    <w:p w:rsidR="00EF0580" w:rsidRPr="006A66A6" w:rsidRDefault="00EF0580" w:rsidP="001244B3">
      <w:pPr>
        <w:ind w:firstLine="709"/>
        <w:jc w:val="both"/>
        <w:rPr>
          <w:rFonts w:eastAsia="Calibri" w:cs="Times New Roman"/>
          <w:b/>
          <w:lang w:eastAsia="lv-LV"/>
        </w:rPr>
      </w:pPr>
      <w:r w:rsidRPr="006A66A6">
        <w:rPr>
          <w:rFonts w:eastAsia="Calibri" w:cs="Times New Roman"/>
          <w:lang w:eastAsia="lv-LV"/>
        </w:rPr>
        <w:t>Plānā iekļautie pasākumi ir sasaistīti ar šādiem attīstības plānošanas dokumentiem:</w:t>
      </w:r>
    </w:p>
    <w:p w:rsidR="00877C5A" w:rsidRPr="00877C5A" w:rsidRDefault="00877C5A" w:rsidP="001244B3">
      <w:pPr>
        <w:pStyle w:val="ListParagraph"/>
        <w:numPr>
          <w:ilvl w:val="0"/>
          <w:numId w:val="37"/>
        </w:numPr>
        <w:spacing w:after="0" w:line="240" w:lineRule="auto"/>
        <w:ind w:left="993" w:hanging="357"/>
        <w:rPr>
          <w:rFonts w:ascii="Times New Roman" w:eastAsia="Times New Roman" w:hAnsi="Times New Roman" w:cs="Times New Roman"/>
          <w:sz w:val="24"/>
        </w:rPr>
      </w:pPr>
      <w:r w:rsidRPr="00877C5A">
        <w:rPr>
          <w:rFonts w:ascii="Times New Roman" w:eastAsia="Times New Roman" w:hAnsi="Times New Roman" w:cs="Times New Roman"/>
          <w:sz w:val="24"/>
        </w:rPr>
        <w:t>Latvijas Nacionālais attīstības plāns 2021.–2027.</w:t>
      </w:r>
      <w:r>
        <w:rPr>
          <w:rFonts w:ascii="Times New Roman" w:eastAsia="Times New Roman" w:hAnsi="Times New Roman" w:cs="Times New Roman"/>
          <w:sz w:val="24"/>
        </w:rPr>
        <w:t> </w:t>
      </w:r>
      <w:r w:rsidRPr="00877C5A">
        <w:rPr>
          <w:rFonts w:ascii="Times New Roman" w:eastAsia="Times New Roman" w:hAnsi="Times New Roman" w:cs="Times New Roman"/>
          <w:sz w:val="24"/>
        </w:rPr>
        <w:t>gadam;</w:t>
      </w:r>
    </w:p>
    <w:p w:rsidR="00EF0580" w:rsidRPr="00EF0580" w:rsidRDefault="00EF0580" w:rsidP="001244B3">
      <w:pPr>
        <w:numPr>
          <w:ilvl w:val="0"/>
          <w:numId w:val="37"/>
        </w:numPr>
        <w:ind w:left="993" w:hanging="357"/>
        <w:jc w:val="both"/>
        <w:rPr>
          <w:rFonts w:eastAsia="Times New Roman" w:cs="Times New Roman"/>
        </w:rPr>
      </w:pPr>
      <w:r w:rsidRPr="00EF0580">
        <w:rPr>
          <w:rFonts w:eastAsia="Times New Roman" w:cs="Times New Roman"/>
        </w:rPr>
        <w:t>Uzņēmējdarbības vides pilnveidošanas pasākumu plāns 2019.–2022.</w:t>
      </w:r>
      <w:r w:rsidR="00877C5A">
        <w:rPr>
          <w:rFonts w:eastAsia="Times New Roman" w:cs="Times New Roman"/>
        </w:rPr>
        <w:t> </w:t>
      </w:r>
      <w:r w:rsidRPr="00EF0580">
        <w:rPr>
          <w:rFonts w:eastAsia="Times New Roman" w:cs="Times New Roman"/>
        </w:rPr>
        <w:t>gadam</w:t>
      </w:r>
      <w:r>
        <w:rPr>
          <w:rFonts w:eastAsia="Times New Roman" w:cs="Times New Roman"/>
        </w:rPr>
        <w:t>;</w:t>
      </w:r>
    </w:p>
    <w:p w:rsidR="00EF0580" w:rsidRPr="00CB4B1B" w:rsidRDefault="00273FC0" w:rsidP="001244B3">
      <w:pPr>
        <w:numPr>
          <w:ilvl w:val="0"/>
          <w:numId w:val="38"/>
        </w:numPr>
        <w:pBdr>
          <w:top w:val="nil"/>
          <w:left w:val="nil"/>
          <w:bottom w:val="nil"/>
          <w:right w:val="nil"/>
          <w:between w:val="nil"/>
        </w:pBdr>
        <w:ind w:left="993" w:hanging="357"/>
        <w:jc w:val="both"/>
        <w:rPr>
          <w:rFonts w:eastAsia="Calibri" w:cs="Times New Roman"/>
          <w:u w:val="single"/>
          <w:lang w:eastAsia="lv-LV"/>
        </w:rPr>
      </w:pPr>
      <w:hyperlink r:id="rId12">
        <w:r w:rsidR="00EF0580" w:rsidRPr="006A66A6">
          <w:rPr>
            <w:rFonts w:eastAsia="Calibri" w:cs="Times New Roman"/>
            <w:u w:val="single"/>
            <w:lang w:eastAsia="lv-LV"/>
          </w:rPr>
          <w:t>Korupcijas novēršanas un apkarošanas pasākumu plāns 2021.–2024.</w:t>
        </w:r>
        <w:r w:rsidR="00877C5A" w:rsidRPr="00CB4B1B">
          <w:rPr>
            <w:rFonts w:eastAsia="Calibri" w:cs="Times New Roman"/>
            <w:u w:val="single"/>
            <w:lang w:eastAsia="lv-LV"/>
          </w:rPr>
          <w:t> </w:t>
        </w:r>
        <w:r w:rsidR="00EF0580" w:rsidRPr="006A66A6">
          <w:rPr>
            <w:rFonts w:eastAsia="Calibri" w:cs="Times New Roman"/>
            <w:u w:val="single"/>
            <w:lang w:eastAsia="lv-LV"/>
          </w:rPr>
          <w:t>gadam</w:t>
        </w:r>
      </w:hyperlink>
      <w:r w:rsidR="00EF0580" w:rsidRPr="006A66A6">
        <w:rPr>
          <w:rFonts w:eastAsia="Calibri" w:cs="Times New Roman"/>
          <w:u w:val="single"/>
          <w:lang w:eastAsia="lv-LV"/>
        </w:rPr>
        <w:t xml:space="preserve"> (izstrādē);</w:t>
      </w:r>
    </w:p>
    <w:p w:rsidR="00877C5A" w:rsidRDefault="00877C5A" w:rsidP="001244B3">
      <w:pPr>
        <w:numPr>
          <w:ilvl w:val="0"/>
          <w:numId w:val="37"/>
        </w:numPr>
        <w:ind w:left="993" w:hanging="357"/>
        <w:jc w:val="both"/>
        <w:rPr>
          <w:rFonts w:eastAsia="Times New Roman" w:cs="Times New Roman"/>
        </w:rPr>
      </w:pPr>
      <w:r w:rsidRPr="00877C5A">
        <w:rPr>
          <w:rFonts w:eastAsia="Times New Roman" w:cs="Times New Roman"/>
        </w:rPr>
        <w:t>Organizētās noziedzības novēršanas un apkarošanas plāns 2022.</w:t>
      </w:r>
      <w:r w:rsidRPr="00EF0580">
        <w:rPr>
          <w:rFonts w:eastAsia="Times New Roman" w:cs="Times New Roman"/>
        </w:rPr>
        <w:t>–</w:t>
      </w:r>
      <w:r w:rsidRPr="00877C5A">
        <w:rPr>
          <w:rFonts w:eastAsia="Times New Roman" w:cs="Times New Roman"/>
        </w:rPr>
        <w:t>2024.</w:t>
      </w:r>
      <w:r>
        <w:rPr>
          <w:rFonts w:eastAsia="Times New Roman" w:cs="Times New Roman"/>
        </w:rPr>
        <w:t> </w:t>
      </w:r>
      <w:r w:rsidRPr="00877C5A">
        <w:rPr>
          <w:rFonts w:eastAsia="Times New Roman" w:cs="Times New Roman"/>
        </w:rPr>
        <w:t>gadam</w:t>
      </w:r>
      <w:r>
        <w:rPr>
          <w:rFonts w:eastAsia="Times New Roman" w:cs="Times New Roman"/>
        </w:rPr>
        <w:t xml:space="preserve"> </w:t>
      </w:r>
      <w:r w:rsidRPr="00877C5A">
        <w:rPr>
          <w:rFonts w:eastAsia="Times New Roman" w:cs="Times New Roman"/>
        </w:rPr>
        <w:t>(</w:t>
      </w:r>
      <w:r w:rsidRPr="006A66A6">
        <w:rPr>
          <w:rFonts w:eastAsia="Times New Roman" w:cs="Times New Roman"/>
        </w:rPr>
        <w:t>izstrādē</w:t>
      </w:r>
      <w:r w:rsidRPr="00877C5A">
        <w:rPr>
          <w:rFonts w:eastAsia="Times New Roman" w:cs="Times New Roman"/>
        </w:rPr>
        <w:t>)</w:t>
      </w:r>
      <w:r>
        <w:rPr>
          <w:rFonts w:eastAsia="Times New Roman" w:cs="Times New Roman"/>
        </w:rPr>
        <w:t>;</w:t>
      </w:r>
    </w:p>
    <w:p w:rsidR="00EF0580" w:rsidRPr="00EF0580" w:rsidRDefault="00EF0580" w:rsidP="001244B3">
      <w:pPr>
        <w:numPr>
          <w:ilvl w:val="0"/>
          <w:numId w:val="37"/>
        </w:numPr>
        <w:ind w:left="993" w:hanging="357"/>
        <w:jc w:val="both"/>
        <w:rPr>
          <w:rFonts w:eastAsia="Times New Roman" w:cs="Times New Roman"/>
        </w:rPr>
      </w:pPr>
      <w:r w:rsidRPr="00EF0580">
        <w:rPr>
          <w:rFonts w:eastAsia="Times New Roman" w:cs="Times New Roman"/>
        </w:rPr>
        <w:t>Rīcības plāns publisko iepirkumu sistēmas uzlabošanai</w:t>
      </w:r>
      <w:r w:rsidR="00877C5A">
        <w:rPr>
          <w:rFonts w:eastAsia="Times New Roman" w:cs="Times New Roman"/>
        </w:rPr>
        <w:t>.</w:t>
      </w:r>
    </w:p>
    <w:p w:rsidR="00EF0580" w:rsidRPr="00EF0580" w:rsidRDefault="00EF0580" w:rsidP="00EF0580">
      <w:pPr>
        <w:ind w:left="720"/>
        <w:jc w:val="both"/>
        <w:rPr>
          <w:rFonts w:eastAsia="Times New Roman" w:cs="Times New Roman"/>
        </w:rPr>
      </w:pPr>
    </w:p>
    <w:p w:rsidR="00657009" w:rsidRPr="00336530" w:rsidRDefault="00657009" w:rsidP="00EF0580">
      <w:pPr>
        <w:ind w:right="142" w:firstLine="567"/>
        <w:jc w:val="both"/>
      </w:pPr>
    </w:p>
    <w:p w:rsidR="00556039" w:rsidRPr="00336530" w:rsidRDefault="00EF5EB3" w:rsidP="00336530">
      <w:pPr>
        <w:pStyle w:val="Heading1"/>
        <w:spacing w:beforeAutospacing="0" w:afterAutospacing="0"/>
        <w:rPr>
          <w:szCs w:val="28"/>
          <w:lang w:val="lv-LV"/>
        </w:rPr>
      </w:pPr>
      <w:bookmarkStart w:id="9" w:name="_Toc75797505"/>
      <w:bookmarkStart w:id="10" w:name="_Toc86949437"/>
      <w:r w:rsidRPr="00336530">
        <w:rPr>
          <w:szCs w:val="28"/>
          <w:lang w:val="lv-LV"/>
        </w:rPr>
        <w:t>III</w:t>
      </w:r>
      <w:r w:rsidR="00674C2F" w:rsidRPr="00336530">
        <w:rPr>
          <w:szCs w:val="28"/>
          <w:lang w:val="lv-LV"/>
        </w:rPr>
        <w:t>.</w:t>
      </w:r>
      <w:r w:rsidRPr="00336530">
        <w:rPr>
          <w:szCs w:val="28"/>
          <w:lang w:val="lv-LV"/>
        </w:rPr>
        <w:t xml:space="preserve"> </w:t>
      </w:r>
      <w:r w:rsidR="00556039" w:rsidRPr="00336530">
        <w:rPr>
          <w:szCs w:val="28"/>
          <w:lang w:val="lv-LV"/>
        </w:rPr>
        <w:t>Pārskatu sniegšanas un novērtēšanas kārtība</w:t>
      </w:r>
      <w:bookmarkEnd w:id="9"/>
      <w:bookmarkEnd w:id="10"/>
    </w:p>
    <w:p w:rsidR="00336530" w:rsidRPr="00336530" w:rsidRDefault="00336530" w:rsidP="00556039">
      <w:pPr>
        <w:suppressAutoHyphens/>
        <w:ind w:firstLine="720"/>
        <w:jc w:val="both"/>
        <w:rPr>
          <w:rFonts w:eastAsia="Calibri" w:cs="Times New Roman"/>
        </w:rPr>
      </w:pPr>
    </w:p>
    <w:p w:rsidR="00556039" w:rsidRPr="00336530" w:rsidRDefault="00556039" w:rsidP="00556039">
      <w:pPr>
        <w:suppressAutoHyphens/>
        <w:ind w:firstLine="720"/>
        <w:jc w:val="both"/>
        <w:rPr>
          <w:rFonts w:eastAsia="Calibri" w:cs="Times New Roman"/>
        </w:rPr>
      </w:pPr>
      <w:r w:rsidRPr="00336530">
        <w:rPr>
          <w:rFonts w:eastAsia="Calibri" w:cs="Times New Roman"/>
        </w:rPr>
        <w:t>F</w:t>
      </w:r>
      <w:r w:rsidR="00256E1C" w:rsidRPr="00336530">
        <w:rPr>
          <w:rFonts w:eastAsia="Calibri" w:cs="Times New Roman"/>
        </w:rPr>
        <w:t xml:space="preserve">M </w:t>
      </w:r>
      <w:r w:rsidR="002C34C6" w:rsidRPr="00336530">
        <w:rPr>
          <w:rFonts w:eastAsia="Calibri" w:cs="Times New Roman"/>
        </w:rPr>
        <w:t>nodrošina plāna īstenošanu, koordinējot iekļauto pasākumu izpildi.</w:t>
      </w:r>
      <w:r w:rsidRPr="00336530">
        <w:rPr>
          <w:rFonts w:eastAsia="Calibri" w:cs="Times New Roman"/>
        </w:rPr>
        <w:t xml:space="preserve"> </w:t>
      </w:r>
    </w:p>
    <w:p w:rsidR="00A648EB" w:rsidRPr="00336530" w:rsidRDefault="00A648EB" w:rsidP="00556039">
      <w:pPr>
        <w:suppressAutoHyphens/>
        <w:ind w:firstLine="720"/>
        <w:jc w:val="both"/>
        <w:rPr>
          <w:rFonts w:eastAsia="Calibri" w:cs="Times New Roman"/>
        </w:rPr>
      </w:pPr>
      <w:r w:rsidRPr="00336530">
        <w:rPr>
          <w:rFonts w:eastAsia="Calibri" w:cs="Times New Roman"/>
        </w:rPr>
        <w:t xml:space="preserve">Par plānā </w:t>
      </w:r>
      <w:r w:rsidR="00F15FA2" w:rsidRPr="00336530">
        <w:rPr>
          <w:rFonts w:eastAsia="Calibri" w:cs="Times New Roman"/>
        </w:rPr>
        <w:t xml:space="preserve">iekļauto </w:t>
      </w:r>
      <w:r w:rsidRPr="00336530">
        <w:rPr>
          <w:rFonts w:eastAsia="Calibri" w:cs="Times New Roman"/>
        </w:rPr>
        <w:t>pasākumu</w:t>
      </w:r>
      <w:r w:rsidR="00F15FA2" w:rsidRPr="00336530">
        <w:rPr>
          <w:rFonts w:eastAsia="Calibri" w:cs="Times New Roman"/>
        </w:rPr>
        <w:t xml:space="preserve"> izpildi </w:t>
      </w:r>
      <w:r w:rsidR="00556039" w:rsidRPr="00336530">
        <w:rPr>
          <w:rFonts w:eastAsia="Calibri" w:cs="Times New Roman"/>
        </w:rPr>
        <w:t>noteikt</w:t>
      </w:r>
      <w:r w:rsidR="00F15FA2" w:rsidRPr="00336530">
        <w:rPr>
          <w:rFonts w:eastAsia="Calibri" w:cs="Times New Roman"/>
        </w:rPr>
        <w:t>ajā termiņā ir</w:t>
      </w:r>
      <w:r w:rsidR="00556039" w:rsidRPr="00336530">
        <w:rPr>
          <w:rFonts w:eastAsia="Calibri" w:cs="Times New Roman"/>
        </w:rPr>
        <w:t xml:space="preserve"> atbildīg</w:t>
      </w:r>
      <w:r w:rsidR="00F15FA2" w:rsidRPr="00336530">
        <w:rPr>
          <w:rFonts w:eastAsia="Calibri" w:cs="Times New Roman"/>
        </w:rPr>
        <w:t>a</w:t>
      </w:r>
      <w:r w:rsidR="00556039" w:rsidRPr="00336530">
        <w:rPr>
          <w:rFonts w:eastAsia="Calibri" w:cs="Times New Roman"/>
        </w:rPr>
        <w:t xml:space="preserve"> </w:t>
      </w:r>
      <w:r w:rsidR="00F15FA2" w:rsidRPr="00336530">
        <w:rPr>
          <w:rFonts w:eastAsia="Calibri" w:cs="Times New Roman"/>
        </w:rPr>
        <w:t xml:space="preserve">attiecīga </w:t>
      </w:r>
      <w:r w:rsidR="00556039" w:rsidRPr="00336530">
        <w:rPr>
          <w:rFonts w:eastAsia="Calibri" w:cs="Times New Roman"/>
        </w:rPr>
        <w:t>institūcija</w:t>
      </w:r>
      <w:r w:rsidR="00EB2F3F" w:rsidRPr="00336530">
        <w:rPr>
          <w:rFonts w:eastAsia="Calibri" w:cs="Times New Roman"/>
        </w:rPr>
        <w:t>.</w:t>
      </w:r>
    </w:p>
    <w:p w:rsidR="008D7627" w:rsidRPr="00C540A2" w:rsidRDefault="00EB2F3F" w:rsidP="005673DA">
      <w:pPr>
        <w:suppressAutoHyphens/>
        <w:ind w:firstLine="720"/>
        <w:jc w:val="both"/>
        <w:rPr>
          <w:rFonts w:eastAsia="Calibri" w:cs="Times New Roman"/>
          <w:color w:val="000000" w:themeColor="text1"/>
        </w:rPr>
      </w:pPr>
      <w:r w:rsidRPr="00336530">
        <w:rPr>
          <w:rFonts w:eastAsia="Calibri" w:cs="Times New Roman"/>
        </w:rPr>
        <w:t xml:space="preserve">Pēc </w:t>
      </w:r>
      <w:r w:rsidR="008718C3" w:rsidRPr="00336530">
        <w:rPr>
          <w:rFonts w:eastAsia="Calibri" w:cs="Times New Roman"/>
        </w:rPr>
        <w:t>F</w:t>
      </w:r>
      <w:r w:rsidR="00256E1C" w:rsidRPr="00336530">
        <w:rPr>
          <w:rFonts w:eastAsia="Calibri" w:cs="Times New Roman"/>
        </w:rPr>
        <w:t xml:space="preserve">M </w:t>
      </w:r>
      <w:r w:rsidRPr="00336530">
        <w:rPr>
          <w:rFonts w:eastAsia="Calibri" w:cs="Times New Roman"/>
        </w:rPr>
        <w:t xml:space="preserve">pieprasījuma atbildīgā institūcija </w:t>
      </w:r>
      <w:r w:rsidR="00556039" w:rsidRPr="00336530">
        <w:rPr>
          <w:rFonts w:eastAsia="Calibri" w:cs="Times New Roman"/>
        </w:rPr>
        <w:t xml:space="preserve">sniedz informāciju par </w:t>
      </w:r>
      <w:r w:rsidR="00677EA1" w:rsidRPr="00336530">
        <w:rPr>
          <w:rFonts w:eastAsia="Calibri" w:cs="Times New Roman"/>
        </w:rPr>
        <w:t>pasākumu</w:t>
      </w:r>
      <w:r w:rsidR="00556039" w:rsidRPr="00336530">
        <w:rPr>
          <w:rFonts w:eastAsia="Calibri" w:cs="Times New Roman"/>
        </w:rPr>
        <w:t xml:space="preserve"> izpildes gaitu </w:t>
      </w:r>
      <w:r w:rsidR="00C540A2" w:rsidRPr="00336530">
        <w:rPr>
          <w:rFonts w:eastAsia="Calibri" w:cs="Times New Roman"/>
        </w:rPr>
        <w:t xml:space="preserve">un </w:t>
      </w:r>
      <w:r w:rsidR="00C540A2" w:rsidRPr="00C540A2">
        <w:rPr>
          <w:rFonts w:eastAsia="Calibri" w:cs="Times New Roman"/>
          <w:color w:val="000000" w:themeColor="text1"/>
        </w:rPr>
        <w:t xml:space="preserve">rezultātiem </w:t>
      </w:r>
      <w:r w:rsidR="00C540A2" w:rsidRPr="00C540A2">
        <w:rPr>
          <w:color w:val="000000" w:themeColor="text1"/>
        </w:rPr>
        <w:t>katru ceturksni līdz kārtējā mēneša 10.datumam koplietošanas vietnē</w:t>
      </w:r>
      <w:r w:rsidR="008D7627" w:rsidRPr="00C540A2">
        <w:rPr>
          <w:rFonts w:eastAsia="Calibri" w:cs="Times New Roman"/>
          <w:color w:val="000000" w:themeColor="text1"/>
        </w:rPr>
        <w:t xml:space="preserve">. </w:t>
      </w:r>
    </w:p>
    <w:p w:rsidR="00A648EB" w:rsidRPr="00336530" w:rsidRDefault="00256E1C" w:rsidP="005673DA">
      <w:pPr>
        <w:suppressAutoHyphens/>
        <w:ind w:firstLine="720"/>
        <w:jc w:val="both"/>
        <w:rPr>
          <w:rFonts w:eastAsia="Calibri" w:cs="Times New Roman"/>
        </w:rPr>
      </w:pPr>
      <w:r w:rsidRPr="00336530">
        <w:rPr>
          <w:rFonts w:eastAsia="Calibri" w:cs="Times New Roman"/>
        </w:rPr>
        <w:t>FM</w:t>
      </w:r>
      <w:r w:rsidR="005673DA" w:rsidRPr="00336530">
        <w:rPr>
          <w:rFonts w:eastAsia="Calibri" w:cs="Times New Roman"/>
        </w:rPr>
        <w:t xml:space="preserve"> informācij</w:t>
      </w:r>
      <w:r w:rsidR="008D7627">
        <w:rPr>
          <w:rFonts w:eastAsia="Calibri" w:cs="Times New Roman"/>
        </w:rPr>
        <w:t xml:space="preserve">u </w:t>
      </w:r>
      <w:r w:rsidR="005673DA" w:rsidRPr="00336530">
        <w:rPr>
          <w:rFonts w:eastAsia="Calibri" w:cs="Times New Roman"/>
        </w:rPr>
        <w:t xml:space="preserve">par plāna </w:t>
      </w:r>
      <w:r w:rsidR="008D7627">
        <w:rPr>
          <w:rFonts w:eastAsia="Calibri" w:cs="Times New Roman"/>
        </w:rPr>
        <w:t>pasāku</w:t>
      </w:r>
      <w:r w:rsidR="005673DA" w:rsidRPr="00336530">
        <w:rPr>
          <w:rFonts w:eastAsia="Calibri" w:cs="Times New Roman"/>
        </w:rPr>
        <w:t>mu izpildi publi</w:t>
      </w:r>
      <w:r w:rsidR="008D7627">
        <w:rPr>
          <w:rFonts w:eastAsia="Calibri" w:cs="Times New Roman"/>
        </w:rPr>
        <w:t xml:space="preserve">cē </w:t>
      </w:r>
      <w:r w:rsidR="005673DA" w:rsidRPr="00336530">
        <w:rPr>
          <w:rFonts w:eastAsia="Calibri" w:cs="Times New Roman"/>
        </w:rPr>
        <w:t>F</w:t>
      </w:r>
      <w:r w:rsidRPr="00336530">
        <w:rPr>
          <w:rFonts w:eastAsia="Calibri" w:cs="Times New Roman"/>
        </w:rPr>
        <w:t xml:space="preserve">M </w:t>
      </w:r>
      <w:r w:rsidR="00ED2667" w:rsidRPr="00336530">
        <w:rPr>
          <w:rFonts w:eastAsia="Calibri" w:cs="Times New Roman"/>
        </w:rPr>
        <w:t>tīmekļvietnē</w:t>
      </w:r>
      <w:r w:rsidR="008D7627">
        <w:rPr>
          <w:rFonts w:eastAsia="Calibri" w:cs="Times New Roman"/>
        </w:rPr>
        <w:t xml:space="preserve"> (</w:t>
      </w:r>
      <w:hyperlink r:id="rId13" w:history="1">
        <w:r w:rsidR="00D31E60" w:rsidRPr="00662353">
          <w:rPr>
            <w:rStyle w:val="Hyperlink"/>
            <w:rFonts w:eastAsia="Calibri" w:cs="Times New Roman"/>
          </w:rPr>
          <w:t>www.fm.gov.lv</w:t>
        </w:r>
      </w:hyperlink>
      <w:r w:rsidR="008D7627">
        <w:rPr>
          <w:rFonts w:eastAsia="Calibri" w:cs="Times New Roman"/>
        </w:rPr>
        <w:t>)</w:t>
      </w:r>
      <w:r w:rsidR="005673DA" w:rsidRPr="00336530">
        <w:rPr>
          <w:rFonts w:eastAsia="Calibri" w:cs="Times New Roman"/>
        </w:rPr>
        <w:t>.</w:t>
      </w:r>
    </w:p>
    <w:p w:rsidR="00A648EB" w:rsidRPr="00336530" w:rsidRDefault="00A648EB" w:rsidP="00A648EB">
      <w:pPr>
        <w:suppressAutoHyphens/>
        <w:ind w:firstLine="720"/>
        <w:jc w:val="both"/>
        <w:rPr>
          <w:rFonts w:eastAsia="Calibri" w:cs="Times New Roman"/>
        </w:rPr>
      </w:pPr>
      <w:r w:rsidRPr="00336530">
        <w:rPr>
          <w:rFonts w:eastAsia="Calibri" w:cs="Times New Roman"/>
        </w:rPr>
        <w:t xml:space="preserve">Lai sagatavotu informatīvo ziņojumu iesniegšanai </w:t>
      </w:r>
      <w:r w:rsidR="00256E1C" w:rsidRPr="00336530">
        <w:rPr>
          <w:rFonts w:eastAsia="Calibri" w:cs="Times New Roman"/>
        </w:rPr>
        <w:t>Ministru kabinetā</w:t>
      </w:r>
      <w:r w:rsidR="008D7627">
        <w:rPr>
          <w:rFonts w:eastAsia="Calibri" w:cs="Times New Roman"/>
        </w:rPr>
        <w:t>,</w:t>
      </w:r>
      <w:r w:rsidRPr="00336530">
        <w:rPr>
          <w:rFonts w:eastAsia="Calibri" w:cs="Times New Roman"/>
        </w:rPr>
        <w:t xml:space="preserve"> atbildīgās institūcijas līdz 2023.</w:t>
      </w:r>
      <w:r w:rsidR="00256E1C" w:rsidRPr="00336530">
        <w:rPr>
          <w:rFonts w:eastAsia="Calibri" w:cs="Times New Roman"/>
        </w:rPr>
        <w:t> </w:t>
      </w:r>
      <w:r w:rsidRPr="00336530">
        <w:rPr>
          <w:rFonts w:eastAsia="Calibri" w:cs="Times New Roman"/>
        </w:rPr>
        <w:t>gada 1.</w:t>
      </w:r>
      <w:r w:rsidR="00256E1C" w:rsidRPr="00336530">
        <w:rPr>
          <w:rFonts w:eastAsia="Calibri" w:cs="Times New Roman"/>
        </w:rPr>
        <w:t> </w:t>
      </w:r>
      <w:r w:rsidR="001C55EE" w:rsidRPr="00336530">
        <w:rPr>
          <w:rFonts w:eastAsia="Calibri" w:cs="Times New Roman"/>
        </w:rPr>
        <w:t>marta</w:t>
      </w:r>
      <w:r w:rsidRPr="00336530">
        <w:rPr>
          <w:rFonts w:eastAsia="Calibri" w:cs="Times New Roman"/>
        </w:rPr>
        <w:t xml:space="preserve">m </w:t>
      </w:r>
      <w:bookmarkStart w:id="11" w:name="_Hlk86790118"/>
      <w:r w:rsidRPr="00336530">
        <w:rPr>
          <w:rFonts w:eastAsia="Calibri" w:cs="Times New Roman"/>
        </w:rPr>
        <w:t xml:space="preserve">sniedz novērtējumu par plāna pasākumu īstenošanu. </w:t>
      </w:r>
    </w:p>
    <w:p w:rsidR="00556039" w:rsidRPr="00336530" w:rsidRDefault="00A648EB" w:rsidP="00556039">
      <w:pPr>
        <w:suppressAutoHyphens/>
        <w:ind w:firstLine="720"/>
        <w:jc w:val="both"/>
        <w:rPr>
          <w:rFonts w:eastAsia="Calibri" w:cs="Times New Roman"/>
        </w:rPr>
      </w:pPr>
      <w:r w:rsidRPr="00336530">
        <w:rPr>
          <w:rFonts w:eastAsia="Calibri" w:cs="Times New Roman"/>
        </w:rPr>
        <w:t xml:space="preserve">FM iesniedz informatīvo ziņojumu </w:t>
      </w:r>
      <w:r w:rsidR="00D07F3E" w:rsidRPr="00336530">
        <w:rPr>
          <w:rFonts w:eastAsia="Calibri" w:cs="Times New Roman"/>
        </w:rPr>
        <w:t>Ministru kabinetā</w:t>
      </w:r>
      <w:r w:rsidRPr="00336530">
        <w:rPr>
          <w:rFonts w:eastAsia="Calibri" w:cs="Times New Roman"/>
        </w:rPr>
        <w:t xml:space="preserve"> </w:t>
      </w:r>
      <w:r w:rsidR="00556039" w:rsidRPr="00336530">
        <w:rPr>
          <w:rFonts w:eastAsia="Calibri" w:cs="Times New Roman"/>
        </w:rPr>
        <w:t>līdz 202</w:t>
      </w:r>
      <w:r w:rsidRPr="00336530">
        <w:rPr>
          <w:rFonts w:eastAsia="Calibri" w:cs="Times New Roman"/>
        </w:rPr>
        <w:t>3</w:t>
      </w:r>
      <w:r w:rsidR="00556039" w:rsidRPr="00336530">
        <w:rPr>
          <w:rFonts w:eastAsia="Calibri" w:cs="Times New Roman"/>
        </w:rPr>
        <w:t>.</w:t>
      </w:r>
      <w:r w:rsidR="00256E1C" w:rsidRPr="00336530">
        <w:rPr>
          <w:rFonts w:eastAsia="Calibri" w:cs="Times New Roman"/>
        </w:rPr>
        <w:t> </w:t>
      </w:r>
      <w:r w:rsidR="00556039" w:rsidRPr="00336530">
        <w:rPr>
          <w:rFonts w:eastAsia="Calibri" w:cs="Times New Roman"/>
        </w:rPr>
        <w:t>gada 1.</w:t>
      </w:r>
      <w:r w:rsidR="00256E1C" w:rsidRPr="00336530">
        <w:rPr>
          <w:rFonts w:eastAsia="Calibri" w:cs="Times New Roman"/>
        </w:rPr>
        <w:t> </w:t>
      </w:r>
      <w:r w:rsidR="001C55EE" w:rsidRPr="00336530">
        <w:rPr>
          <w:rFonts w:eastAsia="Calibri" w:cs="Times New Roman"/>
        </w:rPr>
        <w:t>septembrim</w:t>
      </w:r>
      <w:r w:rsidR="00352A9D">
        <w:rPr>
          <w:rFonts w:eastAsia="Calibri" w:cs="Times New Roman"/>
        </w:rPr>
        <w:t>.</w:t>
      </w:r>
    </w:p>
    <w:p w:rsidR="00F9573F" w:rsidRPr="008D7627" w:rsidRDefault="00F9573F" w:rsidP="003B5A2D">
      <w:pPr>
        <w:rPr>
          <w:rFonts w:eastAsia="Calibri" w:cs="Times New Roman"/>
        </w:rPr>
      </w:pPr>
    </w:p>
    <w:p w:rsidR="00F9573F" w:rsidRPr="008D7627" w:rsidRDefault="00F9573F" w:rsidP="003B5A2D">
      <w:pPr>
        <w:suppressAutoHyphens/>
        <w:jc w:val="both"/>
        <w:rPr>
          <w:rFonts w:eastAsia="Calibri" w:cs="Times New Roman"/>
        </w:rPr>
      </w:pPr>
    </w:p>
    <w:bookmarkEnd w:id="11"/>
    <w:p w:rsidR="002C34C6" w:rsidRDefault="002C34C6" w:rsidP="002C4CF8">
      <w:pPr>
        <w:suppressAutoHyphens/>
        <w:jc w:val="both"/>
        <w:rPr>
          <w:rFonts w:eastAsia="Calibri" w:cs="Times New Roman"/>
        </w:rPr>
        <w:sectPr w:rsidR="002C34C6" w:rsidSect="00B9384C">
          <w:pgSz w:w="11906" w:h="16838"/>
          <w:pgMar w:top="1134" w:right="567" w:bottom="1701" w:left="1134" w:header="567" w:footer="584" w:gutter="0"/>
          <w:pgNumType w:start="2"/>
          <w:cols w:space="708"/>
          <w:titlePg/>
          <w:docGrid w:linePitch="360"/>
        </w:sectPr>
      </w:pPr>
    </w:p>
    <w:p w:rsidR="00621071" w:rsidRPr="00336530" w:rsidRDefault="00EF5EB3" w:rsidP="00336530">
      <w:pPr>
        <w:pStyle w:val="Heading1"/>
        <w:spacing w:beforeAutospacing="0" w:afterAutospacing="0"/>
        <w:jc w:val="center"/>
        <w:rPr>
          <w:szCs w:val="28"/>
          <w:lang w:val="lv-LV"/>
        </w:rPr>
      </w:pPr>
      <w:bookmarkStart w:id="12" w:name="_Toc86949438"/>
      <w:bookmarkStart w:id="13" w:name="_Hlk86239746"/>
      <w:r w:rsidRPr="00336530">
        <w:rPr>
          <w:szCs w:val="28"/>
          <w:lang w:val="lv-LV"/>
        </w:rPr>
        <w:t>IV</w:t>
      </w:r>
      <w:r w:rsidR="00674C2F" w:rsidRPr="00336530">
        <w:rPr>
          <w:szCs w:val="28"/>
          <w:lang w:val="lv-LV"/>
        </w:rPr>
        <w:t>.</w:t>
      </w:r>
      <w:r w:rsidRPr="00336530">
        <w:rPr>
          <w:szCs w:val="28"/>
          <w:lang w:val="lv-LV"/>
        </w:rPr>
        <w:t xml:space="preserve"> </w:t>
      </w:r>
      <w:r w:rsidR="00621071" w:rsidRPr="00336530">
        <w:rPr>
          <w:szCs w:val="28"/>
          <w:lang w:val="lv-LV"/>
        </w:rPr>
        <w:t>Ēnu ekonomikas ierobežošanas plāns 2021.</w:t>
      </w:r>
      <w:r w:rsidR="00617504">
        <w:rPr>
          <w:szCs w:val="28"/>
          <w:lang w:val="lv-LV"/>
        </w:rPr>
        <w:t>/</w:t>
      </w:r>
      <w:r w:rsidR="00621071" w:rsidRPr="00336530">
        <w:rPr>
          <w:szCs w:val="28"/>
          <w:lang w:val="lv-LV"/>
        </w:rPr>
        <w:t>2022. gada</w:t>
      </w:r>
      <w:bookmarkEnd w:id="12"/>
      <w:r w:rsidR="00170389">
        <w:rPr>
          <w:szCs w:val="28"/>
          <w:lang w:val="lv-LV"/>
        </w:rPr>
        <w:t>m</w:t>
      </w:r>
      <w:r w:rsidR="00617504">
        <w:rPr>
          <w:szCs w:val="28"/>
          <w:lang w:val="lv-LV"/>
        </w:rPr>
        <w:t xml:space="preserve"> </w:t>
      </w:r>
    </w:p>
    <w:p w:rsidR="00621071" w:rsidRDefault="00621071">
      <w:pPr>
        <w:rPr>
          <w:rFonts w:cs="Times New Roman"/>
        </w:rPr>
      </w:pPr>
    </w:p>
    <w:tbl>
      <w:tblPr>
        <w:tblStyle w:val="TableGrid"/>
        <w:tblW w:w="14601" w:type="dxa"/>
        <w:tblInd w:w="-289" w:type="dxa"/>
        <w:tblLayout w:type="fixed"/>
        <w:tblCellMar>
          <w:left w:w="57" w:type="dxa"/>
          <w:right w:w="57" w:type="dxa"/>
        </w:tblCellMar>
        <w:tblLook w:val="04A0" w:firstRow="1" w:lastRow="0" w:firstColumn="1" w:lastColumn="0" w:noHBand="0" w:noVBand="1"/>
      </w:tblPr>
      <w:tblGrid>
        <w:gridCol w:w="568"/>
        <w:gridCol w:w="2268"/>
        <w:gridCol w:w="3544"/>
        <w:gridCol w:w="2551"/>
        <w:gridCol w:w="1985"/>
        <w:gridCol w:w="1275"/>
        <w:gridCol w:w="1134"/>
        <w:gridCol w:w="1276"/>
      </w:tblGrid>
      <w:tr w:rsidR="00125327" w:rsidRPr="008C09A4" w:rsidTr="00DA5BE6">
        <w:trPr>
          <w:trHeight w:val="543"/>
          <w:tblHeader/>
        </w:trPr>
        <w:tc>
          <w:tcPr>
            <w:tcW w:w="568" w:type="dxa"/>
            <w:shd w:val="clear" w:color="auto" w:fill="1F3864" w:themeFill="accent5" w:themeFillShade="80"/>
            <w:vAlign w:val="center"/>
          </w:tcPr>
          <w:p w:rsidR="00125327" w:rsidRPr="008C09A4" w:rsidRDefault="00125327" w:rsidP="00250B3B">
            <w:pPr>
              <w:ind w:right="-21"/>
              <w:jc w:val="center"/>
              <w:rPr>
                <w:rFonts w:cs="Times New Roman"/>
                <w:b/>
                <w:sz w:val="20"/>
                <w:szCs w:val="20"/>
              </w:rPr>
            </w:pPr>
            <w:bookmarkStart w:id="14" w:name="_Hlk85540811"/>
            <w:bookmarkEnd w:id="5"/>
            <w:r w:rsidRPr="008C09A4">
              <w:rPr>
                <w:rFonts w:cs="Times New Roman"/>
                <w:b/>
                <w:sz w:val="20"/>
                <w:szCs w:val="20"/>
              </w:rPr>
              <w:t xml:space="preserve">Nr. </w:t>
            </w:r>
            <w:r w:rsidR="00ED2E79">
              <w:rPr>
                <w:rFonts w:cs="Times New Roman"/>
                <w:b/>
                <w:sz w:val="20"/>
                <w:szCs w:val="20"/>
              </w:rPr>
              <w:t>p</w:t>
            </w:r>
            <w:r w:rsidRPr="008C09A4">
              <w:rPr>
                <w:rFonts w:cs="Times New Roman"/>
                <w:b/>
                <w:sz w:val="20"/>
                <w:szCs w:val="20"/>
              </w:rPr>
              <w:t>.k.</w:t>
            </w:r>
          </w:p>
        </w:tc>
        <w:tc>
          <w:tcPr>
            <w:tcW w:w="2268" w:type="dxa"/>
            <w:shd w:val="clear" w:color="auto" w:fill="1F3864" w:themeFill="accent5" w:themeFillShade="80"/>
            <w:vAlign w:val="center"/>
          </w:tcPr>
          <w:p w:rsidR="00125327" w:rsidRPr="008C09A4" w:rsidRDefault="00125327" w:rsidP="00250B3B">
            <w:pPr>
              <w:jc w:val="center"/>
              <w:rPr>
                <w:rFonts w:cs="Times New Roman"/>
                <w:b/>
                <w:sz w:val="20"/>
                <w:szCs w:val="20"/>
              </w:rPr>
            </w:pPr>
            <w:r w:rsidRPr="008C09A4">
              <w:rPr>
                <w:rFonts w:cs="Times New Roman"/>
                <w:b/>
                <w:sz w:val="20"/>
                <w:szCs w:val="20"/>
              </w:rPr>
              <w:t>Pasākums</w:t>
            </w:r>
          </w:p>
        </w:tc>
        <w:tc>
          <w:tcPr>
            <w:tcW w:w="3544" w:type="dxa"/>
            <w:shd w:val="clear" w:color="auto" w:fill="1F3864" w:themeFill="accent5" w:themeFillShade="80"/>
            <w:vAlign w:val="center"/>
          </w:tcPr>
          <w:p w:rsidR="00125327" w:rsidRPr="008C09A4" w:rsidRDefault="00125327" w:rsidP="00250B3B">
            <w:pPr>
              <w:jc w:val="center"/>
              <w:rPr>
                <w:rFonts w:cs="Times New Roman"/>
                <w:b/>
                <w:sz w:val="20"/>
                <w:szCs w:val="20"/>
              </w:rPr>
            </w:pPr>
            <w:r w:rsidRPr="008C09A4">
              <w:rPr>
                <w:rFonts w:cs="Times New Roman"/>
                <w:b/>
                <w:sz w:val="20"/>
                <w:szCs w:val="20"/>
              </w:rPr>
              <w:t>Pamatojums</w:t>
            </w:r>
          </w:p>
        </w:tc>
        <w:tc>
          <w:tcPr>
            <w:tcW w:w="2551" w:type="dxa"/>
            <w:shd w:val="clear" w:color="auto" w:fill="1F3864" w:themeFill="accent5" w:themeFillShade="80"/>
            <w:vAlign w:val="center"/>
          </w:tcPr>
          <w:p w:rsidR="00125327" w:rsidRPr="008C09A4" w:rsidRDefault="00125327" w:rsidP="00250B3B">
            <w:pPr>
              <w:jc w:val="center"/>
              <w:rPr>
                <w:rFonts w:cs="Times New Roman"/>
                <w:b/>
                <w:sz w:val="20"/>
                <w:szCs w:val="20"/>
              </w:rPr>
            </w:pPr>
            <w:r w:rsidRPr="008C09A4">
              <w:rPr>
                <w:rFonts w:cs="Times New Roman"/>
                <w:b/>
                <w:sz w:val="20"/>
                <w:szCs w:val="20"/>
              </w:rPr>
              <w:t>Darbības rezultāts</w:t>
            </w:r>
          </w:p>
        </w:tc>
        <w:tc>
          <w:tcPr>
            <w:tcW w:w="1985" w:type="dxa"/>
            <w:shd w:val="clear" w:color="auto" w:fill="1F3864" w:themeFill="accent5" w:themeFillShade="80"/>
            <w:vAlign w:val="center"/>
          </w:tcPr>
          <w:p w:rsidR="00125327" w:rsidRPr="008C09A4" w:rsidRDefault="00125327" w:rsidP="00250B3B">
            <w:pPr>
              <w:jc w:val="center"/>
              <w:rPr>
                <w:rFonts w:cs="Times New Roman"/>
                <w:b/>
                <w:sz w:val="20"/>
                <w:szCs w:val="20"/>
              </w:rPr>
            </w:pPr>
            <w:r w:rsidRPr="008C09A4">
              <w:rPr>
                <w:rFonts w:cs="Times New Roman"/>
                <w:b/>
                <w:sz w:val="20"/>
                <w:szCs w:val="20"/>
              </w:rPr>
              <w:t>Rezultatīvais rādītājs</w:t>
            </w:r>
          </w:p>
        </w:tc>
        <w:tc>
          <w:tcPr>
            <w:tcW w:w="1275" w:type="dxa"/>
            <w:shd w:val="clear" w:color="auto" w:fill="1F3864" w:themeFill="accent5" w:themeFillShade="80"/>
            <w:vAlign w:val="center"/>
          </w:tcPr>
          <w:p w:rsidR="00125327" w:rsidRPr="008C09A4" w:rsidRDefault="00125327" w:rsidP="00250B3B">
            <w:pPr>
              <w:jc w:val="center"/>
              <w:rPr>
                <w:rFonts w:cs="Times New Roman"/>
                <w:b/>
                <w:i/>
                <w:sz w:val="20"/>
                <w:szCs w:val="20"/>
              </w:rPr>
            </w:pPr>
            <w:r w:rsidRPr="008C09A4">
              <w:rPr>
                <w:rFonts w:cs="Times New Roman"/>
                <w:b/>
                <w:sz w:val="20"/>
                <w:szCs w:val="20"/>
              </w:rPr>
              <w:t>Atbildīgā institūcija</w:t>
            </w:r>
          </w:p>
        </w:tc>
        <w:tc>
          <w:tcPr>
            <w:tcW w:w="1134" w:type="dxa"/>
            <w:shd w:val="clear" w:color="auto" w:fill="1F3864" w:themeFill="accent5" w:themeFillShade="80"/>
            <w:vAlign w:val="center"/>
          </w:tcPr>
          <w:p w:rsidR="00125327" w:rsidRPr="008C09A4" w:rsidRDefault="00125327" w:rsidP="00250B3B">
            <w:pPr>
              <w:jc w:val="center"/>
              <w:rPr>
                <w:rFonts w:cs="Times New Roman"/>
                <w:b/>
                <w:sz w:val="20"/>
                <w:szCs w:val="20"/>
              </w:rPr>
            </w:pPr>
            <w:r w:rsidRPr="008C09A4">
              <w:rPr>
                <w:rFonts w:cs="Times New Roman"/>
                <w:b/>
                <w:sz w:val="20"/>
                <w:szCs w:val="20"/>
              </w:rPr>
              <w:t>Līdz-</w:t>
            </w:r>
          </w:p>
          <w:p w:rsidR="00125327" w:rsidRPr="008C09A4" w:rsidRDefault="00125327" w:rsidP="00250B3B">
            <w:pPr>
              <w:jc w:val="center"/>
              <w:rPr>
                <w:rFonts w:cs="Times New Roman"/>
                <w:b/>
                <w:i/>
                <w:sz w:val="20"/>
                <w:szCs w:val="20"/>
              </w:rPr>
            </w:pPr>
            <w:r w:rsidRPr="008C09A4">
              <w:rPr>
                <w:rFonts w:cs="Times New Roman"/>
                <w:b/>
                <w:sz w:val="20"/>
                <w:szCs w:val="20"/>
              </w:rPr>
              <w:t>atbildīgās institūcijas</w:t>
            </w:r>
          </w:p>
        </w:tc>
        <w:tc>
          <w:tcPr>
            <w:tcW w:w="1276" w:type="dxa"/>
            <w:shd w:val="clear" w:color="auto" w:fill="1F3864" w:themeFill="accent5" w:themeFillShade="80"/>
            <w:vAlign w:val="center"/>
          </w:tcPr>
          <w:p w:rsidR="00125327" w:rsidRPr="008C09A4" w:rsidRDefault="00125327" w:rsidP="00250B3B">
            <w:pPr>
              <w:jc w:val="center"/>
              <w:rPr>
                <w:rFonts w:cs="Times New Roman"/>
                <w:b/>
                <w:i/>
                <w:sz w:val="20"/>
                <w:szCs w:val="20"/>
              </w:rPr>
            </w:pPr>
            <w:r w:rsidRPr="008C09A4">
              <w:rPr>
                <w:rFonts w:cs="Times New Roman"/>
                <w:b/>
                <w:sz w:val="20"/>
                <w:szCs w:val="20"/>
              </w:rPr>
              <w:t>Izpildes termiņš</w:t>
            </w:r>
          </w:p>
        </w:tc>
      </w:tr>
      <w:tr w:rsidR="00336530" w:rsidRPr="00DC0E01" w:rsidTr="00D87E27">
        <w:trPr>
          <w:trHeight w:val="454"/>
        </w:trPr>
        <w:tc>
          <w:tcPr>
            <w:tcW w:w="14601" w:type="dxa"/>
            <w:gridSpan w:val="8"/>
            <w:shd w:val="clear" w:color="auto" w:fill="D9E2F3" w:themeFill="accent5" w:themeFillTint="33"/>
            <w:vAlign w:val="center"/>
          </w:tcPr>
          <w:p w:rsidR="00C17EF5" w:rsidRPr="00DC0E01" w:rsidRDefault="00F714EC" w:rsidP="00F714EC">
            <w:pPr>
              <w:pStyle w:val="Heading2"/>
              <w:numPr>
                <w:ilvl w:val="0"/>
                <w:numId w:val="36"/>
              </w:numPr>
              <w:rPr>
                <w:sz w:val="24"/>
                <w:szCs w:val="24"/>
              </w:rPr>
            </w:pPr>
            <w:bookmarkStart w:id="15" w:name="_Toc86949439"/>
            <w:bookmarkEnd w:id="13"/>
            <w:bookmarkEnd w:id="14"/>
            <w:r w:rsidRPr="00DC0E01">
              <w:rPr>
                <w:sz w:val="24"/>
                <w:szCs w:val="24"/>
              </w:rPr>
              <w:t xml:space="preserve">rīcības virziens – </w:t>
            </w:r>
            <w:r w:rsidR="006424D4" w:rsidRPr="00DC0E01">
              <w:rPr>
                <w:sz w:val="24"/>
                <w:szCs w:val="24"/>
              </w:rPr>
              <w:t>Nereģistrēta</w:t>
            </w:r>
            <w:r w:rsidR="00133F1A" w:rsidRPr="00DC0E01">
              <w:rPr>
                <w:sz w:val="24"/>
                <w:szCs w:val="24"/>
              </w:rPr>
              <w:t xml:space="preserve"> </w:t>
            </w:r>
            <w:r w:rsidR="006424D4" w:rsidRPr="00DC0E01">
              <w:rPr>
                <w:sz w:val="24"/>
                <w:szCs w:val="24"/>
              </w:rPr>
              <w:t>saimnieciskā darbība</w:t>
            </w:r>
            <w:bookmarkEnd w:id="15"/>
          </w:p>
        </w:tc>
      </w:tr>
      <w:tr w:rsidR="000F5816" w:rsidRPr="008C09A4" w:rsidTr="00DA5BE6">
        <w:trPr>
          <w:trHeight w:val="3067"/>
        </w:trPr>
        <w:tc>
          <w:tcPr>
            <w:tcW w:w="568" w:type="dxa"/>
            <w:shd w:val="clear" w:color="auto" w:fill="auto"/>
          </w:tcPr>
          <w:p w:rsidR="000F5816" w:rsidRPr="008C09A4" w:rsidRDefault="000F5816" w:rsidP="00250B3B">
            <w:pPr>
              <w:ind w:right="-21"/>
              <w:rPr>
                <w:rFonts w:cs="Times New Roman"/>
                <w:bCs/>
                <w:sz w:val="20"/>
                <w:szCs w:val="20"/>
              </w:rPr>
            </w:pPr>
            <w:r w:rsidRPr="008C09A4">
              <w:rPr>
                <w:rFonts w:cs="Times New Roman"/>
                <w:bCs/>
                <w:sz w:val="20"/>
                <w:szCs w:val="20"/>
              </w:rPr>
              <w:t>1.</w:t>
            </w:r>
            <w:r w:rsidR="00133F1A">
              <w:rPr>
                <w:rFonts w:cs="Times New Roman"/>
                <w:bCs/>
                <w:sz w:val="20"/>
                <w:szCs w:val="20"/>
              </w:rPr>
              <w:t>1</w:t>
            </w:r>
            <w:r w:rsidRPr="008C09A4">
              <w:rPr>
                <w:rFonts w:cs="Times New Roman"/>
                <w:bCs/>
                <w:sz w:val="20"/>
                <w:szCs w:val="20"/>
              </w:rPr>
              <w:t>.</w:t>
            </w:r>
          </w:p>
        </w:tc>
        <w:tc>
          <w:tcPr>
            <w:tcW w:w="2268" w:type="dxa"/>
            <w:shd w:val="clear" w:color="auto" w:fill="auto"/>
          </w:tcPr>
          <w:p w:rsidR="000F5816" w:rsidRPr="008C09A4" w:rsidRDefault="000F5816" w:rsidP="00250B3B">
            <w:pPr>
              <w:jc w:val="both"/>
              <w:rPr>
                <w:rFonts w:cs="Times New Roman"/>
                <w:color w:val="000000"/>
                <w:sz w:val="20"/>
                <w:szCs w:val="20"/>
              </w:rPr>
            </w:pPr>
            <w:r w:rsidRPr="008C09A4">
              <w:rPr>
                <w:rFonts w:cs="Times New Roman"/>
                <w:color w:val="000000"/>
                <w:sz w:val="20"/>
                <w:szCs w:val="20"/>
              </w:rPr>
              <w:t xml:space="preserve">Mazināt </w:t>
            </w:r>
            <w:r w:rsidR="008175EA">
              <w:rPr>
                <w:rFonts w:cs="Times New Roman"/>
                <w:color w:val="000000"/>
                <w:sz w:val="20"/>
                <w:szCs w:val="20"/>
              </w:rPr>
              <w:t>C</w:t>
            </w:r>
            <w:r w:rsidR="00913EF5">
              <w:rPr>
                <w:rFonts w:cs="Times New Roman"/>
                <w:color w:val="000000"/>
                <w:sz w:val="20"/>
                <w:szCs w:val="20"/>
              </w:rPr>
              <w:t>ovid</w:t>
            </w:r>
            <w:r w:rsidR="00A84CCC" w:rsidRPr="008C09A4">
              <w:rPr>
                <w:rFonts w:cs="Times New Roman"/>
                <w:color w:val="000000"/>
                <w:sz w:val="20"/>
                <w:szCs w:val="20"/>
              </w:rPr>
              <w:t>-</w:t>
            </w:r>
            <w:r w:rsidRPr="008C09A4">
              <w:rPr>
                <w:rFonts w:cs="Times New Roman"/>
                <w:color w:val="000000"/>
                <w:sz w:val="20"/>
                <w:szCs w:val="20"/>
              </w:rPr>
              <w:t xml:space="preserve">19 pandēmijas rezultātā veikto ierobežojumu ietekmi uz krīzes skartas nozares darbību, </w:t>
            </w:r>
            <w:r w:rsidRPr="00B55384">
              <w:rPr>
                <w:rFonts w:cs="Times New Roman"/>
                <w:color w:val="000000"/>
                <w:sz w:val="20"/>
                <w:szCs w:val="20"/>
              </w:rPr>
              <w:t>nodrošinot apstākļus nozares darbības sekmīgai atsākšanai</w:t>
            </w:r>
            <w:r w:rsidR="00462658" w:rsidRPr="008C09A4">
              <w:rPr>
                <w:rFonts w:cs="Times New Roman"/>
                <w:color w:val="000000"/>
                <w:sz w:val="20"/>
                <w:szCs w:val="20"/>
              </w:rPr>
              <w:t xml:space="preserve"> </w:t>
            </w:r>
            <w:r w:rsidR="000C4028" w:rsidRPr="008C09A4">
              <w:rPr>
                <w:rFonts w:cs="Times New Roman"/>
                <w:color w:val="000000"/>
                <w:sz w:val="20"/>
                <w:szCs w:val="20"/>
              </w:rPr>
              <w:t>vai darbības transformācijai.</w:t>
            </w:r>
          </w:p>
        </w:tc>
        <w:tc>
          <w:tcPr>
            <w:tcW w:w="3544" w:type="dxa"/>
            <w:shd w:val="clear" w:color="auto" w:fill="auto"/>
          </w:tcPr>
          <w:p w:rsidR="000F5816" w:rsidRPr="008C09A4" w:rsidRDefault="000F5816" w:rsidP="00250B3B">
            <w:pPr>
              <w:jc w:val="both"/>
              <w:rPr>
                <w:rFonts w:cs="Times New Roman"/>
                <w:sz w:val="20"/>
                <w:szCs w:val="20"/>
              </w:rPr>
            </w:pPr>
            <w:r w:rsidRPr="008C09A4">
              <w:rPr>
                <w:rFonts w:cs="Times New Roman"/>
                <w:sz w:val="20"/>
                <w:szCs w:val="20"/>
              </w:rPr>
              <w:t xml:space="preserve">Ēnu ekonomikas izpausmes risku būtiski palielina ar </w:t>
            </w:r>
            <w:r w:rsidR="008175EA">
              <w:rPr>
                <w:rFonts w:cs="Times New Roman"/>
                <w:sz w:val="20"/>
                <w:szCs w:val="20"/>
              </w:rPr>
              <w:t>C</w:t>
            </w:r>
            <w:r w:rsidR="00913EF5">
              <w:rPr>
                <w:rFonts w:cs="Times New Roman"/>
                <w:sz w:val="20"/>
                <w:szCs w:val="20"/>
              </w:rPr>
              <w:t>ovid</w:t>
            </w:r>
            <w:r w:rsidRPr="008C09A4">
              <w:rPr>
                <w:rFonts w:cs="Times New Roman"/>
                <w:sz w:val="20"/>
                <w:szCs w:val="20"/>
              </w:rPr>
              <w:t xml:space="preserve">-19 vīrusa izplatību saistītās sekas, </w:t>
            </w:r>
            <w:r w:rsidRPr="00B55384">
              <w:rPr>
                <w:rFonts w:cs="Times New Roman"/>
                <w:sz w:val="20"/>
                <w:szCs w:val="20"/>
              </w:rPr>
              <w:t>ietekmējot finanšu stāvokli noteiktās tautsaimniecības nozarēs</w:t>
            </w:r>
            <w:r w:rsidRPr="008C09A4">
              <w:rPr>
                <w:rFonts w:cs="Times New Roman"/>
                <w:sz w:val="20"/>
                <w:szCs w:val="20"/>
              </w:rPr>
              <w:t xml:space="preserve"> un valstī kopumā. </w:t>
            </w:r>
            <w:r w:rsidR="008175EA">
              <w:rPr>
                <w:rFonts w:cs="Times New Roman"/>
                <w:sz w:val="20"/>
                <w:szCs w:val="20"/>
              </w:rPr>
              <w:t>C</w:t>
            </w:r>
            <w:r w:rsidR="00913EF5">
              <w:rPr>
                <w:rFonts w:cs="Times New Roman"/>
                <w:sz w:val="20"/>
                <w:szCs w:val="20"/>
              </w:rPr>
              <w:t>ovid</w:t>
            </w:r>
            <w:r w:rsidRPr="008C09A4">
              <w:rPr>
                <w:rFonts w:cs="Times New Roman"/>
                <w:sz w:val="20"/>
                <w:szCs w:val="20"/>
              </w:rPr>
              <w:t xml:space="preserve">-19 izraisītā ietekme uz ekonomikas attīstību veicina bezdarba pieaugumu, kas savukārt var veicināt darba meklētāju toleranci, pieņemot piedāvājumus </w:t>
            </w:r>
            <w:r w:rsidRPr="008B64DA">
              <w:rPr>
                <w:rFonts w:cs="Times New Roman"/>
                <w:sz w:val="20"/>
                <w:szCs w:val="20"/>
              </w:rPr>
              <w:t>atalgojuma samaksai “aplokšņu algās”.</w:t>
            </w:r>
            <w:r w:rsidRPr="008C09A4">
              <w:rPr>
                <w:rFonts w:cs="Times New Roman"/>
                <w:sz w:val="20"/>
                <w:szCs w:val="20"/>
              </w:rPr>
              <w:t xml:space="preserve"> Savukārt, uzņēmumu darbības apgrozījuma samazināšanās, finanšu līdzekļu trūkums un citi apstākļi var veicināt darbības nolūkā izvairīties no nodokļu nomaksas vai iesaistīties nodokļu optimizācijas “shēmās”.</w:t>
            </w:r>
          </w:p>
        </w:tc>
        <w:tc>
          <w:tcPr>
            <w:tcW w:w="2551" w:type="dxa"/>
            <w:shd w:val="clear" w:color="auto" w:fill="auto"/>
          </w:tcPr>
          <w:p w:rsidR="00AE142F" w:rsidRPr="001F2282" w:rsidRDefault="00AE142F" w:rsidP="00955C50">
            <w:pPr>
              <w:jc w:val="both"/>
              <w:rPr>
                <w:rFonts w:cs="Times New Roman"/>
                <w:color w:val="000000" w:themeColor="text1"/>
                <w:sz w:val="20"/>
                <w:szCs w:val="20"/>
              </w:rPr>
            </w:pPr>
            <w:r w:rsidRPr="001F2282">
              <w:rPr>
                <w:rFonts w:cs="Times New Roman"/>
                <w:color w:val="000000" w:themeColor="text1"/>
                <w:sz w:val="20"/>
                <w:szCs w:val="20"/>
              </w:rPr>
              <w:t>Vei</w:t>
            </w:r>
            <w:r w:rsidR="00014AE7" w:rsidRPr="001F2282">
              <w:rPr>
                <w:rFonts w:cs="Times New Roman"/>
                <w:color w:val="000000" w:themeColor="text1"/>
                <w:sz w:val="20"/>
                <w:szCs w:val="20"/>
              </w:rPr>
              <w:t>k</w:t>
            </w:r>
            <w:r w:rsidRPr="001F2282">
              <w:rPr>
                <w:rFonts w:cs="Times New Roman"/>
                <w:color w:val="000000" w:themeColor="text1"/>
                <w:sz w:val="20"/>
                <w:szCs w:val="20"/>
              </w:rPr>
              <w:t>ts izvērtējum</w:t>
            </w:r>
            <w:r w:rsidR="00EB5E5F">
              <w:rPr>
                <w:rFonts w:cs="Times New Roman"/>
                <w:color w:val="000000" w:themeColor="text1"/>
                <w:sz w:val="20"/>
                <w:szCs w:val="20"/>
              </w:rPr>
              <w:t>s</w:t>
            </w:r>
            <w:r w:rsidRPr="001F2282">
              <w:rPr>
                <w:rFonts w:cs="Times New Roman"/>
                <w:color w:val="000000" w:themeColor="text1"/>
                <w:sz w:val="20"/>
                <w:szCs w:val="20"/>
              </w:rPr>
              <w:t xml:space="preserve"> par </w:t>
            </w:r>
            <w:r w:rsidR="008175EA">
              <w:rPr>
                <w:rFonts w:cs="Times New Roman"/>
                <w:color w:val="000000" w:themeColor="text1"/>
                <w:sz w:val="20"/>
                <w:szCs w:val="20"/>
              </w:rPr>
              <w:t>Covid</w:t>
            </w:r>
            <w:r w:rsidRPr="001F2282">
              <w:rPr>
                <w:rFonts w:cs="Times New Roman"/>
                <w:color w:val="000000" w:themeColor="text1"/>
                <w:sz w:val="20"/>
                <w:szCs w:val="20"/>
              </w:rPr>
              <w:t>-</w:t>
            </w:r>
            <w:r w:rsidR="004934FB">
              <w:rPr>
                <w:rFonts w:cs="Times New Roman"/>
                <w:color w:val="000000" w:themeColor="text1"/>
                <w:sz w:val="20"/>
                <w:szCs w:val="20"/>
              </w:rPr>
              <w:t>1</w:t>
            </w:r>
            <w:r w:rsidRPr="001F2282">
              <w:rPr>
                <w:rFonts w:cs="Times New Roman"/>
                <w:color w:val="000000" w:themeColor="text1"/>
                <w:sz w:val="20"/>
                <w:szCs w:val="20"/>
              </w:rPr>
              <w:t xml:space="preserve">9 pandēmijas rezultātā veikto ierobežojumu ietekmi uz krīzes skarto tautsaimniecības nozaru darbību un izstrādāti priekšlikumi uzņēmējdarbības aktivitātes veicināšanai </w:t>
            </w:r>
            <w:r w:rsidR="00014AE7" w:rsidRPr="001F2282">
              <w:rPr>
                <w:rFonts w:cs="Times New Roman"/>
                <w:color w:val="000000" w:themeColor="text1"/>
                <w:sz w:val="20"/>
                <w:szCs w:val="20"/>
              </w:rPr>
              <w:t>(</w:t>
            </w:r>
            <w:r w:rsidRPr="001F2282">
              <w:rPr>
                <w:rFonts w:cs="Times New Roman"/>
                <w:color w:val="000000" w:themeColor="text1"/>
                <w:sz w:val="20"/>
                <w:szCs w:val="20"/>
              </w:rPr>
              <w:t>EM</w:t>
            </w:r>
            <w:r w:rsidR="00014AE7" w:rsidRPr="001F2282">
              <w:rPr>
                <w:rFonts w:cs="Times New Roman"/>
                <w:color w:val="000000" w:themeColor="text1"/>
                <w:sz w:val="20"/>
                <w:szCs w:val="20"/>
              </w:rPr>
              <w:t>)</w:t>
            </w:r>
            <w:r w:rsidRPr="001F2282">
              <w:rPr>
                <w:rFonts w:cs="Times New Roman"/>
                <w:color w:val="000000" w:themeColor="text1"/>
                <w:sz w:val="20"/>
                <w:szCs w:val="20"/>
              </w:rPr>
              <w:t>.</w:t>
            </w:r>
          </w:p>
          <w:p w:rsidR="002A2B61" w:rsidRPr="00E56628" w:rsidRDefault="00AE142F" w:rsidP="00E07FAF">
            <w:pPr>
              <w:jc w:val="both"/>
              <w:rPr>
                <w:rFonts w:cs="Times New Roman"/>
                <w:color w:val="000000" w:themeColor="text1"/>
                <w:sz w:val="20"/>
                <w:szCs w:val="20"/>
              </w:rPr>
            </w:pPr>
            <w:r w:rsidRPr="001F2282">
              <w:rPr>
                <w:rFonts w:cs="Times New Roman"/>
                <w:color w:val="000000" w:themeColor="text1"/>
                <w:sz w:val="20"/>
                <w:szCs w:val="20"/>
              </w:rPr>
              <w:t>Identificēti riski “ēnu ekonomikā”</w:t>
            </w:r>
            <w:r w:rsidR="00647000" w:rsidRPr="001F2282">
              <w:rPr>
                <w:rFonts w:cs="Times New Roman"/>
                <w:color w:val="000000" w:themeColor="text1"/>
                <w:sz w:val="20"/>
                <w:szCs w:val="20"/>
              </w:rPr>
              <w:t xml:space="preserve">, kā arī plānoti un </w:t>
            </w:r>
            <w:r w:rsidR="00014AE7" w:rsidRPr="001F2282">
              <w:rPr>
                <w:rFonts w:cs="Times New Roman"/>
                <w:color w:val="000000" w:themeColor="text1"/>
                <w:sz w:val="20"/>
                <w:szCs w:val="20"/>
              </w:rPr>
              <w:t xml:space="preserve">veikti </w:t>
            </w:r>
            <w:r w:rsidRPr="001F2282">
              <w:rPr>
                <w:rFonts w:cs="Times New Roman"/>
                <w:color w:val="000000" w:themeColor="text1"/>
                <w:sz w:val="20"/>
                <w:szCs w:val="20"/>
              </w:rPr>
              <w:t>pasākum</w:t>
            </w:r>
            <w:r w:rsidR="00014AE7" w:rsidRPr="001F2282">
              <w:rPr>
                <w:rFonts w:cs="Times New Roman"/>
                <w:color w:val="000000" w:themeColor="text1"/>
                <w:sz w:val="20"/>
                <w:szCs w:val="20"/>
              </w:rPr>
              <w:t>i</w:t>
            </w:r>
            <w:r w:rsidRPr="001F2282">
              <w:rPr>
                <w:rFonts w:cs="Times New Roman"/>
                <w:color w:val="000000" w:themeColor="text1"/>
                <w:sz w:val="20"/>
                <w:szCs w:val="20"/>
              </w:rPr>
              <w:t xml:space="preserve"> </w:t>
            </w:r>
            <w:r w:rsidR="008175EA">
              <w:rPr>
                <w:rFonts w:cs="Times New Roman"/>
                <w:color w:val="000000" w:themeColor="text1"/>
                <w:sz w:val="20"/>
                <w:szCs w:val="20"/>
              </w:rPr>
              <w:t>Covid</w:t>
            </w:r>
            <w:r w:rsidRPr="001F2282">
              <w:rPr>
                <w:rFonts w:cs="Times New Roman"/>
                <w:color w:val="000000" w:themeColor="text1"/>
                <w:sz w:val="20"/>
                <w:szCs w:val="20"/>
              </w:rPr>
              <w:t xml:space="preserve">-19 ierobežojumu rezultātā radītās ietekmes mazināšanai un novēršanai </w:t>
            </w:r>
            <w:r w:rsidR="00647000" w:rsidRPr="001F2282">
              <w:rPr>
                <w:rFonts w:cs="Times New Roman"/>
                <w:color w:val="000000" w:themeColor="text1"/>
                <w:sz w:val="20"/>
                <w:szCs w:val="20"/>
              </w:rPr>
              <w:t xml:space="preserve">uz ēnu ekonomiku </w:t>
            </w:r>
            <w:r w:rsidR="00014AE7" w:rsidRPr="001F2282">
              <w:rPr>
                <w:rFonts w:cs="Times New Roman"/>
                <w:color w:val="000000" w:themeColor="text1"/>
                <w:sz w:val="20"/>
                <w:szCs w:val="20"/>
              </w:rPr>
              <w:t>(</w:t>
            </w:r>
            <w:r w:rsidR="006239A9" w:rsidRPr="001F2282">
              <w:rPr>
                <w:rFonts w:cs="Times New Roman"/>
                <w:bCs/>
                <w:sz w:val="20"/>
                <w:szCs w:val="20"/>
              </w:rPr>
              <w:t>Visas nozaru ministrijas</w:t>
            </w:r>
            <w:r w:rsidR="006239A9" w:rsidRPr="001F2282">
              <w:rPr>
                <w:rFonts w:cs="Times New Roman"/>
                <w:color w:val="000000" w:themeColor="text1"/>
                <w:sz w:val="20"/>
                <w:szCs w:val="20"/>
              </w:rPr>
              <w:t>,</w:t>
            </w:r>
            <w:r w:rsidR="001F2282">
              <w:rPr>
                <w:rFonts w:cs="Times New Roman"/>
                <w:color w:val="000000" w:themeColor="text1"/>
                <w:sz w:val="20"/>
                <w:szCs w:val="20"/>
              </w:rPr>
              <w:t xml:space="preserve"> </w:t>
            </w:r>
            <w:r w:rsidRPr="001F2282">
              <w:rPr>
                <w:rFonts w:cs="Times New Roman"/>
                <w:color w:val="000000" w:themeColor="text1"/>
                <w:sz w:val="20"/>
                <w:szCs w:val="20"/>
              </w:rPr>
              <w:t>FM</w:t>
            </w:r>
            <w:r w:rsidR="00014AE7" w:rsidRPr="001F2282">
              <w:rPr>
                <w:rFonts w:cs="Times New Roman"/>
                <w:color w:val="000000" w:themeColor="text1"/>
                <w:sz w:val="20"/>
                <w:szCs w:val="20"/>
              </w:rPr>
              <w:t>)</w:t>
            </w:r>
            <w:r w:rsidR="004934FB">
              <w:rPr>
                <w:rFonts w:cs="Times New Roman"/>
                <w:color w:val="000000" w:themeColor="text1"/>
                <w:sz w:val="20"/>
                <w:szCs w:val="20"/>
              </w:rPr>
              <w:t>.</w:t>
            </w:r>
          </w:p>
        </w:tc>
        <w:tc>
          <w:tcPr>
            <w:tcW w:w="1985" w:type="dxa"/>
            <w:shd w:val="clear" w:color="auto" w:fill="auto"/>
          </w:tcPr>
          <w:p w:rsidR="008E56D0" w:rsidRPr="008C09A4" w:rsidRDefault="008E56D0" w:rsidP="00E07FAF">
            <w:pPr>
              <w:jc w:val="both"/>
              <w:rPr>
                <w:rFonts w:cs="Times New Roman"/>
                <w:sz w:val="20"/>
                <w:szCs w:val="20"/>
              </w:rPr>
            </w:pPr>
            <w:r w:rsidRPr="008C09A4">
              <w:rPr>
                <w:rFonts w:cs="Times New Roman"/>
                <w:sz w:val="20"/>
                <w:szCs w:val="20"/>
              </w:rPr>
              <w:t xml:space="preserve">Nodokļu ieņēmumu kritums </w:t>
            </w:r>
            <w:r w:rsidR="008175EA">
              <w:rPr>
                <w:rFonts w:cs="Times New Roman"/>
                <w:sz w:val="20"/>
                <w:szCs w:val="20"/>
              </w:rPr>
              <w:t>C</w:t>
            </w:r>
            <w:r w:rsidR="00913EF5">
              <w:rPr>
                <w:rFonts w:cs="Times New Roman"/>
                <w:sz w:val="20"/>
                <w:szCs w:val="20"/>
              </w:rPr>
              <w:t>ovid</w:t>
            </w:r>
            <w:r w:rsidR="007A1A0C" w:rsidRPr="008C09A4">
              <w:rPr>
                <w:rFonts w:cs="Times New Roman"/>
                <w:sz w:val="20"/>
                <w:szCs w:val="20"/>
              </w:rPr>
              <w:t>-</w:t>
            </w:r>
            <w:r w:rsidRPr="008C09A4">
              <w:rPr>
                <w:rFonts w:cs="Times New Roman"/>
                <w:sz w:val="20"/>
                <w:szCs w:val="20"/>
              </w:rPr>
              <w:t xml:space="preserve">19 ierobežojumu skartajās nozarēs pēc ierobežojumu atcelšanas nav </w:t>
            </w:r>
            <w:r w:rsidR="0014257B">
              <w:rPr>
                <w:rFonts w:cs="Times New Roman"/>
                <w:sz w:val="20"/>
                <w:szCs w:val="20"/>
              </w:rPr>
              <w:t>liel</w:t>
            </w:r>
            <w:r w:rsidRPr="008C09A4">
              <w:rPr>
                <w:rFonts w:cs="Times New Roman"/>
                <w:sz w:val="20"/>
                <w:szCs w:val="20"/>
              </w:rPr>
              <w:t>āks kā 10</w:t>
            </w:r>
            <w:r w:rsidR="00133F1A">
              <w:rPr>
                <w:rFonts w:cs="Times New Roman"/>
                <w:sz w:val="20"/>
                <w:szCs w:val="20"/>
              </w:rPr>
              <w:t> </w:t>
            </w:r>
            <w:r w:rsidRPr="008C09A4">
              <w:rPr>
                <w:rFonts w:cs="Times New Roman"/>
                <w:sz w:val="20"/>
                <w:szCs w:val="20"/>
              </w:rPr>
              <w:t>%.</w:t>
            </w:r>
          </w:p>
        </w:tc>
        <w:tc>
          <w:tcPr>
            <w:tcW w:w="1275" w:type="dxa"/>
            <w:shd w:val="clear" w:color="auto" w:fill="auto"/>
          </w:tcPr>
          <w:p w:rsidR="00647000" w:rsidRDefault="006F0985" w:rsidP="00250B3B">
            <w:pPr>
              <w:jc w:val="center"/>
              <w:rPr>
                <w:rFonts w:cs="Times New Roman"/>
                <w:bCs/>
                <w:sz w:val="20"/>
                <w:szCs w:val="20"/>
              </w:rPr>
            </w:pPr>
            <w:r w:rsidRPr="008C09A4">
              <w:rPr>
                <w:rFonts w:cs="Times New Roman"/>
                <w:bCs/>
                <w:sz w:val="20"/>
                <w:szCs w:val="20"/>
              </w:rPr>
              <w:t>EM,</w:t>
            </w:r>
            <w:r w:rsidR="000F5816" w:rsidRPr="008C09A4">
              <w:rPr>
                <w:rFonts w:cs="Times New Roman"/>
                <w:bCs/>
                <w:sz w:val="20"/>
                <w:szCs w:val="20"/>
              </w:rPr>
              <w:t xml:space="preserve"> </w:t>
            </w:r>
          </w:p>
          <w:p w:rsidR="000F5816" w:rsidRDefault="000F5816" w:rsidP="00250B3B">
            <w:pPr>
              <w:jc w:val="center"/>
              <w:rPr>
                <w:rFonts w:cs="Times New Roman"/>
                <w:bCs/>
                <w:sz w:val="20"/>
                <w:szCs w:val="20"/>
              </w:rPr>
            </w:pPr>
            <w:r w:rsidRPr="008C09A4">
              <w:rPr>
                <w:rFonts w:cs="Times New Roman"/>
                <w:bCs/>
                <w:sz w:val="20"/>
                <w:szCs w:val="20"/>
              </w:rPr>
              <w:t>FM</w:t>
            </w:r>
            <w:r w:rsidR="006239A9">
              <w:rPr>
                <w:rFonts w:cs="Times New Roman"/>
                <w:bCs/>
                <w:sz w:val="20"/>
                <w:szCs w:val="20"/>
              </w:rPr>
              <w:t>,</w:t>
            </w:r>
          </w:p>
          <w:p w:rsidR="006239A9" w:rsidRPr="008C09A4" w:rsidRDefault="006239A9" w:rsidP="00250B3B">
            <w:pPr>
              <w:jc w:val="center"/>
              <w:rPr>
                <w:rFonts w:cs="Times New Roman"/>
                <w:bCs/>
                <w:sz w:val="20"/>
                <w:szCs w:val="20"/>
              </w:rPr>
            </w:pPr>
            <w:r w:rsidRPr="008C09A4">
              <w:rPr>
                <w:rFonts w:cs="Times New Roman"/>
                <w:bCs/>
                <w:sz w:val="20"/>
                <w:szCs w:val="20"/>
              </w:rPr>
              <w:t>Visas nozaru ministrijas</w:t>
            </w:r>
          </w:p>
        </w:tc>
        <w:tc>
          <w:tcPr>
            <w:tcW w:w="1134" w:type="dxa"/>
            <w:shd w:val="clear" w:color="auto" w:fill="auto"/>
          </w:tcPr>
          <w:p w:rsidR="000F5816" w:rsidRPr="008C09A4" w:rsidRDefault="00ED2E79" w:rsidP="00250B3B">
            <w:pPr>
              <w:jc w:val="center"/>
              <w:rPr>
                <w:rFonts w:cs="Times New Roman"/>
                <w:bCs/>
                <w:sz w:val="20"/>
                <w:szCs w:val="20"/>
              </w:rPr>
            </w:pPr>
            <w:r>
              <w:rPr>
                <w:rFonts w:cs="Times New Roman"/>
                <w:bCs/>
                <w:sz w:val="20"/>
                <w:szCs w:val="20"/>
              </w:rPr>
              <w:t>-</w:t>
            </w:r>
          </w:p>
        </w:tc>
        <w:tc>
          <w:tcPr>
            <w:tcW w:w="1276" w:type="dxa"/>
            <w:shd w:val="clear" w:color="auto" w:fill="auto"/>
          </w:tcPr>
          <w:p w:rsidR="000F5816" w:rsidRPr="008C09A4" w:rsidRDefault="000F5816" w:rsidP="00250B3B">
            <w:pPr>
              <w:jc w:val="center"/>
              <w:rPr>
                <w:rFonts w:cs="Times New Roman"/>
                <w:bCs/>
                <w:sz w:val="20"/>
                <w:szCs w:val="20"/>
              </w:rPr>
            </w:pPr>
            <w:r w:rsidRPr="008C09A4">
              <w:rPr>
                <w:rFonts w:cs="Times New Roman"/>
                <w:bCs/>
                <w:sz w:val="20"/>
                <w:szCs w:val="20"/>
              </w:rPr>
              <w:t>Pastāvīgi</w:t>
            </w:r>
          </w:p>
        </w:tc>
      </w:tr>
      <w:tr w:rsidR="005D026B" w:rsidRPr="008C09A4" w:rsidTr="00DA5BE6">
        <w:trPr>
          <w:trHeight w:val="136"/>
        </w:trPr>
        <w:tc>
          <w:tcPr>
            <w:tcW w:w="568" w:type="dxa"/>
          </w:tcPr>
          <w:p w:rsidR="005D026B" w:rsidRPr="008C09A4" w:rsidRDefault="005D026B" w:rsidP="00250B3B">
            <w:pPr>
              <w:ind w:right="-21"/>
              <w:rPr>
                <w:rFonts w:cs="Times New Roman"/>
                <w:bCs/>
                <w:sz w:val="20"/>
                <w:szCs w:val="20"/>
              </w:rPr>
            </w:pPr>
            <w:r w:rsidRPr="008C09A4">
              <w:rPr>
                <w:rFonts w:cs="Times New Roman"/>
                <w:bCs/>
                <w:sz w:val="20"/>
                <w:szCs w:val="20"/>
              </w:rPr>
              <w:t>1.</w:t>
            </w:r>
            <w:r w:rsidR="00133F1A">
              <w:rPr>
                <w:rFonts w:cs="Times New Roman"/>
                <w:bCs/>
                <w:sz w:val="20"/>
                <w:szCs w:val="20"/>
              </w:rPr>
              <w:t>2</w:t>
            </w:r>
            <w:r w:rsidR="00AF72CC" w:rsidRPr="008C09A4">
              <w:rPr>
                <w:rFonts w:cs="Times New Roman"/>
                <w:bCs/>
                <w:sz w:val="20"/>
                <w:szCs w:val="20"/>
              </w:rPr>
              <w:t>.</w:t>
            </w:r>
          </w:p>
        </w:tc>
        <w:tc>
          <w:tcPr>
            <w:tcW w:w="2268" w:type="dxa"/>
            <w:shd w:val="clear" w:color="auto" w:fill="auto"/>
          </w:tcPr>
          <w:p w:rsidR="002A2B61" w:rsidRPr="00F714EC" w:rsidRDefault="005D026B" w:rsidP="00F714EC">
            <w:pPr>
              <w:jc w:val="both"/>
              <w:rPr>
                <w:rFonts w:cs="Times New Roman"/>
                <w:color w:val="000000"/>
                <w:spacing w:val="2"/>
                <w:sz w:val="20"/>
                <w:szCs w:val="20"/>
              </w:rPr>
            </w:pPr>
            <w:r w:rsidRPr="00F714EC">
              <w:rPr>
                <w:rFonts w:cs="Times New Roman"/>
                <w:color w:val="000000"/>
                <w:spacing w:val="2"/>
                <w:sz w:val="20"/>
                <w:szCs w:val="20"/>
              </w:rPr>
              <w:t>Veikt plānveidīg</w:t>
            </w:r>
            <w:r w:rsidR="00EB5E5F" w:rsidRPr="00F714EC">
              <w:rPr>
                <w:rFonts w:cs="Times New Roman"/>
                <w:color w:val="000000"/>
                <w:spacing w:val="2"/>
                <w:sz w:val="20"/>
                <w:szCs w:val="20"/>
              </w:rPr>
              <w:t>us</w:t>
            </w:r>
            <w:r w:rsidRPr="00F714EC">
              <w:rPr>
                <w:rFonts w:cs="Times New Roman"/>
                <w:color w:val="000000"/>
                <w:spacing w:val="2"/>
                <w:sz w:val="20"/>
                <w:szCs w:val="20"/>
              </w:rPr>
              <w:t xml:space="preserve"> </w:t>
            </w:r>
            <w:r w:rsidR="00EB5E5F" w:rsidRPr="00F714EC">
              <w:rPr>
                <w:rFonts w:cs="Times New Roman"/>
                <w:color w:val="000000"/>
                <w:spacing w:val="2"/>
                <w:sz w:val="20"/>
                <w:szCs w:val="20"/>
              </w:rPr>
              <w:t xml:space="preserve">pasākumus </w:t>
            </w:r>
            <w:r w:rsidRPr="00F714EC">
              <w:rPr>
                <w:rFonts w:cs="Times New Roman"/>
                <w:color w:val="000000"/>
                <w:spacing w:val="2"/>
                <w:sz w:val="20"/>
                <w:szCs w:val="20"/>
              </w:rPr>
              <w:t xml:space="preserve">nodokļu maksāšanas disciplīnas </w:t>
            </w:r>
            <w:r w:rsidRPr="00F714EC">
              <w:rPr>
                <w:rFonts w:cs="Times New Roman"/>
                <w:spacing w:val="2"/>
                <w:sz w:val="20"/>
                <w:szCs w:val="20"/>
              </w:rPr>
              <w:t>ievērošanai</w:t>
            </w:r>
            <w:r w:rsidRPr="00F714EC">
              <w:rPr>
                <w:rFonts w:cs="Times New Roman"/>
                <w:color w:val="000000"/>
                <w:spacing w:val="2"/>
                <w:sz w:val="20"/>
                <w:szCs w:val="20"/>
              </w:rPr>
              <w:t xml:space="preserve"> nekustamā īpašuma nomas pakalpojumu jomā, pastiprinātu uzmanību pievēršot fiziskajām personām, kuras ievieto sludinājumus interneta tīmekļvietnēs, reklamējot savu saimniecisko darbību.</w:t>
            </w:r>
          </w:p>
        </w:tc>
        <w:tc>
          <w:tcPr>
            <w:tcW w:w="3544" w:type="dxa"/>
            <w:shd w:val="clear" w:color="auto" w:fill="auto"/>
          </w:tcPr>
          <w:p w:rsidR="005D026B" w:rsidRPr="008C09A4" w:rsidRDefault="005D026B" w:rsidP="00250B3B">
            <w:pPr>
              <w:jc w:val="both"/>
              <w:rPr>
                <w:rFonts w:cs="Times New Roman"/>
                <w:sz w:val="20"/>
                <w:szCs w:val="20"/>
              </w:rPr>
            </w:pPr>
            <w:r w:rsidRPr="008C09A4">
              <w:rPr>
                <w:rFonts w:cs="Times New Roman"/>
                <w:sz w:val="20"/>
                <w:szCs w:val="20"/>
              </w:rPr>
              <w:t xml:space="preserve">Fizisko personu </w:t>
            </w:r>
            <w:r w:rsidRPr="00B55384">
              <w:rPr>
                <w:rFonts w:cs="Times New Roman"/>
                <w:sz w:val="20"/>
                <w:szCs w:val="20"/>
              </w:rPr>
              <w:t xml:space="preserve">nereģistrēta saimnieciskā darbība </w:t>
            </w:r>
            <w:r w:rsidRPr="008C09A4">
              <w:rPr>
                <w:rFonts w:cs="Times New Roman"/>
                <w:sz w:val="20"/>
                <w:szCs w:val="20"/>
              </w:rPr>
              <w:t xml:space="preserve">ir plaši izplatīta, izīrējot personām piederošos nekustamos īpašumus, personu lietošanā, apsaimniekošanā nodotās dzīvojamās platības citām personām, t.sk. ārvalstniekiem, kuri uzturas Latvijā, gan ilgtermiņā, gan īstermiņā. </w:t>
            </w:r>
          </w:p>
        </w:tc>
        <w:tc>
          <w:tcPr>
            <w:tcW w:w="2551" w:type="dxa"/>
          </w:tcPr>
          <w:p w:rsidR="005D026B" w:rsidRPr="008C09A4" w:rsidRDefault="005D026B" w:rsidP="00250B3B">
            <w:pPr>
              <w:jc w:val="both"/>
              <w:rPr>
                <w:rFonts w:cs="Times New Roman"/>
                <w:color w:val="000000"/>
                <w:sz w:val="20"/>
                <w:szCs w:val="20"/>
              </w:rPr>
            </w:pPr>
            <w:r w:rsidRPr="008C09A4">
              <w:rPr>
                <w:rFonts w:cs="Times New Roman"/>
                <w:sz w:val="20"/>
                <w:szCs w:val="20"/>
              </w:rPr>
              <w:t>Ierobežota fizisko personu nereģistrētā saimnieciskā darbība nekustamo īpašumu izīrēšanas jomā.</w:t>
            </w:r>
          </w:p>
        </w:tc>
        <w:tc>
          <w:tcPr>
            <w:tcW w:w="1985" w:type="dxa"/>
            <w:tcBorders>
              <w:bottom w:val="single" w:sz="4" w:space="0" w:color="auto"/>
            </w:tcBorders>
          </w:tcPr>
          <w:p w:rsidR="00E07FAF" w:rsidRPr="008C09A4" w:rsidRDefault="000D12AF" w:rsidP="00250B3B">
            <w:pPr>
              <w:jc w:val="both"/>
              <w:rPr>
                <w:rFonts w:cs="Times New Roman"/>
                <w:sz w:val="20"/>
                <w:szCs w:val="20"/>
              </w:rPr>
            </w:pPr>
            <w:r>
              <w:rPr>
                <w:rFonts w:cs="Times New Roman"/>
                <w:sz w:val="20"/>
                <w:szCs w:val="20"/>
              </w:rPr>
              <w:t>Palielinājies f</w:t>
            </w:r>
            <w:r w:rsidR="00D87E27" w:rsidRPr="008C09A4">
              <w:rPr>
                <w:rFonts w:cs="Times New Roman"/>
                <w:sz w:val="20"/>
                <w:szCs w:val="20"/>
              </w:rPr>
              <w:t xml:space="preserve">izisko personu skaits, </w:t>
            </w:r>
            <w:r w:rsidR="005D026B" w:rsidRPr="008C09A4">
              <w:rPr>
                <w:rFonts w:cs="Times New Roman"/>
                <w:sz w:val="20"/>
                <w:szCs w:val="20"/>
              </w:rPr>
              <w:t>kas reģistrējušas saimniecisko darbību, iesniegušas gada ienākumu deklarācijas vai sniegušas skaidrojumus par saimnieciskās darbības nereģistrēšanu.</w:t>
            </w:r>
          </w:p>
        </w:tc>
        <w:tc>
          <w:tcPr>
            <w:tcW w:w="1275" w:type="dxa"/>
          </w:tcPr>
          <w:p w:rsidR="005D026B" w:rsidRPr="008C09A4" w:rsidRDefault="005D026B" w:rsidP="00250B3B">
            <w:pPr>
              <w:jc w:val="center"/>
              <w:rPr>
                <w:rFonts w:cs="Times New Roman"/>
                <w:bCs/>
                <w:sz w:val="20"/>
                <w:szCs w:val="20"/>
              </w:rPr>
            </w:pPr>
            <w:r w:rsidRPr="008C09A4">
              <w:rPr>
                <w:rFonts w:cs="Times New Roman"/>
                <w:bCs/>
                <w:sz w:val="20"/>
                <w:szCs w:val="20"/>
              </w:rPr>
              <w:t>VID</w:t>
            </w:r>
          </w:p>
        </w:tc>
        <w:tc>
          <w:tcPr>
            <w:tcW w:w="1134" w:type="dxa"/>
          </w:tcPr>
          <w:p w:rsidR="005D026B" w:rsidRPr="008C09A4" w:rsidRDefault="005D026B" w:rsidP="00250B3B">
            <w:pPr>
              <w:jc w:val="center"/>
              <w:rPr>
                <w:rFonts w:cs="Times New Roman"/>
                <w:bCs/>
                <w:sz w:val="20"/>
                <w:szCs w:val="20"/>
              </w:rPr>
            </w:pPr>
            <w:r w:rsidRPr="008C09A4">
              <w:rPr>
                <w:rFonts w:cs="Times New Roman"/>
                <w:bCs/>
                <w:sz w:val="20"/>
                <w:szCs w:val="20"/>
              </w:rPr>
              <w:t>-</w:t>
            </w:r>
          </w:p>
        </w:tc>
        <w:tc>
          <w:tcPr>
            <w:tcW w:w="1276" w:type="dxa"/>
          </w:tcPr>
          <w:p w:rsidR="005D026B" w:rsidRPr="008C09A4" w:rsidRDefault="00632724" w:rsidP="00250B3B">
            <w:pPr>
              <w:jc w:val="center"/>
              <w:rPr>
                <w:rFonts w:cs="Times New Roman"/>
                <w:bCs/>
                <w:sz w:val="20"/>
                <w:szCs w:val="20"/>
              </w:rPr>
            </w:pPr>
            <w:r w:rsidRPr="008C09A4">
              <w:rPr>
                <w:rFonts w:cs="Times New Roman"/>
                <w:bCs/>
                <w:sz w:val="20"/>
                <w:szCs w:val="20"/>
              </w:rPr>
              <w:t>3</w:t>
            </w:r>
            <w:r w:rsidR="006A19D3">
              <w:rPr>
                <w:rFonts w:cs="Times New Roman"/>
                <w:bCs/>
                <w:sz w:val="20"/>
                <w:szCs w:val="20"/>
              </w:rPr>
              <w:t>0</w:t>
            </w:r>
            <w:r w:rsidRPr="008C09A4">
              <w:rPr>
                <w:rFonts w:cs="Times New Roman"/>
                <w:bCs/>
                <w:sz w:val="20"/>
                <w:szCs w:val="20"/>
              </w:rPr>
              <w:t>.12.2022</w:t>
            </w:r>
            <w:r w:rsidR="005D026B" w:rsidRPr="008C09A4">
              <w:rPr>
                <w:rFonts w:cs="Times New Roman"/>
                <w:bCs/>
                <w:sz w:val="20"/>
                <w:szCs w:val="20"/>
              </w:rPr>
              <w:t>.</w:t>
            </w:r>
          </w:p>
        </w:tc>
      </w:tr>
      <w:tr w:rsidR="00B87ADF" w:rsidRPr="00C070E6" w:rsidTr="00DA5BE6">
        <w:trPr>
          <w:trHeight w:val="2551"/>
        </w:trPr>
        <w:tc>
          <w:tcPr>
            <w:tcW w:w="568" w:type="dxa"/>
            <w:vMerge w:val="restart"/>
          </w:tcPr>
          <w:p w:rsidR="00B87ADF" w:rsidRPr="00C070E6" w:rsidRDefault="00B87ADF" w:rsidP="00250B3B">
            <w:pPr>
              <w:ind w:right="-21"/>
              <w:rPr>
                <w:rFonts w:cs="Times New Roman"/>
                <w:bCs/>
                <w:sz w:val="20"/>
                <w:szCs w:val="20"/>
              </w:rPr>
            </w:pPr>
            <w:r w:rsidRPr="00C070E6">
              <w:rPr>
                <w:rFonts w:cs="Times New Roman"/>
                <w:bCs/>
                <w:sz w:val="20"/>
                <w:szCs w:val="20"/>
              </w:rPr>
              <w:t>1.</w:t>
            </w:r>
            <w:r w:rsidR="00133F1A" w:rsidRPr="00C070E6">
              <w:rPr>
                <w:rFonts w:cs="Times New Roman"/>
                <w:bCs/>
                <w:sz w:val="20"/>
                <w:szCs w:val="20"/>
              </w:rPr>
              <w:t>3</w:t>
            </w:r>
            <w:r w:rsidRPr="00C070E6">
              <w:rPr>
                <w:rFonts w:cs="Times New Roman"/>
                <w:bCs/>
                <w:sz w:val="20"/>
                <w:szCs w:val="20"/>
              </w:rPr>
              <w:t>.</w:t>
            </w:r>
          </w:p>
        </w:tc>
        <w:tc>
          <w:tcPr>
            <w:tcW w:w="2268" w:type="dxa"/>
            <w:vMerge w:val="restart"/>
          </w:tcPr>
          <w:p w:rsidR="00B87ADF" w:rsidRPr="00C070E6" w:rsidRDefault="00B87ADF" w:rsidP="00250B3B">
            <w:pPr>
              <w:jc w:val="both"/>
              <w:rPr>
                <w:rFonts w:cs="Times New Roman"/>
                <w:sz w:val="20"/>
                <w:szCs w:val="20"/>
              </w:rPr>
            </w:pPr>
            <w:r w:rsidRPr="00C070E6">
              <w:rPr>
                <w:rFonts w:cs="Times New Roman"/>
                <w:sz w:val="20"/>
                <w:szCs w:val="20"/>
              </w:rPr>
              <w:t>Ierobežot</w:t>
            </w:r>
            <w:r w:rsidR="00685545" w:rsidRPr="00C070E6">
              <w:rPr>
                <w:rFonts w:cs="Times New Roman"/>
                <w:sz w:val="20"/>
                <w:szCs w:val="20"/>
              </w:rPr>
              <w:t xml:space="preserve"> nelegāl</w:t>
            </w:r>
            <w:r w:rsidR="00303E3B" w:rsidRPr="00C070E6">
              <w:rPr>
                <w:rFonts w:cs="Times New Roman"/>
                <w:sz w:val="20"/>
                <w:szCs w:val="20"/>
              </w:rPr>
              <w:t>ā</w:t>
            </w:r>
            <w:r w:rsidR="00685545" w:rsidRPr="00C070E6">
              <w:rPr>
                <w:rFonts w:cs="Times New Roman"/>
                <w:sz w:val="20"/>
                <w:szCs w:val="20"/>
              </w:rPr>
              <w:t xml:space="preserve"> audiovizuālā tirgus </w:t>
            </w:r>
            <w:r w:rsidRPr="00C070E6">
              <w:rPr>
                <w:rFonts w:cs="Times New Roman"/>
                <w:sz w:val="20"/>
                <w:szCs w:val="20"/>
              </w:rPr>
              <w:t xml:space="preserve"> </w:t>
            </w:r>
            <w:r w:rsidR="00685545" w:rsidRPr="00C070E6">
              <w:rPr>
                <w:rFonts w:cs="Times New Roman"/>
                <w:sz w:val="20"/>
                <w:szCs w:val="20"/>
              </w:rPr>
              <w:t>(televīzijas programmu, filmu</w:t>
            </w:r>
            <w:r w:rsidR="00801DFA" w:rsidRPr="00C070E6">
              <w:rPr>
                <w:rFonts w:cs="Times New Roman"/>
                <w:sz w:val="20"/>
                <w:szCs w:val="20"/>
              </w:rPr>
              <w:t>, sporta programmu</w:t>
            </w:r>
            <w:r w:rsidR="00685545" w:rsidRPr="00C070E6">
              <w:rPr>
                <w:rFonts w:cs="Times New Roman"/>
                <w:sz w:val="20"/>
                <w:szCs w:val="20"/>
              </w:rPr>
              <w:t xml:space="preserve">  un tiešsaistes satura) izplatīšanu</w:t>
            </w:r>
            <w:r w:rsidRPr="00C070E6">
              <w:rPr>
                <w:rFonts w:cs="Times New Roman"/>
                <w:sz w:val="20"/>
                <w:szCs w:val="20"/>
              </w:rPr>
              <w:t>.</w:t>
            </w:r>
          </w:p>
        </w:tc>
        <w:tc>
          <w:tcPr>
            <w:tcW w:w="3544" w:type="dxa"/>
            <w:vMerge w:val="restart"/>
          </w:tcPr>
          <w:p w:rsidR="00B87ADF" w:rsidRPr="00C070E6" w:rsidRDefault="00B87ADF" w:rsidP="00250B3B">
            <w:pPr>
              <w:jc w:val="both"/>
              <w:rPr>
                <w:rFonts w:cs="Times New Roman"/>
                <w:sz w:val="20"/>
                <w:szCs w:val="20"/>
              </w:rPr>
            </w:pPr>
            <w:r w:rsidRPr="00C070E6">
              <w:rPr>
                <w:rFonts w:cs="Times New Roman"/>
                <w:sz w:val="20"/>
                <w:szCs w:val="20"/>
              </w:rPr>
              <w:t>Rīgas Ekonomikas augstskolas profesora Dr.</w:t>
            </w:r>
            <w:r w:rsidR="00F714EC" w:rsidRPr="00C070E6">
              <w:rPr>
                <w:rFonts w:cs="Times New Roman"/>
                <w:sz w:val="20"/>
                <w:szCs w:val="20"/>
              </w:rPr>
              <w:t> </w:t>
            </w:r>
            <w:r w:rsidRPr="00C070E6">
              <w:rPr>
                <w:rFonts w:cs="Times New Roman"/>
                <w:sz w:val="20"/>
                <w:szCs w:val="20"/>
              </w:rPr>
              <w:t>A. Saukas 2016. gada maijā publicētā pētījumā “Nelegālās maksas TV apraides apjoms Latvijā” no 707 344 mājsaimniecībām, kas lietoja maksas TV pieslēgumu, vismaz 97 000 mājsaimniecību jeb 240 000 Latvijas iedzīvotāju lietoja nelegālu televīziju, kas valstij radīja tiešos zaudējumus (aprēķins pie vidējās pakalpojumu cenas par TV/interneta pieslēgumu 10-12</w:t>
            </w:r>
            <w:r w:rsidR="00256E1C" w:rsidRPr="00C070E6">
              <w:rPr>
                <w:rFonts w:cs="Times New Roman"/>
                <w:sz w:val="20"/>
                <w:szCs w:val="20"/>
              </w:rPr>
              <w:t> </w:t>
            </w:r>
            <w:r w:rsidRPr="00C070E6">
              <w:rPr>
                <w:rFonts w:cs="Times New Roman"/>
                <w:i/>
                <w:sz w:val="20"/>
                <w:szCs w:val="20"/>
              </w:rPr>
              <w:t>euro</w:t>
            </w:r>
            <w:r w:rsidRPr="00C070E6">
              <w:rPr>
                <w:rFonts w:cs="Times New Roman"/>
                <w:sz w:val="20"/>
                <w:szCs w:val="20"/>
              </w:rPr>
              <w:t xml:space="preserve"> mēnesī) 12</w:t>
            </w:r>
            <w:r w:rsidR="00256E1C" w:rsidRPr="00C070E6">
              <w:rPr>
                <w:rFonts w:cs="Times New Roman"/>
                <w:sz w:val="20"/>
                <w:szCs w:val="20"/>
              </w:rPr>
              <w:t> </w:t>
            </w:r>
            <w:r w:rsidRPr="00C070E6">
              <w:rPr>
                <w:rFonts w:cs="Times New Roman"/>
                <w:sz w:val="20"/>
                <w:szCs w:val="20"/>
              </w:rPr>
              <w:t xml:space="preserve">miljonu </w:t>
            </w:r>
            <w:r w:rsidRPr="00C070E6">
              <w:rPr>
                <w:rFonts w:cs="Times New Roman"/>
                <w:i/>
                <w:sz w:val="20"/>
                <w:szCs w:val="20"/>
              </w:rPr>
              <w:t>euro</w:t>
            </w:r>
            <w:r w:rsidRPr="00C070E6">
              <w:rPr>
                <w:rFonts w:cs="Times New Roman"/>
                <w:sz w:val="20"/>
                <w:szCs w:val="20"/>
              </w:rPr>
              <w:t xml:space="preserve"> apmērā, no kuras valsts neiekasēja nodokļus. Iepriekšējā periodā veiktie pasākumi ir mazinājuši nelegālo audiovizuālo tirgus apmēru, tāpēc ir turpināmi.</w:t>
            </w:r>
          </w:p>
          <w:p w:rsidR="002A2B61" w:rsidRPr="00C070E6" w:rsidRDefault="003F7020" w:rsidP="00250B3B">
            <w:pPr>
              <w:jc w:val="both"/>
              <w:rPr>
                <w:rFonts w:cs="Times New Roman"/>
                <w:sz w:val="20"/>
                <w:szCs w:val="20"/>
              </w:rPr>
            </w:pPr>
            <w:r w:rsidRPr="00C070E6">
              <w:rPr>
                <w:rFonts w:cs="Times New Roman"/>
                <w:sz w:val="20"/>
                <w:szCs w:val="20"/>
              </w:rPr>
              <w:t xml:space="preserve">NEPLP ierobežo iekļuvi interneta vietnēm, kurās prettiesiski tiek retranslētas televīzijas programmas, taču tādu personu, kas sniedz televīzijas pakalpojumus, izmantojot kabeļu tīklus, bet nesaņemot retranslācijas atļauju, uzraudzību veic </w:t>
            </w:r>
            <w:r w:rsidR="00804193" w:rsidRPr="00C070E6">
              <w:rPr>
                <w:rFonts w:cs="Times New Roman"/>
                <w:sz w:val="20"/>
                <w:szCs w:val="20"/>
              </w:rPr>
              <w:t>VP</w:t>
            </w:r>
            <w:r w:rsidRPr="00C070E6">
              <w:rPr>
                <w:rFonts w:cs="Times New Roman"/>
                <w:sz w:val="20"/>
                <w:szCs w:val="20"/>
              </w:rPr>
              <w:t xml:space="preserve">. </w:t>
            </w:r>
          </w:p>
        </w:tc>
        <w:tc>
          <w:tcPr>
            <w:tcW w:w="2551" w:type="dxa"/>
          </w:tcPr>
          <w:p w:rsidR="00B87ADF" w:rsidRPr="00C070E6" w:rsidRDefault="00B87ADF" w:rsidP="00250B3B">
            <w:pPr>
              <w:jc w:val="both"/>
              <w:rPr>
                <w:rFonts w:cs="Times New Roman"/>
                <w:sz w:val="20"/>
                <w:szCs w:val="20"/>
              </w:rPr>
            </w:pPr>
            <w:r w:rsidRPr="00C070E6">
              <w:rPr>
                <w:rFonts w:cs="Times New Roman"/>
                <w:sz w:val="20"/>
                <w:szCs w:val="20"/>
              </w:rPr>
              <w:t xml:space="preserve">1.Veikt sabiedrības informēšanu, lai sekmīgāk cīnītos ar nelegālo saturu. </w:t>
            </w:r>
          </w:p>
          <w:p w:rsidR="003F7020" w:rsidRPr="00C070E6" w:rsidRDefault="00B87ADF" w:rsidP="00250B3B">
            <w:pPr>
              <w:jc w:val="both"/>
              <w:rPr>
                <w:rFonts w:cs="Times New Roman"/>
                <w:sz w:val="20"/>
                <w:szCs w:val="20"/>
              </w:rPr>
            </w:pPr>
            <w:r w:rsidRPr="00C070E6">
              <w:rPr>
                <w:rFonts w:cs="Times New Roman"/>
                <w:sz w:val="20"/>
                <w:szCs w:val="20"/>
              </w:rPr>
              <w:t>Veikt publiskas kampaņas un sagata</w:t>
            </w:r>
            <w:r w:rsidR="00647000" w:rsidRPr="00C070E6">
              <w:rPr>
                <w:rFonts w:cs="Times New Roman"/>
                <w:sz w:val="20"/>
                <w:szCs w:val="20"/>
              </w:rPr>
              <w:t>v</w:t>
            </w:r>
            <w:r w:rsidRPr="00C070E6">
              <w:rPr>
                <w:rFonts w:cs="Times New Roman"/>
                <w:sz w:val="20"/>
                <w:szCs w:val="20"/>
              </w:rPr>
              <w:t>ot informatīvus materiālus.</w:t>
            </w:r>
          </w:p>
        </w:tc>
        <w:tc>
          <w:tcPr>
            <w:tcW w:w="1985" w:type="dxa"/>
            <w:tcBorders>
              <w:bottom w:val="single" w:sz="4" w:space="0" w:color="auto"/>
            </w:tcBorders>
          </w:tcPr>
          <w:p w:rsidR="00B87ADF" w:rsidRPr="00C070E6" w:rsidRDefault="00BA6E6C" w:rsidP="00250B3B">
            <w:pPr>
              <w:jc w:val="both"/>
              <w:rPr>
                <w:rFonts w:cs="Times New Roman"/>
                <w:color w:val="000000" w:themeColor="text1"/>
                <w:sz w:val="20"/>
                <w:szCs w:val="20"/>
              </w:rPr>
            </w:pPr>
            <w:r w:rsidRPr="00C070E6">
              <w:rPr>
                <w:rFonts w:cs="Times New Roman"/>
                <w:color w:val="000000" w:themeColor="text1"/>
                <w:sz w:val="20"/>
                <w:szCs w:val="20"/>
              </w:rPr>
              <w:t>Ik gadu ierobežota piekļuve ne mazāk kā 100 tīmekļa vietnēm, kurās tiek prettiesiski izplatītas televīzijas programmas.</w:t>
            </w:r>
          </w:p>
        </w:tc>
        <w:tc>
          <w:tcPr>
            <w:tcW w:w="1275" w:type="dxa"/>
            <w:tcBorders>
              <w:bottom w:val="single" w:sz="4" w:space="0" w:color="auto"/>
            </w:tcBorders>
          </w:tcPr>
          <w:p w:rsidR="003F7020" w:rsidRPr="00C070E6" w:rsidRDefault="00B87ADF" w:rsidP="00250B3B">
            <w:pPr>
              <w:jc w:val="center"/>
              <w:rPr>
                <w:rFonts w:cs="Times New Roman"/>
                <w:bCs/>
                <w:sz w:val="20"/>
                <w:szCs w:val="20"/>
              </w:rPr>
            </w:pPr>
            <w:r w:rsidRPr="00C070E6">
              <w:rPr>
                <w:rFonts w:cs="Times New Roman"/>
                <w:bCs/>
                <w:sz w:val="20"/>
                <w:szCs w:val="20"/>
              </w:rPr>
              <w:t xml:space="preserve">NEPLP, </w:t>
            </w:r>
          </w:p>
          <w:p w:rsidR="003F7020" w:rsidRPr="00C070E6" w:rsidRDefault="00B87ADF" w:rsidP="00250B3B">
            <w:pPr>
              <w:jc w:val="center"/>
              <w:rPr>
                <w:rFonts w:cs="Times New Roman"/>
                <w:bCs/>
                <w:sz w:val="20"/>
                <w:szCs w:val="20"/>
              </w:rPr>
            </w:pPr>
            <w:r w:rsidRPr="00C070E6">
              <w:rPr>
                <w:rFonts w:cs="Times New Roman"/>
                <w:bCs/>
                <w:sz w:val="20"/>
                <w:szCs w:val="20"/>
              </w:rPr>
              <w:t xml:space="preserve">KM, </w:t>
            </w:r>
          </w:p>
          <w:p w:rsidR="00B87ADF" w:rsidRPr="00C070E6" w:rsidRDefault="00B87ADF" w:rsidP="00250B3B">
            <w:pPr>
              <w:jc w:val="center"/>
              <w:rPr>
                <w:rFonts w:cs="Times New Roman"/>
                <w:bCs/>
                <w:sz w:val="20"/>
                <w:szCs w:val="20"/>
              </w:rPr>
            </w:pPr>
            <w:r w:rsidRPr="00C070E6">
              <w:rPr>
                <w:rFonts w:cs="Times New Roman"/>
                <w:bCs/>
                <w:sz w:val="20"/>
                <w:szCs w:val="20"/>
              </w:rPr>
              <w:t xml:space="preserve">IeM </w:t>
            </w:r>
          </w:p>
        </w:tc>
        <w:tc>
          <w:tcPr>
            <w:tcW w:w="1134" w:type="dxa"/>
            <w:tcBorders>
              <w:bottom w:val="single" w:sz="4" w:space="0" w:color="auto"/>
            </w:tcBorders>
          </w:tcPr>
          <w:p w:rsidR="00CD38A5" w:rsidRPr="00C070E6" w:rsidRDefault="00B87ADF" w:rsidP="00250B3B">
            <w:pPr>
              <w:jc w:val="center"/>
              <w:rPr>
                <w:rFonts w:cs="Times New Roman"/>
                <w:bCs/>
                <w:sz w:val="20"/>
                <w:szCs w:val="20"/>
              </w:rPr>
            </w:pPr>
            <w:r w:rsidRPr="00C070E6">
              <w:rPr>
                <w:rFonts w:cs="Times New Roman"/>
                <w:bCs/>
                <w:sz w:val="20"/>
                <w:szCs w:val="20"/>
              </w:rPr>
              <w:t>Biedrība “Par legālu saturu”</w:t>
            </w:r>
            <w:r w:rsidR="0049732C">
              <w:rPr>
                <w:rFonts w:cs="Times New Roman"/>
                <w:bCs/>
                <w:sz w:val="20"/>
                <w:szCs w:val="20"/>
              </w:rPr>
              <w:t>,</w:t>
            </w:r>
          </w:p>
          <w:p w:rsidR="00B87ADF" w:rsidRPr="00C070E6" w:rsidRDefault="00CD38A5" w:rsidP="00250B3B">
            <w:pPr>
              <w:jc w:val="center"/>
              <w:rPr>
                <w:rFonts w:cs="Times New Roman"/>
                <w:bCs/>
                <w:sz w:val="20"/>
                <w:szCs w:val="20"/>
              </w:rPr>
            </w:pPr>
            <w:r w:rsidRPr="00C070E6">
              <w:rPr>
                <w:rFonts w:cs="Times New Roman"/>
                <w:bCs/>
                <w:sz w:val="20"/>
                <w:szCs w:val="20"/>
              </w:rPr>
              <w:t>VP</w:t>
            </w:r>
          </w:p>
        </w:tc>
        <w:tc>
          <w:tcPr>
            <w:tcW w:w="1276" w:type="dxa"/>
            <w:tcBorders>
              <w:bottom w:val="single" w:sz="4" w:space="0" w:color="auto"/>
            </w:tcBorders>
          </w:tcPr>
          <w:p w:rsidR="00B87ADF" w:rsidRPr="00C070E6" w:rsidRDefault="00B87ADF" w:rsidP="00250B3B">
            <w:pPr>
              <w:jc w:val="center"/>
              <w:rPr>
                <w:rFonts w:cs="Times New Roman"/>
                <w:bCs/>
                <w:sz w:val="20"/>
                <w:szCs w:val="20"/>
              </w:rPr>
            </w:pPr>
            <w:r w:rsidRPr="00C070E6">
              <w:rPr>
                <w:rFonts w:cs="Times New Roman"/>
                <w:bCs/>
                <w:sz w:val="20"/>
                <w:szCs w:val="20"/>
              </w:rPr>
              <w:t>30.12.2022.</w:t>
            </w:r>
          </w:p>
        </w:tc>
      </w:tr>
      <w:tr w:rsidR="00647000" w:rsidRPr="00C070E6" w:rsidTr="00DA5BE6">
        <w:trPr>
          <w:trHeight w:val="1611"/>
        </w:trPr>
        <w:tc>
          <w:tcPr>
            <w:tcW w:w="568" w:type="dxa"/>
            <w:vMerge/>
          </w:tcPr>
          <w:p w:rsidR="00647000" w:rsidRPr="00C070E6" w:rsidRDefault="00647000" w:rsidP="00250B3B">
            <w:pPr>
              <w:ind w:right="-21"/>
              <w:rPr>
                <w:rFonts w:cs="Times New Roman"/>
                <w:bCs/>
                <w:sz w:val="20"/>
                <w:szCs w:val="20"/>
              </w:rPr>
            </w:pPr>
          </w:p>
        </w:tc>
        <w:tc>
          <w:tcPr>
            <w:tcW w:w="2268" w:type="dxa"/>
            <w:vMerge/>
          </w:tcPr>
          <w:p w:rsidR="00647000" w:rsidRPr="00C070E6" w:rsidRDefault="00647000" w:rsidP="00250B3B">
            <w:pPr>
              <w:jc w:val="both"/>
              <w:rPr>
                <w:rFonts w:cs="Times New Roman"/>
                <w:sz w:val="20"/>
                <w:szCs w:val="20"/>
              </w:rPr>
            </w:pPr>
          </w:p>
        </w:tc>
        <w:tc>
          <w:tcPr>
            <w:tcW w:w="3544" w:type="dxa"/>
            <w:vMerge/>
          </w:tcPr>
          <w:p w:rsidR="00647000" w:rsidRPr="00C070E6" w:rsidRDefault="00647000" w:rsidP="00250B3B">
            <w:pPr>
              <w:jc w:val="both"/>
              <w:rPr>
                <w:rFonts w:cs="Times New Roman"/>
                <w:sz w:val="20"/>
                <w:szCs w:val="20"/>
              </w:rPr>
            </w:pPr>
          </w:p>
        </w:tc>
        <w:tc>
          <w:tcPr>
            <w:tcW w:w="2551" w:type="dxa"/>
          </w:tcPr>
          <w:p w:rsidR="00647000" w:rsidRPr="00C070E6" w:rsidRDefault="00647000" w:rsidP="00250B3B">
            <w:pPr>
              <w:jc w:val="both"/>
              <w:rPr>
                <w:rFonts w:eastAsia="Times New Roman" w:cs="Times New Roman"/>
                <w:color w:val="000000" w:themeColor="text1"/>
                <w:sz w:val="20"/>
                <w:szCs w:val="20"/>
                <w:lang w:eastAsia="en-GB"/>
              </w:rPr>
            </w:pPr>
            <w:r w:rsidRPr="00C070E6">
              <w:rPr>
                <w:rFonts w:eastAsia="Times New Roman" w:cs="Times New Roman"/>
                <w:color w:val="000000" w:themeColor="text1"/>
                <w:sz w:val="20"/>
                <w:szCs w:val="20"/>
                <w:lang w:eastAsia="en-GB"/>
              </w:rPr>
              <w:t xml:space="preserve">2.Izstrādāt normatīvo aktu grozījumus ar mērķi precizēt nelegālo pakalpojumu loku, pret kuriem var tikt vērstas sankcijas, un uzlabot esošās procedūras </w:t>
            </w:r>
            <w:r w:rsidRPr="00C070E6">
              <w:rPr>
                <w:rFonts w:cs="Times New Roman"/>
                <w:color w:val="000000" w:themeColor="text1"/>
                <w:sz w:val="20"/>
                <w:szCs w:val="20"/>
              </w:rPr>
              <w:t>prettiesiska</w:t>
            </w:r>
            <w:r w:rsidRPr="00C070E6">
              <w:rPr>
                <w:rFonts w:eastAsia="Times New Roman" w:cs="Times New Roman"/>
                <w:color w:val="000000" w:themeColor="text1"/>
                <w:sz w:val="20"/>
                <w:szCs w:val="20"/>
                <w:lang w:eastAsia="en-GB"/>
              </w:rPr>
              <w:t xml:space="preserve"> satura izplatīšanas tiešsaistē ierobežošanai.</w:t>
            </w:r>
          </w:p>
        </w:tc>
        <w:tc>
          <w:tcPr>
            <w:tcW w:w="1985" w:type="dxa"/>
          </w:tcPr>
          <w:p w:rsidR="00647000" w:rsidRPr="00C070E6" w:rsidRDefault="00647000" w:rsidP="00250B3B">
            <w:pPr>
              <w:jc w:val="both"/>
              <w:rPr>
                <w:rFonts w:cs="Times New Roman"/>
                <w:color w:val="000000" w:themeColor="text1"/>
                <w:sz w:val="20"/>
                <w:szCs w:val="20"/>
              </w:rPr>
            </w:pPr>
            <w:r w:rsidRPr="00C070E6">
              <w:rPr>
                <w:rFonts w:cs="Times New Roman"/>
                <w:color w:val="000000" w:themeColor="text1"/>
                <w:sz w:val="20"/>
                <w:szCs w:val="20"/>
              </w:rPr>
              <w:t xml:space="preserve">Izstrādāti attiecīgu normatīvo aktu grozījumu projekti iesniegti </w:t>
            </w:r>
            <w:r w:rsidR="0049732C">
              <w:rPr>
                <w:rFonts w:cs="Times New Roman"/>
                <w:color w:val="000000" w:themeColor="text1"/>
                <w:sz w:val="20"/>
                <w:szCs w:val="20"/>
              </w:rPr>
              <w:t>TAP portālā</w:t>
            </w:r>
            <w:r w:rsidR="004934FB" w:rsidRPr="00C070E6">
              <w:rPr>
                <w:rFonts w:cs="Times New Roman"/>
                <w:color w:val="000000" w:themeColor="text1"/>
                <w:sz w:val="20"/>
                <w:szCs w:val="20"/>
              </w:rPr>
              <w:t>.</w:t>
            </w:r>
          </w:p>
        </w:tc>
        <w:tc>
          <w:tcPr>
            <w:tcW w:w="1275" w:type="dxa"/>
          </w:tcPr>
          <w:p w:rsidR="00647000" w:rsidRPr="00C070E6" w:rsidRDefault="00647000" w:rsidP="00BD612B">
            <w:pPr>
              <w:jc w:val="center"/>
              <w:rPr>
                <w:rFonts w:cs="Times New Roman"/>
                <w:bCs/>
                <w:color w:val="000000" w:themeColor="text1"/>
                <w:sz w:val="20"/>
                <w:szCs w:val="20"/>
              </w:rPr>
            </w:pPr>
            <w:r w:rsidRPr="00C070E6">
              <w:rPr>
                <w:rFonts w:cs="Times New Roman"/>
                <w:bCs/>
                <w:color w:val="000000" w:themeColor="text1"/>
                <w:sz w:val="20"/>
                <w:szCs w:val="20"/>
              </w:rPr>
              <w:t>NEPLP, SPRK,</w:t>
            </w:r>
          </w:p>
          <w:p w:rsidR="00647000" w:rsidRPr="00C070E6" w:rsidRDefault="00647000" w:rsidP="00BD612B">
            <w:pPr>
              <w:jc w:val="center"/>
              <w:rPr>
                <w:rFonts w:cs="Times New Roman"/>
                <w:bCs/>
                <w:color w:val="000000" w:themeColor="text1"/>
                <w:sz w:val="20"/>
                <w:szCs w:val="20"/>
              </w:rPr>
            </w:pPr>
            <w:r w:rsidRPr="00C070E6">
              <w:rPr>
                <w:rFonts w:cs="Times New Roman"/>
                <w:bCs/>
                <w:color w:val="000000" w:themeColor="text1"/>
                <w:sz w:val="20"/>
                <w:szCs w:val="20"/>
              </w:rPr>
              <w:t>VDD</w:t>
            </w:r>
          </w:p>
          <w:p w:rsidR="00647000" w:rsidRPr="00C070E6" w:rsidRDefault="00647000" w:rsidP="00BD612B">
            <w:pPr>
              <w:jc w:val="center"/>
              <w:rPr>
                <w:rFonts w:cs="Times New Roman"/>
                <w:color w:val="000000" w:themeColor="text1"/>
                <w:sz w:val="20"/>
                <w:szCs w:val="20"/>
              </w:rPr>
            </w:pPr>
          </w:p>
        </w:tc>
        <w:tc>
          <w:tcPr>
            <w:tcW w:w="1134" w:type="dxa"/>
          </w:tcPr>
          <w:p w:rsidR="0049732C" w:rsidRDefault="00647000" w:rsidP="00E07FAF">
            <w:pPr>
              <w:jc w:val="center"/>
              <w:rPr>
                <w:rFonts w:cs="Times New Roman"/>
                <w:bCs/>
                <w:color w:val="000000" w:themeColor="text1"/>
                <w:sz w:val="20"/>
                <w:szCs w:val="20"/>
              </w:rPr>
            </w:pPr>
            <w:r w:rsidRPr="00C070E6">
              <w:rPr>
                <w:rFonts w:cs="Times New Roman"/>
                <w:bCs/>
                <w:color w:val="000000" w:themeColor="text1"/>
                <w:sz w:val="20"/>
                <w:szCs w:val="20"/>
              </w:rPr>
              <w:t>IeM</w:t>
            </w:r>
            <w:r w:rsidR="0049732C" w:rsidRPr="00C070E6">
              <w:rPr>
                <w:rFonts w:cs="Times New Roman"/>
                <w:bCs/>
                <w:color w:val="000000" w:themeColor="text1"/>
                <w:sz w:val="20"/>
                <w:szCs w:val="20"/>
              </w:rPr>
              <w:t xml:space="preserve"> </w:t>
            </w:r>
            <w:r w:rsidR="0049732C">
              <w:rPr>
                <w:rFonts w:cs="Times New Roman"/>
                <w:bCs/>
                <w:color w:val="000000" w:themeColor="text1"/>
                <w:sz w:val="20"/>
                <w:szCs w:val="20"/>
              </w:rPr>
              <w:t>,</w:t>
            </w:r>
          </w:p>
          <w:p w:rsidR="00647000" w:rsidRPr="00C070E6" w:rsidRDefault="0049732C" w:rsidP="00E07FAF">
            <w:pPr>
              <w:jc w:val="center"/>
              <w:rPr>
                <w:rFonts w:cs="Times New Roman"/>
                <w:bCs/>
                <w:color w:val="000000" w:themeColor="text1"/>
                <w:sz w:val="20"/>
                <w:szCs w:val="20"/>
              </w:rPr>
            </w:pPr>
            <w:r w:rsidRPr="00C070E6">
              <w:rPr>
                <w:rFonts w:cs="Times New Roman"/>
                <w:bCs/>
                <w:color w:val="000000" w:themeColor="text1"/>
                <w:sz w:val="20"/>
                <w:szCs w:val="20"/>
              </w:rPr>
              <w:t>VP</w:t>
            </w:r>
            <w:r w:rsidR="00647000" w:rsidRPr="00C070E6">
              <w:rPr>
                <w:rFonts w:cs="Times New Roman"/>
                <w:bCs/>
                <w:color w:val="000000" w:themeColor="text1"/>
                <w:sz w:val="20"/>
                <w:szCs w:val="20"/>
              </w:rPr>
              <w:t>,</w:t>
            </w:r>
          </w:p>
          <w:p w:rsidR="0049732C" w:rsidRDefault="00647000" w:rsidP="00E07FAF">
            <w:pPr>
              <w:jc w:val="center"/>
              <w:rPr>
                <w:rFonts w:cs="Times New Roman"/>
                <w:bCs/>
                <w:color w:val="000000" w:themeColor="text1"/>
                <w:sz w:val="20"/>
                <w:szCs w:val="20"/>
              </w:rPr>
            </w:pPr>
            <w:r w:rsidRPr="00C070E6">
              <w:rPr>
                <w:rFonts w:cs="Times New Roman"/>
                <w:bCs/>
                <w:color w:val="000000" w:themeColor="text1"/>
                <w:sz w:val="20"/>
                <w:szCs w:val="20"/>
              </w:rPr>
              <w:t>Biedrība “Par legālu saturu”</w:t>
            </w:r>
          </w:p>
          <w:p w:rsidR="00647000" w:rsidRPr="00C070E6" w:rsidRDefault="00647000" w:rsidP="00E07FAF">
            <w:pPr>
              <w:jc w:val="center"/>
              <w:rPr>
                <w:rFonts w:cs="Times New Roman"/>
                <w:color w:val="000000" w:themeColor="text1"/>
                <w:sz w:val="20"/>
                <w:szCs w:val="20"/>
              </w:rPr>
            </w:pPr>
          </w:p>
        </w:tc>
        <w:tc>
          <w:tcPr>
            <w:tcW w:w="1276" w:type="dxa"/>
          </w:tcPr>
          <w:p w:rsidR="00647000" w:rsidRPr="00C070E6" w:rsidRDefault="00F73D77" w:rsidP="00BD612B">
            <w:pPr>
              <w:jc w:val="center"/>
              <w:rPr>
                <w:rFonts w:cs="Times New Roman"/>
                <w:color w:val="000000" w:themeColor="text1"/>
                <w:sz w:val="20"/>
                <w:szCs w:val="20"/>
              </w:rPr>
            </w:pPr>
            <w:r w:rsidRPr="00C070E6">
              <w:rPr>
                <w:rFonts w:cs="Times New Roman"/>
                <w:bCs/>
                <w:color w:val="000000" w:themeColor="text1"/>
                <w:sz w:val="20"/>
                <w:szCs w:val="20"/>
              </w:rPr>
              <w:t>3</w:t>
            </w:r>
            <w:r w:rsidR="006A19D3" w:rsidRPr="00C070E6">
              <w:rPr>
                <w:rFonts w:cs="Times New Roman"/>
                <w:bCs/>
                <w:color w:val="000000" w:themeColor="text1"/>
                <w:sz w:val="20"/>
                <w:szCs w:val="20"/>
              </w:rPr>
              <w:t>0</w:t>
            </w:r>
            <w:r w:rsidRPr="00C070E6">
              <w:rPr>
                <w:rFonts w:cs="Times New Roman"/>
                <w:bCs/>
                <w:color w:val="000000" w:themeColor="text1"/>
                <w:sz w:val="20"/>
                <w:szCs w:val="20"/>
              </w:rPr>
              <w:t>.12</w:t>
            </w:r>
            <w:r w:rsidR="00647000" w:rsidRPr="00C070E6">
              <w:rPr>
                <w:rFonts w:cs="Times New Roman"/>
                <w:bCs/>
                <w:color w:val="000000" w:themeColor="text1"/>
                <w:sz w:val="20"/>
                <w:szCs w:val="20"/>
              </w:rPr>
              <w:t>.2022.</w:t>
            </w:r>
          </w:p>
        </w:tc>
      </w:tr>
      <w:tr w:rsidR="005D026B" w:rsidRPr="00C070E6" w:rsidTr="00DA5BE6">
        <w:trPr>
          <w:trHeight w:val="1862"/>
        </w:trPr>
        <w:tc>
          <w:tcPr>
            <w:tcW w:w="568" w:type="dxa"/>
            <w:vMerge w:val="restart"/>
          </w:tcPr>
          <w:p w:rsidR="005D026B" w:rsidRPr="00C070E6" w:rsidRDefault="005D026B" w:rsidP="00250B3B">
            <w:pPr>
              <w:ind w:right="-21"/>
              <w:rPr>
                <w:rFonts w:cs="Times New Roman"/>
                <w:bCs/>
                <w:sz w:val="20"/>
                <w:szCs w:val="20"/>
              </w:rPr>
            </w:pPr>
            <w:bookmarkStart w:id="16" w:name="_Hlk86361891"/>
            <w:r w:rsidRPr="00C070E6">
              <w:rPr>
                <w:rFonts w:cs="Times New Roman"/>
                <w:bCs/>
                <w:sz w:val="20"/>
                <w:szCs w:val="20"/>
              </w:rPr>
              <w:t>1.</w:t>
            </w:r>
            <w:r w:rsidR="00133F1A" w:rsidRPr="00C070E6">
              <w:rPr>
                <w:rFonts w:cs="Times New Roman"/>
                <w:bCs/>
                <w:sz w:val="20"/>
                <w:szCs w:val="20"/>
              </w:rPr>
              <w:t>4</w:t>
            </w:r>
            <w:r w:rsidRPr="00C070E6">
              <w:rPr>
                <w:rFonts w:cs="Times New Roman"/>
                <w:bCs/>
                <w:sz w:val="20"/>
                <w:szCs w:val="20"/>
              </w:rPr>
              <w:t>.</w:t>
            </w:r>
          </w:p>
        </w:tc>
        <w:tc>
          <w:tcPr>
            <w:tcW w:w="2268" w:type="dxa"/>
            <w:vMerge w:val="restart"/>
          </w:tcPr>
          <w:p w:rsidR="005D026B" w:rsidRPr="00C070E6" w:rsidRDefault="005D026B" w:rsidP="00250B3B">
            <w:pPr>
              <w:jc w:val="both"/>
              <w:rPr>
                <w:rFonts w:cs="Times New Roman"/>
                <w:bCs/>
                <w:sz w:val="20"/>
                <w:szCs w:val="20"/>
              </w:rPr>
            </w:pPr>
            <w:r w:rsidRPr="00C070E6">
              <w:rPr>
                <w:rFonts w:cs="Times New Roman"/>
                <w:bCs/>
                <w:sz w:val="20"/>
                <w:szCs w:val="20"/>
              </w:rPr>
              <w:t xml:space="preserve">Savvaļas velšu (ogu, sēņu u.c.) apjoma </w:t>
            </w:r>
            <w:r w:rsidR="00D847EE" w:rsidRPr="00C070E6">
              <w:rPr>
                <w:rFonts w:cs="Times New Roman"/>
                <w:color w:val="000000"/>
                <w:sz w:val="20"/>
                <w:szCs w:val="20"/>
              </w:rPr>
              <w:t xml:space="preserve">pārvadājuma laikā </w:t>
            </w:r>
            <w:r w:rsidRPr="00C070E6">
              <w:rPr>
                <w:rFonts w:cs="Times New Roman"/>
                <w:bCs/>
                <w:sz w:val="20"/>
                <w:szCs w:val="20"/>
              </w:rPr>
              <w:t xml:space="preserve">definēšana normatīvajos aktos, lai mazinātu nereģistrētas saimnieciskās darbības risku un izvairīšanos no nodokļu nomaksas savvaļas velšu ieguves jomā. </w:t>
            </w:r>
          </w:p>
        </w:tc>
        <w:tc>
          <w:tcPr>
            <w:tcW w:w="3544" w:type="dxa"/>
            <w:vMerge w:val="restart"/>
          </w:tcPr>
          <w:p w:rsidR="005D026B" w:rsidRPr="00C070E6" w:rsidRDefault="00D847EE" w:rsidP="00250B3B">
            <w:pPr>
              <w:jc w:val="both"/>
              <w:rPr>
                <w:rFonts w:cs="Times New Roman"/>
                <w:sz w:val="20"/>
                <w:szCs w:val="20"/>
              </w:rPr>
            </w:pPr>
            <w:r w:rsidRPr="00C070E6">
              <w:rPr>
                <w:rFonts w:cs="Times New Roman"/>
                <w:sz w:val="20"/>
                <w:szCs w:val="20"/>
              </w:rPr>
              <w:t xml:space="preserve">Šobrīd fiziskas personas savām vajadzībām drīkst pārvadāt </w:t>
            </w:r>
            <w:r w:rsidRPr="00C070E6">
              <w:rPr>
                <w:rFonts w:cs="Times New Roman"/>
                <w:color w:val="000000"/>
                <w:sz w:val="20"/>
                <w:szCs w:val="20"/>
              </w:rPr>
              <w:t>neierobežotu</w:t>
            </w:r>
            <w:r w:rsidRPr="00C070E6">
              <w:rPr>
                <w:rFonts w:cs="Times New Roman"/>
                <w:color w:val="FF0000"/>
                <w:sz w:val="20"/>
                <w:szCs w:val="20"/>
              </w:rPr>
              <w:t xml:space="preserve"> </w:t>
            </w:r>
            <w:r w:rsidR="00790A83" w:rsidRPr="00C070E6">
              <w:rPr>
                <w:rFonts w:cs="Times New Roman"/>
                <w:sz w:val="20"/>
                <w:szCs w:val="20"/>
              </w:rPr>
              <w:t>apjo</w:t>
            </w:r>
            <w:r w:rsidRPr="00C070E6">
              <w:rPr>
                <w:rFonts w:cs="Times New Roman"/>
                <w:sz w:val="20"/>
                <w:szCs w:val="20"/>
              </w:rPr>
              <w:t xml:space="preserve">mu savvaļas velšu. </w:t>
            </w:r>
            <w:r w:rsidR="005D026B" w:rsidRPr="00C070E6">
              <w:rPr>
                <w:rFonts w:cs="Times New Roman"/>
                <w:bCs/>
                <w:sz w:val="20"/>
                <w:szCs w:val="20"/>
              </w:rPr>
              <w:t xml:space="preserve">Minētais apstāklis tiek izmantots nereģistrētā saimnieciskā darbībā, veicot nelikumīgu šādu savvaļas velšu iepirkšanu un nogādi pārstrādes vietās, t.sk. ārpus Latvijas teritorijas. Tiek izmantota normatīvajos aktos esošā nenoteiktība par apjomiem, </w:t>
            </w:r>
            <w:r w:rsidRPr="00C070E6">
              <w:rPr>
                <w:rFonts w:cs="Times New Roman"/>
                <w:sz w:val="20"/>
                <w:szCs w:val="20"/>
              </w:rPr>
              <w:t>kādus drīkst pārvadāt fiziskas personas savām vajadzībām.</w:t>
            </w:r>
            <w:r w:rsidRPr="00C070E6" w:rsidDel="00D847EE">
              <w:rPr>
                <w:rFonts w:cs="Times New Roman"/>
                <w:bCs/>
                <w:sz w:val="20"/>
                <w:szCs w:val="20"/>
              </w:rPr>
              <w:t xml:space="preserve"> </w:t>
            </w:r>
          </w:p>
        </w:tc>
        <w:tc>
          <w:tcPr>
            <w:tcW w:w="2551" w:type="dxa"/>
          </w:tcPr>
          <w:p w:rsidR="005D026B" w:rsidRPr="00C070E6" w:rsidRDefault="005D026B" w:rsidP="00250B3B">
            <w:pPr>
              <w:jc w:val="both"/>
              <w:rPr>
                <w:rFonts w:cs="Times New Roman"/>
                <w:bCs/>
                <w:sz w:val="20"/>
                <w:szCs w:val="20"/>
              </w:rPr>
            </w:pPr>
            <w:r w:rsidRPr="00C070E6">
              <w:rPr>
                <w:rFonts w:cs="Times New Roman"/>
                <w:bCs/>
                <w:sz w:val="20"/>
                <w:szCs w:val="20"/>
              </w:rPr>
              <w:t>1.Pastiprināta VID</w:t>
            </w:r>
            <w:r w:rsidR="00C040CF" w:rsidRPr="00C070E6">
              <w:rPr>
                <w:rFonts w:cs="Times New Roman"/>
                <w:bCs/>
                <w:sz w:val="20"/>
                <w:szCs w:val="20"/>
              </w:rPr>
              <w:t>, VDI</w:t>
            </w:r>
            <w:r w:rsidRPr="00C070E6">
              <w:rPr>
                <w:rFonts w:cs="Times New Roman"/>
                <w:bCs/>
                <w:sz w:val="20"/>
                <w:szCs w:val="20"/>
              </w:rPr>
              <w:t xml:space="preserve"> un PVD kontrole par ogu un sēņu iepircēju darbību. Pārbaudes iepirkumu punktos, kontrolpirkumu veikšana </w:t>
            </w:r>
            <w:r w:rsidR="00D87E27" w:rsidRPr="00C070E6">
              <w:rPr>
                <w:rFonts w:cs="Times New Roman"/>
                <w:bCs/>
                <w:sz w:val="20"/>
                <w:szCs w:val="20"/>
              </w:rPr>
              <w:t>(ogu nodošan</w:t>
            </w:r>
            <w:r w:rsidR="000D12AF" w:rsidRPr="00C070E6">
              <w:rPr>
                <w:rFonts w:cs="Times New Roman"/>
                <w:bCs/>
                <w:sz w:val="20"/>
                <w:szCs w:val="20"/>
              </w:rPr>
              <w:t>a</w:t>
            </w:r>
            <w:r w:rsidRPr="00C070E6">
              <w:rPr>
                <w:rFonts w:cs="Times New Roman"/>
                <w:bCs/>
                <w:sz w:val="20"/>
                <w:szCs w:val="20"/>
              </w:rPr>
              <w:t xml:space="preserve">). Ogu </w:t>
            </w:r>
            <w:r w:rsidR="00790A83" w:rsidRPr="00C070E6">
              <w:rPr>
                <w:rFonts w:cs="Times New Roman"/>
                <w:bCs/>
                <w:sz w:val="20"/>
                <w:szCs w:val="20"/>
              </w:rPr>
              <w:t>apjo</w:t>
            </w:r>
            <w:r w:rsidRPr="00C070E6">
              <w:rPr>
                <w:rFonts w:cs="Times New Roman"/>
                <w:bCs/>
                <w:sz w:val="20"/>
                <w:szCs w:val="20"/>
              </w:rPr>
              <w:t>ma kontrole, kā arī darba attiecību kontrole iepirkuma punktos.</w:t>
            </w:r>
          </w:p>
        </w:tc>
        <w:tc>
          <w:tcPr>
            <w:tcW w:w="1985" w:type="dxa"/>
            <w:tcBorders>
              <w:top w:val="single" w:sz="4" w:space="0" w:color="auto"/>
            </w:tcBorders>
          </w:tcPr>
          <w:p w:rsidR="005D026B" w:rsidRPr="00C070E6" w:rsidRDefault="005D026B" w:rsidP="00E07FAF">
            <w:pPr>
              <w:jc w:val="both"/>
              <w:rPr>
                <w:rFonts w:cs="Times New Roman"/>
                <w:sz w:val="20"/>
                <w:szCs w:val="20"/>
              </w:rPr>
            </w:pPr>
            <w:r w:rsidRPr="00C070E6">
              <w:rPr>
                <w:rFonts w:cs="Times New Roman"/>
                <w:sz w:val="20"/>
                <w:szCs w:val="20"/>
              </w:rPr>
              <w:t>Kontroles pasākumu rezultāti.</w:t>
            </w:r>
          </w:p>
        </w:tc>
        <w:tc>
          <w:tcPr>
            <w:tcW w:w="1275" w:type="dxa"/>
          </w:tcPr>
          <w:p w:rsidR="00913EF5" w:rsidRPr="00C070E6" w:rsidRDefault="005D026B" w:rsidP="00250B3B">
            <w:pPr>
              <w:jc w:val="center"/>
              <w:rPr>
                <w:rFonts w:cs="Times New Roman"/>
                <w:bCs/>
                <w:sz w:val="20"/>
                <w:szCs w:val="20"/>
              </w:rPr>
            </w:pPr>
            <w:r w:rsidRPr="00C070E6">
              <w:rPr>
                <w:rFonts w:cs="Times New Roman"/>
                <w:bCs/>
                <w:sz w:val="20"/>
                <w:szCs w:val="20"/>
              </w:rPr>
              <w:t>PVD</w:t>
            </w:r>
            <w:r w:rsidR="00C040CF" w:rsidRPr="00C070E6">
              <w:rPr>
                <w:rFonts w:cs="Times New Roman"/>
                <w:bCs/>
                <w:sz w:val="20"/>
                <w:szCs w:val="20"/>
              </w:rPr>
              <w:t xml:space="preserve">, </w:t>
            </w:r>
          </w:p>
          <w:p w:rsidR="00913EF5" w:rsidRPr="00C070E6" w:rsidRDefault="00C040CF" w:rsidP="00250B3B">
            <w:pPr>
              <w:jc w:val="center"/>
              <w:rPr>
                <w:rFonts w:cs="Times New Roman"/>
                <w:color w:val="000000" w:themeColor="text1"/>
                <w:sz w:val="20"/>
                <w:szCs w:val="20"/>
              </w:rPr>
            </w:pPr>
            <w:r w:rsidRPr="00C070E6">
              <w:rPr>
                <w:rFonts w:cs="Times New Roman"/>
                <w:color w:val="000000" w:themeColor="text1"/>
                <w:sz w:val="20"/>
                <w:szCs w:val="20"/>
              </w:rPr>
              <w:t xml:space="preserve">VID, </w:t>
            </w:r>
          </w:p>
          <w:p w:rsidR="005D026B" w:rsidRPr="00C070E6" w:rsidRDefault="00C040CF" w:rsidP="00250B3B">
            <w:pPr>
              <w:jc w:val="center"/>
              <w:rPr>
                <w:rFonts w:cs="Times New Roman"/>
                <w:bCs/>
                <w:sz w:val="20"/>
                <w:szCs w:val="20"/>
              </w:rPr>
            </w:pPr>
            <w:r w:rsidRPr="00C070E6">
              <w:rPr>
                <w:rFonts w:cs="Times New Roman"/>
                <w:color w:val="000000" w:themeColor="text1"/>
                <w:sz w:val="20"/>
                <w:szCs w:val="20"/>
              </w:rPr>
              <w:t>VDI</w:t>
            </w:r>
          </w:p>
        </w:tc>
        <w:tc>
          <w:tcPr>
            <w:tcW w:w="1134" w:type="dxa"/>
          </w:tcPr>
          <w:p w:rsidR="00C61135" w:rsidRPr="00C070E6" w:rsidRDefault="00C61135" w:rsidP="00C61135">
            <w:pPr>
              <w:jc w:val="center"/>
              <w:rPr>
                <w:rFonts w:cs="Times New Roman"/>
                <w:bCs/>
                <w:sz w:val="20"/>
                <w:szCs w:val="20"/>
              </w:rPr>
            </w:pPr>
            <w:r w:rsidRPr="00C070E6">
              <w:rPr>
                <w:rFonts w:cs="Times New Roman"/>
                <w:bCs/>
                <w:sz w:val="20"/>
                <w:szCs w:val="20"/>
              </w:rPr>
              <w:t>ZM,</w:t>
            </w:r>
          </w:p>
          <w:p w:rsidR="005D026B" w:rsidRPr="00C070E6" w:rsidRDefault="00C61135" w:rsidP="00250B3B">
            <w:pPr>
              <w:jc w:val="center"/>
              <w:rPr>
                <w:rFonts w:cs="Times New Roman"/>
                <w:bCs/>
                <w:sz w:val="20"/>
                <w:szCs w:val="20"/>
              </w:rPr>
            </w:pPr>
            <w:r w:rsidRPr="00C070E6">
              <w:rPr>
                <w:rFonts w:cs="Times New Roman"/>
                <w:bCs/>
                <w:sz w:val="20"/>
                <w:szCs w:val="20"/>
              </w:rPr>
              <w:t>F</w:t>
            </w:r>
            <w:r w:rsidR="00F46E27" w:rsidRPr="00C070E6">
              <w:rPr>
                <w:rFonts w:cs="Times New Roman"/>
                <w:bCs/>
                <w:sz w:val="20"/>
                <w:szCs w:val="20"/>
              </w:rPr>
              <w:t>M</w:t>
            </w:r>
          </w:p>
        </w:tc>
        <w:tc>
          <w:tcPr>
            <w:tcW w:w="1276" w:type="dxa"/>
          </w:tcPr>
          <w:p w:rsidR="005D026B" w:rsidRPr="00C070E6" w:rsidRDefault="005D026B" w:rsidP="00BD612B">
            <w:pPr>
              <w:jc w:val="center"/>
              <w:rPr>
                <w:rFonts w:cs="Times New Roman"/>
                <w:bCs/>
                <w:sz w:val="20"/>
                <w:szCs w:val="20"/>
              </w:rPr>
            </w:pPr>
            <w:r w:rsidRPr="00C070E6">
              <w:rPr>
                <w:rFonts w:cs="Times New Roman"/>
                <w:bCs/>
                <w:sz w:val="20"/>
                <w:szCs w:val="20"/>
              </w:rPr>
              <w:t>Pastāvīgi</w:t>
            </w:r>
          </w:p>
        </w:tc>
      </w:tr>
      <w:tr w:rsidR="005D026B" w:rsidRPr="00C070E6" w:rsidTr="00DA5BE6">
        <w:trPr>
          <w:trHeight w:val="543"/>
        </w:trPr>
        <w:tc>
          <w:tcPr>
            <w:tcW w:w="568" w:type="dxa"/>
            <w:vMerge/>
          </w:tcPr>
          <w:p w:rsidR="005D026B" w:rsidRPr="00C070E6" w:rsidRDefault="005D026B" w:rsidP="00250B3B">
            <w:pPr>
              <w:pStyle w:val="ListParagraph"/>
              <w:numPr>
                <w:ilvl w:val="0"/>
                <w:numId w:val="11"/>
              </w:numPr>
              <w:ind w:left="0" w:right="-21"/>
              <w:rPr>
                <w:rFonts w:ascii="Times New Roman" w:hAnsi="Times New Roman" w:cs="Times New Roman"/>
                <w:bCs/>
                <w:sz w:val="20"/>
                <w:szCs w:val="20"/>
              </w:rPr>
            </w:pPr>
          </w:p>
        </w:tc>
        <w:tc>
          <w:tcPr>
            <w:tcW w:w="2268" w:type="dxa"/>
            <w:vMerge/>
          </w:tcPr>
          <w:p w:rsidR="005D026B" w:rsidRPr="00C070E6" w:rsidRDefault="005D026B" w:rsidP="00250B3B">
            <w:pPr>
              <w:jc w:val="both"/>
              <w:rPr>
                <w:rFonts w:cs="Times New Roman"/>
                <w:color w:val="000000"/>
                <w:sz w:val="20"/>
                <w:szCs w:val="20"/>
              </w:rPr>
            </w:pPr>
          </w:p>
        </w:tc>
        <w:tc>
          <w:tcPr>
            <w:tcW w:w="3544" w:type="dxa"/>
            <w:vMerge/>
          </w:tcPr>
          <w:p w:rsidR="005D026B" w:rsidRPr="00C070E6" w:rsidRDefault="005D026B" w:rsidP="00250B3B">
            <w:pPr>
              <w:jc w:val="both"/>
              <w:rPr>
                <w:rFonts w:cs="Times New Roman"/>
                <w:sz w:val="20"/>
                <w:szCs w:val="20"/>
              </w:rPr>
            </w:pPr>
          </w:p>
        </w:tc>
        <w:tc>
          <w:tcPr>
            <w:tcW w:w="2551" w:type="dxa"/>
          </w:tcPr>
          <w:p w:rsidR="005D026B" w:rsidRPr="00C070E6" w:rsidRDefault="005D026B" w:rsidP="00256E1C">
            <w:pPr>
              <w:tabs>
                <w:tab w:val="left" w:pos="223"/>
              </w:tabs>
              <w:jc w:val="both"/>
              <w:rPr>
                <w:rFonts w:cs="Times New Roman"/>
                <w:bCs/>
                <w:sz w:val="20"/>
                <w:szCs w:val="20"/>
              </w:rPr>
            </w:pPr>
            <w:r w:rsidRPr="00C070E6">
              <w:rPr>
                <w:rFonts w:cs="Times New Roman"/>
                <w:bCs/>
                <w:sz w:val="20"/>
                <w:szCs w:val="20"/>
              </w:rPr>
              <w:t>2.Kontroles pasākumi transportlīdzekļiem uz ceļiem (pavadzīmes, iepirkuma akti utt.), savvaļas velšu uzpirkšanas laikā.</w:t>
            </w:r>
          </w:p>
        </w:tc>
        <w:tc>
          <w:tcPr>
            <w:tcW w:w="1985" w:type="dxa"/>
          </w:tcPr>
          <w:p w:rsidR="005D026B" w:rsidRPr="00C070E6" w:rsidRDefault="005D026B" w:rsidP="00E07FAF">
            <w:pPr>
              <w:jc w:val="both"/>
              <w:rPr>
                <w:rFonts w:cs="Times New Roman"/>
                <w:sz w:val="20"/>
                <w:szCs w:val="20"/>
              </w:rPr>
            </w:pPr>
            <w:r w:rsidRPr="00C070E6">
              <w:rPr>
                <w:rFonts w:cs="Times New Roman"/>
                <w:sz w:val="20"/>
                <w:szCs w:val="20"/>
              </w:rPr>
              <w:t>Kontroles pasākumu rezultāti.</w:t>
            </w:r>
          </w:p>
        </w:tc>
        <w:tc>
          <w:tcPr>
            <w:tcW w:w="1275" w:type="dxa"/>
          </w:tcPr>
          <w:p w:rsidR="005D026B" w:rsidRPr="00C070E6" w:rsidRDefault="007F38A0" w:rsidP="00250B3B">
            <w:pPr>
              <w:jc w:val="center"/>
              <w:rPr>
                <w:rFonts w:cs="Times New Roman"/>
                <w:bCs/>
                <w:sz w:val="20"/>
                <w:szCs w:val="20"/>
              </w:rPr>
            </w:pPr>
            <w:r w:rsidRPr="00C070E6">
              <w:rPr>
                <w:rFonts w:cs="Times New Roman"/>
                <w:bCs/>
                <w:sz w:val="20"/>
                <w:szCs w:val="20"/>
              </w:rPr>
              <w:t>VP</w:t>
            </w:r>
          </w:p>
        </w:tc>
        <w:tc>
          <w:tcPr>
            <w:tcW w:w="1134" w:type="dxa"/>
          </w:tcPr>
          <w:p w:rsidR="00ED2667" w:rsidRPr="00C070E6" w:rsidRDefault="001C6684" w:rsidP="00ED2667">
            <w:pPr>
              <w:jc w:val="center"/>
              <w:rPr>
                <w:rFonts w:cs="Times New Roman"/>
                <w:bCs/>
                <w:sz w:val="20"/>
                <w:szCs w:val="20"/>
              </w:rPr>
            </w:pPr>
            <w:r w:rsidRPr="00C070E6">
              <w:rPr>
                <w:rFonts w:cs="Times New Roman"/>
                <w:bCs/>
                <w:sz w:val="20"/>
                <w:szCs w:val="20"/>
              </w:rPr>
              <w:t>PVD</w:t>
            </w:r>
            <w:r w:rsidR="00375EC9" w:rsidRPr="00C070E6">
              <w:rPr>
                <w:rFonts w:cs="Times New Roman"/>
                <w:bCs/>
                <w:sz w:val="20"/>
                <w:szCs w:val="20"/>
              </w:rPr>
              <w:t>,</w:t>
            </w:r>
            <w:r w:rsidR="00ED2667" w:rsidRPr="00C070E6">
              <w:rPr>
                <w:rFonts w:cs="Times New Roman"/>
                <w:bCs/>
                <w:sz w:val="20"/>
                <w:szCs w:val="20"/>
              </w:rPr>
              <w:t xml:space="preserve"> </w:t>
            </w:r>
          </w:p>
          <w:p w:rsidR="005D026B" w:rsidRPr="00C070E6" w:rsidRDefault="00ED2667" w:rsidP="0079422F">
            <w:pPr>
              <w:jc w:val="center"/>
              <w:rPr>
                <w:rFonts w:cs="Times New Roman"/>
                <w:bCs/>
                <w:sz w:val="20"/>
                <w:szCs w:val="20"/>
              </w:rPr>
            </w:pPr>
            <w:r w:rsidRPr="00C070E6">
              <w:rPr>
                <w:rFonts w:cs="Times New Roman"/>
                <w:bCs/>
                <w:sz w:val="20"/>
                <w:szCs w:val="20"/>
              </w:rPr>
              <w:t>VID</w:t>
            </w:r>
          </w:p>
        </w:tc>
        <w:tc>
          <w:tcPr>
            <w:tcW w:w="1276" w:type="dxa"/>
          </w:tcPr>
          <w:p w:rsidR="005D026B" w:rsidRPr="00C070E6" w:rsidRDefault="005D026B" w:rsidP="00250B3B">
            <w:pPr>
              <w:jc w:val="center"/>
              <w:rPr>
                <w:rFonts w:cs="Times New Roman"/>
                <w:bCs/>
                <w:sz w:val="20"/>
                <w:szCs w:val="20"/>
              </w:rPr>
            </w:pPr>
            <w:r w:rsidRPr="00C070E6">
              <w:rPr>
                <w:rFonts w:cs="Times New Roman"/>
                <w:bCs/>
                <w:sz w:val="20"/>
                <w:szCs w:val="20"/>
              </w:rPr>
              <w:t>Pastāvīgi</w:t>
            </w:r>
          </w:p>
        </w:tc>
      </w:tr>
      <w:tr w:rsidR="005D026B" w:rsidRPr="00C070E6" w:rsidTr="00DA5BE6">
        <w:trPr>
          <w:trHeight w:val="543"/>
        </w:trPr>
        <w:tc>
          <w:tcPr>
            <w:tcW w:w="568" w:type="dxa"/>
            <w:vMerge/>
          </w:tcPr>
          <w:p w:rsidR="005D026B" w:rsidRPr="00C070E6" w:rsidRDefault="005D026B" w:rsidP="00250B3B">
            <w:pPr>
              <w:pStyle w:val="ListParagraph"/>
              <w:numPr>
                <w:ilvl w:val="0"/>
                <w:numId w:val="11"/>
              </w:numPr>
              <w:ind w:left="0" w:right="-21"/>
              <w:rPr>
                <w:rFonts w:ascii="Times New Roman" w:hAnsi="Times New Roman" w:cs="Times New Roman"/>
                <w:bCs/>
                <w:sz w:val="20"/>
                <w:szCs w:val="20"/>
              </w:rPr>
            </w:pPr>
          </w:p>
        </w:tc>
        <w:tc>
          <w:tcPr>
            <w:tcW w:w="2268" w:type="dxa"/>
            <w:vMerge/>
          </w:tcPr>
          <w:p w:rsidR="005D026B" w:rsidRPr="00C070E6" w:rsidRDefault="005D026B" w:rsidP="00250B3B">
            <w:pPr>
              <w:jc w:val="both"/>
              <w:rPr>
                <w:rFonts w:cs="Times New Roman"/>
                <w:color w:val="000000"/>
                <w:sz w:val="20"/>
                <w:szCs w:val="20"/>
              </w:rPr>
            </w:pPr>
          </w:p>
        </w:tc>
        <w:tc>
          <w:tcPr>
            <w:tcW w:w="3544" w:type="dxa"/>
            <w:vMerge/>
          </w:tcPr>
          <w:p w:rsidR="005D026B" w:rsidRPr="00C070E6" w:rsidRDefault="005D026B" w:rsidP="00250B3B">
            <w:pPr>
              <w:jc w:val="both"/>
              <w:rPr>
                <w:rFonts w:cs="Times New Roman"/>
                <w:sz w:val="20"/>
                <w:szCs w:val="20"/>
              </w:rPr>
            </w:pPr>
          </w:p>
        </w:tc>
        <w:tc>
          <w:tcPr>
            <w:tcW w:w="2551" w:type="dxa"/>
          </w:tcPr>
          <w:p w:rsidR="002A2B61" w:rsidRPr="00C070E6" w:rsidRDefault="005D026B" w:rsidP="00250B3B">
            <w:pPr>
              <w:jc w:val="both"/>
              <w:rPr>
                <w:rFonts w:cs="Times New Roman"/>
                <w:bCs/>
                <w:sz w:val="20"/>
                <w:szCs w:val="20"/>
              </w:rPr>
            </w:pPr>
            <w:r w:rsidRPr="00C070E6">
              <w:rPr>
                <w:rFonts w:cs="Times New Roman"/>
                <w:bCs/>
                <w:sz w:val="20"/>
                <w:szCs w:val="20"/>
              </w:rPr>
              <w:t>3.</w:t>
            </w:r>
            <w:r w:rsidR="00613353" w:rsidRPr="00C070E6">
              <w:rPr>
                <w:rFonts w:cs="Times New Roman"/>
                <w:bCs/>
                <w:sz w:val="20"/>
                <w:szCs w:val="20"/>
              </w:rPr>
              <w:t xml:space="preserve">Sadarbībā ar nozares ekspertiem </w:t>
            </w:r>
            <w:r w:rsidR="00D847EE" w:rsidRPr="00C070E6">
              <w:rPr>
                <w:rFonts w:cs="Times New Roman"/>
                <w:sz w:val="20"/>
                <w:szCs w:val="20"/>
              </w:rPr>
              <w:t xml:space="preserve">ir izvērtēts   maksimāli pieļaujamais  savvaļas velšu </w:t>
            </w:r>
            <w:r w:rsidR="00790A83" w:rsidRPr="00C070E6">
              <w:rPr>
                <w:rFonts w:cs="Times New Roman"/>
                <w:sz w:val="20"/>
                <w:szCs w:val="20"/>
              </w:rPr>
              <w:t>apjo</w:t>
            </w:r>
            <w:r w:rsidR="00D847EE" w:rsidRPr="00C070E6">
              <w:rPr>
                <w:rFonts w:cs="Times New Roman"/>
                <w:sz w:val="20"/>
                <w:szCs w:val="20"/>
              </w:rPr>
              <w:t>ms,  kuru savām vajadzībām atļauts pārvadāt vienai personai bez pavaddokumentiem.</w:t>
            </w:r>
          </w:p>
        </w:tc>
        <w:tc>
          <w:tcPr>
            <w:tcW w:w="1985" w:type="dxa"/>
          </w:tcPr>
          <w:p w:rsidR="00913EF5" w:rsidRPr="00C070E6" w:rsidRDefault="00613353" w:rsidP="00E07FAF">
            <w:pPr>
              <w:jc w:val="both"/>
              <w:rPr>
                <w:rFonts w:cs="Times New Roman"/>
                <w:sz w:val="20"/>
                <w:szCs w:val="20"/>
              </w:rPr>
            </w:pPr>
            <w:r w:rsidRPr="00C070E6">
              <w:rPr>
                <w:rFonts w:cs="Times New Roman"/>
                <w:sz w:val="20"/>
                <w:szCs w:val="20"/>
              </w:rPr>
              <w:t>Sniegt</w:t>
            </w:r>
            <w:r w:rsidR="00352A9D" w:rsidRPr="00C070E6">
              <w:rPr>
                <w:rFonts w:cs="Times New Roman"/>
                <w:sz w:val="20"/>
                <w:szCs w:val="20"/>
              </w:rPr>
              <w:t>s izvērtējums par iespēj</w:t>
            </w:r>
            <w:r w:rsidR="00C60103" w:rsidRPr="00C070E6">
              <w:rPr>
                <w:rFonts w:cs="Times New Roman"/>
                <w:sz w:val="20"/>
                <w:szCs w:val="20"/>
              </w:rPr>
              <w:t>ā</w:t>
            </w:r>
            <w:r w:rsidR="00352A9D" w:rsidRPr="00C070E6">
              <w:rPr>
                <w:rFonts w:cs="Times New Roman"/>
                <w:sz w:val="20"/>
                <w:szCs w:val="20"/>
              </w:rPr>
              <w:t xml:space="preserve">m </w:t>
            </w:r>
            <w:r w:rsidR="004B0589" w:rsidRPr="00C070E6">
              <w:rPr>
                <w:rFonts w:cs="Times New Roman"/>
                <w:sz w:val="20"/>
                <w:szCs w:val="20"/>
              </w:rPr>
              <w:t>n</w:t>
            </w:r>
            <w:r w:rsidR="005D026B" w:rsidRPr="00C070E6">
              <w:rPr>
                <w:rFonts w:cs="Times New Roman"/>
                <w:sz w:val="20"/>
                <w:szCs w:val="20"/>
              </w:rPr>
              <w:t>o</w:t>
            </w:r>
            <w:r w:rsidR="00352A9D" w:rsidRPr="00C070E6">
              <w:rPr>
                <w:rFonts w:cs="Times New Roman"/>
                <w:sz w:val="20"/>
                <w:szCs w:val="20"/>
              </w:rPr>
              <w:t xml:space="preserve">teikt </w:t>
            </w:r>
            <w:r w:rsidR="005D026B" w:rsidRPr="00C070E6">
              <w:rPr>
                <w:rFonts w:cs="Times New Roman"/>
                <w:sz w:val="20"/>
                <w:szCs w:val="20"/>
              </w:rPr>
              <w:t>maksimāl</w:t>
            </w:r>
            <w:r w:rsidR="004B0589" w:rsidRPr="00C070E6">
              <w:rPr>
                <w:rFonts w:cs="Times New Roman"/>
                <w:sz w:val="20"/>
                <w:szCs w:val="20"/>
              </w:rPr>
              <w:t>o</w:t>
            </w:r>
            <w:r w:rsidR="005D026B" w:rsidRPr="00C070E6">
              <w:rPr>
                <w:rFonts w:cs="Times New Roman"/>
                <w:sz w:val="20"/>
                <w:szCs w:val="20"/>
              </w:rPr>
              <w:t xml:space="preserve"> </w:t>
            </w:r>
            <w:r w:rsidR="00D847EE" w:rsidRPr="00C070E6">
              <w:rPr>
                <w:rFonts w:cs="Times New Roman"/>
                <w:sz w:val="20"/>
                <w:szCs w:val="20"/>
              </w:rPr>
              <w:t xml:space="preserve"> </w:t>
            </w:r>
            <w:r w:rsidR="00D847EE" w:rsidRPr="00C070E6">
              <w:rPr>
                <w:rFonts w:cs="Times New Roman"/>
                <w:color w:val="000000"/>
                <w:sz w:val="20"/>
                <w:szCs w:val="20"/>
              </w:rPr>
              <w:t xml:space="preserve">savvaļas velšu </w:t>
            </w:r>
            <w:r w:rsidR="00790A83" w:rsidRPr="00C070E6">
              <w:rPr>
                <w:rFonts w:cs="Times New Roman"/>
                <w:color w:val="000000"/>
                <w:sz w:val="20"/>
                <w:szCs w:val="20"/>
              </w:rPr>
              <w:t>apjo</w:t>
            </w:r>
            <w:r w:rsidR="00D847EE" w:rsidRPr="00C070E6">
              <w:rPr>
                <w:rFonts w:cs="Times New Roman"/>
                <w:color w:val="000000"/>
                <w:sz w:val="20"/>
                <w:szCs w:val="20"/>
              </w:rPr>
              <w:t xml:space="preserve">mu, </w:t>
            </w:r>
            <w:r w:rsidR="00D847EE" w:rsidRPr="00C070E6">
              <w:rPr>
                <w:rFonts w:cs="Times New Roman"/>
                <w:sz w:val="20"/>
                <w:szCs w:val="20"/>
              </w:rPr>
              <w:t>kuru atļauts pārvadāt vienai personai.</w:t>
            </w:r>
          </w:p>
        </w:tc>
        <w:tc>
          <w:tcPr>
            <w:tcW w:w="1275" w:type="dxa"/>
            <w:shd w:val="clear" w:color="auto" w:fill="auto"/>
          </w:tcPr>
          <w:p w:rsidR="005E5355" w:rsidRPr="00C070E6" w:rsidRDefault="00375EC9" w:rsidP="00250B3B">
            <w:pPr>
              <w:jc w:val="center"/>
              <w:rPr>
                <w:rFonts w:cs="Times New Roman"/>
                <w:bCs/>
                <w:color w:val="000000" w:themeColor="text1"/>
                <w:sz w:val="20"/>
                <w:szCs w:val="20"/>
              </w:rPr>
            </w:pPr>
            <w:r w:rsidRPr="00C070E6">
              <w:rPr>
                <w:rFonts w:cs="Times New Roman"/>
                <w:bCs/>
                <w:color w:val="000000" w:themeColor="text1"/>
                <w:sz w:val="20"/>
                <w:szCs w:val="20"/>
              </w:rPr>
              <w:t>Z</w:t>
            </w:r>
            <w:r w:rsidR="00F840A2" w:rsidRPr="00C070E6">
              <w:rPr>
                <w:rFonts w:cs="Times New Roman"/>
                <w:bCs/>
                <w:color w:val="000000" w:themeColor="text1"/>
                <w:sz w:val="20"/>
                <w:szCs w:val="20"/>
              </w:rPr>
              <w:t>M</w:t>
            </w:r>
          </w:p>
        </w:tc>
        <w:tc>
          <w:tcPr>
            <w:tcW w:w="1134" w:type="dxa"/>
            <w:shd w:val="clear" w:color="auto" w:fill="auto"/>
          </w:tcPr>
          <w:p w:rsidR="005D026B" w:rsidRPr="00C070E6" w:rsidRDefault="00375EC9" w:rsidP="00250B3B">
            <w:pPr>
              <w:jc w:val="center"/>
              <w:rPr>
                <w:rFonts w:cs="Times New Roman"/>
                <w:bCs/>
                <w:color w:val="000000" w:themeColor="text1"/>
                <w:sz w:val="20"/>
                <w:szCs w:val="20"/>
              </w:rPr>
            </w:pPr>
            <w:r w:rsidRPr="00C070E6">
              <w:rPr>
                <w:rFonts w:cs="Times New Roman"/>
                <w:bCs/>
                <w:color w:val="000000" w:themeColor="text1"/>
                <w:sz w:val="20"/>
                <w:szCs w:val="20"/>
              </w:rPr>
              <w:t>F</w:t>
            </w:r>
            <w:r w:rsidR="005D026B" w:rsidRPr="00C070E6">
              <w:rPr>
                <w:rFonts w:cs="Times New Roman"/>
                <w:bCs/>
                <w:color w:val="000000" w:themeColor="text1"/>
                <w:sz w:val="20"/>
                <w:szCs w:val="20"/>
              </w:rPr>
              <w:t>M</w:t>
            </w:r>
            <w:r w:rsidR="00386B58" w:rsidRPr="00C070E6">
              <w:rPr>
                <w:rFonts w:cs="Times New Roman"/>
                <w:bCs/>
                <w:color w:val="000000" w:themeColor="text1"/>
                <w:sz w:val="20"/>
                <w:szCs w:val="20"/>
              </w:rPr>
              <w:t>,</w:t>
            </w:r>
          </w:p>
          <w:p w:rsidR="00F46E27" w:rsidRPr="00C070E6" w:rsidRDefault="00F46E27" w:rsidP="00250B3B">
            <w:pPr>
              <w:jc w:val="center"/>
              <w:rPr>
                <w:rFonts w:cs="Times New Roman"/>
                <w:bCs/>
                <w:color w:val="000000" w:themeColor="text1"/>
                <w:sz w:val="20"/>
                <w:szCs w:val="20"/>
              </w:rPr>
            </w:pPr>
            <w:r w:rsidRPr="00C070E6">
              <w:rPr>
                <w:rFonts w:cs="Times New Roman"/>
                <w:bCs/>
                <w:color w:val="000000" w:themeColor="text1"/>
                <w:sz w:val="20"/>
                <w:szCs w:val="20"/>
              </w:rPr>
              <w:t>EM</w:t>
            </w:r>
          </w:p>
        </w:tc>
        <w:tc>
          <w:tcPr>
            <w:tcW w:w="1276" w:type="dxa"/>
            <w:shd w:val="clear" w:color="auto" w:fill="auto"/>
          </w:tcPr>
          <w:p w:rsidR="005D026B" w:rsidRPr="00C070E6" w:rsidRDefault="00632724" w:rsidP="00250B3B">
            <w:pPr>
              <w:jc w:val="center"/>
              <w:rPr>
                <w:rFonts w:cs="Times New Roman"/>
                <w:bCs/>
                <w:sz w:val="20"/>
                <w:szCs w:val="20"/>
              </w:rPr>
            </w:pPr>
            <w:r w:rsidRPr="00C070E6">
              <w:rPr>
                <w:rFonts w:cs="Times New Roman"/>
                <w:bCs/>
                <w:sz w:val="20"/>
                <w:szCs w:val="20"/>
              </w:rPr>
              <w:t>3</w:t>
            </w:r>
            <w:r w:rsidR="006A19D3" w:rsidRPr="00C070E6">
              <w:rPr>
                <w:rFonts w:cs="Times New Roman"/>
                <w:bCs/>
                <w:sz w:val="20"/>
                <w:szCs w:val="20"/>
              </w:rPr>
              <w:t>0</w:t>
            </w:r>
            <w:r w:rsidRPr="00C070E6">
              <w:rPr>
                <w:rFonts w:cs="Times New Roman"/>
                <w:bCs/>
                <w:sz w:val="20"/>
                <w:szCs w:val="20"/>
              </w:rPr>
              <w:t>.</w:t>
            </w:r>
            <w:r w:rsidR="00386B58" w:rsidRPr="00C070E6">
              <w:rPr>
                <w:rFonts w:cs="Times New Roman"/>
                <w:bCs/>
                <w:sz w:val="20"/>
                <w:szCs w:val="20"/>
              </w:rPr>
              <w:t>12</w:t>
            </w:r>
            <w:r w:rsidRPr="00C070E6">
              <w:rPr>
                <w:rFonts w:cs="Times New Roman"/>
                <w:bCs/>
                <w:sz w:val="20"/>
                <w:szCs w:val="20"/>
              </w:rPr>
              <w:t>.202</w:t>
            </w:r>
            <w:r w:rsidR="006B32E9" w:rsidRPr="00C070E6">
              <w:rPr>
                <w:rFonts w:cs="Times New Roman"/>
                <w:bCs/>
                <w:sz w:val="20"/>
                <w:szCs w:val="20"/>
              </w:rPr>
              <w:t>2</w:t>
            </w:r>
            <w:r w:rsidR="005D026B" w:rsidRPr="00C070E6">
              <w:rPr>
                <w:rFonts w:cs="Times New Roman"/>
                <w:bCs/>
                <w:sz w:val="20"/>
                <w:szCs w:val="20"/>
              </w:rPr>
              <w:t>.</w:t>
            </w:r>
          </w:p>
        </w:tc>
      </w:tr>
      <w:tr w:rsidR="006B2ACC" w:rsidRPr="00C070E6" w:rsidTr="00DA5BE6">
        <w:trPr>
          <w:trHeight w:val="1380"/>
        </w:trPr>
        <w:tc>
          <w:tcPr>
            <w:tcW w:w="568" w:type="dxa"/>
            <w:vMerge w:val="restart"/>
          </w:tcPr>
          <w:p w:rsidR="006B2ACC" w:rsidRPr="00C070E6" w:rsidRDefault="006B2ACC" w:rsidP="00250B3B">
            <w:pPr>
              <w:ind w:right="-21"/>
              <w:rPr>
                <w:rFonts w:cs="Times New Roman"/>
                <w:bCs/>
                <w:sz w:val="20"/>
                <w:szCs w:val="20"/>
              </w:rPr>
            </w:pPr>
            <w:bookmarkStart w:id="17" w:name="_Hlk85540766"/>
            <w:bookmarkStart w:id="18" w:name="_Hlk75187308"/>
            <w:bookmarkEnd w:id="16"/>
            <w:r w:rsidRPr="00C070E6">
              <w:rPr>
                <w:rFonts w:cs="Times New Roman"/>
                <w:bCs/>
                <w:sz w:val="20"/>
                <w:szCs w:val="20"/>
              </w:rPr>
              <w:t>1.5.</w:t>
            </w:r>
          </w:p>
        </w:tc>
        <w:tc>
          <w:tcPr>
            <w:tcW w:w="2268" w:type="dxa"/>
            <w:vMerge w:val="restart"/>
          </w:tcPr>
          <w:p w:rsidR="006B2ACC" w:rsidRPr="00C070E6" w:rsidRDefault="006B2ACC" w:rsidP="002F578F">
            <w:pPr>
              <w:jc w:val="both"/>
              <w:rPr>
                <w:rFonts w:cs="Times New Roman"/>
                <w:color w:val="000000" w:themeColor="text1"/>
                <w:sz w:val="20"/>
                <w:szCs w:val="20"/>
              </w:rPr>
            </w:pPr>
            <w:bookmarkStart w:id="19" w:name="_Hlk76122783"/>
            <w:r w:rsidRPr="00C070E6">
              <w:rPr>
                <w:rFonts w:cs="Times New Roman"/>
                <w:color w:val="000000" w:themeColor="text1"/>
                <w:sz w:val="20"/>
                <w:szCs w:val="20"/>
              </w:rPr>
              <w:t>Pilnveidot profesionālās pilnveides izglītības un pieaugušo neformālās izglītības ieguves procesu skaistumkopšanas nozarē, izglītības iestādei nodrošinot tā kvalitāti un atbilstošu informāciju izglītojamajiem un sabiedrībai par šiem izglītības veidiem.</w:t>
            </w:r>
            <w:bookmarkEnd w:id="19"/>
          </w:p>
        </w:tc>
        <w:tc>
          <w:tcPr>
            <w:tcW w:w="3544" w:type="dxa"/>
            <w:vMerge w:val="restart"/>
          </w:tcPr>
          <w:p w:rsidR="003741E7" w:rsidRPr="00C070E6" w:rsidRDefault="006B2ACC" w:rsidP="00250B3B">
            <w:pPr>
              <w:jc w:val="both"/>
              <w:rPr>
                <w:rFonts w:cs="Times New Roman"/>
                <w:sz w:val="20"/>
                <w:szCs w:val="20"/>
              </w:rPr>
            </w:pPr>
            <w:bookmarkStart w:id="20" w:name="_Hlk75246547"/>
            <w:r w:rsidRPr="00C070E6">
              <w:rPr>
                <w:rFonts w:cs="Times New Roman"/>
                <w:sz w:val="20"/>
                <w:szCs w:val="20"/>
              </w:rPr>
              <w:t>Skaistumkopšanas nozarē ēnu ekonomikas risks ārkārtējās situācijas laikā ir palielinājies, tādēļ nepieciešams stiprināt uzraudzības sistēmu skaistumkopšanas speciālistu darbības jomā</w:t>
            </w:r>
            <w:bookmarkEnd w:id="20"/>
            <w:r w:rsidRPr="00C070E6">
              <w:rPr>
                <w:rFonts w:cs="Times New Roman"/>
                <w:sz w:val="20"/>
                <w:szCs w:val="20"/>
              </w:rPr>
              <w:t>. Sabiedrībā tiek sniegta informācija, ka pieaugušo neformālās izglītības kursi ir pašizglītošanās pasākums, ka klausītājam netiek dots profesionālās kvalifikācijas novērtējums (netiek piešķirta kvalifikācija). Arī saņemtā apliecība par profesionālās pilnveides izglītību, piemēram, par to, ka ir apgūta “Sejas estētiskā kopšanas” programma – 160 stundas, nedod viņam tiesības sniegt kosmētiskos pakalpojumus. Rezultātā tāds “kursu speciālists”, kas sevi dēvē par “</w:t>
            </w:r>
            <w:proofErr w:type="spellStart"/>
            <w:r w:rsidRPr="00C070E6">
              <w:rPr>
                <w:rFonts w:cs="Times New Roman"/>
                <w:sz w:val="20"/>
                <w:szCs w:val="20"/>
              </w:rPr>
              <w:t>estētistu</w:t>
            </w:r>
            <w:proofErr w:type="spellEnd"/>
            <w:r w:rsidRPr="00C070E6">
              <w:rPr>
                <w:rFonts w:cs="Times New Roman"/>
                <w:sz w:val="20"/>
                <w:szCs w:val="20"/>
              </w:rPr>
              <w:t xml:space="preserve">”, “kosmetologu”, ne tikai iztērē savus finanšu līdzekļus, bet arī maldina klientus par pakalpojuma sniegšanas tiesiskumu. Profesionālās pilnveides un pieaugušo neformālās izglītības apguve nenodrošina profesionālās kvalifikācijas ieguvi darbam kādā no skaistumkopšanas nozares profesijām. </w:t>
            </w:r>
          </w:p>
          <w:p w:rsidR="003741E7" w:rsidRPr="00C070E6" w:rsidRDefault="003741E7" w:rsidP="00250B3B">
            <w:pPr>
              <w:jc w:val="both"/>
              <w:rPr>
                <w:rFonts w:cs="Times New Roman"/>
                <w:sz w:val="20"/>
                <w:szCs w:val="20"/>
              </w:rPr>
            </w:pPr>
            <w:r w:rsidRPr="00C070E6">
              <w:rPr>
                <w:rFonts w:cs="Times New Roman"/>
                <w:sz w:val="20"/>
                <w:szCs w:val="20"/>
              </w:rPr>
              <w:t xml:space="preserve">IZM īstenotā projekta </w:t>
            </w:r>
            <w:r w:rsidR="006A4493" w:rsidRPr="00C070E6">
              <w:rPr>
                <w:rFonts w:cs="Times New Roman"/>
                <w:sz w:val="20"/>
                <w:szCs w:val="20"/>
              </w:rPr>
              <w:t>ES</w:t>
            </w:r>
            <w:r w:rsidRPr="00C070E6">
              <w:rPr>
                <w:rFonts w:cs="Times New Roman"/>
                <w:sz w:val="20"/>
                <w:szCs w:val="20"/>
              </w:rPr>
              <w:t xml:space="preserve"> </w:t>
            </w:r>
            <w:proofErr w:type="spellStart"/>
            <w:r w:rsidRPr="00C070E6">
              <w:rPr>
                <w:rFonts w:cs="Times New Roman"/>
                <w:sz w:val="20"/>
                <w:szCs w:val="20"/>
              </w:rPr>
              <w:t>Erasmus</w:t>
            </w:r>
            <w:proofErr w:type="spellEnd"/>
            <w:r w:rsidRPr="00C070E6">
              <w:rPr>
                <w:rFonts w:cs="Times New Roman"/>
                <w:sz w:val="20"/>
                <w:szCs w:val="20"/>
              </w:rPr>
              <w:t>+ programmas projekta “Nacionālie koordinatori Eiropas programmas īstenošanai pieaugušo izglītībā” ekspertu darba grupa izstrādā pieaugušo izglītības koordinatoru mācību programmu, kur viens no tās moduļiem ir „Pieaugušo neformālās izglītības programmu licencēšana”. Šajā mācību modulī ir iekļauta tēma: kādas pieaugušo neformālās izglītības programmas licencēt, lai nemaldinātu dalībniekus.</w:t>
            </w:r>
          </w:p>
          <w:p w:rsidR="006B2ACC" w:rsidRPr="00C070E6" w:rsidRDefault="006B2ACC" w:rsidP="00250B3B">
            <w:pPr>
              <w:jc w:val="both"/>
              <w:rPr>
                <w:rFonts w:cs="Times New Roman"/>
                <w:sz w:val="20"/>
                <w:szCs w:val="20"/>
              </w:rPr>
            </w:pPr>
            <w:r w:rsidRPr="00C070E6">
              <w:rPr>
                <w:rFonts w:cs="Times New Roman"/>
                <w:sz w:val="20"/>
                <w:szCs w:val="20"/>
              </w:rPr>
              <w:t>Nepieciešams izveidot praksi, nosakot atbilstošu regulējumu, lai tas būtu saistošs VID un VI, ka tiesības veikt un reģistrēt saimniecisko darbību skaistumkopšanas jomā</w:t>
            </w:r>
            <w:r w:rsidR="00DA5BE6">
              <w:rPr>
                <w:rFonts w:cs="Times New Roman"/>
                <w:sz w:val="20"/>
                <w:szCs w:val="20"/>
              </w:rPr>
              <w:t xml:space="preserve"> </w:t>
            </w:r>
            <w:r w:rsidRPr="00C070E6">
              <w:rPr>
                <w:rFonts w:cs="Times New Roman"/>
                <w:sz w:val="20"/>
                <w:szCs w:val="20"/>
              </w:rPr>
              <w:t>var tikai personas ar profesionālo kvalifikāciju šajā nozarē, bet ne pieaugušo neformālo izglītību vai profesionālās pilnveides izglītību apguvušas personas.</w:t>
            </w:r>
          </w:p>
          <w:p w:rsidR="003741E7" w:rsidRPr="00C070E6" w:rsidRDefault="003741E7" w:rsidP="00250B3B">
            <w:pPr>
              <w:jc w:val="both"/>
              <w:rPr>
                <w:rFonts w:cs="Times New Roman"/>
                <w:sz w:val="20"/>
                <w:szCs w:val="20"/>
              </w:rPr>
            </w:pPr>
            <w:r w:rsidRPr="00C070E6">
              <w:rPr>
                <w:rFonts w:cs="Times New Roman"/>
                <w:sz w:val="20"/>
                <w:szCs w:val="20"/>
              </w:rPr>
              <w:t>Lai pilnveidotu regulējumu attiecībā uz  pieaugušo neformālās izglītības programmām,  nosakot pieaugušo neformālās izglītības programmu īstenošanas prasības, kvalitātes kritērijus, kā arī licencēšanas un licences anulēšanas nosacījumus un kārtību, nepieciešams veikt grozījumus Izglītības likumā.</w:t>
            </w:r>
          </w:p>
        </w:tc>
        <w:tc>
          <w:tcPr>
            <w:tcW w:w="2551" w:type="dxa"/>
          </w:tcPr>
          <w:p w:rsidR="006B2ACC" w:rsidRPr="00C070E6" w:rsidRDefault="006B2ACC" w:rsidP="00250B3B">
            <w:pPr>
              <w:jc w:val="both"/>
              <w:rPr>
                <w:rFonts w:cs="Times New Roman"/>
                <w:sz w:val="20"/>
                <w:szCs w:val="20"/>
              </w:rPr>
            </w:pPr>
            <w:r w:rsidRPr="00C070E6">
              <w:rPr>
                <w:rFonts w:cs="Times New Roman"/>
                <w:sz w:val="20"/>
                <w:szCs w:val="20"/>
              </w:rPr>
              <w:t>1.Veikt grozījumus Izglītības likumā, lai pilnveidotu regulējumu attiecībā uz  pieaugušo neformālās izglītības programmām. Izstrādāt pieaugušo izglītības koordinatoru mācību programmu.</w:t>
            </w:r>
          </w:p>
        </w:tc>
        <w:tc>
          <w:tcPr>
            <w:tcW w:w="1985" w:type="dxa"/>
          </w:tcPr>
          <w:p w:rsidR="006B2ACC" w:rsidRPr="00C070E6" w:rsidRDefault="006B2ACC" w:rsidP="000E4DEE">
            <w:pPr>
              <w:jc w:val="both"/>
              <w:rPr>
                <w:rFonts w:cs="Times New Roman"/>
                <w:sz w:val="20"/>
                <w:szCs w:val="20"/>
              </w:rPr>
            </w:pPr>
            <w:r w:rsidRPr="00C070E6">
              <w:rPr>
                <w:rFonts w:cs="Times New Roman"/>
                <w:sz w:val="20"/>
                <w:szCs w:val="20"/>
              </w:rPr>
              <w:t>Izstrādāti grozījumi Izglītības likumā. Izstrādāta pieaugušo izglītības koordinatoru mācību programma.</w:t>
            </w:r>
          </w:p>
        </w:tc>
        <w:tc>
          <w:tcPr>
            <w:tcW w:w="1275" w:type="dxa"/>
          </w:tcPr>
          <w:p w:rsidR="006B2ACC" w:rsidRPr="00C070E6" w:rsidRDefault="006B2ACC" w:rsidP="001E4F8A">
            <w:pPr>
              <w:jc w:val="center"/>
              <w:rPr>
                <w:rFonts w:cs="Times New Roman"/>
                <w:bCs/>
                <w:sz w:val="20"/>
                <w:szCs w:val="20"/>
              </w:rPr>
            </w:pPr>
            <w:r w:rsidRPr="00C070E6">
              <w:rPr>
                <w:rFonts w:cs="Times New Roman"/>
                <w:bCs/>
                <w:sz w:val="20"/>
                <w:szCs w:val="20"/>
              </w:rPr>
              <w:t>IZM</w:t>
            </w:r>
          </w:p>
        </w:tc>
        <w:tc>
          <w:tcPr>
            <w:tcW w:w="1134" w:type="dxa"/>
          </w:tcPr>
          <w:p w:rsidR="006B2ACC" w:rsidRPr="00C070E6" w:rsidRDefault="001E4F8A" w:rsidP="002F578F">
            <w:pPr>
              <w:jc w:val="center"/>
              <w:rPr>
                <w:rFonts w:cs="Times New Roman"/>
                <w:bCs/>
                <w:sz w:val="20"/>
                <w:szCs w:val="20"/>
              </w:rPr>
            </w:pPr>
            <w:r w:rsidRPr="00C070E6">
              <w:rPr>
                <w:rFonts w:cs="Times New Roman"/>
                <w:bCs/>
                <w:sz w:val="20"/>
                <w:szCs w:val="20"/>
              </w:rPr>
              <w:t>-</w:t>
            </w:r>
          </w:p>
        </w:tc>
        <w:tc>
          <w:tcPr>
            <w:tcW w:w="1276" w:type="dxa"/>
          </w:tcPr>
          <w:p w:rsidR="006B2ACC" w:rsidRPr="00C070E6" w:rsidRDefault="006B2ACC" w:rsidP="006A19D3">
            <w:pPr>
              <w:jc w:val="center"/>
              <w:rPr>
                <w:rFonts w:cs="Times New Roman"/>
                <w:bCs/>
                <w:sz w:val="20"/>
                <w:szCs w:val="20"/>
              </w:rPr>
            </w:pPr>
            <w:r w:rsidRPr="00C070E6">
              <w:rPr>
                <w:rFonts w:cs="Times New Roman"/>
                <w:bCs/>
                <w:sz w:val="20"/>
                <w:szCs w:val="20"/>
              </w:rPr>
              <w:t>30.12.2022.</w:t>
            </w:r>
          </w:p>
        </w:tc>
      </w:tr>
      <w:tr w:rsidR="003741E7" w:rsidRPr="00C070E6" w:rsidTr="00DA5BE6">
        <w:trPr>
          <w:trHeight w:val="1380"/>
        </w:trPr>
        <w:tc>
          <w:tcPr>
            <w:tcW w:w="568" w:type="dxa"/>
            <w:vMerge/>
          </w:tcPr>
          <w:p w:rsidR="003741E7" w:rsidRPr="00C070E6" w:rsidRDefault="003741E7" w:rsidP="003741E7">
            <w:pPr>
              <w:ind w:right="-21"/>
              <w:rPr>
                <w:rFonts w:cs="Times New Roman"/>
                <w:bCs/>
                <w:sz w:val="20"/>
                <w:szCs w:val="20"/>
              </w:rPr>
            </w:pPr>
          </w:p>
        </w:tc>
        <w:tc>
          <w:tcPr>
            <w:tcW w:w="2268" w:type="dxa"/>
            <w:vMerge/>
          </w:tcPr>
          <w:p w:rsidR="003741E7" w:rsidRPr="00C070E6" w:rsidRDefault="003741E7" w:rsidP="003741E7">
            <w:pPr>
              <w:jc w:val="both"/>
              <w:rPr>
                <w:rFonts w:cs="Times New Roman"/>
                <w:color w:val="000000" w:themeColor="text1"/>
                <w:sz w:val="20"/>
                <w:szCs w:val="20"/>
              </w:rPr>
            </w:pPr>
          </w:p>
        </w:tc>
        <w:tc>
          <w:tcPr>
            <w:tcW w:w="3544" w:type="dxa"/>
            <w:vMerge/>
          </w:tcPr>
          <w:p w:rsidR="003741E7" w:rsidRPr="00C070E6" w:rsidRDefault="003741E7" w:rsidP="003741E7">
            <w:pPr>
              <w:jc w:val="both"/>
              <w:rPr>
                <w:rFonts w:cs="Times New Roman"/>
                <w:sz w:val="20"/>
                <w:szCs w:val="20"/>
              </w:rPr>
            </w:pPr>
          </w:p>
        </w:tc>
        <w:tc>
          <w:tcPr>
            <w:tcW w:w="2551" w:type="dxa"/>
          </w:tcPr>
          <w:p w:rsidR="003741E7" w:rsidRPr="00C070E6" w:rsidRDefault="003741E7" w:rsidP="003741E7">
            <w:pPr>
              <w:jc w:val="both"/>
              <w:rPr>
                <w:rFonts w:cs="Times New Roman"/>
                <w:sz w:val="20"/>
                <w:szCs w:val="20"/>
              </w:rPr>
            </w:pPr>
            <w:r w:rsidRPr="00C070E6">
              <w:rPr>
                <w:rFonts w:cs="Times New Roman"/>
                <w:sz w:val="20"/>
                <w:szCs w:val="20"/>
              </w:rPr>
              <w:t>2.Nodrošināt, ka skaistumkopšanas profesionālās pilnveides izglītības programmas tiek saskaņotas ar Veselības ministriju.</w:t>
            </w:r>
          </w:p>
        </w:tc>
        <w:tc>
          <w:tcPr>
            <w:tcW w:w="1985" w:type="dxa"/>
          </w:tcPr>
          <w:p w:rsidR="003741E7" w:rsidRPr="00C070E6" w:rsidRDefault="003741E7" w:rsidP="003741E7">
            <w:pPr>
              <w:jc w:val="both"/>
              <w:rPr>
                <w:rFonts w:cs="Times New Roman"/>
                <w:sz w:val="20"/>
                <w:szCs w:val="20"/>
              </w:rPr>
            </w:pPr>
            <w:r w:rsidRPr="00C070E6">
              <w:rPr>
                <w:rFonts w:cs="Times New Roman"/>
                <w:sz w:val="20"/>
                <w:szCs w:val="20"/>
              </w:rPr>
              <w:t>Tiek īstenotas skaistumkopšanas profesionālās pilnveides izglītības programmas, kas saskaņotas ar VM, un tiek veiktas programmu īstenošanas kvalitātes pārbaudes.</w:t>
            </w:r>
          </w:p>
        </w:tc>
        <w:tc>
          <w:tcPr>
            <w:tcW w:w="1275" w:type="dxa"/>
          </w:tcPr>
          <w:p w:rsidR="003741E7" w:rsidRPr="00C070E6" w:rsidRDefault="003741E7" w:rsidP="003741E7">
            <w:pPr>
              <w:jc w:val="center"/>
              <w:rPr>
                <w:rFonts w:cs="Times New Roman"/>
                <w:sz w:val="20"/>
                <w:szCs w:val="20"/>
              </w:rPr>
            </w:pPr>
            <w:r w:rsidRPr="00C070E6">
              <w:rPr>
                <w:rFonts w:cs="Times New Roman"/>
                <w:sz w:val="20"/>
                <w:szCs w:val="20"/>
              </w:rPr>
              <w:t>IZM,</w:t>
            </w:r>
          </w:p>
          <w:p w:rsidR="003741E7" w:rsidRPr="00C070E6" w:rsidRDefault="003741E7" w:rsidP="003741E7">
            <w:pPr>
              <w:jc w:val="center"/>
              <w:rPr>
                <w:rFonts w:cs="Times New Roman"/>
                <w:sz w:val="20"/>
                <w:szCs w:val="20"/>
              </w:rPr>
            </w:pPr>
            <w:r w:rsidRPr="00C070E6">
              <w:rPr>
                <w:rFonts w:cs="Times New Roman"/>
                <w:sz w:val="20"/>
                <w:szCs w:val="20"/>
              </w:rPr>
              <w:t xml:space="preserve"> IKVD, </w:t>
            </w:r>
          </w:p>
          <w:p w:rsidR="003741E7" w:rsidRPr="00C070E6" w:rsidRDefault="003741E7" w:rsidP="003741E7">
            <w:pPr>
              <w:jc w:val="center"/>
              <w:rPr>
                <w:rFonts w:cs="Times New Roman"/>
                <w:sz w:val="20"/>
                <w:szCs w:val="20"/>
              </w:rPr>
            </w:pPr>
            <w:r w:rsidRPr="00C070E6">
              <w:rPr>
                <w:rFonts w:cs="Times New Roman"/>
                <w:sz w:val="20"/>
                <w:szCs w:val="20"/>
              </w:rPr>
              <w:t>VM</w:t>
            </w:r>
          </w:p>
        </w:tc>
        <w:tc>
          <w:tcPr>
            <w:tcW w:w="1134" w:type="dxa"/>
          </w:tcPr>
          <w:p w:rsidR="003741E7" w:rsidRPr="00C070E6" w:rsidRDefault="001E4F8A" w:rsidP="003741E7">
            <w:pPr>
              <w:jc w:val="center"/>
              <w:rPr>
                <w:rFonts w:cs="Times New Roman"/>
                <w:color w:val="000000" w:themeColor="text1"/>
                <w:sz w:val="20"/>
                <w:szCs w:val="20"/>
              </w:rPr>
            </w:pPr>
            <w:r w:rsidRPr="00C070E6">
              <w:rPr>
                <w:rFonts w:cs="Times New Roman"/>
                <w:bCs/>
                <w:sz w:val="20"/>
                <w:szCs w:val="20"/>
              </w:rPr>
              <w:t>-</w:t>
            </w:r>
          </w:p>
        </w:tc>
        <w:tc>
          <w:tcPr>
            <w:tcW w:w="1276" w:type="dxa"/>
          </w:tcPr>
          <w:p w:rsidR="003741E7" w:rsidRPr="00C070E6" w:rsidRDefault="001E4F8A" w:rsidP="006A19D3">
            <w:pPr>
              <w:jc w:val="center"/>
              <w:rPr>
                <w:rFonts w:cs="Times New Roman"/>
                <w:color w:val="000000" w:themeColor="text1"/>
                <w:sz w:val="20"/>
                <w:szCs w:val="20"/>
              </w:rPr>
            </w:pPr>
            <w:r w:rsidRPr="00C070E6">
              <w:rPr>
                <w:rFonts w:cs="Times New Roman"/>
                <w:bCs/>
                <w:sz w:val="20"/>
                <w:szCs w:val="20"/>
              </w:rPr>
              <w:t>30.12.2022.</w:t>
            </w:r>
          </w:p>
        </w:tc>
      </w:tr>
      <w:tr w:rsidR="003741E7" w:rsidRPr="00C070E6" w:rsidTr="00DA5BE6">
        <w:trPr>
          <w:trHeight w:val="1380"/>
        </w:trPr>
        <w:tc>
          <w:tcPr>
            <w:tcW w:w="568" w:type="dxa"/>
            <w:vMerge/>
          </w:tcPr>
          <w:p w:rsidR="003741E7" w:rsidRPr="00C070E6" w:rsidRDefault="003741E7" w:rsidP="003741E7">
            <w:pPr>
              <w:ind w:right="-21"/>
              <w:rPr>
                <w:rFonts w:cs="Times New Roman"/>
                <w:bCs/>
                <w:sz w:val="20"/>
                <w:szCs w:val="20"/>
              </w:rPr>
            </w:pPr>
          </w:p>
        </w:tc>
        <w:tc>
          <w:tcPr>
            <w:tcW w:w="2268" w:type="dxa"/>
            <w:vMerge/>
          </w:tcPr>
          <w:p w:rsidR="003741E7" w:rsidRPr="00C070E6" w:rsidRDefault="003741E7" w:rsidP="003741E7">
            <w:pPr>
              <w:jc w:val="both"/>
              <w:rPr>
                <w:rFonts w:cs="Times New Roman"/>
                <w:color w:val="000000" w:themeColor="text1"/>
                <w:sz w:val="20"/>
                <w:szCs w:val="20"/>
              </w:rPr>
            </w:pPr>
          </w:p>
        </w:tc>
        <w:tc>
          <w:tcPr>
            <w:tcW w:w="3544" w:type="dxa"/>
            <w:vMerge/>
          </w:tcPr>
          <w:p w:rsidR="003741E7" w:rsidRPr="00C070E6" w:rsidRDefault="003741E7" w:rsidP="003741E7">
            <w:pPr>
              <w:jc w:val="both"/>
              <w:rPr>
                <w:rFonts w:cs="Times New Roman"/>
                <w:sz w:val="20"/>
                <w:szCs w:val="20"/>
              </w:rPr>
            </w:pPr>
          </w:p>
        </w:tc>
        <w:tc>
          <w:tcPr>
            <w:tcW w:w="2551" w:type="dxa"/>
          </w:tcPr>
          <w:p w:rsidR="003741E7" w:rsidRPr="00C070E6" w:rsidRDefault="003741E7" w:rsidP="003741E7">
            <w:pPr>
              <w:jc w:val="both"/>
              <w:rPr>
                <w:rFonts w:cs="Times New Roman"/>
                <w:sz w:val="20"/>
                <w:szCs w:val="20"/>
              </w:rPr>
            </w:pPr>
            <w:r w:rsidRPr="00C070E6">
              <w:rPr>
                <w:rFonts w:cs="Times New Roman"/>
                <w:sz w:val="20"/>
                <w:szCs w:val="20"/>
              </w:rPr>
              <w:t>3.Nodrošināt sabiedrības (t.sk. potenciālo kursu klausītāju) izglītošanu par skaistumkopšanas nozares profesionāli kvalificētajiem speciālistiem, to identificēšanu.</w:t>
            </w:r>
          </w:p>
        </w:tc>
        <w:tc>
          <w:tcPr>
            <w:tcW w:w="1985" w:type="dxa"/>
          </w:tcPr>
          <w:p w:rsidR="003741E7" w:rsidRPr="00C070E6" w:rsidRDefault="003741E7" w:rsidP="003741E7">
            <w:pPr>
              <w:jc w:val="both"/>
              <w:rPr>
                <w:rFonts w:cs="Times New Roman"/>
                <w:sz w:val="20"/>
                <w:szCs w:val="20"/>
              </w:rPr>
            </w:pPr>
            <w:r w:rsidRPr="00C070E6">
              <w:rPr>
                <w:rFonts w:cs="Times New Roman"/>
                <w:sz w:val="20"/>
                <w:szCs w:val="20"/>
              </w:rPr>
              <w:t>VI tīmekļu vietnē sniegta informācija par drošiem skaistumkopšanas pakalpojumiem.</w:t>
            </w:r>
          </w:p>
        </w:tc>
        <w:tc>
          <w:tcPr>
            <w:tcW w:w="1275" w:type="dxa"/>
          </w:tcPr>
          <w:p w:rsidR="003741E7" w:rsidRPr="00C070E6" w:rsidRDefault="003741E7" w:rsidP="003741E7">
            <w:pPr>
              <w:jc w:val="center"/>
              <w:rPr>
                <w:rFonts w:cs="Times New Roman"/>
                <w:bCs/>
                <w:sz w:val="20"/>
                <w:szCs w:val="20"/>
              </w:rPr>
            </w:pPr>
            <w:r w:rsidRPr="00C070E6">
              <w:rPr>
                <w:rFonts w:cs="Times New Roman"/>
                <w:bCs/>
                <w:sz w:val="20"/>
                <w:szCs w:val="20"/>
              </w:rPr>
              <w:t>IZM,</w:t>
            </w:r>
          </w:p>
          <w:p w:rsidR="003741E7" w:rsidRPr="00C070E6" w:rsidRDefault="003741E7" w:rsidP="003741E7">
            <w:pPr>
              <w:jc w:val="center"/>
              <w:rPr>
                <w:rFonts w:cs="Times New Roman"/>
                <w:sz w:val="20"/>
                <w:szCs w:val="20"/>
              </w:rPr>
            </w:pPr>
            <w:r w:rsidRPr="00C070E6">
              <w:rPr>
                <w:rFonts w:cs="Times New Roman"/>
                <w:bCs/>
                <w:sz w:val="20"/>
                <w:szCs w:val="20"/>
              </w:rPr>
              <w:t>VI</w:t>
            </w:r>
          </w:p>
        </w:tc>
        <w:tc>
          <w:tcPr>
            <w:tcW w:w="1134" w:type="dxa"/>
          </w:tcPr>
          <w:p w:rsidR="003741E7" w:rsidRPr="00C070E6" w:rsidRDefault="001E4F8A" w:rsidP="003741E7">
            <w:pPr>
              <w:jc w:val="center"/>
              <w:rPr>
                <w:rFonts w:cs="Times New Roman"/>
                <w:color w:val="000000" w:themeColor="text1"/>
                <w:sz w:val="20"/>
                <w:szCs w:val="20"/>
              </w:rPr>
            </w:pPr>
            <w:r w:rsidRPr="00C070E6">
              <w:rPr>
                <w:rFonts w:cs="Times New Roman"/>
                <w:bCs/>
                <w:sz w:val="20"/>
                <w:szCs w:val="20"/>
              </w:rPr>
              <w:t>-</w:t>
            </w:r>
          </w:p>
        </w:tc>
        <w:tc>
          <w:tcPr>
            <w:tcW w:w="1276" w:type="dxa"/>
          </w:tcPr>
          <w:p w:rsidR="003741E7" w:rsidRPr="00C070E6" w:rsidRDefault="001E4F8A" w:rsidP="006A19D3">
            <w:pPr>
              <w:jc w:val="center"/>
              <w:rPr>
                <w:rFonts w:cs="Times New Roman"/>
                <w:color w:val="000000" w:themeColor="text1"/>
                <w:sz w:val="20"/>
                <w:szCs w:val="20"/>
              </w:rPr>
            </w:pPr>
            <w:r w:rsidRPr="00C070E6">
              <w:rPr>
                <w:rFonts w:cs="Times New Roman"/>
                <w:bCs/>
                <w:sz w:val="20"/>
                <w:szCs w:val="20"/>
              </w:rPr>
              <w:t>30.12.2022.</w:t>
            </w:r>
          </w:p>
        </w:tc>
      </w:tr>
      <w:tr w:rsidR="003741E7" w:rsidRPr="008C09A4" w:rsidTr="00DA5BE6">
        <w:trPr>
          <w:trHeight w:val="1380"/>
        </w:trPr>
        <w:tc>
          <w:tcPr>
            <w:tcW w:w="568" w:type="dxa"/>
            <w:vMerge/>
          </w:tcPr>
          <w:p w:rsidR="003741E7" w:rsidRPr="008C09A4" w:rsidRDefault="003741E7" w:rsidP="003741E7">
            <w:pPr>
              <w:ind w:right="-21"/>
              <w:rPr>
                <w:rFonts w:cs="Times New Roman"/>
                <w:bCs/>
                <w:sz w:val="20"/>
                <w:szCs w:val="20"/>
              </w:rPr>
            </w:pPr>
          </w:p>
        </w:tc>
        <w:tc>
          <w:tcPr>
            <w:tcW w:w="2268" w:type="dxa"/>
            <w:vMerge/>
          </w:tcPr>
          <w:p w:rsidR="003741E7" w:rsidRPr="002F578F" w:rsidRDefault="003741E7" w:rsidP="003741E7">
            <w:pPr>
              <w:jc w:val="both"/>
              <w:rPr>
                <w:rFonts w:cs="Times New Roman"/>
                <w:color w:val="000000" w:themeColor="text1"/>
                <w:sz w:val="20"/>
                <w:szCs w:val="20"/>
              </w:rPr>
            </w:pPr>
          </w:p>
        </w:tc>
        <w:tc>
          <w:tcPr>
            <w:tcW w:w="3544" w:type="dxa"/>
            <w:vMerge/>
          </w:tcPr>
          <w:p w:rsidR="003741E7" w:rsidRPr="008718C3" w:rsidRDefault="003741E7" w:rsidP="003741E7">
            <w:pPr>
              <w:jc w:val="both"/>
              <w:rPr>
                <w:rFonts w:cs="Times New Roman"/>
                <w:sz w:val="20"/>
                <w:szCs w:val="20"/>
              </w:rPr>
            </w:pPr>
          </w:p>
        </w:tc>
        <w:tc>
          <w:tcPr>
            <w:tcW w:w="2551" w:type="dxa"/>
          </w:tcPr>
          <w:p w:rsidR="003741E7" w:rsidRPr="008718C3" w:rsidRDefault="003741E7" w:rsidP="003741E7">
            <w:pPr>
              <w:jc w:val="both"/>
              <w:rPr>
                <w:rFonts w:cs="Times New Roman"/>
                <w:sz w:val="20"/>
                <w:szCs w:val="20"/>
              </w:rPr>
            </w:pPr>
            <w:r w:rsidRPr="008718C3">
              <w:rPr>
                <w:rFonts w:cs="Times New Roman"/>
                <w:sz w:val="20"/>
                <w:szCs w:val="20"/>
              </w:rPr>
              <w:t>4.Izveidot un uzturēt publiski pieejamu licencēto pieaugušo neformālās izglītības  programmu sarakstu katrā vietējā pašvaldībā.</w:t>
            </w:r>
          </w:p>
        </w:tc>
        <w:tc>
          <w:tcPr>
            <w:tcW w:w="1985" w:type="dxa"/>
          </w:tcPr>
          <w:p w:rsidR="003741E7" w:rsidRPr="008718C3" w:rsidRDefault="003741E7" w:rsidP="003741E7">
            <w:pPr>
              <w:jc w:val="both"/>
              <w:rPr>
                <w:rFonts w:cs="Times New Roman"/>
                <w:sz w:val="20"/>
                <w:szCs w:val="20"/>
              </w:rPr>
            </w:pPr>
            <w:r w:rsidRPr="008718C3">
              <w:rPr>
                <w:rFonts w:cs="Times New Roman"/>
                <w:sz w:val="20"/>
                <w:szCs w:val="20"/>
              </w:rPr>
              <w:t xml:space="preserve">Izveidots publiski pieejams licencēto pieaugušo neformālās izglītības  programmu saraksts katrā vietējā pašvaldībā.  </w:t>
            </w:r>
          </w:p>
        </w:tc>
        <w:tc>
          <w:tcPr>
            <w:tcW w:w="1275" w:type="dxa"/>
          </w:tcPr>
          <w:p w:rsidR="003741E7" w:rsidRPr="008718C3" w:rsidRDefault="003741E7" w:rsidP="003741E7">
            <w:pPr>
              <w:jc w:val="center"/>
              <w:rPr>
                <w:rFonts w:cs="Times New Roman"/>
                <w:sz w:val="20"/>
                <w:szCs w:val="20"/>
              </w:rPr>
            </w:pPr>
            <w:r w:rsidRPr="008718C3">
              <w:rPr>
                <w:rFonts w:cs="Times New Roman"/>
                <w:sz w:val="20"/>
                <w:szCs w:val="20"/>
              </w:rPr>
              <w:t>IZM</w:t>
            </w:r>
          </w:p>
        </w:tc>
        <w:tc>
          <w:tcPr>
            <w:tcW w:w="1134" w:type="dxa"/>
          </w:tcPr>
          <w:p w:rsidR="003741E7" w:rsidRDefault="0079422F" w:rsidP="003741E7">
            <w:pPr>
              <w:jc w:val="center"/>
              <w:rPr>
                <w:rFonts w:cs="Times New Roman"/>
                <w:color w:val="000000" w:themeColor="text1"/>
                <w:sz w:val="20"/>
                <w:szCs w:val="20"/>
              </w:rPr>
            </w:pPr>
            <w:r>
              <w:rPr>
                <w:rFonts w:cs="Times New Roman"/>
                <w:color w:val="000000" w:themeColor="text1"/>
                <w:sz w:val="20"/>
                <w:szCs w:val="20"/>
              </w:rPr>
              <w:t>-</w:t>
            </w:r>
          </w:p>
        </w:tc>
        <w:tc>
          <w:tcPr>
            <w:tcW w:w="1276" w:type="dxa"/>
          </w:tcPr>
          <w:p w:rsidR="003741E7" w:rsidRDefault="001E4F8A" w:rsidP="006A19D3">
            <w:pPr>
              <w:jc w:val="center"/>
              <w:rPr>
                <w:rFonts w:cs="Times New Roman"/>
                <w:color w:val="000000" w:themeColor="text1"/>
                <w:sz w:val="20"/>
                <w:szCs w:val="20"/>
              </w:rPr>
            </w:pPr>
            <w:r w:rsidRPr="008C09A4">
              <w:rPr>
                <w:rFonts w:cs="Times New Roman"/>
                <w:bCs/>
                <w:sz w:val="20"/>
                <w:szCs w:val="20"/>
              </w:rPr>
              <w:t>30.</w:t>
            </w:r>
            <w:r>
              <w:rPr>
                <w:rFonts w:cs="Times New Roman"/>
                <w:bCs/>
                <w:sz w:val="20"/>
                <w:szCs w:val="20"/>
              </w:rPr>
              <w:t>12</w:t>
            </w:r>
            <w:r w:rsidRPr="008C09A4">
              <w:rPr>
                <w:rFonts w:cs="Times New Roman"/>
                <w:bCs/>
                <w:sz w:val="20"/>
                <w:szCs w:val="20"/>
              </w:rPr>
              <w:t>.2022.</w:t>
            </w:r>
          </w:p>
        </w:tc>
      </w:tr>
      <w:tr w:rsidR="006B2ACC" w:rsidRPr="008C09A4" w:rsidTr="00DA5BE6">
        <w:trPr>
          <w:trHeight w:val="1380"/>
        </w:trPr>
        <w:tc>
          <w:tcPr>
            <w:tcW w:w="568" w:type="dxa"/>
            <w:vMerge/>
          </w:tcPr>
          <w:p w:rsidR="006B2ACC" w:rsidRPr="008C09A4" w:rsidRDefault="006B2ACC" w:rsidP="00250B3B">
            <w:pPr>
              <w:ind w:right="-21"/>
              <w:rPr>
                <w:rFonts w:cs="Times New Roman"/>
                <w:bCs/>
                <w:sz w:val="20"/>
                <w:szCs w:val="20"/>
              </w:rPr>
            </w:pPr>
          </w:p>
        </w:tc>
        <w:tc>
          <w:tcPr>
            <w:tcW w:w="2268" w:type="dxa"/>
            <w:vMerge/>
          </w:tcPr>
          <w:p w:rsidR="006B2ACC" w:rsidRPr="002F578F" w:rsidRDefault="006B2ACC" w:rsidP="002F578F">
            <w:pPr>
              <w:jc w:val="both"/>
              <w:rPr>
                <w:rFonts w:cs="Times New Roman"/>
                <w:color w:val="000000" w:themeColor="text1"/>
                <w:sz w:val="20"/>
                <w:szCs w:val="20"/>
              </w:rPr>
            </w:pPr>
          </w:p>
        </w:tc>
        <w:tc>
          <w:tcPr>
            <w:tcW w:w="3544" w:type="dxa"/>
            <w:vMerge/>
          </w:tcPr>
          <w:p w:rsidR="006B2ACC" w:rsidRPr="008718C3" w:rsidRDefault="006B2ACC" w:rsidP="00250B3B">
            <w:pPr>
              <w:jc w:val="both"/>
              <w:rPr>
                <w:rFonts w:cs="Times New Roman"/>
                <w:sz w:val="20"/>
                <w:szCs w:val="20"/>
              </w:rPr>
            </w:pPr>
          </w:p>
        </w:tc>
        <w:tc>
          <w:tcPr>
            <w:tcW w:w="2551" w:type="dxa"/>
          </w:tcPr>
          <w:p w:rsidR="00BD56C9" w:rsidRPr="008718C3" w:rsidRDefault="003741E7" w:rsidP="002979C2">
            <w:pPr>
              <w:jc w:val="both"/>
              <w:rPr>
                <w:rFonts w:cs="Times New Roman"/>
                <w:sz w:val="20"/>
                <w:szCs w:val="20"/>
              </w:rPr>
            </w:pPr>
            <w:r w:rsidRPr="008718C3">
              <w:rPr>
                <w:rFonts w:cs="Times New Roman"/>
                <w:sz w:val="20"/>
                <w:szCs w:val="20"/>
              </w:rPr>
              <w:t>5.Izvērtēt iespējamos risinājumus, lai nodrošinātu, ka skaistumkopšanas pakalpojumu sniedzēji var veikt saimniecisko darbību skaistumkopšanas jomā tikai ar iegūtu profesionālo kvalifikāciju šajā nozarē.</w:t>
            </w:r>
          </w:p>
        </w:tc>
        <w:tc>
          <w:tcPr>
            <w:tcW w:w="1985" w:type="dxa"/>
          </w:tcPr>
          <w:p w:rsidR="006B2ACC" w:rsidRPr="008718C3" w:rsidRDefault="003741E7" w:rsidP="00E07FAF">
            <w:pPr>
              <w:jc w:val="both"/>
              <w:rPr>
                <w:rFonts w:cs="Times New Roman"/>
                <w:sz w:val="20"/>
                <w:szCs w:val="20"/>
              </w:rPr>
            </w:pPr>
            <w:r w:rsidRPr="008718C3">
              <w:rPr>
                <w:rFonts w:cs="Times New Roman"/>
                <w:sz w:val="20"/>
                <w:szCs w:val="20"/>
              </w:rPr>
              <w:t>Veikts izvērtējums par turpmāk nepieciešamo rīcību ēnu ekonomikas mazināšanai skaistumkopšanas nozarē.</w:t>
            </w:r>
          </w:p>
        </w:tc>
        <w:tc>
          <w:tcPr>
            <w:tcW w:w="1275" w:type="dxa"/>
          </w:tcPr>
          <w:p w:rsidR="003741E7" w:rsidRPr="008718C3" w:rsidRDefault="003741E7" w:rsidP="003741E7">
            <w:pPr>
              <w:jc w:val="center"/>
              <w:rPr>
                <w:rFonts w:cs="Times New Roman"/>
                <w:bCs/>
                <w:sz w:val="20"/>
                <w:szCs w:val="20"/>
              </w:rPr>
            </w:pPr>
            <w:r w:rsidRPr="008718C3">
              <w:rPr>
                <w:rFonts w:cs="Times New Roman"/>
                <w:bCs/>
                <w:sz w:val="20"/>
                <w:szCs w:val="20"/>
              </w:rPr>
              <w:t>IZM,</w:t>
            </w:r>
          </w:p>
          <w:p w:rsidR="003741E7" w:rsidRPr="008718C3" w:rsidRDefault="003741E7" w:rsidP="003741E7">
            <w:pPr>
              <w:jc w:val="center"/>
              <w:rPr>
                <w:rFonts w:cs="Times New Roman"/>
                <w:bCs/>
                <w:sz w:val="20"/>
                <w:szCs w:val="20"/>
              </w:rPr>
            </w:pPr>
            <w:r w:rsidRPr="008718C3">
              <w:rPr>
                <w:rFonts w:cs="Times New Roman"/>
                <w:bCs/>
                <w:sz w:val="20"/>
                <w:szCs w:val="20"/>
              </w:rPr>
              <w:t>VID,</w:t>
            </w:r>
          </w:p>
          <w:p w:rsidR="006B2ACC" w:rsidRPr="001E4F8A" w:rsidRDefault="003741E7" w:rsidP="001E4F8A">
            <w:pPr>
              <w:jc w:val="center"/>
              <w:rPr>
                <w:rFonts w:cs="Times New Roman"/>
                <w:bCs/>
                <w:color w:val="C00000"/>
                <w:sz w:val="20"/>
                <w:szCs w:val="20"/>
              </w:rPr>
            </w:pPr>
            <w:r w:rsidRPr="008718C3">
              <w:rPr>
                <w:rFonts w:cs="Times New Roman"/>
                <w:bCs/>
                <w:sz w:val="20"/>
                <w:szCs w:val="20"/>
              </w:rPr>
              <w:t>VI</w:t>
            </w:r>
          </w:p>
        </w:tc>
        <w:tc>
          <w:tcPr>
            <w:tcW w:w="1134" w:type="dxa"/>
          </w:tcPr>
          <w:p w:rsidR="006B2ACC" w:rsidRDefault="006B2ACC" w:rsidP="006B2ACC">
            <w:pPr>
              <w:jc w:val="center"/>
              <w:rPr>
                <w:rFonts w:cs="Times New Roman"/>
                <w:bCs/>
                <w:sz w:val="20"/>
                <w:szCs w:val="20"/>
              </w:rPr>
            </w:pPr>
            <w:r>
              <w:rPr>
                <w:rFonts w:cs="Times New Roman"/>
                <w:bCs/>
                <w:sz w:val="20"/>
                <w:szCs w:val="20"/>
              </w:rPr>
              <w:t>VM,</w:t>
            </w:r>
          </w:p>
          <w:p w:rsidR="006B2ACC" w:rsidRDefault="006B2ACC" w:rsidP="00CF0418">
            <w:pPr>
              <w:jc w:val="center"/>
              <w:rPr>
                <w:rFonts w:cs="Times New Roman"/>
                <w:color w:val="000000" w:themeColor="text1"/>
                <w:sz w:val="20"/>
                <w:szCs w:val="20"/>
              </w:rPr>
            </w:pPr>
            <w:r w:rsidRPr="008C09A4">
              <w:rPr>
                <w:rFonts w:cs="Times New Roman"/>
                <w:bCs/>
                <w:sz w:val="20"/>
                <w:szCs w:val="20"/>
              </w:rPr>
              <w:t>VADDA</w:t>
            </w:r>
            <w:r w:rsidR="00CF0418">
              <w:rPr>
                <w:rFonts w:cs="Times New Roman"/>
                <w:bCs/>
                <w:sz w:val="20"/>
                <w:szCs w:val="20"/>
              </w:rPr>
              <w:t>,</w:t>
            </w:r>
            <w:r w:rsidR="00BF40AF">
              <w:rPr>
                <w:rFonts w:cs="Times New Roman"/>
                <w:bCs/>
                <w:sz w:val="20"/>
                <w:szCs w:val="20"/>
              </w:rPr>
              <w:t xml:space="preserve"> LDDK</w:t>
            </w:r>
          </w:p>
        </w:tc>
        <w:tc>
          <w:tcPr>
            <w:tcW w:w="1276" w:type="dxa"/>
          </w:tcPr>
          <w:p w:rsidR="006B2ACC" w:rsidRDefault="001E4F8A" w:rsidP="00D70C17">
            <w:pPr>
              <w:jc w:val="center"/>
              <w:rPr>
                <w:rFonts w:cs="Times New Roman"/>
                <w:color w:val="000000" w:themeColor="text1"/>
                <w:sz w:val="20"/>
                <w:szCs w:val="20"/>
              </w:rPr>
            </w:pPr>
            <w:r w:rsidRPr="008C09A4">
              <w:rPr>
                <w:rFonts w:cs="Times New Roman"/>
                <w:bCs/>
                <w:sz w:val="20"/>
                <w:szCs w:val="20"/>
              </w:rPr>
              <w:t>30.</w:t>
            </w:r>
            <w:r>
              <w:rPr>
                <w:rFonts w:cs="Times New Roman"/>
                <w:bCs/>
                <w:sz w:val="20"/>
                <w:szCs w:val="20"/>
              </w:rPr>
              <w:t>12</w:t>
            </w:r>
            <w:r w:rsidRPr="008C09A4">
              <w:rPr>
                <w:rFonts w:cs="Times New Roman"/>
                <w:bCs/>
                <w:sz w:val="20"/>
                <w:szCs w:val="20"/>
              </w:rPr>
              <w:t>.2022.</w:t>
            </w:r>
          </w:p>
        </w:tc>
      </w:tr>
      <w:bookmarkEnd w:id="17"/>
      <w:tr w:rsidR="00B1614A" w:rsidRPr="00A5127B" w:rsidTr="00DA5BE6">
        <w:trPr>
          <w:trHeight w:val="269"/>
        </w:trPr>
        <w:tc>
          <w:tcPr>
            <w:tcW w:w="568" w:type="dxa"/>
            <w:shd w:val="clear" w:color="auto" w:fill="auto"/>
          </w:tcPr>
          <w:p w:rsidR="00B1614A" w:rsidRPr="00A5127B" w:rsidRDefault="00B1614A" w:rsidP="00AB2E6C">
            <w:pPr>
              <w:ind w:right="-21"/>
              <w:rPr>
                <w:rFonts w:cs="Times New Roman"/>
                <w:bCs/>
                <w:sz w:val="20"/>
                <w:szCs w:val="20"/>
              </w:rPr>
            </w:pPr>
            <w:r>
              <w:rPr>
                <w:rFonts w:cs="Times New Roman"/>
                <w:bCs/>
                <w:sz w:val="20"/>
                <w:szCs w:val="20"/>
              </w:rPr>
              <w:t>1.6</w:t>
            </w:r>
            <w:r w:rsidRPr="00A5127B">
              <w:rPr>
                <w:rFonts w:cs="Times New Roman"/>
                <w:bCs/>
                <w:sz w:val="20"/>
                <w:szCs w:val="20"/>
              </w:rPr>
              <w:t>.</w:t>
            </w:r>
          </w:p>
        </w:tc>
        <w:tc>
          <w:tcPr>
            <w:tcW w:w="2268" w:type="dxa"/>
            <w:shd w:val="clear" w:color="auto" w:fill="auto"/>
          </w:tcPr>
          <w:p w:rsidR="00B1614A" w:rsidRPr="00A5127B" w:rsidRDefault="00B1614A" w:rsidP="00AB2E6C">
            <w:pPr>
              <w:jc w:val="both"/>
              <w:rPr>
                <w:rFonts w:cs="Times New Roman"/>
                <w:sz w:val="20"/>
                <w:szCs w:val="20"/>
              </w:rPr>
            </w:pPr>
            <w:r w:rsidRPr="00A5127B">
              <w:rPr>
                <w:rFonts w:cs="Times New Roman"/>
                <w:sz w:val="20"/>
                <w:szCs w:val="20"/>
              </w:rPr>
              <w:t>Normatīvajos aktos noteikt regulējumu par attālinātu veselības aprūpes pakalpojumu sniegšanu.</w:t>
            </w:r>
          </w:p>
        </w:tc>
        <w:tc>
          <w:tcPr>
            <w:tcW w:w="3544" w:type="dxa"/>
            <w:shd w:val="clear" w:color="auto" w:fill="auto"/>
          </w:tcPr>
          <w:p w:rsidR="00B1614A" w:rsidRPr="00A5127B" w:rsidRDefault="00B1614A" w:rsidP="00E03169">
            <w:pPr>
              <w:spacing w:line="220" w:lineRule="exact"/>
              <w:jc w:val="both"/>
              <w:rPr>
                <w:rFonts w:cs="Times New Roman"/>
                <w:b/>
                <w:bCs/>
                <w:sz w:val="20"/>
                <w:szCs w:val="20"/>
              </w:rPr>
            </w:pPr>
            <w:r>
              <w:rPr>
                <w:rFonts w:cs="Times New Roman"/>
                <w:sz w:val="20"/>
                <w:szCs w:val="20"/>
              </w:rPr>
              <w:t>Covid-</w:t>
            </w:r>
            <w:r w:rsidRPr="00A5127B">
              <w:rPr>
                <w:rFonts w:cs="Times New Roman"/>
                <w:sz w:val="20"/>
                <w:szCs w:val="20"/>
              </w:rPr>
              <w:t xml:space="preserve">19 pandēmijas laikā ievērojami attīstījās </w:t>
            </w:r>
            <w:r w:rsidRPr="00A5127B">
              <w:rPr>
                <w:rFonts w:cs="Times New Roman"/>
                <w:bCs/>
                <w:sz w:val="20"/>
                <w:szCs w:val="20"/>
              </w:rPr>
              <w:t>attālinātās konsultācijas ārstniecības pakalpojumu jomā</w:t>
            </w:r>
            <w:r w:rsidRPr="00A5127B">
              <w:rPr>
                <w:rFonts w:cs="Times New Roman"/>
                <w:sz w:val="20"/>
                <w:szCs w:val="20"/>
              </w:rPr>
              <w:t xml:space="preserve">. </w:t>
            </w:r>
          </w:p>
          <w:p w:rsidR="00B1614A" w:rsidRPr="00A5127B" w:rsidRDefault="00B1614A" w:rsidP="00E03169">
            <w:pPr>
              <w:spacing w:line="220" w:lineRule="exact"/>
              <w:jc w:val="both"/>
              <w:rPr>
                <w:rFonts w:cs="Times New Roman"/>
                <w:sz w:val="20"/>
                <w:szCs w:val="20"/>
              </w:rPr>
            </w:pPr>
            <w:r w:rsidRPr="00A5127B">
              <w:rPr>
                <w:rFonts w:cs="Times New Roman"/>
                <w:sz w:val="20"/>
                <w:szCs w:val="20"/>
              </w:rPr>
              <w:t xml:space="preserve">Spēkā esošajos normatīvajos aktos </w:t>
            </w:r>
            <w:r w:rsidRPr="00A5127B">
              <w:rPr>
                <w:rFonts w:cs="Times New Roman"/>
                <w:bCs/>
                <w:sz w:val="20"/>
                <w:szCs w:val="20"/>
              </w:rPr>
              <w:t xml:space="preserve">nav noteikts precīzs, </w:t>
            </w:r>
            <w:r w:rsidRPr="00133F1A">
              <w:rPr>
                <w:rFonts w:cs="Times New Roman"/>
                <w:bCs/>
                <w:sz w:val="20"/>
                <w:szCs w:val="20"/>
              </w:rPr>
              <w:t>nepārprotams regulējums attālinātu veselības aprūpes pakalpojumu sniegšanai, kā arī nav pietiekama minēto tirgus dalībnieku uzraudzība.</w:t>
            </w:r>
            <w:r w:rsidRPr="00133F1A">
              <w:rPr>
                <w:rFonts w:cs="Times New Roman"/>
                <w:sz w:val="20"/>
                <w:szCs w:val="20"/>
              </w:rPr>
              <w:t xml:space="preserve"> Taču, kontrolējot tikai reģistrētās ārstniecības iestādes, pieaug apdraudējums pacien</w:t>
            </w:r>
            <w:r w:rsidRPr="00A5127B">
              <w:rPr>
                <w:rFonts w:cs="Times New Roman"/>
                <w:sz w:val="20"/>
                <w:szCs w:val="20"/>
              </w:rPr>
              <w:t>tu veselībai, jo tieši nereģistrētie</w:t>
            </w:r>
            <w:r>
              <w:rPr>
                <w:rFonts w:cs="Times New Roman"/>
                <w:sz w:val="20"/>
                <w:szCs w:val="20"/>
              </w:rPr>
              <w:t xml:space="preserve"> </w:t>
            </w:r>
            <w:r w:rsidRPr="000D12AF">
              <w:rPr>
                <w:rFonts w:cs="Times New Roman"/>
                <w:sz w:val="20"/>
                <w:szCs w:val="20"/>
              </w:rPr>
              <w:t>pakalpojumu sniedzēji</w:t>
            </w:r>
            <w:r w:rsidRPr="00A5127B">
              <w:rPr>
                <w:rFonts w:cs="Times New Roman"/>
                <w:sz w:val="20"/>
                <w:szCs w:val="20"/>
              </w:rPr>
              <w:t xml:space="preserve"> veselības aprūpes pakalpojumus sniedz ārstniecībai nepiemērotās</w:t>
            </w:r>
            <w:r>
              <w:rPr>
                <w:rFonts w:cs="Times New Roman"/>
                <w:sz w:val="20"/>
                <w:szCs w:val="20"/>
              </w:rPr>
              <w:t xml:space="preserve"> </w:t>
            </w:r>
            <w:r w:rsidRPr="00A5127B">
              <w:rPr>
                <w:rFonts w:cs="Times New Roman"/>
                <w:sz w:val="20"/>
                <w:szCs w:val="20"/>
              </w:rPr>
              <w:t xml:space="preserve">telpās: viesnīcās, dzīvokļos, u.tml., izmanto Latvijā nereģistrētas metodes, ārstniecības iekārtas un medikamentus. </w:t>
            </w:r>
          </w:p>
        </w:tc>
        <w:tc>
          <w:tcPr>
            <w:tcW w:w="2551" w:type="dxa"/>
            <w:shd w:val="clear" w:color="auto" w:fill="auto"/>
          </w:tcPr>
          <w:p w:rsidR="00B1614A" w:rsidRPr="00A5127B" w:rsidRDefault="00B1614A" w:rsidP="00AB2E6C">
            <w:pPr>
              <w:jc w:val="both"/>
              <w:rPr>
                <w:rFonts w:cs="Times New Roman"/>
                <w:bCs/>
                <w:sz w:val="20"/>
                <w:szCs w:val="20"/>
              </w:rPr>
            </w:pPr>
            <w:r w:rsidRPr="00A5127B">
              <w:rPr>
                <w:rFonts w:cs="Times New Roman"/>
                <w:bCs/>
                <w:sz w:val="20"/>
                <w:szCs w:val="20"/>
              </w:rPr>
              <w:t>Izvērtējot visus potenciālos riskus pakalpojuma drošumam, godīgai konkurencei (arī ar klātienes pakalpojumu prasībām) un darījumu pilnīgai uzskaitei, pilnveidoti normatīvie akti par attālinātu konsultāciju veikšanu ārstniecības pakalpojumu jomā, to uzskaiti un norēķiniem.</w:t>
            </w:r>
          </w:p>
        </w:tc>
        <w:tc>
          <w:tcPr>
            <w:tcW w:w="1985" w:type="dxa"/>
            <w:shd w:val="clear" w:color="auto" w:fill="auto"/>
          </w:tcPr>
          <w:p w:rsidR="00B1614A" w:rsidRPr="00A5127B" w:rsidRDefault="00B1614A" w:rsidP="00F714EC">
            <w:pPr>
              <w:jc w:val="both"/>
              <w:rPr>
                <w:rFonts w:cs="Times New Roman"/>
                <w:sz w:val="20"/>
                <w:szCs w:val="20"/>
              </w:rPr>
            </w:pPr>
            <w:r w:rsidRPr="00A5127B">
              <w:rPr>
                <w:rFonts w:cs="Times New Roman"/>
                <w:sz w:val="20"/>
                <w:szCs w:val="20"/>
              </w:rPr>
              <w:t>Sagatavots novērtējums par esošo situāciju, iespējamajiem risinājumiem, grozījumiem normatīvajos aktos.</w:t>
            </w:r>
          </w:p>
        </w:tc>
        <w:tc>
          <w:tcPr>
            <w:tcW w:w="1275" w:type="dxa"/>
            <w:shd w:val="clear" w:color="auto" w:fill="auto"/>
          </w:tcPr>
          <w:p w:rsidR="00B1614A" w:rsidRDefault="00B1614A" w:rsidP="00AB2E6C">
            <w:pPr>
              <w:jc w:val="center"/>
              <w:rPr>
                <w:rFonts w:cs="Times New Roman"/>
                <w:bCs/>
                <w:sz w:val="20"/>
                <w:szCs w:val="20"/>
              </w:rPr>
            </w:pPr>
            <w:r w:rsidRPr="00A5127B">
              <w:rPr>
                <w:rFonts w:cs="Times New Roman"/>
                <w:bCs/>
                <w:sz w:val="20"/>
                <w:szCs w:val="20"/>
              </w:rPr>
              <w:t xml:space="preserve">VM, </w:t>
            </w:r>
          </w:p>
          <w:p w:rsidR="00B1614A" w:rsidRPr="00A5127B" w:rsidRDefault="00B1614A" w:rsidP="00AB2E6C">
            <w:pPr>
              <w:jc w:val="center"/>
              <w:rPr>
                <w:rFonts w:cs="Times New Roman"/>
                <w:bCs/>
                <w:sz w:val="20"/>
                <w:szCs w:val="20"/>
              </w:rPr>
            </w:pPr>
            <w:r w:rsidRPr="00A5127B">
              <w:rPr>
                <w:rFonts w:cs="Times New Roman"/>
                <w:bCs/>
                <w:sz w:val="20"/>
                <w:szCs w:val="20"/>
              </w:rPr>
              <w:t>VI</w:t>
            </w:r>
          </w:p>
        </w:tc>
        <w:tc>
          <w:tcPr>
            <w:tcW w:w="1134" w:type="dxa"/>
            <w:shd w:val="clear" w:color="auto" w:fill="auto"/>
          </w:tcPr>
          <w:p w:rsidR="00B1614A" w:rsidRPr="00CF0418" w:rsidRDefault="00B1614A" w:rsidP="00AB2E6C">
            <w:pPr>
              <w:jc w:val="center"/>
              <w:rPr>
                <w:rFonts w:cs="Times New Roman"/>
                <w:bCs/>
                <w:sz w:val="20"/>
                <w:szCs w:val="20"/>
              </w:rPr>
            </w:pPr>
            <w:r w:rsidRPr="00CF0418">
              <w:rPr>
                <w:rFonts w:cs="Times New Roman"/>
                <w:bCs/>
                <w:sz w:val="20"/>
                <w:szCs w:val="20"/>
              </w:rPr>
              <w:t>FM</w:t>
            </w:r>
            <w:r w:rsidR="00D15F05">
              <w:rPr>
                <w:rFonts w:cs="Times New Roman"/>
                <w:bCs/>
                <w:sz w:val="20"/>
                <w:szCs w:val="20"/>
              </w:rPr>
              <w:t>,</w:t>
            </w:r>
          </w:p>
          <w:p w:rsidR="0004150B" w:rsidRPr="00A5127B" w:rsidRDefault="0004150B" w:rsidP="00AB2E6C">
            <w:pPr>
              <w:jc w:val="center"/>
              <w:rPr>
                <w:rFonts w:cs="Times New Roman"/>
                <w:bCs/>
                <w:sz w:val="20"/>
                <w:szCs w:val="20"/>
              </w:rPr>
            </w:pPr>
            <w:r w:rsidRPr="00CF0418">
              <w:rPr>
                <w:rFonts w:cs="Times New Roman"/>
                <w:bCs/>
                <w:sz w:val="20"/>
                <w:szCs w:val="20"/>
              </w:rPr>
              <w:t>VID</w:t>
            </w:r>
          </w:p>
        </w:tc>
        <w:tc>
          <w:tcPr>
            <w:tcW w:w="1276" w:type="dxa"/>
            <w:shd w:val="clear" w:color="auto" w:fill="auto"/>
          </w:tcPr>
          <w:p w:rsidR="00B1614A" w:rsidRPr="00A5127B" w:rsidRDefault="00B1614A" w:rsidP="00AB2E6C">
            <w:pPr>
              <w:jc w:val="center"/>
              <w:rPr>
                <w:rFonts w:cs="Times New Roman"/>
                <w:bCs/>
                <w:sz w:val="20"/>
                <w:szCs w:val="20"/>
              </w:rPr>
            </w:pPr>
            <w:r w:rsidRPr="00A5127B">
              <w:rPr>
                <w:rFonts w:cs="Times New Roman"/>
                <w:bCs/>
                <w:sz w:val="20"/>
                <w:szCs w:val="20"/>
              </w:rPr>
              <w:t>31.07.2022.</w:t>
            </w:r>
          </w:p>
        </w:tc>
      </w:tr>
      <w:tr w:rsidR="008C09A4" w:rsidRPr="008C09A4" w:rsidTr="00DA5BE6">
        <w:trPr>
          <w:trHeight w:val="543"/>
        </w:trPr>
        <w:tc>
          <w:tcPr>
            <w:tcW w:w="568" w:type="dxa"/>
          </w:tcPr>
          <w:p w:rsidR="008C09A4" w:rsidRPr="008C09A4" w:rsidRDefault="008C09A4" w:rsidP="00250B3B">
            <w:pPr>
              <w:ind w:right="-21"/>
              <w:rPr>
                <w:rFonts w:cs="Times New Roman"/>
                <w:bCs/>
                <w:sz w:val="20"/>
                <w:szCs w:val="20"/>
              </w:rPr>
            </w:pPr>
            <w:bookmarkStart w:id="21" w:name="_Hlk86306990"/>
            <w:bookmarkEnd w:id="18"/>
            <w:r w:rsidRPr="008C09A4">
              <w:rPr>
                <w:rFonts w:cs="Times New Roman"/>
                <w:bCs/>
                <w:sz w:val="20"/>
                <w:szCs w:val="20"/>
              </w:rPr>
              <w:t>1.</w:t>
            </w:r>
            <w:r w:rsidR="00B1614A">
              <w:rPr>
                <w:rFonts w:cs="Times New Roman"/>
                <w:bCs/>
                <w:sz w:val="20"/>
                <w:szCs w:val="20"/>
              </w:rPr>
              <w:t>7</w:t>
            </w:r>
            <w:r w:rsidRPr="008C09A4">
              <w:rPr>
                <w:rFonts w:cs="Times New Roman"/>
                <w:bCs/>
                <w:sz w:val="20"/>
                <w:szCs w:val="20"/>
              </w:rPr>
              <w:t>.</w:t>
            </w:r>
          </w:p>
        </w:tc>
        <w:tc>
          <w:tcPr>
            <w:tcW w:w="2268" w:type="dxa"/>
          </w:tcPr>
          <w:p w:rsidR="008C09A4" w:rsidRPr="008C09A4" w:rsidRDefault="008C09A4" w:rsidP="00250B3B">
            <w:pPr>
              <w:jc w:val="both"/>
              <w:rPr>
                <w:rFonts w:cs="Times New Roman"/>
                <w:sz w:val="20"/>
                <w:szCs w:val="20"/>
              </w:rPr>
            </w:pPr>
            <w:r w:rsidRPr="008C09A4">
              <w:rPr>
                <w:rFonts w:cs="Times New Roman"/>
                <w:sz w:val="20"/>
                <w:szCs w:val="20"/>
              </w:rPr>
              <w:t xml:space="preserve">Dažādos publiskajos reģistros esošās informācijas veselības aprūpes un skaistumkopšanas </w:t>
            </w:r>
            <w:r w:rsidR="00D87E27" w:rsidRPr="008C09A4">
              <w:rPr>
                <w:rFonts w:cs="Times New Roman"/>
                <w:sz w:val="20"/>
                <w:szCs w:val="20"/>
              </w:rPr>
              <w:t>jom</w:t>
            </w:r>
            <w:r w:rsidR="00D87E27">
              <w:rPr>
                <w:rFonts w:cs="Times New Roman"/>
                <w:sz w:val="20"/>
                <w:szCs w:val="20"/>
              </w:rPr>
              <w:t>ā</w:t>
            </w:r>
            <w:r w:rsidR="00D87E27" w:rsidRPr="008C09A4">
              <w:rPr>
                <w:rFonts w:cs="Times New Roman"/>
                <w:sz w:val="20"/>
                <w:szCs w:val="20"/>
              </w:rPr>
              <w:t xml:space="preserve"> sakārtošana.</w:t>
            </w:r>
          </w:p>
        </w:tc>
        <w:tc>
          <w:tcPr>
            <w:tcW w:w="3544" w:type="dxa"/>
          </w:tcPr>
          <w:p w:rsidR="002A2B61" w:rsidRPr="008C09A4" w:rsidRDefault="008C09A4" w:rsidP="00E03169">
            <w:pPr>
              <w:spacing w:line="220" w:lineRule="exact"/>
              <w:jc w:val="both"/>
              <w:rPr>
                <w:rFonts w:cs="Times New Roman"/>
                <w:sz w:val="20"/>
                <w:szCs w:val="20"/>
              </w:rPr>
            </w:pPr>
            <w:r w:rsidRPr="008C09A4">
              <w:rPr>
                <w:rFonts w:cs="Times New Roman"/>
                <w:sz w:val="20"/>
                <w:szCs w:val="20"/>
              </w:rPr>
              <w:t xml:space="preserve">Jāveic VI pārraudzībā esošo ārstniecības iestāžu reģistra, ārstniecības personu reģistra, kā arī skaistumkopšanas un tetovēšanas pakalpojumu sniedzēju paziņošanas saraksta datu salīdzināšana ar VID datu bāzē esošajiem datiem, kā rezultātā būtu korekta informācija, kuru pēc tam var izmantot gan kvalitatīvākai analīzei, gan uzraudzības pasākumu plānošanai un veikšanai. Šobrīd šī informācija nav pilnīga, kā rezultātā, piemēram, iegūt precīzu informāciju par veselības aprūpes ārstniecības iestāžu samaksātajiem nodokļiem un par medicīnas personāla (kā fiziskas personas) izdevumu atbilstību VID deklarētajiem ienākumiem vai darbā nostrādāto </w:t>
            </w:r>
            <w:proofErr w:type="spellStart"/>
            <w:r w:rsidRPr="008C09A4">
              <w:rPr>
                <w:rFonts w:cs="Times New Roman"/>
                <w:sz w:val="20"/>
                <w:szCs w:val="20"/>
              </w:rPr>
              <w:t>kopstundu</w:t>
            </w:r>
            <w:proofErr w:type="spellEnd"/>
            <w:r w:rsidRPr="008C09A4">
              <w:rPr>
                <w:rFonts w:cs="Times New Roman"/>
                <w:sz w:val="20"/>
                <w:szCs w:val="20"/>
              </w:rPr>
              <w:t xml:space="preserve"> skaitu ir ļoti sarežģīti un/vai dati nav ticami. Līdzīga problēma ir vērojama </w:t>
            </w:r>
            <w:r w:rsidRPr="00133F1A">
              <w:rPr>
                <w:rFonts w:cs="Times New Roman"/>
                <w:sz w:val="20"/>
                <w:szCs w:val="20"/>
              </w:rPr>
              <w:t>skaistumkopšanas pakalpojumu</w:t>
            </w:r>
            <w:r w:rsidRPr="008C09A4">
              <w:rPr>
                <w:rFonts w:cs="Times New Roman"/>
                <w:sz w:val="20"/>
                <w:szCs w:val="20"/>
              </w:rPr>
              <w:t xml:space="preserve"> jomā. Ja pieejamā informācija tiktu saskaņota un sakārtota, kā arī tiktu veikta informācijas apmaiņa, salīdzinoši vienkārši tiktu atlasītas juridiskas vai fiziskas personas, kurām VID un VI vajadzētu pievērst pastiprinātu uzmanību. Vienlaikus tiktu novērtēts, vai un kādi dati dažādajos valsts reģistros dublējas, lai pēc tam veiktu nepieciešamos grozījumus normatīvajos aktos un samazinātu administratīvo slogu gan komersantiem, gan iestādēm</w:t>
            </w:r>
            <w:r w:rsidR="00BE7FD3">
              <w:rPr>
                <w:rFonts w:cs="Times New Roman"/>
                <w:sz w:val="20"/>
                <w:szCs w:val="20"/>
              </w:rPr>
              <w:t>.</w:t>
            </w:r>
          </w:p>
        </w:tc>
        <w:tc>
          <w:tcPr>
            <w:tcW w:w="2551" w:type="dxa"/>
          </w:tcPr>
          <w:p w:rsidR="008C09A4" w:rsidRPr="008C09A4" w:rsidRDefault="008C09A4" w:rsidP="00B1614A">
            <w:pPr>
              <w:jc w:val="both"/>
              <w:rPr>
                <w:rFonts w:cs="Times New Roman"/>
                <w:sz w:val="20"/>
                <w:szCs w:val="20"/>
              </w:rPr>
            </w:pPr>
            <w:r w:rsidRPr="008C09A4">
              <w:rPr>
                <w:rFonts w:cs="Times New Roman"/>
                <w:sz w:val="20"/>
                <w:szCs w:val="20"/>
              </w:rPr>
              <w:t>Izvērtēt publiskajos reģistros esošo informāciju, identificējot iespējamās nepilnības un sagatavot priekšlikumus situācijas uzlabošanai.</w:t>
            </w:r>
          </w:p>
        </w:tc>
        <w:tc>
          <w:tcPr>
            <w:tcW w:w="1985" w:type="dxa"/>
          </w:tcPr>
          <w:p w:rsidR="008C09A4" w:rsidRPr="008C09A4" w:rsidRDefault="008C09A4" w:rsidP="00B1614A">
            <w:pPr>
              <w:jc w:val="both"/>
              <w:rPr>
                <w:rFonts w:cs="Times New Roman"/>
                <w:sz w:val="20"/>
                <w:szCs w:val="20"/>
              </w:rPr>
            </w:pPr>
            <w:r w:rsidRPr="008C09A4">
              <w:rPr>
                <w:rFonts w:cs="Times New Roman"/>
                <w:bCs/>
                <w:sz w:val="20"/>
                <w:szCs w:val="20"/>
              </w:rPr>
              <w:t>Sagatavots novērtējums un priekšlikumi.</w:t>
            </w:r>
          </w:p>
        </w:tc>
        <w:tc>
          <w:tcPr>
            <w:tcW w:w="1275" w:type="dxa"/>
          </w:tcPr>
          <w:p w:rsidR="007635CA" w:rsidRDefault="008C09A4" w:rsidP="00D70C17">
            <w:pPr>
              <w:jc w:val="center"/>
              <w:rPr>
                <w:rFonts w:cs="Times New Roman"/>
                <w:bCs/>
                <w:sz w:val="20"/>
                <w:szCs w:val="20"/>
              </w:rPr>
            </w:pPr>
            <w:r w:rsidRPr="008C09A4">
              <w:rPr>
                <w:rFonts w:cs="Times New Roman"/>
                <w:bCs/>
                <w:sz w:val="20"/>
                <w:szCs w:val="20"/>
              </w:rPr>
              <w:t>VI</w:t>
            </w:r>
            <w:r w:rsidR="007635CA">
              <w:rPr>
                <w:rFonts w:cs="Times New Roman"/>
                <w:bCs/>
                <w:sz w:val="20"/>
                <w:szCs w:val="20"/>
              </w:rPr>
              <w:t>,</w:t>
            </w:r>
          </w:p>
          <w:p w:rsidR="008C09A4" w:rsidRPr="008C09A4" w:rsidRDefault="007635CA" w:rsidP="00D70C17">
            <w:pPr>
              <w:jc w:val="center"/>
              <w:rPr>
                <w:rFonts w:cs="Times New Roman"/>
                <w:bCs/>
                <w:sz w:val="20"/>
                <w:szCs w:val="20"/>
              </w:rPr>
            </w:pPr>
            <w:r w:rsidRPr="00D70C17">
              <w:rPr>
                <w:rFonts w:cs="Times New Roman"/>
                <w:bCs/>
                <w:sz w:val="20"/>
                <w:szCs w:val="20"/>
              </w:rPr>
              <w:t>VID</w:t>
            </w:r>
          </w:p>
        </w:tc>
        <w:tc>
          <w:tcPr>
            <w:tcW w:w="1134" w:type="dxa"/>
          </w:tcPr>
          <w:p w:rsidR="00BE3080" w:rsidRPr="00D70C17" w:rsidRDefault="00BE3080" w:rsidP="00BE3080">
            <w:pPr>
              <w:jc w:val="center"/>
              <w:rPr>
                <w:rFonts w:cs="Times New Roman"/>
                <w:bCs/>
                <w:sz w:val="20"/>
                <w:szCs w:val="20"/>
              </w:rPr>
            </w:pPr>
            <w:r w:rsidRPr="00D70C17">
              <w:rPr>
                <w:rFonts w:cs="Times New Roman"/>
                <w:bCs/>
                <w:sz w:val="20"/>
                <w:szCs w:val="20"/>
              </w:rPr>
              <w:t xml:space="preserve">NVD, </w:t>
            </w:r>
          </w:p>
          <w:p w:rsidR="00981D5F" w:rsidRDefault="00BE3080" w:rsidP="00D15F05">
            <w:pPr>
              <w:jc w:val="center"/>
              <w:rPr>
                <w:rFonts w:cs="Times New Roman"/>
                <w:bCs/>
                <w:sz w:val="20"/>
                <w:szCs w:val="20"/>
              </w:rPr>
            </w:pPr>
            <w:r w:rsidRPr="00D70C17">
              <w:rPr>
                <w:rFonts w:cs="Times New Roman"/>
                <w:bCs/>
                <w:sz w:val="20"/>
                <w:szCs w:val="20"/>
              </w:rPr>
              <w:t>VM</w:t>
            </w:r>
          </w:p>
          <w:p w:rsidR="00BE3080" w:rsidRPr="00D70C17" w:rsidRDefault="00BE3080" w:rsidP="00BE3080">
            <w:pPr>
              <w:jc w:val="center"/>
              <w:rPr>
                <w:rFonts w:cs="Times New Roman"/>
                <w:bCs/>
                <w:sz w:val="20"/>
                <w:szCs w:val="20"/>
              </w:rPr>
            </w:pPr>
          </w:p>
        </w:tc>
        <w:tc>
          <w:tcPr>
            <w:tcW w:w="1276" w:type="dxa"/>
          </w:tcPr>
          <w:p w:rsidR="008C09A4" w:rsidRPr="008C09A4" w:rsidRDefault="008C09A4" w:rsidP="00250B3B">
            <w:pPr>
              <w:jc w:val="center"/>
              <w:rPr>
                <w:rFonts w:cs="Times New Roman"/>
                <w:bCs/>
                <w:sz w:val="20"/>
                <w:szCs w:val="20"/>
              </w:rPr>
            </w:pPr>
            <w:r w:rsidRPr="008C09A4">
              <w:rPr>
                <w:rFonts w:cs="Times New Roman"/>
                <w:bCs/>
                <w:sz w:val="20"/>
                <w:szCs w:val="20"/>
              </w:rPr>
              <w:t>01.06.2022.</w:t>
            </w:r>
          </w:p>
        </w:tc>
      </w:tr>
      <w:bookmarkEnd w:id="21"/>
      <w:tr w:rsidR="008C09A4" w:rsidRPr="00C070E6" w:rsidTr="00E03169">
        <w:trPr>
          <w:trHeight w:val="411"/>
        </w:trPr>
        <w:tc>
          <w:tcPr>
            <w:tcW w:w="568" w:type="dxa"/>
          </w:tcPr>
          <w:p w:rsidR="008C09A4" w:rsidRPr="00C070E6" w:rsidRDefault="008C09A4" w:rsidP="00250B3B">
            <w:pPr>
              <w:ind w:right="-21"/>
              <w:rPr>
                <w:rFonts w:cs="Times New Roman"/>
                <w:bCs/>
                <w:color w:val="000000" w:themeColor="text1"/>
                <w:sz w:val="20"/>
                <w:szCs w:val="20"/>
              </w:rPr>
            </w:pPr>
            <w:r w:rsidRPr="00C070E6">
              <w:rPr>
                <w:rFonts w:cs="Times New Roman"/>
                <w:bCs/>
                <w:color w:val="000000" w:themeColor="text1"/>
                <w:sz w:val="20"/>
                <w:szCs w:val="20"/>
              </w:rPr>
              <w:t>1.</w:t>
            </w:r>
            <w:r w:rsidR="00B1614A" w:rsidRPr="00C070E6">
              <w:rPr>
                <w:rFonts w:cs="Times New Roman"/>
                <w:bCs/>
                <w:color w:val="000000" w:themeColor="text1"/>
                <w:sz w:val="20"/>
                <w:szCs w:val="20"/>
              </w:rPr>
              <w:t>8</w:t>
            </w:r>
            <w:r w:rsidRPr="00C070E6">
              <w:rPr>
                <w:rFonts w:cs="Times New Roman"/>
                <w:bCs/>
                <w:color w:val="000000" w:themeColor="text1"/>
                <w:sz w:val="20"/>
                <w:szCs w:val="20"/>
              </w:rPr>
              <w:t>.</w:t>
            </w:r>
          </w:p>
        </w:tc>
        <w:tc>
          <w:tcPr>
            <w:tcW w:w="2268" w:type="dxa"/>
          </w:tcPr>
          <w:p w:rsidR="008C09A4" w:rsidRPr="00C070E6" w:rsidRDefault="008C09A4" w:rsidP="00250B3B">
            <w:pPr>
              <w:jc w:val="both"/>
              <w:rPr>
                <w:rFonts w:cs="Times New Roman"/>
                <w:color w:val="000000" w:themeColor="text1"/>
                <w:sz w:val="20"/>
                <w:szCs w:val="20"/>
              </w:rPr>
            </w:pPr>
            <w:r w:rsidRPr="00C070E6">
              <w:rPr>
                <w:rFonts w:cs="Times New Roman"/>
                <w:color w:val="000000" w:themeColor="text1"/>
                <w:sz w:val="20"/>
                <w:szCs w:val="20"/>
              </w:rPr>
              <w:t>Izstrādāt tiesiskā regulējuma projektu</w:t>
            </w:r>
            <w:r w:rsidR="00CD38A5" w:rsidRPr="00C070E6">
              <w:rPr>
                <w:rFonts w:cs="Times New Roman"/>
                <w:color w:val="000000" w:themeColor="text1"/>
                <w:sz w:val="20"/>
                <w:szCs w:val="20"/>
              </w:rPr>
              <w:t>, kas nodrošinātu kvalitatīvu ugunsdrošības pakalpojumu saņemšanu.</w:t>
            </w:r>
            <w:r w:rsidRPr="00C070E6">
              <w:rPr>
                <w:rFonts w:cs="Times New Roman"/>
                <w:color w:val="000000" w:themeColor="text1"/>
                <w:sz w:val="20"/>
                <w:szCs w:val="20"/>
              </w:rPr>
              <w:t xml:space="preserve"> </w:t>
            </w:r>
          </w:p>
        </w:tc>
        <w:tc>
          <w:tcPr>
            <w:tcW w:w="3544" w:type="dxa"/>
          </w:tcPr>
          <w:p w:rsidR="002A2B61" w:rsidRPr="00C070E6" w:rsidRDefault="008C09A4" w:rsidP="00E03169">
            <w:pPr>
              <w:spacing w:line="230" w:lineRule="exact"/>
              <w:jc w:val="both"/>
              <w:rPr>
                <w:rFonts w:cs="Times New Roman"/>
                <w:color w:val="000000" w:themeColor="text1"/>
                <w:sz w:val="20"/>
                <w:szCs w:val="20"/>
              </w:rPr>
            </w:pPr>
            <w:r w:rsidRPr="00C070E6">
              <w:rPr>
                <w:rFonts w:cs="Times New Roman"/>
                <w:color w:val="000000" w:themeColor="text1"/>
                <w:sz w:val="20"/>
                <w:szCs w:val="20"/>
              </w:rPr>
              <w:t xml:space="preserve">Veicināt ugunsdrošības nozarē pārstāvēto komersantu reģistrāciju, lai pasargātu sabiedrību no nekvalitatīviem pakalpojumiem, kā arī mazināt negodprātīgu komersantu iespējas izvairīties no nodokļu nomaksas, veicot sistēmisku uzņēmumu </w:t>
            </w:r>
            <w:proofErr w:type="spellStart"/>
            <w:r w:rsidRPr="00C070E6">
              <w:rPr>
                <w:rFonts w:cs="Times New Roman"/>
                <w:color w:val="000000" w:themeColor="text1"/>
                <w:sz w:val="20"/>
                <w:szCs w:val="20"/>
              </w:rPr>
              <w:t>pārreģistrāciju</w:t>
            </w:r>
            <w:proofErr w:type="spellEnd"/>
            <w:r w:rsidRPr="00C070E6">
              <w:rPr>
                <w:rFonts w:cs="Times New Roman"/>
                <w:color w:val="000000" w:themeColor="text1"/>
                <w:sz w:val="20"/>
                <w:szCs w:val="20"/>
              </w:rPr>
              <w:t>, vai izvairīties no legālas un atbilstošas darbinieku nodarbināšanas.</w:t>
            </w:r>
          </w:p>
        </w:tc>
        <w:tc>
          <w:tcPr>
            <w:tcW w:w="2551" w:type="dxa"/>
          </w:tcPr>
          <w:p w:rsidR="008C09A4" w:rsidRPr="00C070E6" w:rsidRDefault="008C09A4" w:rsidP="00250B3B">
            <w:pPr>
              <w:jc w:val="both"/>
              <w:rPr>
                <w:rFonts w:cs="Times New Roman"/>
                <w:color w:val="000000" w:themeColor="text1"/>
                <w:sz w:val="20"/>
                <w:szCs w:val="20"/>
              </w:rPr>
            </w:pPr>
            <w:r w:rsidRPr="00C070E6">
              <w:rPr>
                <w:rFonts w:cs="Times New Roman"/>
                <w:color w:val="000000" w:themeColor="text1"/>
                <w:sz w:val="20"/>
                <w:szCs w:val="20"/>
              </w:rPr>
              <w:t xml:space="preserve">Izstrādājot jauno likumprojektu par ugunsdrošību un ugunsdzēsību, </w:t>
            </w:r>
            <w:r w:rsidR="00CF545D" w:rsidRPr="00C070E6">
              <w:rPr>
                <w:rFonts w:cs="Times New Roman"/>
                <w:color w:val="000000" w:themeColor="text1"/>
                <w:sz w:val="20"/>
                <w:szCs w:val="20"/>
              </w:rPr>
              <w:t xml:space="preserve">izvērtēt iespēju </w:t>
            </w:r>
            <w:r w:rsidRPr="00C070E6">
              <w:rPr>
                <w:rFonts w:cs="Times New Roman"/>
                <w:color w:val="000000" w:themeColor="text1"/>
                <w:sz w:val="20"/>
                <w:szCs w:val="20"/>
              </w:rPr>
              <w:t>iekļaut tajā tiesību normas, kas paredz ugunsdrošības nozares pakalpojumu sniedzēju reģistrāciju.</w:t>
            </w:r>
          </w:p>
        </w:tc>
        <w:tc>
          <w:tcPr>
            <w:tcW w:w="1985" w:type="dxa"/>
          </w:tcPr>
          <w:p w:rsidR="008C09A4" w:rsidRPr="00C070E6" w:rsidRDefault="008C09A4" w:rsidP="00E07FAF">
            <w:pPr>
              <w:jc w:val="both"/>
              <w:rPr>
                <w:rFonts w:cs="Times New Roman"/>
                <w:color w:val="000000" w:themeColor="text1"/>
                <w:sz w:val="20"/>
                <w:szCs w:val="20"/>
              </w:rPr>
            </w:pPr>
            <w:r w:rsidRPr="00C070E6">
              <w:rPr>
                <w:rFonts w:cs="Times New Roman"/>
                <w:bCs/>
                <w:color w:val="000000" w:themeColor="text1"/>
                <w:sz w:val="20"/>
                <w:szCs w:val="20"/>
              </w:rPr>
              <w:t>Sagatavots tiesiskā regulējuma projekts</w:t>
            </w:r>
            <w:r w:rsidR="00E07FAF" w:rsidRPr="00C070E6">
              <w:rPr>
                <w:rFonts w:cs="Times New Roman"/>
                <w:bCs/>
                <w:color w:val="000000" w:themeColor="text1"/>
                <w:sz w:val="20"/>
                <w:szCs w:val="20"/>
              </w:rPr>
              <w:t>.</w:t>
            </w:r>
          </w:p>
        </w:tc>
        <w:tc>
          <w:tcPr>
            <w:tcW w:w="1275" w:type="dxa"/>
          </w:tcPr>
          <w:p w:rsidR="008C09A4" w:rsidRPr="00C070E6" w:rsidRDefault="008C09A4" w:rsidP="00250B3B">
            <w:pPr>
              <w:jc w:val="center"/>
              <w:rPr>
                <w:rFonts w:cs="Times New Roman"/>
                <w:bCs/>
                <w:color w:val="000000" w:themeColor="text1"/>
                <w:sz w:val="20"/>
                <w:szCs w:val="20"/>
              </w:rPr>
            </w:pPr>
            <w:r w:rsidRPr="00C070E6">
              <w:rPr>
                <w:rFonts w:cs="Times New Roman"/>
                <w:bCs/>
                <w:color w:val="000000" w:themeColor="text1"/>
                <w:sz w:val="20"/>
                <w:szCs w:val="20"/>
              </w:rPr>
              <w:t>IeM</w:t>
            </w:r>
          </w:p>
        </w:tc>
        <w:tc>
          <w:tcPr>
            <w:tcW w:w="1134" w:type="dxa"/>
          </w:tcPr>
          <w:p w:rsidR="008C09A4" w:rsidRPr="00C070E6" w:rsidRDefault="008C09A4" w:rsidP="00250B3B">
            <w:pPr>
              <w:jc w:val="center"/>
              <w:rPr>
                <w:rFonts w:cs="Times New Roman"/>
                <w:bCs/>
                <w:color w:val="000000" w:themeColor="text1"/>
                <w:sz w:val="20"/>
                <w:szCs w:val="20"/>
              </w:rPr>
            </w:pPr>
            <w:r w:rsidRPr="00C070E6">
              <w:rPr>
                <w:rFonts w:cs="Times New Roman"/>
                <w:bCs/>
                <w:color w:val="000000" w:themeColor="text1"/>
                <w:sz w:val="20"/>
                <w:szCs w:val="20"/>
              </w:rPr>
              <w:t>VUGD,</w:t>
            </w:r>
          </w:p>
          <w:p w:rsidR="008C09A4" w:rsidRPr="00C070E6" w:rsidRDefault="005D522B" w:rsidP="00250B3B">
            <w:pPr>
              <w:jc w:val="center"/>
              <w:rPr>
                <w:rFonts w:cs="Times New Roman"/>
                <w:bCs/>
                <w:color w:val="000000" w:themeColor="text1"/>
                <w:sz w:val="20"/>
                <w:szCs w:val="20"/>
              </w:rPr>
            </w:pPr>
            <w:r w:rsidRPr="00C070E6">
              <w:rPr>
                <w:rFonts w:cs="Times New Roman"/>
                <w:bCs/>
                <w:color w:val="000000" w:themeColor="text1"/>
                <w:sz w:val="20"/>
                <w:szCs w:val="20"/>
              </w:rPr>
              <w:t>LUA</w:t>
            </w:r>
            <w:r w:rsidR="008C09A4" w:rsidRPr="00C070E6">
              <w:rPr>
                <w:rFonts w:cs="Times New Roman"/>
                <w:bCs/>
                <w:color w:val="000000" w:themeColor="text1"/>
                <w:sz w:val="20"/>
                <w:szCs w:val="20"/>
              </w:rPr>
              <w:t xml:space="preserve">, </w:t>
            </w:r>
          </w:p>
          <w:p w:rsidR="008C09A4" w:rsidRPr="00C070E6" w:rsidRDefault="008C09A4" w:rsidP="00250B3B">
            <w:pPr>
              <w:jc w:val="center"/>
              <w:rPr>
                <w:rFonts w:cs="Times New Roman"/>
                <w:bCs/>
                <w:color w:val="000000" w:themeColor="text1"/>
                <w:sz w:val="20"/>
                <w:szCs w:val="20"/>
              </w:rPr>
            </w:pPr>
            <w:r w:rsidRPr="00C070E6">
              <w:rPr>
                <w:rFonts w:cs="Times New Roman"/>
                <w:bCs/>
                <w:color w:val="000000" w:themeColor="text1"/>
                <w:sz w:val="20"/>
                <w:szCs w:val="20"/>
              </w:rPr>
              <w:t>FM</w:t>
            </w:r>
          </w:p>
        </w:tc>
        <w:tc>
          <w:tcPr>
            <w:tcW w:w="1276" w:type="dxa"/>
          </w:tcPr>
          <w:p w:rsidR="008C09A4" w:rsidRPr="00C070E6" w:rsidRDefault="00CF545D" w:rsidP="004B0589">
            <w:pPr>
              <w:jc w:val="center"/>
              <w:rPr>
                <w:rFonts w:cs="Times New Roman"/>
                <w:bCs/>
                <w:color w:val="000000" w:themeColor="text1"/>
                <w:sz w:val="20"/>
                <w:szCs w:val="20"/>
              </w:rPr>
            </w:pPr>
            <w:r w:rsidRPr="00C070E6">
              <w:rPr>
                <w:rFonts w:cs="Times New Roman"/>
                <w:bCs/>
                <w:color w:val="000000" w:themeColor="text1"/>
                <w:sz w:val="20"/>
                <w:szCs w:val="20"/>
              </w:rPr>
              <w:t>30.1</w:t>
            </w:r>
            <w:r w:rsidR="0004150B" w:rsidRPr="00C070E6">
              <w:rPr>
                <w:rFonts w:cs="Times New Roman"/>
                <w:bCs/>
                <w:color w:val="000000" w:themeColor="text1"/>
                <w:sz w:val="20"/>
                <w:szCs w:val="20"/>
              </w:rPr>
              <w:t>2</w:t>
            </w:r>
            <w:r w:rsidRPr="00C070E6">
              <w:rPr>
                <w:rFonts w:cs="Times New Roman"/>
                <w:bCs/>
                <w:color w:val="000000" w:themeColor="text1"/>
                <w:sz w:val="20"/>
                <w:szCs w:val="20"/>
              </w:rPr>
              <w:t>.202</w:t>
            </w:r>
            <w:r w:rsidR="0004150B" w:rsidRPr="00C070E6">
              <w:rPr>
                <w:rFonts w:cs="Times New Roman"/>
                <w:bCs/>
                <w:color w:val="000000" w:themeColor="text1"/>
                <w:sz w:val="20"/>
                <w:szCs w:val="20"/>
              </w:rPr>
              <w:t>2</w:t>
            </w:r>
            <w:r w:rsidRPr="00C070E6">
              <w:rPr>
                <w:rFonts w:cs="Times New Roman"/>
                <w:bCs/>
                <w:color w:val="000000" w:themeColor="text1"/>
                <w:sz w:val="20"/>
                <w:szCs w:val="20"/>
              </w:rPr>
              <w:t>.</w:t>
            </w:r>
          </w:p>
          <w:p w:rsidR="001E4F8A" w:rsidRPr="00C070E6" w:rsidRDefault="001E4F8A" w:rsidP="004B0589">
            <w:pPr>
              <w:jc w:val="center"/>
              <w:rPr>
                <w:rFonts w:cs="Times New Roman"/>
                <w:bCs/>
                <w:color w:val="000000" w:themeColor="text1"/>
                <w:sz w:val="20"/>
                <w:szCs w:val="20"/>
              </w:rPr>
            </w:pPr>
          </w:p>
        </w:tc>
      </w:tr>
      <w:tr w:rsidR="00041E13" w:rsidRPr="00C070E6" w:rsidTr="00DA5BE6">
        <w:trPr>
          <w:trHeight w:val="543"/>
        </w:trPr>
        <w:tc>
          <w:tcPr>
            <w:tcW w:w="568" w:type="dxa"/>
            <w:vMerge w:val="restart"/>
          </w:tcPr>
          <w:p w:rsidR="00041E13" w:rsidRPr="00C070E6" w:rsidRDefault="00041E13" w:rsidP="00250B3B">
            <w:pPr>
              <w:ind w:right="-21"/>
              <w:rPr>
                <w:rFonts w:cs="Times New Roman"/>
                <w:bCs/>
                <w:color w:val="000000" w:themeColor="text1"/>
                <w:sz w:val="20"/>
                <w:szCs w:val="20"/>
              </w:rPr>
            </w:pPr>
            <w:r w:rsidRPr="00C070E6">
              <w:rPr>
                <w:rFonts w:cs="Times New Roman"/>
                <w:bCs/>
                <w:color w:val="000000" w:themeColor="text1"/>
                <w:sz w:val="20"/>
                <w:szCs w:val="20"/>
              </w:rPr>
              <w:t>1.</w:t>
            </w:r>
            <w:r w:rsidR="00B1614A" w:rsidRPr="00C070E6">
              <w:rPr>
                <w:rFonts w:cs="Times New Roman"/>
                <w:bCs/>
                <w:color w:val="000000" w:themeColor="text1"/>
                <w:sz w:val="20"/>
                <w:szCs w:val="20"/>
              </w:rPr>
              <w:t>9</w:t>
            </w:r>
            <w:r w:rsidRPr="00C070E6">
              <w:rPr>
                <w:rFonts w:cs="Times New Roman"/>
                <w:bCs/>
                <w:color w:val="000000" w:themeColor="text1"/>
                <w:sz w:val="20"/>
                <w:szCs w:val="20"/>
              </w:rPr>
              <w:t>.</w:t>
            </w:r>
          </w:p>
        </w:tc>
        <w:tc>
          <w:tcPr>
            <w:tcW w:w="2268" w:type="dxa"/>
            <w:vMerge w:val="restart"/>
          </w:tcPr>
          <w:p w:rsidR="00041E13" w:rsidRPr="00C070E6" w:rsidRDefault="00041E13" w:rsidP="00250B3B">
            <w:pPr>
              <w:jc w:val="both"/>
              <w:rPr>
                <w:rFonts w:cs="Times New Roman"/>
                <w:color w:val="000000" w:themeColor="text1"/>
                <w:sz w:val="20"/>
              </w:rPr>
            </w:pPr>
            <w:r w:rsidRPr="00C070E6">
              <w:rPr>
                <w:rFonts w:cs="Times New Roman"/>
                <w:color w:val="000000" w:themeColor="text1"/>
                <w:sz w:val="20"/>
                <w:szCs w:val="20"/>
              </w:rPr>
              <w:t>Apsardzes darbības reģistra izveide.</w:t>
            </w:r>
          </w:p>
        </w:tc>
        <w:tc>
          <w:tcPr>
            <w:tcW w:w="3544" w:type="dxa"/>
            <w:vMerge w:val="restart"/>
          </w:tcPr>
          <w:p w:rsidR="00041E13" w:rsidRPr="00C070E6" w:rsidRDefault="00041E13" w:rsidP="00250B3B">
            <w:pPr>
              <w:jc w:val="both"/>
              <w:rPr>
                <w:rFonts w:cs="Times New Roman"/>
                <w:color w:val="000000" w:themeColor="text1"/>
                <w:sz w:val="20"/>
                <w:szCs w:val="20"/>
              </w:rPr>
            </w:pPr>
            <w:r w:rsidRPr="00C070E6">
              <w:rPr>
                <w:rFonts w:cs="Times New Roman"/>
                <w:color w:val="000000" w:themeColor="text1"/>
                <w:sz w:val="20"/>
                <w:szCs w:val="20"/>
              </w:rPr>
              <w:t>Apsardzes nozarē jau ilgstoši pastāv salīdzinoši liels ēnu ekonomikas īpatsvars. Lai to mazinātu, tiek veidots Apsardzes darbības reģistrs, kas uzlabos V</w:t>
            </w:r>
            <w:r w:rsidR="00804193" w:rsidRPr="00C070E6">
              <w:rPr>
                <w:rFonts w:cs="Times New Roman"/>
                <w:color w:val="000000" w:themeColor="text1"/>
                <w:sz w:val="20"/>
                <w:szCs w:val="20"/>
              </w:rPr>
              <w:t>P</w:t>
            </w:r>
            <w:r w:rsidRPr="00C070E6">
              <w:rPr>
                <w:rFonts w:cs="Times New Roman"/>
                <w:color w:val="000000" w:themeColor="text1"/>
                <w:sz w:val="20"/>
                <w:szCs w:val="20"/>
              </w:rPr>
              <w:t>, V</w:t>
            </w:r>
            <w:r w:rsidR="00804193" w:rsidRPr="00C070E6">
              <w:rPr>
                <w:rFonts w:cs="Times New Roman"/>
                <w:color w:val="000000" w:themeColor="text1"/>
                <w:sz w:val="20"/>
                <w:szCs w:val="20"/>
              </w:rPr>
              <w:t xml:space="preserve">ID </w:t>
            </w:r>
            <w:r w:rsidRPr="00C070E6">
              <w:rPr>
                <w:rFonts w:cs="Times New Roman"/>
                <w:color w:val="000000" w:themeColor="text1"/>
                <w:sz w:val="20"/>
                <w:szCs w:val="20"/>
              </w:rPr>
              <w:t>un V</w:t>
            </w:r>
            <w:r w:rsidR="00804193" w:rsidRPr="00C070E6">
              <w:rPr>
                <w:rFonts w:cs="Times New Roman"/>
                <w:color w:val="000000" w:themeColor="text1"/>
                <w:sz w:val="20"/>
                <w:szCs w:val="20"/>
              </w:rPr>
              <w:t xml:space="preserve">DI </w:t>
            </w:r>
            <w:r w:rsidRPr="00C070E6">
              <w:rPr>
                <w:rFonts w:cs="Times New Roman"/>
                <w:color w:val="000000" w:themeColor="text1"/>
                <w:sz w:val="20"/>
                <w:szCs w:val="20"/>
              </w:rPr>
              <w:t>(kontrolējošo institūciju) iespējas kontroles pasākumu veikšanā, likumpārkāpumu savlaicīgā identificēšanā un atklāšanā.</w:t>
            </w:r>
          </w:p>
        </w:tc>
        <w:tc>
          <w:tcPr>
            <w:tcW w:w="2551" w:type="dxa"/>
            <w:vMerge w:val="restart"/>
          </w:tcPr>
          <w:p w:rsidR="00041E13" w:rsidRPr="00C070E6" w:rsidRDefault="00041E13" w:rsidP="00250B3B">
            <w:pPr>
              <w:jc w:val="both"/>
              <w:rPr>
                <w:rFonts w:cs="Times New Roman"/>
                <w:color w:val="000000" w:themeColor="text1"/>
                <w:sz w:val="20"/>
              </w:rPr>
            </w:pPr>
            <w:r w:rsidRPr="00C070E6">
              <w:rPr>
                <w:rFonts w:cs="Times New Roman"/>
                <w:color w:val="000000" w:themeColor="text1"/>
                <w:sz w:val="20"/>
                <w:szCs w:val="20"/>
              </w:rPr>
              <w:t>Uzlabot apsardzes nozari kontrolējošo institūciju iespējas un kapacitāti vērsties pret nodokļu, nodarbinātības un citiem pārkāpumiem apsardzes nozarē.</w:t>
            </w:r>
          </w:p>
        </w:tc>
        <w:tc>
          <w:tcPr>
            <w:tcW w:w="1985" w:type="dxa"/>
          </w:tcPr>
          <w:p w:rsidR="00041E13" w:rsidRPr="00C070E6" w:rsidRDefault="00041E13" w:rsidP="00964D20">
            <w:pPr>
              <w:jc w:val="both"/>
              <w:rPr>
                <w:rFonts w:cs="Times New Roman"/>
                <w:color w:val="000000" w:themeColor="text1"/>
                <w:sz w:val="20"/>
                <w:szCs w:val="20"/>
              </w:rPr>
            </w:pPr>
            <w:r w:rsidRPr="00C070E6">
              <w:rPr>
                <w:rFonts w:cs="Times New Roman"/>
                <w:color w:val="000000" w:themeColor="text1"/>
                <w:sz w:val="20"/>
                <w:szCs w:val="20"/>
              </w:rPr>
              <w:t xml:space="preserve">1.Izstrādāti </w:t>
            </w:r>
            <w:r w:rsidR="001A6C14" w:rsidRPr="00C070E6">
              <w:rPr>
                <w:rFonts w:cs="Times New Roman"/>
                <w:color w:val="000000" w:themeColor="text1"/>
                <w:sz w:val="20"/>
                <w:szCs w:val="20"/>
              </w:rPr>
              <w:t>MK</w:t>
            </w:r>
            <w:r w:rsidRPr="00C070E6">
              <w:rPr>
                <w:rFonts w:cs="Times New Roman"/>
                <w:color w:val="000000" w:themeColor="text1"/>
                <w:sz w:val="20"/>
                <w:szCs w:val="20"/>
              </w:rPr>
              <w:t xml:space="preserve"> noteikumi “Apsardzes darbības reģistrācijas noteikumi un prasības apsardzes vadības centram”.</w:t>
            </w:r>
          </w:p>
        </w:tc>
        <w:tc>
          <w:tcPr>
            <w:tcW w:w="1275" w:type="dxa"/>
          </w:tcPr>
          <w:p w:rsidR="00041E13" w:rsidRPr="00C070E6" w:rsidRDefault="00041E13" w:rsidP="00250B3B">
            <w:pPr>
              <w:jc w:val="center"/>
              <w:rPr>
                <w:rFonts w:cs="Times New Roman"/>
                <w:bCs/>
                <w:color w:val="000000" w:themeColor="text1"/>
                <w:sz w:val="20"/>
                <w:szCs w:val="20"/>
              </w:rPr>
            </w:pPr>
            <w:r w:rsidRPr="00C070E6">
              <w:rPr>
                <w:rFonts w:cs="Times New Roman"/>
                <w:bCs/>
                <w:color w:val="000000" w:themeColor="text1"/>
                <w:sz w:val="20"/>
                <w:szCs w:val="20"/>
              </w:rPr>
              <w:t>IeM</w:t>
            </w:r>
          </w:p>
        </w:tc>
        <w:tc>
          <w:tcPr>
            <w:tcW w:w="1134" w:type="dxa"/>
          </w:tcPr>
          <w:p w:rsidR="00E07FAF" w:rsidRPr="00C070E6" w:rsidRDefault="00041E13" w:rsidP="00964D20">
            <w:pPr>
              <w:spacing w:line="200" w:lineRule="exact"/>
              <w:jc w:val="center"/>
              <w:rPr>
                <w:rFonts w:cs="Times New Roman"/>
                <w:bCs/>
                <w:color w:val="000000" w:themeColor="text1"/>
                <w:sz w:val="20"/>
                <w:szCs w:val="20"/>
              </w:rPr>
            </w:pPr>
            <w:r w:rsidRPr="00C070E6">
              <w:rPr>
                <w:rFonts w:cs="Times New Roman"/>
                <w:bCs/>
                <w:color w:val="000000" w:themeColor="text1"/>
                <w:sz w:val="20"/>
                <w:szCs w:val="20"/>
              </w:rPr>
              <w:t xml:space="preserve">VP, </w:t>
            </w:r>
          </w:p>
          <w:p w:rsidR="00804193" w:rsidRPr="00C070E6" w:rsidRDefault="00041E13" w:rsidP="00964D20">
            <w:pPr>
              <w:spacing w:line="200" w:lineRule="exact"/>
              <w:jc w:val="center"/>
              <w:rPr>
                <w:rFonts w:cs="Times New Roman"/>
                <w:bCs/>
                <w:color w:val="000000" w:themeColor="text1"/>
                <w:sz w:val="20"/>
                <w:szCs w:val="20"/>
              </w:rPr>
            </w:pPr>
            <w:r w:rsidRPr="00C070E6">
              <w:rPr>
                <w:rFonts w:cs="Times New Roman"/>
                <w:bCs/>
                <w:color w:val="000000" w:themeColor="text1"/>
                <w:sz w:val="20"/>
                <w:szCs w:val="20"/>
              </w:rPr>
              <w:t xml:space="preserve">IeM IC, </w:t>
            </w:r>
            <w:r w:rsidR="00AE147F" w:rsidRPr="00C070E6">
              <w:rPr>
                <w:rFonts w:cs="Times New Roman"/>
                <w:bCs/>
                <w:color w:val="000000" w:themeColor="text1"/>
                <w:sz w:val="20"/>
                <w:szCs w:val="20"/>
              </w:rPr>
              <w:t>DNKA</w:t>
            </w:r>
            <w:r w:rsidRPr="00C070E6">
              <w:rPr>
                <w:rFonts w:cs="Times New Roman"/>
                <w:bCs/>
                <w:color w:val="000000" w:themeColor="text1"/>
                <w:sz w:val="20"/>
                <w:szCs w:val="20"/>
              </w:rPr>
              <w:t xml:space="preserve">, </w:t>
            </w:r>
            <w:r w:rsidR="007E3242" w:rsidRPr="00C070E6">
              <w:rPr>
                <w:rFonts w:cs="Times New Roman"/>
                <w:bCs/>
                <w:color w:val="000000" w:themeColor="text1"/>
                <w:sz w:val="20"/>
                <w:szCs w:val="20"/>
              </w:rPr>
              <w:t>LDBA</w:t>
            </w:r>
            <w:r w:rsidRPr="00C070E6">
              <w:rPr>
                <w:rFonts w:cs="Times New Roman"/>
                <w:bCs/>
                <w:color w:val="000000" w:themeColor="text1"/>
                <w:sz w:val="20"/>
                <w:szCs w:val="20"/>
              </w:rPr>
              <w:t xml:space="preserve">, </w:t>
            </w:r>
            <w:r w:rsidR="007E3242" w:rsidRPr="00C070E6">
              <w:rPr>
                <w:rFonts w:cs="Times New Roman"/>
                <w:bCs/>
                <w:color w:val="000000" w:themeColor="text1"/>
                <w:sz w:val="20"/>
                <w:szCs w:val="20"/>
              </w:rPr>
              <w:t>DPA</w:t>
            </w:r>
          </w:p>
        </w:tc>
        <w:tc>
          <w:tcPr>
            <w:tcW w:w="1276" w:type="dxa"/>
          </w:tcPr>
          <w:p w:rsidR="00A72263" w:rsidRPr="00C070E6" w:rsidRDefault="00A72263" w:rsidP="004B0589">
            <w:pPr>
              <w:spacing w:before="100" w:beforeAutospacing="1"/>
              <w:jc w:val="center"/>
              <w:rPr>
                <w:rFonts w:cs="Times New Roman"/>
                <w:sz w:val="20"/>
                <w:szCs w:val="20"/>
              </w:rPr>
            </w:pPr>
            <w:r w:rsidRPr="00C070E6">
              <w:rPr>
                <w:rFonts w:cs="Times New Roman"/>
                <w:sz w:val="20"/>
                <w:szCs w:val="20"/>
              </w:rPr>
              <w:t>01.07.2022.</w:t>
            </w:r>
          </w:p>
        </w:tc>
      </w:tr>
      <w:tr w:rsidR="00041E13" w:rsidRPr="00C070E6" w:rsidTr="00DA5BE6">
        <w:trPr>
          <w:trHeight w:val="543"/>
        </w:trPr>
        <w:tc>
          <w:tcPr>
            <w:tcW w:w="568" w:type="dxa"/>
            <w:vMerge/>
          </w:tcPr>
          <w:p w:rsidR="00041E13" w:rsidRPr="00C070E6" w:rsidRDefault="00041E13" w:rsidP="00250B3B">
            <w:pPr>
              <w:ind w:right="-21"/>
              <w:rPr>
                <w:rFonts w:cs="Times New Roman"/>
                <w:bCs/>
                <w:color w:val="000000" w:themeColor="text1"/>
                <w:sz w:val="20"/>
                <w:szCs w:val="20"/>
              </w:rPr>
            </w:pPr>
          </w:p>
        </w:tc>
        <w:tc>
          <w:tcPr>
            <w:tcW w:w="2268" w:type="dxa"/>
            <w:vMerge/>
          </w:tcPr>
          <w:p w:rsidR="00041E13" w:rsidRPr="00C070E6" w:rsidRDefault="00041E13" w:rsidP="00250B3B">
            <w:pPr>
              <w:jc w:val="both"/>
              <w:rPr>
                <w:rFonts w:cs="Times New Roman"/>
                <w:color w:val="000000" w:themeColor="text1"/>
                <w:sz w:val="20"/>
                <w:szCs w:val="20"/>
              </w:rPr>
            </w:pPr>
          </w:p>
        </w:tc>
        <w:tc>
          <w:tcPr>
            <w:tcW w:w="3544" w:type="dxa"/>
            <w:vMerge/>
          </w:tcPr>
          <w:p w:rsidR="00041E13" w:rsidRPr="00C070E6" w:rsidRDefault="00041E13" w:rsidP="00250B3B">
            <w:pPr>
              <w:jc w:val="both"/>
              <w:rPr>
                <w:rFonts w:cs="Times New Roman"/>
                <w:color w:val="000000" w:themeColor="text1"/>
                <w:sz w:val="20"/>
                <w:szCs w:val="20"/>
              </w:rPr>
            </w:pPr>
          </w:p>
        </w:tc>
        <w:tc>
          <w:tcPr>
            <w:tcW w:w="2551" w:type="dxa"/>
            <w:vMerge/>
          </w:tcPr>
          <w:p w:rsidR="00041E13" w:rsidRPr="00C070E6" w:rsidRDefault="00041E13" w:rsidP="00250B3B">
            <w:pPr>
              <w:jc w:val="both"/>
              <w:rPr>
                <w:rFonts w:cs="Times New Roman"/>
                <w:color w:val="000000" w:themeColor="text1"/>
                <w:sz w:val="20"/>
                <w:szCs w:val="20"/>
              </w:rPr>
            </w:pPr>
          </w:p>
        </w:tc>
        <w:tc>
          <w:tcPr>
            <w:tcW w:w="1985" w:type="dxa"/>
          </w:tcPr>
          <w:p w:rsidR="00804193" w:rsidRPr="00C070E6" w:rsidRDefault="00041E13" w:rsidP="00804193">
            <w:pPr>
              <w:jc w:val="both"/>
              <w:rPr>
                <w:rFonts w:cs="Times New Roman"/>
                <w:color w:val="000000" w:themeColor="text1"/>
                <w:sz w:val="20"/>
                <w:szCs w:val="20"/>
              </w:rPr>
            </w:pPr>
            <w:r w:rsidRPr="00C070E6">
              <w:rPr>
                <w:rFonts w:cs="Times New Roman"/>
                <w:color w:val="000000" w:themeColor="text1"/>
                <w:sz w:val="20"/>
                <w:szCs w:val="20"/>
              </w:rPr>
              <w:t>2.Izveidots un tiešsaistes režīmā darbību uzsācis Apsardzes darbības reģistrs.</w:t>
            </w:r>
          </w:p>
        </w:tc>
        <w:tc>
          <w:tcPr>
            <w:tcW w:w="1275" w:type="dxa"/>
          </w:tcPr>
          <w:p w:rsidR="00041E13" w:rsidRPr="00C070E6" w:rsidRDefault="00041E13" w:rsidP="00250B3B">
            <w:pPr>
              <w:jc w:val="center"/>
              <w:rPr>
                <w:rFonts w:cs="Times New Roman"/>
                <w:bCs/>
                <w:color w:val="000000" w:themeColor="text1"/>
                <w:sz w:val="20"/>
                <w:szCs w:val="20"/>
              </w:rPr>
            </w:pPr>
            <w:r w:rsidRPr="00C070E6">
              <w:rPr>
                <w:rFonts w:cs="Times New Roman"/>
                <w:bCs/>
                <w:color w:val="000000" w:themeColor="text1"/>
                <w:sz w:val="20"/>
                <w:szCs w:val="20"/>
              </w:rPr>
              <w:t>IeM IC</w:t>
            </w:r>
          </w:p>
        </w:tc>
        <w:tc>
          <w:tcPr>
            <w:tcW w:w="1134" w:type="dxa"/>
          </w:tcPr>
          <w:p w:rsidR="00E07FAF" w:rsidRPr="00C070E6" w:rsidRDefault="00041E13" w:rsidP="00250B3B">
            <w:pPr>
              <w:jc w:val="center"/>
              <w:rPr>
                <w:rFonts w:cs="Times New Roman"/>
                <w:bCs/>
                <w:color w:val="000000" w:themeColor="text1"/>
                <w:sz w:val="20"/>
                <w:szCs w:val="20"/>
              </w:rPr>
            </w:pPr>
            <w:r w:rsidRPr="00C070E6">
              <w:rPr>
                <w:rFonts w:cs="Times New Roman"/>
                <w:bCs/>
                <w:color w:val="000000" w:themeColor="text1"/>
                <w:sz w:val="20"/>
                <w:szCs w:val="20"/>
              </w:rPr>
              <w:t xml:space="preserve">IeM, </w:t>
            </w:r>
          </w:p>
          <w:p w:rsidR="00041E13" w:rsidRPr="00C070E6" w:rsidRDefault="00041E13" w:rsidP="00250B3B">
            <w:pPr>
              <w:jc w:val="center"/>
              <w:rPr>
                <w:rFonts w:cs="Times New Roman"/>
                <w:bCs/>
                <w:color w:val="000000" w:themeColor="text1"/>
                <w:sz w:val="20"/>
                <w:szCs w:val="20"/>
              </w:rPr>
            </w:pPr>
            <w:r w:rsidRPr="00C070E6">
              <w:rPr>
                <w:rFonts w:cs="Times New Roman"/>
                <w:bCs/>
                <w:color w:val="000000" w:themeColor="text1"/>
                <w:sz w:val="20"/>
                <w:szCs w:val="20"/>
              </w:rPr>
              <w:t>VP</w:t>
            </w:r>
          </w:p>
        </w:tc>
        <w:tc>
          <w:tcPr>
            <w:tcW w:w="1276" w:type="dxa"/>
          </w:tcPr>
          <w:p w:rsidR="00041E13" w:rsidRPr="00C070E6" w:rsidRDefault="00041E13" w:rsidP="00250B3B">
            <w:pPr>
              <w:jc w:val="center"/>
              <w:rPr>
                <w:rFonts w:cs="Times New Roman"/>
                <w:bCs/>
                <w:color w:val="000000" w:themeColor="text1"/>
                <w:sz w:val="20"/>
                <w:szCs w:val="20"/>
              </w:rPr>
            </w:pPr>
            <w:r w:rsidRPr="00C070E6">
              <w:rPr>
                <w:rFonts w:cs="Times New Roman"/>
                <w:bCs/>
                <w:color w:val="000000" w:themeColor="text1"/>
                <w:sz w:val="20"/>
                <w:szCs w:val="20"/>
              </w:rPr>
              <w:t>01.07.2022.</w:t>
            </w:r>
          </w:p>
        </w:tc>
      </w:tr>
      <w:tr w:rsidR="00121DAE" w:rsidRPr="00C070E6" w:rsidTr="00DA5BE6">
        <w:trPr>
          <w:trHeight w:val="283"/>
        </w:trPr>
        <w:tc>
          <w:tcPr>
            <w:tcW w:w="568" w:type="dxa"/>
            <w:shd w:val="clear" w:color="auto" w:fill="auto"/>
          </w:tcPr>
          <w:p w:rsidR="00121DAE" w:rsidRPr="00C070E6" w:rsidRDefault="00133F1A" w:rsidP="00EB5E5F">
            <w:pPr>
              <w:ind w:right="-21"/>
              <w:rPr>
                <w:rFonts w:cs="Times New Roman"/>
                <w:bCs/>
                <w:color w:val="000000" w:themeColor="text1"/>
                <w:sz w:val="20"/>
                <w:szCs w:val="20"/>
              </w:rPr>
            </w:pPr>
            <w:r w:rsidRPr="00C070E6">
              <w:rPr>
                <w:rFonts w:cs="Times New Roman"/>
                <w:bCs/>
                <w:color w:val="000000" w:themeColor="text1"/>
                <w:sz w:val="20"/>
                <w:szCs w:val="20"/>
              </w:rPr>
              <w:t>1.10</w:t>
            </w:r>
            <w:r w:rsidR="00121DAE" w:rsidRPr="00C070E6">
              <w:rPr>
                <w:rFonts w:cs="Times New Roman"/>
                <w:bCs/>
                <w:color w:val="000000" w:themeColor="text1"/>
                <w:sz w:val="20"/>
                <w:szCs w:val="20"/>
              </w:rPr>
              <w:t>.</w:t>
            </w:r>
          </w:p>
        </w:tc>
        <w:tc>
          <w:tcPr>
            <w:tcW w:w="2268" w:type="dxa"/>
            <w:shd w:val="clear" w:color="auto" w:fill="auto"/>
          </w:tcPr>
          <w:p w:rsidR="00121DAE" w:rsidRPr="00C070E6" w:rsidRDefault="00121DAE" w:rsidP="00EB5E5F">
            <w:pPr>
              <w:jc w:val="both"/>
              <w:rPr>
                <w:rFonts w:cs="Times New Roman"/>
                <w:color w:val="000000" w:themeColor="text1"/>
                <w:sz w:val="20"/>
                <w:szCs w:val="20"/>
              </w:rPr>
            </w:pPr>
            <w:r w:rsidRPr="00C070E6">
              <w:rPr>
                <w:rFonts w:cs="Times New Roman"/>
                <w:color w:val="000000" w:themeColor="text1"/>
                <w:sz w:val="20"/>
                <w:szCs w:val="20"/>
              </w:rPr>
              <w:t>Izvērtēt iespēju noteikt apsardzes komersantiem arī fiziskajā apsardzē izmantot apsardzes vadības centru.</w:t>
            </w:r>
          </w:p>
        </w:tc>
        <w:tc>
          <w:tcPr>
            <w:tcW w:w="3544" w:type="dxa"/>
            <w:shd w:val="clear" w:color="auto" w:fill="auto"/>
          </w:tcPr>
          <w:p w:rsidR="00121DAE" w:rsidRPr="00C070E6" w:rsidRDefault="00121DAE" w:rsidP="00E03169">
            <w:pPr>
              <w:jc w:val="both"/>
              <w:rPr>
                <w:rFonts w:cs="Times New Roman"/>
                <w:color w:val="000000" w:themeColor="text1"/>
                <w:sz w:val="20"/>
                <w:szCs w:val="20"/>
              </w:rPr>
            </w:pPr>
            <w:r w:rsidRPr="00C070E6">
              <w:rPr>
                <w:rFonts w:cs="Times New Roman"/>
                <w:color w:val="000000" w:themeColor="text1"/>
                <w:sz w:val="20"/>
                <w:szCs w:val="20"/>
              </w:rPr>
              <w:t>Īstenojot šādu obligāto prasību tehniskajā apsardzē, tās mērķis bija definēt tehniskās apsardzes tehniskās prasības, šīs prasības standartizēt un ieviest, taču prasības izpildes obligātuma papildus ieguvums bija negodīgu tehniskās apsardzes komersantu aiziešana no tirgus, jo tās ieviešana prasīja finansiālu ieguldījumu veikšanu. Ievērojot šo papildus ieguvumu, pirms šāda prasība tiek noteikta kā obligāta fiziskajā apsardzē, nepieciešams veikt izvērtējumu, kā šādas obligātās prasības uzstādīšana ietekmētu sabiedrisko kārtību un drošību, uzņēmējdarbības vidi un brīvu konkurenci.</w:t>
            </w:r>
          </w:p>
        </w:tc>
        <w:tc>
          <w:tcPr>
            <w:tcW w:w="2551" w:type="dxa"/>
            <w:shd w:val="clear" w:color="auto" w:fill="auto"/>
          </w:tcPr>
          <w:p w:rsidR="00121DAE" w:rsidRPr="00C070E6" w:rsidRDefault="00121DAE" w:rsidP="00EB5E5F">
            <w:pPr>
              <w:jc w:val="both"/>
              <w:rPr>
                <w:rFonts w:cs="Times New Roman"/>
                <w:color w:val="000000" w:themeColor="text1"/>
                <w:sz w:val="20"/>
                <w:szCs w:val="20"/>
              </w:rPr>
            </w:pPr>
            <w:r w:rsidRPr="00C070E6">
              <w:rPr>
                <w:rFonts w:cs="Times New Roman"/>
                <w:color w:val="000000" w:themeColor="text1"/>
                <w:sz w:val="20"/>
                <w:szCs w:val="20"/>
              </w:rPr>
              <w:t>Izvērtēt prasības par obligātu apsardzes vadības centra izmantošanu fiziskajā apsardzē ietekmi uz valsts iekšējo kārtību un drošību un uzņēmējdarbības vidi un brīvu konkurenci.</w:t>
            </w:r>
          </w:p>
        </w:tc>
        <w:tc>
          <w:tcPr>
            <w:tcW w:w="1985" w:type="dxa"/>
            <w:shd w:val="clear" w:color="auto" w:fill="auto"/>
          </w:tcPr>
          <w:p w:rsidR="00121DAE" w:rsidRPr="00C070E6" w:rsidRDefault="00121DAE" w:rsidP="00EB5E5F">
            <w:pPr>
              <w:jc w:val="both"/>
              <w:rPr>
                <w:rFonts w:cs="Times New Roman"/>
                <w:color w:val="000000" w:themeColor="text1"/>
                <w:sz w:val="20"/>
                <w:szCs w:val="20"/>
              </w:rPr>
            </w:pPr>
            <w:r w:rsidRPr="00C070E6">
              <w:rPr>
                <w:rFonts w:cs="Times New Roman"/>
                <w:color w:val="000000" w:themeColor="text1"/>
                <w:sz w:val="20"/>
                <w:szCs w:val="20"/>
              </w:rPr>
              <w:t>Sagatavots novērtējums</w:t>
            </w:r>
            <w:r w:rsidR="00432028" w:rsidRPr="00C070E6">
              <w:rPr>
                <w:rFonts w:cs="Times New Roman"/>
                <w:color w:val="000000" w:themeColor="text1"/>
                <w:sz w:val="20"/>
                <w:szCs w:val="20"/>
              </w:rPr>
              <w:t>.</w:t>
            </w:r>
          </w:p>
        </w:tc>
        <w:tc>
          <w:tcPr>
            <w:tcW w:w="1275" w:type="dxa"/>
            <w:shd w:val="clear" w:color="auto" w:fill="auto"/>
          </w:tcPr>
          <w:p w:rsidR="00121DAE" w:rsidRPr="00C070E6" w:rsidRDefault="00121DAE" w:rsidP="00EB5E5F">
            <w:pPr>
              <w:jc w:val="center"/>
              <w:rPr>
                <w:rFonts w:cs="Times New Roman"/>
                <w:bCs/>
                <w:color w:val="000000" w:themeColor="text1"/>
                <w:sz w:val="20"/>
                <w:szCs w:val="20"/>
              </w:rPr>
            </w:pPr>
            <w:r w:rsidRPr="00C070E6">
              <w:rPr>
                <w:rFonts w:cs="Times New Roman"/>
                <w:bCs/>
                <w:color w:val="000000" w:themeColor="text1"/>
                <w:sz w:val="20"/>
                <w:szCs w:val="20"/>
              </w:rPr>
              <w:t xml:space="preserve">IeM, </w:t>
            </w:r>
          </w:p>
          <w:p w:rsidR="00121DAE" w:rsidRPr="00C070E6" w:rsidRDefault="00121DAE" w:rsidP="00EB5E5F">
            <w:pPr>
              <w:jc w:val="center"/>
              <w:rPr>
                <w:rFonts w:cs="Times New Roman"/>
                <w:bCs/>
                <w:color w:val="000000" w:themeColor="text1"/>
                <w:sz w:val="20"/>
                <w:szCs w:val="20"/>
              </w:rPr>
            </w:pPr>
            <w:r w:rsidRPr="00C070E6">
              <w:rPr>
                <w:rFonts w:cs="Times New Roman"/>
                <w:bCs/>
                <w:color w:val="000000" w:themeColor="text1"/>
                <w:sz w:val="20"/>
                <w:szCs w:val="20"/>
              </w:rPr>
              <w:t>EM</w:t>
            </w:r>
          </w:p>
          <w:p w:rsidR="00121DAE" w:rsidRPr="00C070E6" w:rsidRDefault="00121DAE" w:rsidP="00EB5E5F">
            <w:pPr>
              <w:jc w:val="center"/>
              <w:rPr>
                <w:rFonts w:cs="Times New Roman"/>
                <w:bCs/>
                <w:color w:val="000000" w:themeColor="text1"/>
                <w:sz w:val="20"/>
                <w:szCs w:val="20"/>
              </w:rPr>
            </w:pPr>
          </w:p>
        </w:tc>
        <w:tc>
          <w:tcPr>
            <w:tcW w:w="1134" w:type="dxa"/>
            <w:shd w:val="clear" w:color="auto" w:fill="auto"/>
          </w:tcPr>
          <w:p w:rsidR="00AE147F" w:rsidRPr="00C070E6" w:rsidRDefault="00AE147F" w:rsidP="00EB5E5F">
            <w:pPr>
              <w:jc w:val="center"/>
              <w:rPr>
                <w:rFonts w:cs="Times New Roman"/>
                <w:bCs/>
                <w:color w:val="000000" w:themeColor="text1"/>
                <w:sz w:val="20"/>
                <w:szCs w:val="20"/>
              </w:rPr>
            </w:pPr>
            <w:r w:rsidRPr="00C070E6">
              <w:rPr>
                <w:rFonts w:cs="Times New Roman"/>
                <w:bCs/>
                <w:color w:val="000000" w:themeColor="text1"/>
                <w:sz w:val="20"/>
                <w:szCs w:val="20"/>
              </w:rPr>
              <w:t>DNKA</w:t>
            </w:r>
            <w:r w:rsidR="00207762" w:rsidRPr="00C070E6">
              <w:rPr>
                <w:rFonts w:cs="Times New Roman"/>
                <w:bCs/>
                <w:color w:val="000000" w:themeColor="text1"/>
                <w:sz w:val="20"/>
                <w:szCs w:val="20"/>
              </w:rPr>
              <w:t>,</w:t>
            </w:r>
          </w:p>
          <w:p w:rsidR="00121DAE" w:rsidRPr="00C070E6" w:rsidRDefault="00207762" w:rsidP="00EB5E5F">
            <w:pPr>
              <w:jc w:val="center"/>
              <w:rPr>
                <w:rFonts w:cs="Times New Roman"/>
                <w:bCs/>
                <w:color w:val="000000" w:themeColor="text1"/>
                <w:sz w:val="20"/>
                <w:szCs w:val="20"/>
              </w:rPr>
            </w:pPr>
            <w:r w:rsidRPr="00C070E6">
              <w:rPr>
                <w:rFonts w:cs="Times New Roman"/>
                <w:bCs/>
                <w:color w:val="000000" w:themeColor="text1"/>
                <w:sz w:val="20"/>
                <w:szCs w:val="20"/>
              </w:rPr>
              <w:t>KP</w:t>
            </w:r>
          </w:p>
        </w:tc>
        <w:tc>
          <w:tcPr>
            <w:tcW w:w="1276" w:type="dxa"/>
            <w:shd w:val="clear" w:color="auto" w:fill="auto"/>
          </w:tcPr>
          <w:p w:rsidR="00121DAE" w:rsidRPr="00C070E6" w:rsidRDefault="00121DAE" w:rsidP="00EB5E5F">
            <w:pPr>
              <w:jc w:val="center"/>
              <w:rPr>
                <w:rFonts w:cs="Times New Roman"/>
                <w:bCs/>
                <w:color w:val="000000" w:themeColor="text1"/>
                <w:sz w:val="20"/>
                <w:szCs w:val="20"/>
                <w:highlight w:val="yellow"/>
              </w:rPr>
            </w:pPr>
            <w:r w:rsidRPr="00DC0E01">
              <w:rPr>
                <w:rFonts w:cs="Times New Roman"/>
                <w:bCs/>
                <w:color w:val="000000" w:themeColor="text1"/>
                <w:sz w:val="20"/>
                <w:szCs w:val="20"/>
              </w:rPr>
              <w:t>3</w:t>
            </w:r>
            <w:r w:rsidR="006A19D3" w:rsidRPr="00DC0E01">
              <w:rPr>
                <w:rFonts w:cs="Times New Roman"/>
                <w:bCs/>
                <w:color w:val="000000" w:themeColor="text1"/>
                <w:sz w:val="20"/>
                <w:szCs w:val="20"/>
              </w:rPr>
              <w:t>0</w:t>
            </w:r>
            <w:r w:rsidRPr="00DC0E01">
              <w:rPr>
                <w:rFonts w:cs="Times New Roman"/>
                <w:bCs/>
                <w:color w:val="000000" w:themeColor="text1"/>
                <w:sz w:val="20"/>
                <w:szCs w:val="20"/>
              </w:rPr>
              <w:t>.</w:t>
            </w:r>
            <w:r w:rsidR="00DC0E01" w:rsidRPr="00DC0E01">
              <w:rPr>
                <w:rFonts w:cs="Times New Roman"/>
                <w:bCs/>
                <w:color w:val="000000" w:themeColor="text1"/>
                <w:sz w:val="20"/>
                <w:szCs w:val="20"/>
              </w:rPr>
              <w:t>12</w:t>
            </w:r>
            <w:r w:rsidRPr="00DC0E01">
              <w:rPr>
                <w:rFonts w:cs="Times New Roman"/>
                <w:bCs/>
                <w:color w:val="000000" w:themeColor="text1"/>
                <w:sz w:val="20"/>
                <w:szCs w:val="20"/>
              </w:rPr>
              <w:t>.2022.</w:t>
            </w:r>
          </w:p>
        </w:tc>
      </w:tr>
      <w:tr w:rsidR="00041E13" w:rsidRPr="00DC0E01" w:rsidTr="00D87E27">
        <w:trPr>
          <w:trHeight w:val="454"/>
        </w:trPr>
        <w:tc>
          <w:tcPr>
            <w:tcW w:w="14601" w:type="dxa"/>
            <w:gridSpan w:val="8"/>
            <w:shd w:val="clear" w:color="auto" w:fill="D9E2F3" w:themeFill="accent5" w:themeFillTint="33"/>
            <w:vAlign w:val="center"/>
          </w:tcPr>
          <w:p w:rsidR="00041E13" w:rsidRPr="00DC0E01" w:rsidRDefault="00041E13" w:rsidP="006A19D3">
            <w:pPr>
              <w:pStyle w:val="Heading2"/>
              <w:rPr>
                <w:sz w:val="24"/>
                <w:szCs w:val="24"/>
              </w:rPr>
            </w:pPr>
            <w:bookmarkStart w:id="22" w:name="_Toc86949440"/>
            <w:r w:rsidRPr="00DC0E01">
              <w:rPr>
                <w:sz w:val="24"/>
                <w:szCs w:val="24"/>
              </w:rPr>
              <w:t xml:space="preserve">2. </w:t>
            </w:r>
            <w:bookmarkStart w:id="23" w:name="_Hlk76365503"/>
            <w:r w:rsidR="00F714EC" w:rsidRPr="00DC0E01">
              <w:rPr>
                <w:sz w:val="24"/>
                <w:szCs w:val="24"/>
              </w:rPr>
              <w:t xml:space="preserve">rīcības virziens – </w:t>
            </w:r>
            <w:r w:rsidR="00D04C8A" w:rsidRPr="00DC0E01">
              <w:rPr>
                <w:sz w:val="24"/>
                <w:szCs w:val="24"/>
              </w:rPr>
              <w:t xml:space="preserve">Nedeklarēta nodarbinātība </w:t>
            </w:r>
            <w:r w:rsidR="001068F1" w:rsidRPr="00DC0E01">
              <w:rPr>
                <w:sz w:val="24"/>
                <w:szCs w:val="24"/>
              </w:rPr>
              <w:t>un neuzrādīta darba samaksa</w:t>
            </w:r>
            <w:bookmarkEnd w:id="22"/>
            <w:bookmarkEnd w:id="23"/>
          </w:p>
        </w:tc>
      </w:tr>
      <w:tr w:rsidR="00C540A2" w:rsidRPr="008C09A4" w:rsidTr="00DA5BE6">
        <w:trPr>
          <w:trHeight w:val="543"/>
        </w:trPr>
        <w:tc>
          <w:tcPr>
            <w:tcW w:w="568" w:type="dxa"/>
            <w:vMerge w:val="restart"/>
          </w:tcPr>
          <w:p w:rsidR="00C540A2" w:rsidRPr="008C09A4" w:rsidRDefault="00C540A2" w:rsidP="00250B3B">
            <w:pPr>
              <w:ind w:right="-21"/>
              <w:rPr>
                <w:rFonts w:cs="Times New Roman"/>
                <w:bCs/>
                <w:sz w:val="20"/>
                <w:szCs w:val="20"/>
              </w:rPr>
            </w:pPr>
            <w:bookmarkStart w:id="24" w:name="_Hlk86360773"/>
            <w:r w:rsidRPr="008C09A4">
              <w:rPr>
                <w:rFonts w:cs="Times New Roman"/>
                <w:bCs/>
                <w:sz w:val="20"/>
                <w:szCs w:val="20"/>
              </w:rPr>
              <w:t>2.1.</w:t>
            </w:r>
          </w:p>
        </w:tc>
        <w:tc>
          <w:tcPr>
            <w:tcW w:w="2268" w:type="dxa"/>
            <w:vMerge w:val="restart"/>
          </w:tcPr>
          <w:p w:rsidR="00C540A2" w:rsidRPr="008C09A4" w:rsidRDefault="00C540A2" w:rsidP="00250B3B">
            <w:pPr>
              <w:jc w:val="both"/>
              <w:rPr>
                <w:rFonts w:cs="Times New Roman"/>
                <w:sz w:val="20"/>
                <w:szCs w:val="20"/>
              </w:rPr>
            </w:pPr>
            <w:r w:rsidRPr="008C09A4">
              <w:rPr>
                <w:rFonts w:cs="Times New Roman"/>
                <w:sz w:val="20"/>
                <w:szCs w:val="20"/>
              </w:rPr>
              <w:t>Mazināt iespējas pretlikumīgai bezdarbnieka statusa izmantošanai, pieļaujot risku, ka vienlaicīgi ar bezdarbnieka pabalstu personas var saņemt grāmatvedībā neuzskatītu atalgojumu (“aplokšņu” algas).</w:t>
            </w:r>
          </w:p>
        </w:tc>
        <w:tc>
          <w:tcPr>
            <w:tcW w:w="3544" w:type="dxa"/>
            <w:vMerge w:val="restart"/>
          </w:tcPr>
          <w:p w:rsidR="00C540A2" w:rsidRDefault="00C540A2" w:rsidP="00250B3B">
            <w:pPr>
              <w:jc w:val="both"/>
              <w:rPr>
                <w:rFonts w:cs="Times New Roman"/>
                <w:color w:val="000000"/>
                <w:sz w:val="20"/>
                <w:szCs w:val="20"/>
              </w:rPr>
            </w:pPr>
            <w:r w:rsidRPr="00133F1A">
              <w:rPr>
                <w:rFonts w:cs="Times New Roman"/>
                <w:color w:val="000000"/>
                <w:sz w:val="20"/>
                <w:szCs w:val="20"/>
              </w:rPr>
              <w:t>“Aplokšņu algu” maksāšana rada iespējas bezdarbnieka statusā</w:t>
            </w:r>
            <w:r w:rsidRPr="008C09A4">
              <w:rPr>
                <w:rFonts w:cs="Times New Roman"/>
                <w:color w:val="000000"/>
                <w:sz w:val="20"/>
                <w:szCs w:val="20"/>
              </w:rPr>
              <w:t xml:space="preserve"> esošām personām vienlaicīgi saņemt gan bezdarbnieka pabalstu, gan atlīdzību par veiktu darbu, kas netiek uzskaitīta grāmatvedībā. Pašreizējā noteiktā atbildība paredz atbildību “aplokšņu algu” maksātājiem, taču neparedz atbildību fiziskām personām par pretlikumīgi saņemtu bezdarbnieku pabalstu, vienlaicīgi esot nelegāli nodarbinātam un saņemot atlīdzību “aplokšņu algu” veidā</w:t>
            </w:r>
            <w:r>
              <w:rPr>
                <w:rFonts w:cs="Times New Roman"/>
                <w:color w:val="000000"/>
                <w:sz w:val="20"/>
                <w:szCs w:val="20"/>
              </w:rPr>
              <w:t xml:space="preserve"> </w:t>
            </w:r>
            <w:r w:rsidRPr="00A11A3E">
              <w:rPr>
                <w:rFonts w:cs="Times New Roman"/>
                <w:color w:val="000000"/>
                <w:sz w:val="20"/>
                <w:szCs w:val="20"/>
              </w:rPr>
              <w:t>gan Latvijā, gan citās valstīs izceļojot.</w:t>
            </w:r>
            <w:r w:rsidRPr="008C09A4">
              <w:rPr>
                <w:rFonts w:cs="Times New Roman"/>
                <w:color w:val="000000"/>
                <w:sz w:val="20"/>
                <w:szCs w:val="20"/>
              </w:rPr>
              <w:t xml:space="preserve"> </w:t>
            </w:r>
          </w:p>
          <w:p w:rsidR="00C540A2" w:rsidRPr="004934FB" w:rsidRDefault="00C540A2" w:rsidP="00250B3B">
            <w:pPr>
              <w:jc w:val="both"/>
              <w:rPr>
                <w:rFonts w:cs="Times New Roman"/>
                <w:color w:val="000000"/>
                <w:sz w:val="20"/>
                <w:szCs w:val="20"/>
              </w:rPr>
            </w:pPr>
            <w:r w:rsidRPr="006A78E6">
              <w:rPr>
                <w:rFonts w:cs="Times New Roman"/>
                <w:sz w:val="20"/>
                <w:szCs w:val="20"/>
              </w:rPr>
              <w:t xml:space="preserve">Tādēļ nepieciešams izvērtēt iespēju noteikt </w:t>
            </w:r>
            <w:r w:rsidRPr="004B0589">
              <w:rPr>
                <w:rFonts w:cs="Times New Roman"/>
                <w:color w:val="000000"/>
                <w:sz w:val="20"/>
                <w:szCs w:val="20"/>
              </w:rPr>
              <w:t>administratīvo atbildību arī fiziskām personām par algas saņemšanu aploksnē. Turklāt konstatējot, ka bezdarbnieks saņem “aplokšņu algu”, tiek zaudēti arī citi bezdarbniekam piešķirtie atbalsti, piemēram, kvalifikācijas ieguve, stipendijas, finanšu atlīdzība transporta izdevumu segšanai u.c.</w:t>
            </w:r>
          </w:p>
        </w:tc>
        <w:tc>
          <w:tcPr>
            <w:tcW w:w="2551" w:type="dxa"/>
          </w:tcPr>
          <w:p w:rsidR="00C540A2" w:rsidRPr="006A78E6" w:rsidRDefault="00C540A2" w:rsidP="00250B3B">
            <w:pPr>
              <w:jc w:val="both"/>
              <w:rPr>
                <w:rFonts w:cs="Times New Roman"/>
                <w:sz w:val="20"/>
                <w:szCs w:val="20"/>
              </w:rPr>
            </w:pPr>
            <w:r>
              <w:rPr>
                <w:rFonts w:cs="Times New Roman"/>
                <w:sz w:val="20"/>
                <w:szCs w:val="20"/>
              </w:rPr>
              <w:t>1.</w:t>
            </w:r>
            <w:r w:rsidRPr="008C09A4">
              <w:rPr>
                <w:rFonts w:cs="Times New Roman"/>
                <w:sz w:val="20"/>
                <w:szCs w:val="20"/>
              </w:rPr>
              <w:t xml:space="preserve">Izvērtēt nepieciešamos grozījumus normatīvajos aktos, kas </w:t>
            </w:r>
            <w:r w:rsidRPr="006A78E6">
              <w:rPr>
                <w:rFonts w:cs="Times New Roman"/>
                <w:sz w:val="20"/>
                <w:szCs w:val="20"/>
              </w:rPr>
              <w:t>atturētu fiziskās personas pretlikumīgi izmantot bezdarbnieka pabalstus, vienlaicīgi saņemot “aplokšņu algas”.</w:t>
            </w:r>
          </w:p>
          <w:p w:rsidR="00C540A2" w:rsidRPr="006A78E6" w:rsidRDefault="00C540A2" w:rsidP="00250B3B">
            <w:pPr>
              <w:jc w:val="both"/>
              <w:rPr>
                <w:rFonts w:cs="Times New Roman"/>
                <w:sz w:val="20"/>
                <w:szCs w:val="20"/>
              </w:rPr>
            </w:pPr>
          </w:p>
          <w:p w:rsidR="00C540A2" w:rsidRPr="0004150B" w:rsidRDefault="00C540A2" w:rsidP="0004150B">
            <w:pPr>
              <w:jc w:val="both"/>
              <w:rPr>
                <w:rFonts w:cs="Times New Roman"/>
                <w:color w:val="000000"/>
                <w:sz w:val="20"/>
                <w:szCs w:val="20"/>
              </w:rPr>
            </w:pPr>
          </w:p>
        </w:tc>
        <w:tc>
          <w:tcPr>
            <w:tcW w:w="1985" w:type="dxa"/>
          </w:tcPr>
          <w:p w:rsidR="00C540A2" w:rsidRDefault="00C540A2" w:rsidP="00250B3B">
            <w:pPr>
              <w:jc w:val="both"/>
              <w:rPr>
                <w:rFonts w:cs="Times New Roman"/>
                <w:sz w:val="20"/>
                <w:szCs w:val="20"/>
              </w:rPr>
            </w:pPr>
            <w:r w:rsidRPr="008C09A4">
              <w:rPr>
                <w:rFonts w:cs="Times New Roman"/>
                <w:sz w:val="20"/>
                <w:szCs w:val="20"/>
              </w:rPr>
              <w:t>Sagatavots novērtējums par iespējamajiem grozījumiem normatīvajos aktos</w:t>
            </w:r>
            <w:r>
              <w:rPr>
                <w:rFonts w:cs="Times New Roman"/>
                <w:sz w:val="20"/>
                <w:szCs w:val="20"/>
              </w:rPr>
              <w:t>.</w:t>
            </w:r>
          </w:p>
          <w:p w:rsidR="00C540A2" w:rsidRPr="008C09A4" w:rsidRDefault="00C540A2" w:rsidP="00250B3B">
            <w:pPr>
              <w:jc w:val="both"/>
              <w:rPr>
                <w:rFonts w:cs="Times New Roman"/>
                <w:sz w:val="20"/>
                <w:szCs w:val="20"/>
              </w:rPr>
            </w:pPr>
          </w:p>
        </w:tc>
        <w:tc>
          <w:tcPr>
            <w:tcW w:w="1275" w:type="dxa"/>
          </w:tcPr>
          <w:p w:rsidR="00C540A2" w:rsidRDefault="00C540A2" w:rsidP="00250B3B">
            <w:pPr>
              <w:jc w:val="center"/>
              <w:rPr>
                <w:rFonts w:cs="Times New Roman"/>
                <w:bCs/>
                <w:sz w:val="20"/>
                <w:szCs w:val="20"/>
              </w:rPr>
            </w:pPr>
            <w:r w:rsidRPr="008C09A4">
              <w:rPr>
                <w:rFonts w:cs="Times New Roman"/>
                <w:bCs/>
                <w:sz w:val="20"/>
                <w:szCs w:val="20"/>
              </w:rPr>
              <w:t xml:space="preserve">LM, </w:t>
            </w:r>
          </w:p>
          <w:p w:rsidR="00C540A2" w:rsidRPr="008C09A4" w:rsidRDefault="00C540A2" w:rsidP="00F714EC">
            <w:pPr>
              <w:jc w:val="center"/>
              <w:rPr>
                <w:rFonts w:cs="Times New Roman"/>
                <w:bCs/>
                <w:sz w:val="20"/>
                <w:szCs w:val="20"/>
              </w:rPr>
            </w:pPr>
            <w:r w:rsidRPr="008C09A4">
              <w:rPr>
                <w:rFonts w:cs="Times New Roman"/>
                <w:bCs/>
                <w:sz w:val="20"/>
                <w:szCs w:val="20"/>
              </w:rPr>
              <w:t>NVA</w:t>
            </w:r>
          </w:p>
        </w:tc>
        <w:tc>
          <w:tcPr>
            <w:tcW w:w="1134" w:type="dxa"/>
          </w:tcPr>
          <w:p w:rsidR="00C540A2" w:rsidRDefault="00C540A2" w:rsidP="000224C1">
            <w:pPr>
              <w:jc w:val="center"/>
              <w:rPr>
                <w:rFonts w:cs="Times New Roman"/>
                <w:bCs/>
                <w:sz w:val="20"/>
                <w:szCs w:val="20"/>
              </w:rPr>
            </w:pPr>
            <w:r w:rsidRPr="008C09A4">
              <w:rPr>
                <w:rFonts w:cs="Times New Roman"/>
                <w:bCs/>
                <w:sz w:val="20"/>
                <w:szCs w:val="20"/>
              </w:rPr>
              <w:t>FM</w:t>
            </w:r>
            <w:r>
              <w:rPr>
                <w:rFonts w:cs="Times New Roman"/>
                <w:bCs/>
                <w:sz w:val="20"/>
                <w:szCs w:val="20"/>
              </w:rPr>
              <w:t>,</w:t>
            </w:r>
          </w:p>
          <w:p w:rsidR="00C540A2" w:rsidRDefault="00C540A2" w:rsidP="00250B3B">
            <w:pPr>
              <w:jc w:val="center"/>
              <w:rPr>
                <w:rFonts w:cs="Times New Roman"/>
                <w:bCs/>
                <w:sz w:val="20"/>
                <w:szCs w:val="20"/>
              </w:rPr>
            </w:pPr>
            <w:r w:rsidRPr="008C09A4">
              <w:rPr>
                <w:rFonts w:cs="Times New Roman"/>
                <w:bCs/>
                <w:sz w:val="20"/>
                <w:szCs w:val="20"/>
              </w:rPr>
              <w:t xml:space="preserve">VID, </w:t>
            </w:r>
          </w:p>
          <w:p w:rsidR="00C540A2" w:rsidRDefault="00C540A2" w:rsidP="000224C1">
            <w:pPr>
              <w:jc w:val="center"/>
              <w:rPr>
                <w:rFonts w:cs="Times New Roman"/>
                <w:bCs/>
                <w:sz w:val="20"/>
                <w:szCs w:val="20"/>
              </w:rPr>
            </w:pPr>
            <w:r w:rsidRPr="008C09A4">
              <w:rPr>
                <w:rFonts w:cs="Times New Roman"/>
                <w:bCs/>
                <w:sz w:val="20"/>
                <w:szCs w:val="20"/>
              </w:rPr>
              <w:t>VDI</w:t>
            </w:r>
            <w:r>
              <w:rPr>
                <w:rFonts w:cs="Times New Roman"/>
                <w:bCs/>
                <w:sz w:val="20"/>
                <w:szCs w:val="20"/>
              </w:rPr>
              <w:t>,</w:t>
            </w:r>
          </w:p>
          <w:p w:rsidR="00C540A2" w:rsidRDefault="00C540A2" w:rsidP="000224C1">
            <w:pPr>
              <w:jc w:val="center"/>
              <w:rPr>
                <w:rFonts w:cs="Times New Roman"/>
                <w:bCs/>
                <w:sz w:val="20"/>
                <w:szCs w:val="20"/>
              </w:rPr>
            </w:pPr>
            <w:r w:rsidRPr="006A78E6">
              <w:rPr>
                <w:rFonts w:cs="Times New Roman"/>
                <w:bCs/>
                <w:sz w:val="20"/>
                <w:szCs w:val="20"/>
              </w:rPr>
              <w:t>TM</w:t>
            </w:r>
          </w:p>
          <w:p w:rsidR="00C540A2" w:rsidRPr="008C09A4" w:rsidRDefault="00C540A2" w:rsidP="00250B3B">
            <w:pPr>
              <w:jc w:val="center"/>
              <w:rPr>
                <w:rFonts w:cs="Times New Roman"/>
                <w:bCs/>
                <w:sz w:val="20"/>
                <w:szCs w:val="20"/>
              </w:rPr>
            </w:pPr>
          </w:p>
        </w:tc>
        <w:tc>
          <w:tcPr>
            <w:tcW w:w="1276" w:type="dxa"/>
          </w:tcPr>
          <w:p w:rsidR="00C540A2" w:rsidRPr="008C09A4" w:rsidRDefault="00C540A2" w:rsidP="00250B3B">
            <w:pPr>
              <w:jc w:val="center"/>
              <w:rPr>
                <w:rFonts w:cs="Times New Roman"/>
                <w:bCs/>
                <w:sz w:val="20"/>
                <w:szCs w:val="20"/>
              </w:rPr>
            </w:pPr>
            <w:r w:rsidRPr="008C09A4">
              <w:rPr>
                <w:rFonts w:cs="Times New Roman"/>
                <w:bCs/>
                <w:sz w:val="20"/>
                <w:szCs w:val="20"/>
              </w:rPr>
              <w:t>30.12.202</w:t>
            </w:r>
            <w:r>
              <w:rPr>
                <w:rFonts w:cs="Times New Roman"/>
                <w:bCs/>
                <w:sz w:val="20"/>
                <w:szCs w:val="20"/>
              </w:rPr>
              <w:t>2.</w:t>
            </w:r>
          </w:p>
        </w:tc>
      </w:tr>
      <w:tr w:rsidR="00C540A2" w:rsidRPr="008C09A4" w:rsidTr="00DA5BE6">
        <w:trPr>
          <w:trHeight w:val="543"/>
        </w:trPr>
        <w:tc>
          <w:tcPr>
            <w:tcW w:w="568" w:type="dxa"/>
            <w:vMerge/>
          </w:tcPr>
          <w:p w:rsidR="00C540A2" w:rsidRPr="008C09A4" w:rsidRDefault="00C540A2" w:rsidP="00250B3B">
            <w:pPr>
              <w:ind w:right="-21"/>
              <w:rPr>
                <w:rFonts w:cs="Times New Roman"/>
                <w:bCs/>
                <w:sz w:val="20"/>
                <w:szCs w:val="20"/>
              </w:rPr>
            </w:pPr>
          </w:p>
        </w:tc>
        <w:tc>
          <w:tcPr>
            <w:tcW w:w="2268" w:type="dxa"/>
            <w:vMerge/>
          </w:tcPr>
          <w:p w:rsidR="00C540A2" w:rsidRPr="008C09A4" w:rsidRDefault="00C540A2" w:rsidP="00250B3B">
            <w:pPr>
              <w:jc w:val="both"/>
              <w:rPr>
                <w:rFonts w:cs="Times New Roman"/>
                <w:sz w:val="20"/>
                <w:szCs w:val="20"/>
              </w:rPr>
            </w:pPr>
          </w:p>
        </w:tc>
        <w:tc>
          <w:tcPr>
            <w:tcW w:w="3544" w:type="dxa"/>
            <w:vMerge/>
          </w:tcPr>
          <w:p w:rsidR="00C540A2" w:rsidRPr="00133F1A" w:rsidRDefault="00C540A2" w:rsidP="00250B3B">
            <w:pPr>
              <w:jc w:val="both"/>
              <w:rPr>
                <w:rFonts w:cs="Times New Roman"/>
                <w:color w:val="000000"/>
                <w:sz w:val="20"/>
                <w:szCs w:val="20"/>
              </w:rPr>
            </w:pPr>
          </w:p>
        </w:tc>
        <w:tc>
          <w:tcPr>
            <w:tcW w:w="2551" w:type="dxa"/>
          </w:tcPr>
          <w:p w:rsidR="00C540A2" w:rsidRDefault="00C540A2" w:rsidP="00250B3B">
            <w:pPr>
              <w:jc w:val="both"/>
              <w:rPr>
                <w:rFonts w:cs="Times New Roman"/>
                <w:sz w:val="20"/>
                <w:szCs w:val="20"/>
              </w:rPr>
            </w:pPr>
            <w:r w:rsidRPr="006A78E6">
              <w:rPr>
                <w:rFonts w:cs="Times New Roman"/>
                <w:sz w:val="20"/>
                <w:szCs w:val="20"/>
              </w:rPr>
              <w:t>2.Izvērtēt iespējamo atbildību fiziskām personām par “aplokšņu algu” saņemšanu.</w:t>
            </w:r>
          </w:p>
        </w:tc>
        <w:tc>
          <w:tcPr>
            <w:tcW w:w="1985" w:type="dxa"/>
          </w:tcPr>
          <w:p w:rsidR="00C540A2" w:rsidRDefault="00C540A2" w:rsidP="00C540A2">
            <w:pPr>
              <w:jc w:val="both"/>
              <w:rPr>
                <w:rFonts w:cs="Times New Roman"/>
                <w:sz w:val="20"/>
                <w:szCs w:val="20"/>
              </w:rPr>
            </w:pPr>
            <w:r w:rsidRPr="008C09A4">
              <w:rPr>
                <w:rFonts w:cs="Times New Roman"/>
                <w:sz w:val="20"/>
                <w:szCs w:val="20"/>
              </w:rPr>
              <w:t>Sagatavots novērtējums par iespējamajiem grozījumiem normatīvajos aktos</w:t>
            </w:r>
            <w:r>
              <w:rPr>
                <w:rFonts w:cs="Times New Roman"/>
                <w:sz w:val="20"/>
                <w:szCs w:val="20"/>
              </w:rPr>
              <w:t>.</w:t>
            </w:r>
          </w:p>
          <w:p w:rsidR="00C540A2" w:rsidRPr="008C09A4" w:rsidRDefault="00C540A2" w:rsidP="00250B3B">
            <w:pPr>
              <w:jc w:val="both"/>
              <w:rPr>
                <w:rFonts w:cs="Times New Roman"/>
                <w:sz w:val="20"/>
                <w:szCs w:val="20"/>
              </w:rPr>
            </w:pPr>
          </w:p>
        </w:tc>
        <w:tc>
          <w:tcPr>
            <w:tcW w:w="1275" w:type="dxa"/>
          </w:tcPr>
          <w:p w:rsidR="00C540A2" w:rsidRPr="008C09A4" w:rsidRDefault="00C540A2" w:rsidP="00250B3B">
            <w:pPr>
              <w:jc w:val="center"/>
              <w:rPr>
                <w:rFonts w:cs="Times New Roman"/>
                <w:bCs/>
                <w:sz w:val="20"/>
                <w:szCs w:val="20"/>
              </w:rPr>
            </w:pPr>
            <w:r w:rsidRPr="008C09A4">
              <w:rPr>
                <w:rFonts w:cs="Times New Roman"/>
                <w:bCs/>
                <w:sz w:val="20"/>
                <w:szCs w:val="20"/>
              </w:rPr>
              <w:t>VID</w:t>
            </w:r>
          </w:p>
        </w:tc>
        <w:tc>
          <w:tcPr>
            <w:tcW w:w="1134" w:type="dxa"/>
          </w:tcPr>
          <w:p w:rsidR="00C540A2" w:rsidRDefault="00C540A2" w:rsidP="00C540A2">
            <w:pPr>
              <w:jc w:val="center"/>
              <w:rPr>
                <w:rFonts w:cs="Times New Roman"/>
                <w:bCs/>
                <w:sz w:val="20"/>
                <w:szCs w:val="20"/>
              </w:rPr>
            </w:pPr>
            <w:r w:rsidRPr="008C09A4">
              <w:rPr>
                <w:rFonts w:cs="Times New Roman"/>
                <w:bCs/>
                <w:sz w:val="20"/>
                <w:szCs w:val="20"/>
              </w:rPr>
              <w:t>FM</w:t>
            </w:r>
            <w:r>
              <w:rPr>
                <w:rFonts w:cs="Times New Roman"/>
                <w:bCs/>
                <w:sz w:val="20"/>
                <w:szCs w:val="20"/>
              </w:rPr>
              <w:t>,</w:t>
            </w:r>
          </w:p>
          <w:p w:rsidR="00C540A2" w:rsidRDefault="00C540A2" w:rsidP="00C540A2">
            <w:pPr>
              <w:jc w:val="center"/>
              <w:rPr>
                <w:rFonts w:cs="Times New Roman"/>
                <w:bCs/>
                <w:sz w:val="20"/>
                <w:szCs w:val="20"/>
              </w:rPr>
            </w:pPr>
            <w:r>
              <w:rPr>
                <w:rFonts w:cs="Times New Roman"/>
                <w:bCs/>
                <w:sz w:val="20"/>
                <w:szCs w:val="20"/>
              </w:rPr>
              <w:t>L</w:t>
            </w:r>
            <w:r w:rsidRPr="006A78E6">
              <w:rPr>
                <w:rFonts w:cs="Times New Roman"/>
                <w:bCs/>
                <w:sz w:val="20"/>
                <w:szCs w:val="20"/>
              </w:rPr>
              <w:t>M</w:t>
            </w:r>
            <w:r>
              <w:rPr>
                <w:rFonts w:cs="Times New Roman"/>
                <w:bCs/>
                <w:sz w:val="20"/>
                <w:szCs w:val="20"/>
              </w:rPr>
              <w:t>,</w:t>
            </w:r>
          </w:p>
          <w:p w:rsidR="00C540A2" w:rsidRDefault="00C540A2" w:rsidP="00C540A2">
            <w:pPr>
              <w:jc w:val="center"/>
              <w:rPr>
                <w:rFonts w:cs="Times New Roman"/>
                <w:bCs/>
                <w:sz w:val="20"/>
                <w:szCs w:val="20"/>
              </w:rPr>
            </w:pPr>
            <w:r>
              <w:rPr>
                <w:rFonts w:cs="Times New Roman"/>
                <w:bCs/>
                <w:sz w:val="20"/>
                <w:szCs w:val="20"/>
              </w:rPr>
              <w:t>TM</w:t>
            </w:r>
          </w:p>
          <w:p w:rsidR="00C540A2" w:rsidRPr="008C09A4" w:rsidRDefault="00C540A2" w:rsidP="000224C1">
            <w:pPr>
              <w:jc w:val="center"/>
              <w:rPr>
                <w:rFonts w:cs="Times New Roman"/>
                <w:bCs/>
                <w:sz w:val="20"/>
                <w:szCs w:val="20"/>
              </w:rPr>
            </w:pPr>
          </w:p>
        </w:tc>
        <w:tc>
          <w:tcPr>
            <w:tcW w:w="1276" w:type="dxa"/>
          </w:tcPr>
          <w:p w:rsidR="00C540A2" w:rsidRPr="008C09A4" w:rsidRDefault="00755752" w:rsidP="00250B3B">
            <w:pPr>
              <w:jc w:val="center"/>
              <w:rPr>
                <w:rFonts w:cs="Times New Roman"/>
                <w:bCs/>
                <w:sz w:val="20"/>
                <w:szCs w:val="20"/>
              </w:rPr>
            </w:pPr>
            <w:r w:rsidRPr="008C09A4">
              <w:rPr>
                <w:rFonts w:cs="Times New Roman"/>
                <w:bCs/>
                <w:sz w:val="20"/>
                <w:szCs w:val="20"/>
              </w:rPr>
              <w:t>30.12.202</w:t>
            </w:r>
            <w:r>
              <w:rPr>
                <w:rFonts w:cs="Times New Roman"/>
                <w:bCs/>
                <w:sz w:val="20"/>
                <w:szCs w:val="20"/>
              </w:rPr>
              <w:t>2.</w:t>
            </w:r>
          </w:p>
        </w:tc>
      </w:tr>
      <w:bookmarkEnd w:id="24"/>
      <w:tr w:rsidR="001E30CF" w:rsidRPr="008C09A4" w:rsidTr="00DA5BE6">
        <w:trPr>
          <w:trHeight w:val="543"/>
        </w:trPr>
        <w:tc>
          <w:tcPr>
            <w:tcW w:w="568" w:type="dxa"/>
            <w:shd w:val="clear" w:color="auto" w:fill="auto"/>
          </w:tcPr>
          <w:p w:rsidR="001E30CF" w:rsidRPr="008C09A4" w:rsidRDefault="001E30CF" w:rsidP="002F3D3B">
            <w:pPr>
              <w:ind w:right="-21"/>
              <w:rPr>
                <w:rFonts w:cs="Times New Roman"/>
                <w:bCs/>
                <w:sz w:val="20"/>
                <w:szCs w:val="20"/>
              </w:rPr>
            </w:pPr>
            <w:r w:rsidRPr="008C09A4">
              <w:rPr>
                <w:rFonts w:cs="Times New Roman"/>
                <w:bCs/>
                <w:sz w:val="20"/>
                <w:szCs w:val="20"/>
              </w:rPr>
              <w:t>2.</w:t>
            </w:r>
            <w:r w:rsidR="00133F1A">
              <w:rPr>
                <w:rFonts w:cs="Times New Roman"/>
                <w:bCs/>
                <w:sz w:val="20"/>
                <w:szCs w:val="20"/>
              </w:rPr>
              <w:t>2.</w:t>
            </w:r>
          </w:p>
        </w:tc>
        <w:tc>
          <w:tcPr>
            <w:tcW w:w="2268" w:type="dxa"/>
            <w:shd w:val="clear" w:color="auto" w:fill="auto"/>
          </w:tcPr>
          <w:p w:rsidR="001E30CF" w:rsidRPr="00ED2E79" w:rsidRDefault="001E30CF" w:rsidP="002F3D3B">
            <w:pPr>
              <w:jc w:val="both"/>
              <w:rPr>
                <w:rFonts w:cs="Times New Roman"/>
                <w:sz w:val="20"/>
                <w:szCs w:val="20"/>
              </w:rPr>
            </w:pPr>
            <w:r w:rsidRPr="008C09A4">
              <w:rPr>
                <w:rFonts w:cs="Times New Roman"/>
                <w:color w:val="000000"/>
                <w:sz w:val="20"/>
                <w:szCs w:val="20"/>
              </w:rPr>
              <w:t>Mazināt darba ienākumu izmaksas, kas veiktas neieturot nodokļus (“aplokšņu algas”), īstenojot mērķtiecīgus nodokļu administrēšanas pasākumus “aplokšņu algu” ierobežošanai.</w:t>
            </w:r>
          </w:p>
        </w:tc>
        <w:tc>
          <w:tcPr>
            <w:tcW w:w="3544" w:type="dxa"/>
            <w:shd w:val="clear" w:color="auto" w:fill="auto"/>
          </w:tcPr>
          <w:p w:rsidR="001E30CF" w:rsidRPr="008C09A4" w:rsidRDefault="001E30CF" w:rsidP="002F3D3B">
            <w:pPr>
              <w:jc w:val="both"/>
              <w:rPr>
                <w:rFonts w:cs="Times New Roman"/>
                <w:sz w:val="20"/>
                <w:szCs w:val="20"/>
              </w:rPr>
            </w:pPr>
            <w:r w:rsidRPr="008C09A4">
              <w:rPr>
                <w:rFonts w:cs="Times New Roman"/>
                <w:sz w:val="20"/>
                <w:szCs w:val="20"/>
              </w:rPr>
              <w:t xml:space="preserve">VID prioritāte ēnu ekonomikas mazināšanā laika </w:t>
            </w:r>
            <w:r w:rsidR="003656D7">
              <w:rPr>
                <w:rFonts w:cs="Times New Roman"/>
                <w:sz w:val="20"/>
                <w:szCs w:val="20"/>
              </w:rPr>
              <w:t>periodā</w:t>
            </w:r>
            <w:r w:rsidRPr="008C09A4">
              <w:rPr>
                <w:rFonts w:cs="Times New Roman"/>
                <w:sz w:val="20"/>
                <w:szCs w:val="20"/>
              </w:rPr>
              <w:t xml:space="preserve"> 2021</w:t>
            </w:r>
            <w:r w:rsidR="003656D7">
              <w:rPr>
                <w:rFonts w:cs="Times New Roman"/>
                <w:sz w:val="20"/>
                <w:szCs w:val="20"/>
              </w:rPr>
              <w:t>.–</w:t>
            </w:r>
            <w:r w:rsidRPr="00133F1A">
              <w:rPr>
                <w:rFonts w:cs="Times New Roman"/>
                <w:sz w:val="20"/>
                <w:szCs w:val="20"/>
              </w:rPr>
              <w:t>2022.</w:t>
            </w:r>
            <w:r w:rsidR="003656D7">
              <w:rPr>
                <w:rFonts w:cs="Times New Roman"/>
                <w:sz w:val="20"/>
                <w:szCs w:val="20"/>
              </w:rPr>
              <w:t> </w:t>
            </w:r>
            <w:r w:rsidRPr="00133F1A">
              <w:rPr>
                <w:rFonts w:cs="Times New Roman"/>
                <w:sz w:val="20"/>
                <w:szCs w:val="20"/>
              </w:rPr>
              <w:t>gad</w:t>
            </w:r>
            <w:r w:rsidR="003656D7">
              <w:rPr>
                <w:rFonts w:cs="Times New Roman"/>
                <w:sz w:val="20"/>
                <w:szCs w:val="20"/>
              </w:rPr>
              <w:t>ā</w:t>
            </w:r>
            <w:r w:rsidRPr="00133F1A">
              <w:rPr>
                <w:rFonts w:cs="Times New Roman"/>
                <w:sz w:val="20"/>
                <w:szCs w:val="20"/>
              </w:rPr>
              <w:t xml:space="preserve"> ir mazināt stratēģisko risku “Darba ienākumu izmaksa, neieturot nodokļus (“aplokšņu algas”)”, nodrošinot savstarpēji saistītu pasākumu</w:t>
            </w:r>
            <w:r w:rsidRPr="008C09A4">
              <w:rPr>
                <w:rFonts w:cs="Times New Roman"/>
                <w:sz w:val="20"/>
                <w:szCs w:val="20"/>
              </w:rPr>
              <w:t xml:space="preserve"> koordinētu vadību un īstenošanu. </w:t>
            </w:r>
          </w:p>
        </w:tc>
        <w:tc>
          <w:tcPr>
            <w:tcW w:w="2551" w:type="dxa"/>
            <w:shd w:val="clear" w:color="auto" w:fill="auto"/>
          </w:tcPr>
          <w:p w:rsidR="001E30CF" w:rsidRPr="00913EF5" w:rsidRDefault="001E30CF" w:rsidP="002F3D3B">
            <w:pPr>
              <w:jc w:val="both"/>
              <w:rPr>
                <w:rFonts w:cs="Times New Roman"/>
                <w:color w:val="000000"/>
                <w:sz w:val="20"/>
                <w:szCs w:val="20"/>
              </w:rPr>
            </w:pPr>
            <w:r w:rsidRPr="008C09A4">
              <w:rPr>
                <w:rFonts w:cs="Times New Roman"/>
                <w:color w:val="000000"/>
                <w:sz w:val="20"/>
                <w:szCs w:val="20"/>
              </w:rPr>
              <w:t>VID veikto pārbaužu un kontroles pasākumu uzlabošana stratēģiskā riska “Darba ienākumu izmaksa, neieturot nodokļus (“aplokšņu algas”)” mazināšanai, VID analītiskās kapacitātes stiprināšana, labprātīgu nodokļu nomaksu veicinošo pasākumu pilnveidošana.</w:t>
            </w:r>
          </w:p>
        </w:tc>
        <w:tc>
          <w:tcPr>
            <w:tcW w:w="1985" w:type="dxa"/>
            <w:shd w:val="clear" w:color="auto" w:fill="auto"/>
          </w:tcPr>
          <w:p w:rsidR="001E30CF" w:rsidRPr="008C09A4" w:rsidRDefault="001E30CF" w:rsidP="002F3D3B">
            <w:pPr>
              <w:jc w:val="both"/>
              <w:rPr>
                <w:rFonts w:cs="Times New Roman"/>
                <w:sz w:val="20"/>
                <w:szCs w:val="20"/>
              </w:rPr>
            </w:pPr>
            <w:r w:rsidRPr="008C09A4">
              <w:rPr>
                <w:rFonts w:cs="Times New Roman"/>
                <w:sz w:val="20"/>
                <w:szCs w:val="20"/>
              </w:rPr>
              <w:t>Samazinājies nedeklarēto darba ienākumu īpatsvars vispārējā nodokļu režīmā strādājošajiem komercsektorā, %</w:t>
            </w:r>
          </w:p>
        </w:tc>
        <w:tc>
          <w:tcPr>
            <w:tcW w:w="1275" w:type="dxa"/>
            <w:shd w:val="clear" w:color="auto" w:fill="auto"/>
          </w:tcPr>
          <w:p w:rsidR="001E30CF" w:rsidRPr="008C09A4" w:rsidRDefault="001E30CF" w:rsidP="002F3D3B">
            <w:pPr>
              <w:jc w:val="center"/>
              <w:rPr>
                <w:rFonts w:cs="Times New Roman"/>
                <w:bCs/>
                <w:sz w:val="20"/>
                <w:szCs w:val="20"/>
              </w:rPr>
            </w:pPr>
            <w:r w:rsidRPr="008C09A4">
              <w:rPr>
                <w:rFonts w:cs="Times New Roman"/>
                <w:bCs/>
                <w:sz w:val="20"/>
                <w:szCs w:val="20"/>
              </w:rPr>
              <w:t>VID</w:t>
            </w:r>
          </w:p>
        </w:tc>
        <w:tc>
          <w:tcPr>
            <w:tcW w:w="1134" w:type="dxa"/>
            <w:shd w:val="clear" w:color="auto" w:fill="auto"/>
          </w:tcPr>
          <w:p w:rsidR="001E30CF" w:rsidRPr="008C09A4" w:rsidRDefault="001E30CF" w:rsidP="002F3D3B">
            <w:pPr>
              <w:jc w:val="center"/>
              <w:rPr>
                <w:rFonts w:cs="Times New Roman"/>
                <w:bCs/>
                <w:sz w:val="20"/>
                <w:szCs w:val="20"/>
              </w:rPr>
            </w:pPr>
            <w:r w:rsidRPr="008C09A4">
              <w:rPr>
                <w:rFonts w:cs="Times New Roman"/>
                <w:bCs/>
                <w:sz w:val="20"/>
                <w:szCs w:val="20"/>
              </w:rPr>
              <w:t>FM</w:t>
            </w:r>
          </w:p>
        </w:tc>
        <w:tc>
          <w:tcPr>
            <w:tcW w:w="1276" w:type="dxa"/>
            <w:shd w:val="clear" w:color="auto" w:fill="auto"/>
          </w:tcPr>
          <w:p w:rsidR="001E30CF" w:rsidRPr="008C09A4" w:rsidRDefault="001E30CF" w:rsidP="002F3D3B">
            <w:pPr>
              <w:jc w:val="center"/>
              <w:rPr>
                <w:rFonts w:cs="Times New Roman"/>
                <w:bCs/>
                <w:sz w:val="20"/>
                <w:szCs w:val="20"/>
              </w:rPr>
            </w:pPr>
            <w:r w:rsidRPr="008C09A4">
              <w:rPr>
                <w:rFonts w:cs="Times New Roman"/>
                <w:bCs/>
                <w:sz w:val="20"/>
                <w:szCs w:val="20"/>
              </w:rPr>
              <w:t>3</w:t>
            </w:r>
            <w:r w:rsidR="006A19D3">
              <w:rPr>
                <w:rFonts w:cs="Times New Roman"/>
                <w:bCs/>
                <w:sz w:val="20"/>
                <w:szCs w:val="20"/>
              </w:rPr>
              <w:t>0</w:t>
            </w:r>
            <w:r w:rsidRPr="008C09A4">
              <w:rPr>
                <w:rFonts w:cs="Times New Roman"/>
                <w:bCs/>
                <w:sz w:val="20"/>
                <w:szCs w:val="20"/>
              </w:rPr>
              <w:t>.12.2022.</w:t>
            </w:r>
          </w:p>
        </w:tc>
      </w:tr>
      <w:tr w:rsidR="00ED2FDC" w:rsidRPr="008C09A4" w:rsidTr="00DA5BE6">
        <w:trPr>
          <w:trHeight w:val="2300"/>
        </w:trPr>
        <w:tc>
          <w:tcPr>
            <w:tcW w:w="568" w:type="dxa"/>
            <w:shd w:val="clear" w:color="auto" w:fill="auto"/>
          </w:tcPr>
          <w:p w:rsidR="00ED2FDC" w:rsidRPr="008C09A4" w:rsidRDefault="00ED2FDC" w:rsidP="001E30CF">
            <w:pPr>
              <w:ind w:right="-21"/>
              <w:rPr>
                <w:rFonts w:cs="Times New Roman"/>
                <w:bCs/>
                <w:sz w:val="20"/>
                <w:szCs w:val="20"/>
              </w:rPr>
            </w:pPr>
            <w:r>
              <w:rPr>
                <w:rFonts w:cs="Times New Roman"/>
                <w:bCs/>
                <w:sz w:val="20"/>
                <w:szCs w:val="20"/>
              </w:rPr>
              <w:t>2</w:t>
            </w:r>
            <w:r w:rsidRPr="008C09A4">
              <w:rPr>
                <w:rFonts w:cs="Times New Roman"/>
                <w:bCs/>
                <w:sz w:val="20"/>
                <w:szCs w:val="20"/>
              </w:rPr>
              <w:t>.</w:t>
            </w:r>
            <w:r>
              <w:rPr>
                <w:rFonts w:cs="Times New Roman"/>
                <w:bCs/>
                <w:sz w:val="20"/>
                <w:szCs w:val="20"/>
              </w:rPr>
              <w:t>3</w:t>
            </w:r>
            <w:r w:rsidRPr="008C09A4">
              <w:rPr>
                <w:rFonts w:cs="Times New Roman"/>
                <w:bCs/>
                <w:sz w:val="20"/>
                <w:szCs w:val="20"/>
              </w:rPr>
              <w:t>.</w:t>
            </w:r>
          </w:p>
        </w:tc>
        <w:tc>
          <w:tcPr>
            <w:tcW w:w="2268" w:type="dxa"/>
            <w:shd w:val="clear" w:color="auto" w:fill="auto"/>
          </w:tcPr>
          <w:p w:rsidR="00ED2FDC" w:rsidRPr="008C09A4" w:rsidRDefault="00ED2FDC" w:rsidP="001E30CF">
            <w:pPr>
              <w:jc w:val="both"/>
              <w:rPr>
                <w:rFonts w:cs="Times New Roman"/>
                <w:color w:val="000000" w:themeColor="text1"/>
                <w:sz w:val="20"/>
                <w:szCs w:val="20"/>
              </w:rPr>
            </w:pPr>
            <w:r w:rsidRPr="008C09A4">
              <w:rPr>
                <w:rFonts w:cs="Times New Roman"/>
                <w:sz w:val="20"/>
                <w:szCs w:val="20"/>
              </w:rPr>
              <w:t xml:space="preserve">Pārskatīt </w:t>
            </w:r>
            <w:r w:rsidRPr="00133F1A">
              <w:rPr>
                <w:rFonts w:cs="Times New Roman"/>
                <w:sz w:val="20"/>
                <w:szCs w:val="20"/>
              </w:rPr>
              <w:t>esošo sodu praksi “aplokšņu algu” maksāšanas lietās un</w:t>
            </w:r>
            <w:r w:rsidRPr="008C09A4">
              <w:rPr>
                <w:rFonts w:cs="Times New Roman"/>
                <w:sz w:val="20"/>
                <w:szCs w:val="20"/>
              </w:rPr>
              <w:t xml:space="preserve"> izvērtēt piemēroto sodu atbilstību nodarījumam. </w:t>
            </w:r>
          </w:p>
        </w:tc>
        <w:tc>
          <w:tcPr>
            <w:tcW w:w="3544" w:type="dxa"/>
            <w:shd w:val="clear" w:color="auto" w:fill="auto"/>
          </w:tcPr>
          <w:p w:rsidR="00ED2FDC" w:rsidRPr="008C09A4" w:rsidRDefault="00ED2FDC" w:rsidP="001E30CF">
            <w:pPr>
              <w:jc w:val="both"/>
              <w:rPr>
                <w:rFonts w:cs="Times New Roman"/>
                <w:color w:val="000000" w:themeColor="text1"/>
                <w:sz w:val="20"/>
                <w:szCs w:val="20"/>
              </w:rPr>
            </w:pPr>
            <w:r w:rsidRPr="008C09A4">
              <w:rPr>
                <w:rFonts w:cs="Times New Roman"/>
                <w:sz w:val="20"/>
                <w:szCs w:val="20"/>
              </w:rPr>
              <w:t xml:space="preserve">Sodam par nodarījumu ir jābūt atbilstošam nodarījuma rezultātā nodarītam kaitējumam un nodarījuma bīstamībai. Tas nozīmē, ka sodam jābūt reizē audzinošam un atturošam, motivējot arī citus sabiedrības locekļus ievērot likumu normas. Vienlaicīgi, sodam par nodarījumu ir jābūt līdzvērtīgam nodarījuma rezultātā gūtiem “labumiem”. Ir jānodrošina gan augsta iespēja atklāt nodarījumu, gan iespēja un risks atbilstoša soda saņemšanai. </w:t>
            </w:r>
          </w:p>
        </w:tc>
        <w:tc>
          <w:tcPr>
            <w:tcW w:w="2551" w:type="dxa"/>
            <w:shd w:val="clear" w:color="auto" w:fill="auto"/>
          </w:tcPr>
          <w:p w:rsidR="00ED2FDC" w:rsidRPr="008C09A4" w:rsidRDefault="00ED2FDC" w:rsidP="001E30CF">
            <w:pPr>
              <w:jc w:val="both"/>
              <w:rPr>
                <w:rFonts w:cs="Times New Roman"/>
                <w:color w:val="000000" w:themeColor="text1"/>
                <w:sz w:val="20"/>
                <w:szCs w:val="20"/>
              </w:rPr>
            </w:pPr>
            <w:r w:rsidRPr="008C09A4">
              <w:rPr>
                <w:rFonts w:cs="Times New Roman"/>
                <w:sz w:val="20"/>
                <w:szCs w:val="20"/>
              </w:rPr>
              <w:t xml:space="preserve">Piemērotie sodi par “aplokšņu algu” izmaksu ir samērīgi ar nodarīto kaitējumu, audzinoši un atturoši. </w:t>
            </w:r>
          </w:p>
        </w:tc>
        <w:tc>
          <w:tcPr>
            <w:tcW w:w="1985" w:type="dxa"/>
            <w:shd w:val="clear" w:color="auto" w:fill="auto"/>
          </w:tcPr>
          <w:p w:rsidR="00ED2FDC" w:rsidRPr="008C09A4" w:rsidRDefault="00ED2FDC" w:rsidP="001E30CF">
            <w:pPr>
              <w:jc w:val="both"/>
              <w:rPr>
                <w:rFonts w:cs="Times New Roman"/>
                <w:color w:val="000000" w:themeColor="text1"/>
                <w:sz w:val="20"/>
                <w:szCs w:val="20"/>
              </w:rPr>
            </w:pPr>
            <w:r w:rsidRPr="00D23E4B">
              <w:rPr>
                <w:rFonts w:cs="Times New Roman"/>
                <w:color w:val="000000" w:themeColor="text1"/>
                <w:sz w:val="20"/>
                <w:szCs w:val="20"/>
              </w:rPr>
              <w:t>Praksē piemēroto sodu izvērtējums, pamatojoties uz VID administratīvo sodu piemērošanas praksi</w:t>
            </w:r>
            <w:r>
              <w:rPr>
                <w:rFonts w:cs="Times New Roman"/>
                <w:color w:val="000000" w:themeColor="text1"/>
                <w:sz w:val="20"/>
                <w:szCs w:val="20"/>
              </w:rPr>
              <w:t>.</w:t>
            </w:r>
          </w:p>
        </w:tc>
        <w:tc>
          <w:tcPr>
            <w:tcW w:w="1275" w:type="dxa"/>
            <w:shd w:val="clear" w:color="auto" w:fill="auto"/>
          </w:tcPr>
          <w:p w:rsidR="00ED2FDC" w:rsidRPr="008C09A4" w:rsidRDefault="00ED2FDC" w:rsidP="001E30CF">
            <w:pPr>
              <w:jc w:val="center"/>
              <w:rPr>
                <w:rFonts w:cs="Times New Roman"/>
                <w:bCs/>
                <w:sz w:val="20"/>
                <w:szCs w:val="20"/>
              </w:rPr>
            </w:pPr>
            <w:r w:rsidRPr="008C09A4">
              <w:rPr>
                <w:rFonts w:cs="Times New Roman"/>
                <w:bCs/>
                <w:sz w:val="20"/>
                <w:szCs w:val="20"/>
              </w:rPr>
              <w:t>VID</w:t>
            </w:r>
          </w:p>
        </w:tc>
        <w:tc>
          <w:tcPr>
            <w:tcW w:w="1134" w:type="dxa"/>
            <w:shd w:val="clear" w:color="auto" w:fill="auto"/>
          </w:tcPr>
          <w:p w:rsidR="00ED2FDC" w:rsidRPr="008C09A4" w:rsidRDefault="00ED2FDC" w:rsidP="001E30CF">
            <w:pPr>
              <w:jc w:val="center"/>
              <w:rPr>
                <w:rFonts w:cs="Times New Roman"/>
                <w:bCs/>
                <w:sz w:val="20"/>
                <w:szCs w:val="20"/>
              </w:rPr>
            </w:pPr>
            <w:r>
              <w:rPr>
                <w:rFonts w:cs="Times New Roman"/>
                <w:bCs/>
                <w:sz w:val="20"/>
                <w:szCs w:val="20"/>
              </w:rPr>
              <w:t>FM</w:t>
            </w:r>
          </w:p>
        </w:tc>
        <w:tc>
          <w:tcPr>
            <w:tcW w:w="1276" w:type="dxa"/>
            <w:shd w:val="clear" w:color="auto" w:fill="auto"/>
          </w:tcPr>
          <w:p w:rsidR="00ED2FDC" w:rsidRPr="008C09A4" w:rsidRDefault="00ED2FDC" w:rsidP="001E30CF">
            <w:pPr>
              <w:jc w:val="center"/>
              <w:rPr>
                <w:rFonts w:cs="Times New Roman"/>
                <w:bCs/>
                <w:sz w:val="20"/>
                <w:szCs w:val="20"/>
              </w:rPr>
            </w:pPr>
            <w:r w:rsidRPr="008C09A4">
              <w:rPr>
                <w:rFonts w:cs="Times New Roman"/>
                <w:bCs/>
                <w:sz w:val="20"/>
                <w:szCs w:val="20"/>
              </w:rPr>
              <w:t>3</w:t>
            </w:r>
            <w:r>
              <w:rPr>
                <w:rFonts w:cs="Times New Roman"/>
                <w:bCs/>
                <w:sz w:val="20"/>
                <w:szCs w:val="20"/>
              </w:rPr>
              <w:t>0</w:t>
            </w:r>
            <w:r w:rsidRPr="008C09A4">
              <w:rPr>
                <w:rFonts w:cs="Times New Roman"/>
                <w:bCs/>
                <w:sz w:val="20"/>
                <w:szCs w:val="20"/>
              </w:rPr>
              <w:t>.12.2022.</w:t>
            </w:r>
          </w:p>
        </w:tc>
      </w:tr>
      <w:tr w:rsidR="000D12AF" w:rsidRPr="008C09A4" w:rsidTr="00DA5BE6">
        <w:trPr>
          <w:trHeight w:val="543"/>
        </w:trPr>
        <w:tc>
          <w:tcPr>
            <w:tcW w:w="568" w:type="dxa"/>
            <w:shd w:val="clear" w:color="auto" w:fill="auto"/>
          </w:tcPr>
          <w:p w:rsidR="000D12AF" w:rsidRPr="008C09A4" w:rsidRDefault="00133F1A" w:rsidP="000D12AF">
            <w:pPr>
              <w:ind w:right="-21"/>
              <w:rPr>
                <w:rFonts w:cs="Times New Roman"/>
                <w:bCs/>
                <w:sz w:val="20"/>
                <w:szCs w:val="20"/>
              </w:rPr>
            </w:pPr>
            <w:bookmarkStart w:id="25" w:name="_Hlk86360573"/>
            <w:r>
              <w:rPr>
                <w:rFonts w:cs="Times New Roman"/>
                <w:bCs/>
                <w:sz w:val="20"/>
                <w:szCs w:val="20"/>
              </w:rPr>
              <w:t>2.4.</w:t>
            </w:r>
          </w:p>
        </w:tc>
        <w:tc>
          <w:tcPr>
            <w:tcW w:w="2268" w:type="dxa"/>
            <w:shd w:val="clear" w:color="auto" w:fill="auto"/>
          </w:tcPr>
          <w:p w:rsidR="000D12AF" w:rsidRPr="008C09A4" w:rsidRDefault="000D12AF" w:rsidP="00F714EC">
            <w:pPr>
              <w:jc w:val="both"/>
              <w:rPr>
                <w:rFonts w:cs="Times New Roman"/>
                <w:color w:val="000000"/>
                <w:sz w:val="20"/>
                <w:szCs w:val="20"/>
              </w:rPr>
            </w:pPr>
            <w:r w:rsidRPr="008C09A4">
              <w:rPr>
                <w:rFonts w:cs="Times New Roman"/>
                <w:color w:val="000000"/>
                <w:sz w:val="20"/>
                <w:szCs w:val="20"/>
              </w:rPr>
              <w:t xml:space="preserve">Veicināt parādsaistību godīgu nomaksu. </w:t>
            </w:r>
          </w:p>
        </w:tc>
        <w:tc>
          <w:tcPr>
            <w:tcW w:w="3544" w:type="dxa"/>
            <w:shd w:val="clear" w:color="auto" w:fill="auto"/>
          </w:tcPr>
          <w:p w:rsidR="000D12AF" w:rsidRPr="008C09A4" w:rsidRDefault="000D12AF" w:rsidP="000D12AF">
            <w:pPr>
              <w:jc w:val="both"/>
              <w:rPr>
                <w:rFonts w:cs="Times New Roman"/>
                <w:sz w:val="20"/>
                <w:szCs w:val="20"/>
              </w:rPr>
            </w:pPr>
            <w:r w:rsidRPr="008C09A4">
              <w:rPr>
                <w:rFonts w:cs="Times New Roman"/>
                <w:sz w:val="20"/>
                <w:szCs w:val="20"/>
              </w:rPr>
              <w:t>Nozīmīgs ēnu ekonomikas ietekmējošais faktors ir parādsaistības, proti, aptuveni katram desmitajam Latvijas iedzīvotājam ir grūtības laikus norēķināties par savām parādsaistībām, kas tiem izveidojušās pret valsti, privātajiem kreditētājiem vai preču un pakalpojumu sniedzējiem, tādējādi rodas risks, ka šie cilvēki vēlēsies saņemt algu aploksnē. Piemēram, biedrības “BASE” veiktajā pētījumā “Par iedzīvotāju parādsaistību apjomu un to potenciālo ietekmi uz aplokšņu algu izplatību Latvijā” norādīts, ka Uzturlīdzekļu garantijas fonda administrācijas dati liecina, ka no 41 tūkstoša parādnieku strādā tikai nepilni 9 tūkstoši, no kuriem 46 % saņem algu, kas mazāka par 430</w:t>
            </w:r>
            <w:r>
              <w:rPr>
                <w:rFonts w:cs="Times New Roman"/>
                <w:sz w:val="20"/>
                <w:szCs w:val="20"/>
              </w:rPr>
              <w:t> </w:t>
            </w:r>
            <w:r w:rsidRPr="008C09A4">
              <w:rPr>
                <w:rFonts w:cs="Times New Roman"/>
                <w:i/>
                <w:iCs/>
                <w:sz w:val="20"/>
                <w:szCs w:val="20"/>
              </w:rPr>
              <w:t>euro</w:t>
            </w:r>
            <w:r w:rsidRPr="008C09A4">
              <w:rPr>
                <w:rFonts w:cs="Times New Roman"/>
                <w:sz w:val="20"/>
                <w:szCs w:val="20"/>
              </w:rPr>
              <w:t xml:space="preserve"> (2020.</w:t>
            </w:r>
            <w:r>
              <w:rPr>
                <w:rFonts w:cs="Times New Roman"/>
                <w:sz w:val="20"/>
                <w:szCs w:val="20"/>
              </w:rPr>
              <w:t> </w:t>
            </w:r>
            <w:r w:rsidRPr="008C09A4">
              <w:rPr>
                <w:rFonts w:cs="Times New Roman"/>
                <w:sz w:val="20"/>
                <w:szCs w:val="20"/>
              </w:rPr>
              <w:t>g</w:t>
            </w:r>
            <w:r>
              <w:rPr>
                <w:rFonts w:cs="Times New Roman"/>
                <w:sz w:val="20"/>
                <w:szCs w:val="20"/>
              </w:rPr>
              <w:t>adā</w:t>
            </w:r>
            <w:r w:rsidRPr="008C09A4">
              <w:rPr>
                <w:rFonts w:cs="Times New Roman"/>
                <w:sz w:val="20"/>
                <w:szCs w:val="20"/>
              </w:rPr>
              <w:t xml:space="preserve">) Lai parādniekus atgrieztu legālajā darba tirgū, ir jārada iespēja legāli strādāt un ļaut vienoties ar kreditoru par parāda saprātīgu atmaksas grafiku, atstājot parādnieka rīcībā vismaz tik daudz līdzekļu, kas ļauj apmierināt elementāras vajadzības. Līdz ar to ir jāpārskata summa, no kuras nevar veikt piedziņu parādniekam un valsts iestādēm jāpaplašina tiesības būtiski pagarināt parāda nomaksas pagarināšanas/atlikšanas periodu, pretējā gadījumā tas </w:t>
            </w:r>
            <w:r w:rsidRPr="00133F1A">
              <w:rPr>
                <w:rFonts w:cs="Times New Roman"/>
                <w:sz w:val="20"/>
                <w:szCs w:val="20"/>
              </w:rPr>
              <w:t>turpinās stimulēt nelegālo darbu un aplokšņu algas</w:t>
            </w:r>
            <w:r w:rsidRPr="008C09A4">
              <w:rPr>
                <w:rFonts w:cs="Times New Roman"/>
                <w:sz w:val="20"/>
                <w:szCs w:val="20"/>
              </w:rPr>
              <w:t xml:space="preserve"> darbspējīgu cilvēku vidū.</w:t>
            </w:r>
          </w:p>
        </w:tc>
        <w:tc>
          <w:tcPr>
            <w:tcW w:w="2551" w:type="dxa"/>
            <w:shd w:val="clear" w:color="auto" w:fill="auto"/>
          </w:tcPr>
          <w:p w:rsidR="000D12AF" w:rsidRPr="008C09A4" w:rsidRDefault="000D12AF" w:rsidP="000D12AF">
            <w:pPr>
              <w:jc w:val="both"/>
              <w:rPr>
                <w:rFonts w:cs="Times New Roman"/>
                <w:sz w:val="20"/>
                <w:szCs w:val="20"/>
              </w:rPr>
            </w:pPr>
            <w:r w:rsidRPr="008C09A4">
              <w:rPr>
                <w:rFonts w:cs="Times New Roman"/>
                <w:sz w:val="20"/>
                <w:szCs w:val="20"/>
              </w:rPr>
              <w:t>Izvērtēt iespēju pārskatīt summu, no kuras nevar veikt piedziņu parādniekam un valsts iestādēm paplašināt tiesības būtiski pagarināt parāda nomaksas pagarināšanas</w:t>
            </w:r>
            <w:r>
              <w:rPr>
                <w:rFonts w:cs="Times New Roman"/>
                <w:sz w:val="20"/>
                <w:szCs w:val="20"/>
              </w:rPr>
              <w:t xml:space="preserve"> </w:t>
            </w:r>
            <w:r w:rsidRPr="008C09A4">
              <w:rPr>
                <w:rFonts w:cs="Times New Roman"/>
                <w:sz w:val="20"/>
                <w:szCs w:val="20"/>
              </w:rPr>
              <w:t>/atlikšanas periodu.</w:t>
            </w:r>
          </w:p>
        </w:tc>
        <w:tc>
          <w:tcPr>
            <w:tcW w:w="1985" w:type="dxa"/>
            <w:shd w:val="clear" w:color="auto" w:fill="auto"/>
          </w:tcPr>
          <w:p w:rsidR="000D12AF" w:rsidRPr="008C09A4" w:rsidRDefault="000D12AF" w:rsidP="000D12AF">
            <w:pPr>
              <w:jc w:val="both"/>
              <w:rPr>
                <w:rFonts w:cs="Times New Roman"/>
                <w:sz w:val="20"/>
                <w:szCs w:val="20"/>
              </w:rPr>
            </w:pPr>
            <w:r w:rsidRPr="008C09A4">
              <w:rPr>
                <w:rFonts w:cs="Times New Roman"/>
                <w:sz w:val="20"/>
                <w:szCs w:val="20"/>
              </w:rPr>
              <w:t>Sagatavots novērtējums par iespējamajiem risinājumiem, grozījumiem normatīvajos aktos.</w:t>
            </w:r>
          </w:p>
        </w:tc>
        <w:tc>
          <w:tcPr>
            <w:tcW w:w="1275" w:type="dxa"/>
            <w:shd w:val="clear" w:color="auto" w:fill="auto"/>
          </w:tcPr>
          <w:p w:rsidR="000D12AF" w:rsidRPr="008C09A4" w:rsidRDefault="000D12AF" w:rsidP="000D12AF">
            <w:pPr>
              <w:jc w:val="center"/>
              <w:rPr>
                <w:rFonts w:cs="Times New Roman"/>
                <w:bCs/>
                <w:sz w:val="20"/>
                <w:szCs w:val="20"/>
              </w:rPr>
            </w:pPr>
            <w:r w:rsidRPr="008C09A4">
              <w:rPr>
                <w:rFonts w:cs="Times New Roman"/>
                <w:bCs/>
                <w:sz w:val="20"/>
                <w:szCs w:val="20"/>
              </w:rPr>
              <w:t xml:space="preserve">TM, </w:t>
            </w:r>
          </w:p>
          <w:p w:rsidR="000D12AF" w:rsidRPr="008C09A4" w:rsidRDefault="000D12AF" w:rsidP="000D12AF">
            <w:pPr>
              <w:jc w:val="center"/>
              <w:rPr>
                <w:rFonts w:cs="Times New Roman"/>
                <w:bCs/>
                <w:sz w:val="20"/>
                <w:szCs w:val="20"/>
              </w:rPr>
            </w:pPr>
            <w:r w:rsidRPr="008C09A4">
              <w:rPr>
                <w:rFonts w:cs="Times New Roman"/>
                <w:bCs/>
                <w:sz w:val="20"/>
                <w:szCs w:val="20"/>
              </w:rPr>
              <w:t>FM</w:t>
            </w:r>
          </w:p>
        </w:tc>
        <w:tc>
          <w:tcPr>
            <w:tcW w:w="1134" w:type="dxa"/>
            <w:shd w:val="clear" w:color="auto" w:fill="auto"/>
          </w:tcPr>
          <w:p w:rsidR="000D12AF" w:rsidRPr="00F714EC" w:rsidRDefault="000D12AF" w:rsidP="00F714EC">
            <w:pPr>
              <w:jc w:val="center"/>
              <w:rPr>
                <w:rFonts w:cs="Times New Roman"/>
                <w:bCs/>
                <w:sz w:val="20"/>
                <w:szCs w:val="20"/>
              </w:rPr>
            </w:pPr>
            <w:r w:rsidRPr="008C09A4">
              <w:rPr>
                <w:rFonts w:cs="Times New Roman"/>
                <w:bCs/>
                <w:sz w:val="20"/>
                <w:szCs w:val="20"/>
              </w:rPr>
              <w:t>LM</w:t>
            </w:r>
          </w:p>
        </w:tc>
        <w:tc>
          <w:tcPr>
            <w:tcW w:w="1276" w:type="dxa"/>
            <w:shd w:val="clear" w:color="auto" w:fill="auto"/>
          </w:tcPr>
          <w:p w:rsidR="000D12AF" w:rsidRPr="008C09A4" w:rsidRDefault="000D12AF" w:rsidP="000D12AF">
            <w:pPr>
              <w:jc w:val="center"/>
              <w:rPr>
                <w:rFonts w:cs="Times New Roman"/>
                <w:bCs/>
                <w:sz w:val="20"/>
                <w:szCs w:val="20"/>
              </w:rPr>
            </w:pPr>
            <w:r w:rsidRPr="008C09A4">
              <w:rPr>
                <w:rFonts w:cs="Times New Roman"/>
                <w:bCs/>
                <w:sz w:val="20"/>
                <w:szCs w:val="20"/>
              </w:rPr>
              <w:t>30.06.2022.</w:t>
            </w:r>
          </w:p>
        </w:tc>
      </w:tr>
      <w:bookmarkEnd w:id="25"/>
      <w:tr w:rsidR="000D12AF" w:rsidRPr="008C09A4" w:rsidTr="00DA5BE6">
        <w:trPr>
          <w:trHeight w:val="543"/>
        </w:trPr>
        <w:tc>
          <w:tcPr>
            <w:tcW w:w="568" w:type="dxa"/>
            <w:shd w:val="clear" w:color="auto" w:fill="auto"/>
          </w:tcPr>
          <w:p w:rsidR="000D12AF" w:rsidRPr="008C09A4" w:rsidRDefault="00133F1A" w:rsidP="000D12AF">
            <w:pPr>
              <w:ind w:right="-21"/>
              <w:rPr>
                <w:rFonts w:cs="Times New Roman"/>
                <w:bCs/>
                <w:color w:val="000000" w:themeColor="text1"/>
                <w:sz w:val="20"/>
                <w:szCs w:val="20"/>
              </w:rPr>
            </w:pPr>
            <w:r>
              <w:rPr>
                <w:rFonts w:cs="Times New Roman"/>
                <w:bCs/>
                <w:color w:val="000000" w:themeColor="text1"/>
                <w:sz w:val="20"/>
                <w:szCs w:val="20"/>
              </w:rPr>
              <w:t>2.</w:t>
            </w:r>
            <w:r w:rsidR="000D12AF" w:rsidRPr="008C09A4">
              <w:rPr>
                <w:rFonts w:cs="Times New Roman"/>
                <w:bCs/>
                <w:color w:val="000000" w:themeColor="text1"/>
                <w:sz w:val="20"/>
                <w:szCs w:val="20"/>
              </w:rPr>
              <w:t>5.</w:t>
            </w:r>
          </w:p>
        </w:tc>
        <w:tc>
          <w:tcPr>
            <w:tcW w:w="2268" w:type="dxa"/>
            <w:shd w:val="clear" w:color="auto" w:fill="auto"/>
          </w:tcPr>
          <w:p w:rsidR="000D12AF" w:rsidRPr="008C09A4" w:rsidRDefault="000D12AF" w:rsidP="000D12AF">
            <w:pPr>
              <w:jc w:val="both"/>
              <w:rPr>
                <w:rFonts w:cs="Times New Roman"/>
                <w:color w:val="000000" w:themeColor="text1"/>
                <w:sz w:val="20"/>
                <w:szCs w:val="20"/>
              </w:rPr>
            </w:pPr>
            <w:r>
              <w:rPr>
                <w:rFonts w:cs="Times New Roman"/>
                <w:color w:val="000000" w:themeColor="text1"/>
                <w:sz w:val="20"/>
                <w:szCs w:val="20"/>
              </w:rPr>
              <w:t xml:space="preserve">Informatīvo pasākumu īstenošana </w:t>
            </w:r>
            <w:r w:rsidRPr="00133F1A">
              <w:rPr>
                <w:rFonts w:cs="Times New Roman"/>
                <w:color w:val="000000" w:themeColor="text1"/>
                <w:sz w:val="20"/>
                <w:szCs w:val="20"/>
              </w:rPr>
              <w:t>“aplokšņu algu”  riska mazināš</w:t>
            </w:r>
            <w:r>
              <w:rPr>
                <w:rFonts w:cs="Times New Roman"/>
                <w:color w:val="000000" w:themeColor="text1"/>
                <w:sz w:val="20"/>
                <w:szCs w:val="20"/>
              </w:rPr>
              <w:t>anai.</w:t>
            </w:r>
          </w:p>
        </w:tc>
        <w:tc>
          <w:tcPr>
            <w:tcW w:w="3544" w:type="dxa"/>
            <w:shd w:val="clear" w:color="auto" w:fill="auto"/>
          </w:tcPr>
          <w:p w:rsidR="000D12AF" w:rsidRPr="008C09A4" w:rsidRDefault="000D12AF" w:rsidP="000D12AF">
            <w:pPr>
              <w:jc w:val="both"/>
              <w:rPr>
                <w:rFonts w:cs="Times New Roman"/>
                <w:color w:val="000000" w:themeColor="text1"/>
                <w:sz w:val="20"/>
                <w:szCs w:val="20"/>
              </w:rPr>
            </w:pPr>
            <w:r>
              <w:rPr>
                <w:rFonts w:cs="Times New Roman"/>
                <w:color w:val="000000" w:themeColor="text1"/>
                <w:sz w:val="20"/>
                <w:szCs w:val="20"/>
              </w:rPr>
              <w:t>Covid</w:t>
            </w:r>
            <w:r w:rsidRPr="008C09A4">
              <w:rPr>
                <w:rFonts w:cs="Times New Roman"/>
                <w:color w:val="000000" w:themeColor="text1"/>
                <w:sz w:val="20"/>
                <w:szCs w:val="20"/>
              </w:rPr>
              <w:t xml:space="preserve">-19 </w:t>
            </w:r>
            <w:r>
              <w:rPr>
                <w:rFonts w:cs="Times New Roman"/>
                <w:color w:val="000000" w:themeColor="text1"/>
                <w:sz w:val="20"/>
                <w:szCs w:val="20"/>
              </w:rPr>
              <w:t>pandēm</w:t>
            </w:r>
            <w:r w:rsidRPr="008C09A4">
              <w:rPr>
                <w:rFonts w:cs="Times New Roman"/>
                <w:color w:val="000000" w:themeColor="text1"/>
                <w:sz w:val="20"/>
                <w:szCs w:val="20"/>
              </w:rPr>
              <w:t>ija skāra lielu sabiedrības daļu tieši, tai liedzot iespēju strādāt un saņemt par to atalgojumu slimības norises laikā. Arī valdības pieņemtie tirdzniecības un pakalpojumu sniegšanas ierobežojumi infekcijas izplatības mazināšanai skāra ļoti daudzus uzņēmumus un to nodarbinātos, radot negatīvas finansiālas sekas, taču valsts atbalsts bija pieejams vien tiem finansiālajās grūtībās nonākušajiem uzņēmumiem, kas bija godīgi maksājuši nodokļus un to darbiniekiem, par kuriem bija maksāti nodokļi.</w:t>
            </w:r>
          </w:p>
          <w:p w:rsidR="000D12AF" w:rsidRPr="008C09A4" w:rsidRDefault="000D12AF" w:rsidP="000D12AF">
            <w:pPr>
              <w:jc w:val="both"/>
              <w:rPr>
                <w:rFonts w:cs="Times New Roman"/>
                <w:color w:val="000000" w:themeColor="text1"/>
                <w:sz w:val="20"/>
                <w:szCs w:val="20"/>
              </w:rPr>
            </w:pPr>
            <w:r w:rsidRPr="008C09A4">
              <w:rPr>
                <w:rFonts w:cs="Times New Roman"/>
                <w:color w:val="000000" w:themeColor="text1"/>
                <w:sz w:val="20"/>
                <w:szCs w:val="20"/>
              </w:rPr>
              <w:t xml:space="preserve">Ņemot vērā to, ka “aplokšņu algu” maksāšanā ir divas tieši iesaistītas puses, t.i., aplokšņu algas maksātājs un tās saņēmējs, </w:t>
            </w:r>
            <w:r>
              <w:rPr>
                <w:rFonts w:cs="Times New Roman"/>
                <w:color w:val="000000" w:themeColor="text1"/>
                <w:sz w:val="20"/>
                <w:szCs w:val="20"/>
              </w:rPr>
              <w:t>vairot izpratni</w:t>
            </w:r>
            <w:r w:rsidRPr="008C09A4">
              <w:rPr>
                <w:rFonts w:cs="Times New Roman"/>
                <w:color w:val="000000" w:themeColor="text1"/>
                <w:sz w:val="20"/>
                <w:szCs w:val="20"/>
              </w:rPr>
              <w:t xml:space="preserve"> nepieciešams abām</w:t>
            </w:r>
            <w:r>
              <w:rPr>
                <w:rFonts w:cs="Times New Roman"/>
                <w:color w:val="000000" w:themeColor="text1"/>
                <w:sz w:val="20"/>
                <w:szCs w:val="20"/>
              </w:rPr>
              <w:t xml:space="preserve"> pusēm</w:t>
            </w:r>
            <w:r w:rsidRPr="008C09A4">
              <w:rPr>
                <w:rFonts w:cs="Times New Roman"/>
                <w:color w:val="000000" w:themeColor="text1"/>
                <w:sz w:val="20"/>
                <w:szCs w:val="20"/>
              </w:rPr>
              <w:t xml:space="preserve">. </w:t>
            </w:r>
            <w:r>
              <w:rPr>
                <w:rFonts w:cs="Times New Roman"/>
                <w:color w:val="000000" w:themeColor="text1"/>
                <w:sz w:val="20"/>
                <w:szCs w:val="20"/>
              </w:rPr>
              <w:t>Veicot informatīvos pasākumus</w:t>
            </w:r>
            <w:r w:rsidRPr="008C09A4">
              <w:rPr>
                <w:rFonts w:cs="Times New Roman"/>
                <w:color w:val="000000" w:themeColor="text1"/>
                <w:sz w:val="20"/>
                <w:szCs w:val="20"/>
              </w:rPr>
              <w:t xml:space="preserve">, </w:t>
            </w:r>
            <w:r w:rsidRPr="00133F1A">
              <w:rPr>
                <w:rFonts w:cs="Times New Roman"/>
                <w:color w:val="000000" w:themeColor="text1"/>
                <w:sz w:val="20"/>
                <w:szCs w:val="20"/>
              </w:rPr>
              <w:t>jāpievērš uzmanību nozarēm, kurās “aplokšņu algu” īpatsvars ir būtisks. Jāuzsver Covid-19</w:t>
            </w:r>
            <w:r w:rsidRPr="008C09A4">
              <w:rPr>
                <w:rFonts w:cs="Times New Roman"/>
                <w:color w:val="000000" w:themeColor="text1"/>
                <w:sz w:val="20"/>
                <w:szCs w:val="20"/>
              </w:rPr>
              <w:t xml:space="preserve"> krīzē pierādītais, proti, krīzes situācijā var nonākt ikviens, taču valsts grūtā brīdī palīdzēs tikai tiem, kas ikdienā ir bijuši godīgi pret valsti.</w:t>
            </w:r>
          </w:p>
        </w:tc>
        <w:tc>
          <w:tcPr>
            <w:tcW w:w="2551" w:type="dxa"/>
            <w:shd w:val="clear" w:color="auto" w:fill="auto"/>
          </w:tcPr>
          <w:p w:rsidR="000D12AF" w:rsidRPr="008C09A4" w:rsidRDefault="000D12AF" w:rsidP="000D12AF">
            <w:pPr>
              <w:jc w:val="both"/>
              <w:rPr>
                <w:rFonts w:cs="Times New Roman"/>
                <w:color w:val="000000" w:themeColor="text1"/>
                <w:sz w:val="20"/>
                <w:szCs w:val="20"/>
              </w:rPr>
            </w:pPr>
            <w:r>
              <w:rPr>
                <w:rFonts w:cs="Times New Roman"/>
                <w:color w:val="000000" w:themeColor="text1"/>
                <w:sz w:val="20"/>
                <w:szCs w:val="20"/>
              </w:rPr>
              <w:t>Ī</w:t>
            </w:r>
            <w:r w:rsidRPr="008C09A4">
              <w:rPr>
                <w:rFonts w:cs="Times New Roman"/>
                <w:color w:val="000000" w:themeColor="text1"/>
                <w:sz w:val="20"/>
                <w:szCs w:val="20"/>
              </w:rPr>
              <w:t xml:space="preserve">stenot </w:t>
            </w:r>
            <w:r>
              <w:rPr>
                <w:rFonts w:cs="Times New Roman"/>
                <w:color w:val="000000" w:themeColor="text1"/>
                <w:sz w:val="20"/>
                <w:szCs w:val="20"/>
              </w:rPr>
              <w:t>informatīvos</w:t>
            </w:r>
            <w:r w:rsidRPr="008C09A4">
              <w:rPr>
                <w:rFonts w:cs="Times New Roman"/>
                <w:color w:val="000000" w:themeColor="text1"/>
                <w:sz w:val="20"/>
                <w:szCs w:val="20"/>
              </w:rPr>
              <w:t xml:space="preserve"> </w:t>
            </w:r>
            <w:r>
              <w:rPr>
                <w:rFonts w:cs="Times New Roman"/>
                <w:color w:val="000000" w:themeColor="text1"/>
                <w:sz w:val="20"/>
                <w:szCs w:val="20"/>
              </w:rPr>
              <w:t>pasākumus</w:t>
            </w:r>
            <w:r w:rsidRPr="008C09A4">
              <w:rPr>
                <w:rFonts w:cs="Times New Roman"/>
                <w:color w:val="000000" w:themeColor="text1"/>
                <w:sz w:val="20"/>
                <w:szCs w:val="20"/>
              </w:rPr>
              <w:t xml:space="preserve"> par “aplokšņu algu” maksāšanas negatīvajām sekām. </w:t>
            </w:r>
            <w:r>
              <w:rPr>
                <w:rFonts w:cs="Times New Roman"/>
                <w:color w:val="000000" w:themeColor="text1"/>
                <w:sz w:val="20"/>
                <w:szCs w:val="20"/>
              </w:rPr>
              <w:t>Informatīvo pasākumu</w:t>
            </w:r>
            <w:r w:rsidRPr="008C09A4">
              <w:rPr>
                <w:rFonts w:cs="Times New Roman"/>
                <w:color w:val="000000" w:themeColor="text1"/>
                <w:sz w:val="20"/>
                <w:szCs w:val="20"/>
              </w:rPr>
              <w:t xml:space="preserve"> ietvar</w:t>
            </w:r>
            <w:r>
              <w:rPr>
                <w:rFonts w:cs="Times New Roman"/>
                <w:color w:val="000000" w:themeColor="text1"/>
                <w:sz w:val="20"/>
                <w:szCs w:val="20"/>
              </w:rPr>
              <w:t>os</w:t>
            </w:r>
            <w:r w:rsidRPr="008C09A4">
              <w:rPr>
                <w:rFonts w:cs="Times New Roman"/>
                <w:color w:val="000000" w:themeColor="text1"/>
                <w:sz w:val="20"/>
                <w:szCs w:val="20"/>
              </w:rPr>
              <w:t xml:space="preserve"> uzrunāt gan “aplokšņu algu” maksātājus, gan tās saņēmējus, tādējādi veicinot sabiedrības izpratni par sekām, kādas rada nodokļu nemaksāšana. </w:t>
            </w:r>
          </w:p>
        </w:tc>
        <w:tc>
          <w:tcPr>
            <w:tcW w:w="1985" w:type="dxa"/>
            <w:shd w:val="clear" w:color="auto" w:fill="auto"/>
          </w:tcPr>
          <w:p w:rsidR="000D12AF" w:rsidRPr="008C09A4" w:rsidRDefault="000D12AF" w:rsidP="000D12AF">
            <w:pPr>
              <w:jc w:val="both"/>
              <w:rPr>
                <w:rFonts w:cs="Times New Roman"/>
                <w:color w:val="000000" w:themeColor="text1"/>
                <w:sz w:val="20"/>
                <w:szCs w:val="20"/>
              </w:rPr>
            </w:pPr>
            <w:r w:rsidRPr="008C09A4">
              <w:rPr>
                <w:rFonts w:cs="Times New Roman"/>
                <w:color w:val="000000" w:themeColor="text1"/>
                <w:sz w:val="20"/>
                <w:szCs w:val="20"/>
              </w:rPr>
              <w:t>Sabiedrība ir informēta par negatīvajām sekām, kādas rada algas saņemšana aploksnē</w:t>
            </w:r>
            <w:r>
              <w:rPr>
                <w:rFonts w:cs="Times New Roman"/>
                <w:color w:val="000000" w:themeColor="text1"/>
                <w:sz w:val="20"/>
                <w:szCs w:val="20"/>
              </w:rPr>
              <w:t>.</w:t>
            </w:r>
          </w:p>
        </w:tc>
        <w:tc>
          <w:tcPr>
            <w:tcW w:w="1275" w:type="dxa"/>
            <w:shd w:val="clear" w:color="auto" w:fill="auto"/>
          </w:tcPr>
          <w:p w:rsidR="000D12AF" w:rsidRDefault="000D12AF" w:rsidP="000D12AF">
            <w:pPr>
              <w:jc w:val="center"/>
              <w:rPr>
                <w:rFonts w:cs="Times New Roman"/>
                <w:bCs/>
                <w:color w:val="000000" w:themeColor="text1"/>
                <w:sz w:val="20"/>
                <w:szCs w:val="20"/>
              </w:rPr>
            </w:pPr>
            <w:r w:rsidRPr="008C09A4">
              <w:rPr>
                <w:rFonts w:cs="Times New Roman"/>
                <w:bCs/>
                <w:color w:val="000000" w:themeColor="text1"/>
                <w:sz w:val="20"/>
                <w:szCs w:val="20"/>
              </w:rPr>
              <w:t xml:space="preserve">FM, </w:t>
            </w:r>
          </w:p>
          <w:p w:rsidR="000D12AF" w:rsidRPr="008C09A4" w:rsidRDefault="000D12AF" w:rsidP="000D12AF">
            <w:pPr>
              <w:jc w:val="center"/>
              <w:rPr>
                <w:rFonts w:cs="Times New Roman"/>
                <w:bCs/>
                <w:color w:val="000000" w:themeColor="text1"/>
                <w:sz w:val="20"/>
                <w:szCs w:val="20"/>
              </w:rPr>
            </w:pPr>
            <w:r w:rsidRPr="008C09A4">
              <w:rPr>
                <w:rFonts w:cs="Times New Roman"/>
                <w:bCs/>
                <w:color w:val="000000" w:themeColor="text1"/>
                <w:sz w:val="20"/>
                <w:szCs w:val="20"/>
              </w:rPr>
              <w:t>VID</w:t>
            </w:r>
          </w:p>
        </w:tc>
        <w:tc>
          <w:tcPr>
            <w:tcW w:w="1134" w:type="dxa"/>
            <w:shd w:val="clear" w:color="auto" w:fill="auto"/>
          </w:tcPr>
          <w:p w:rsidR="000D12AF" w:rsidRDefault="000D12AF" w:rsidP="000D12AF">
            <w:pPr>
              <w:jc w:val="center"/>
              <w:rPr>
                <w:rFonts w:cs="Times New Roman"/>
                <w:bCs/>
                <w:color w:val="000000" w:themeColor="text1"/>
                <w:sz w:val="20"/>
                <w:szCs w:val="20"/>
              </w:rPr>
            </w:pPr>
            <w:r w:rsidRPr="008C09A4">
              <w:rPr>
                <w:rFonts w:cs="Times New Roman"/>
                <w:bCs/>
                <w:color w:val="000000" w:themeColor="text1"/>
                <w:sz w:val="20"/>
                <w:szCs w:val="20"/>
              </w:rPr>
              <w:t>NVO</w:t>
            </w:r>
            <w:r w:rsidR="00904732">
              <w:rPr>
                <w:rFonts w:cs="Times New Roman"/>
                <w:bCs/>
                <w:color w:val="000000" w:themeColor="text1"/>
                <w:sz w:val="20"/>
                <w:szCs w:val="20"/>
              </w:rPr>
              <w:t>,</w:t>
            </w:r>
          </w:p>
          <w:p w:rsidR="00904732" w:rsidRPr="008C09A4" w:rsidRDefault="00904732" w:rsidP="000D12AF">
            <w:pPr>
              <w:jc w:val="center"/>
              <w:rPr>
                <w:rFonts w:cs="Times New Roman"/>
                <w:bCs/>
                <w:color w:val="000000" w:themeColor="text1"/>
                <w:sz w:val="20"/>
                <w:szCs w:val="20"/>
              </w:rPr>
            </w:pPr>
            <w:r w:rsidRPr="00FC1571">
              <w:rPr>
                <w:rFonts w:cs="Times New Roman"/>
                <w:bCs/>
                <w:color w:val="000000" w:themeColor="text1"/>
                <w:sz w:val="20"/>
                <w:szCs w:val="20"/>
              </w:rPr>
              <w:t>LBAS</w:t>
            </w:r>
          </w:p>
        </w:tc>
        <w:tc>
          <w:tcPr>
            <w:tcW w:w="1276" w:type="dxa"/>
            <w:shd w:val="clear" w:color="auto" w:fill="auto"/>
          </w:tcPr>
          <w:p w:rsidR="000D12AF" w:rsidRPr="008C09A4" w:rsidRDefault="000D12AF" w:rsidP="000D12AF">
            <w:pPr>
              <w:jc w:val="center"/>
              <w:rPr>
                <w:rFonts w:cs="Times New Roman"/>
                <w:bCs/>
                <w:color w:val="000000" w:themeColor="text1"/>
                <w:sz w:val="20"/>
                <w:szCs w:val="20"/>
              </w:rPr>
            </w:pPr>
            <w:r>
              <w:rPr>
                <w:rFonts w:cs="Times New Roman"/>
                <w:bCs/>
                <w:color w:val="000000" w:themeColor="text1"/>
                <w:sz w:val="20"/>
                <w:szCs w:val="20"/>
              </w:rPr>
              <w:t>30.12.</w:t>
            </w:r>
            <w:r w:rsidRPr="008C09A4">
              <w:rPr>
                <w:rFonts w:cs="Times New Roman"/>
                <w:bCs/>
                <w:color w:val="000000" w:themeColor="text1"/>
                <w:sz w:val="20"/>
                <w:szCs w:val="20"/>
              </w:rPr>
              <w:t>2022.</w:t>
            </w:r>
          </w:p>
        </w:tc>
      </w:tr>
      <w:tr w:rsidR="000D12AF" w:rsidRPr="008C09A4" w:rsidTr="00DA5BE6">
        <w:trPr>
          <w:trHeight w:val="543"/>
        </w:trPr>
        <w:tc>
          <w:tcPr>
            <w:tcW w:w="568" w:type="dxa"/>
          </w:tcPr>
          <w:p w:rsidR="000D12AF" w:rsidRPr="008C09A4" w:rsidRDefault="000D12AF" w:rsidP="000D12AF">
            <w:pPr>
              <w:ind w:right="-21"/>
              <w:rPr>
                <w:rFonts w:cs="Times New Roman"/>
                <w:bCs/>
                <w:sz w:val="20"/>
                <w:szCs w:val="20"/>
              </w:rPr>
            </w:pPr>
            <w:bookmarkStart w:id="26" w:name="_Hlk86315323"/>
            <w:r w:rsidRPr="008C09A4">
              <w:rPr>
                <w:rFonts w:cs="Times New Roman"/>
                <w:bCs/>
                <w:sz w:val="20"/>
                <w:szCs w:val="20"/>
              </w:rPr>
              <w:t>2.</w:t>
            </w:r>
            <w:r w:rsidR="00133F1A">
              <w:rPr>
                <w:rFonts w:cs="Times New Roman"/>
                <w:bCs/>
                <w:sz w:val="20"/>
                <w:szCs w:val="20"/>
              </w:rPr>
              <w:t>6</w:t>
            </w:r>
            <w:r w:rsidRPr="008C09A4">
              <w:rPr>
                <w:rFonts w:cs="Times New Roman"/>
                <w:bCs/>
                <w:sz w:val="20"/>
                <w:szCs w:val="20"/>
              </w:rPr>
              <w:t>.</w:t>
            </w:r>
          </w:p>
        </w:tc>
        <w:tc>
          <w:tcPr>
            <w:tcW w:w="2268" w:type="dxa"/>
          </w:tcPr>
          <w:p w:rsidR="000D12AF" w:rsidRPr="008C09A4" w:rsidRDefault="000D12AF" w:rsidP="000D12AF">
            <w:pPr>
              <w:jc w:val="both"/>
              <w:rPr>
                <w:rFonts w:cs="Times New Roman"/>
                <w:sz w:val="20"/>
                <w:szCs w:val="20"/>
              </w:rPr>
            </w:pPr>
            <w:r w:rsidRPr="008C09A4">
              <w:rPr>
                <w:rFonts w:cs="Times New Roman"/>
                <w:sz w:val="20"/>
                <w:szCs w:val="20"/>
              </w:rPr>
              <w:t xml:space="preserve">Izsniegto uzturēšanas atļauju izmantošana VID </w:t>
            </w:r>
            <w:r w:rsidRPr="008C09A4">
              <w:rPr>
                <w:rFonts w:cs="Times New Roman"/>
                <w:color w:val="000000"/>
                <w:sz w:val="20"/>
                <w:szCs w:val="20"/>
              </w:rPr>
              <w:t xml:space="preserve">nodokļu administrēšanas </w:t>
            </w:r>
            <w:r w:rsidRPr="008C09A4">
              <w:rPr>
                <w:rFonts w:cs="Times New Roman"/>
                <w:sz w:val="20"/>
                <w:szCs w:val="20"/>
              </w:rPr>
              <w:t>pasākumiem</w:t>
            </w:r>
            <w:r>
              <w:rPr>
                <w:rFonts w:cs="Times New Roman"/>
                <w:sz w:val="20"/>
                <w:szCs w:val="20"/>
              </w:rPr>
              <w:t>.</w:t>
            </w:r>
          </w:p>
        </w:tc>
        <w:tc>
          <w:tcPr>
            <w:tcW w:w="3544" w:type="dxa"/>
          </w:tcPr>
          <w:p w:rsidR="00DD1F7C" w:rsidRDefault="000D12AF" w:rsidP="000D12AF">
            <w:pPr>
              <w:jc w:val="both"/>
              <w:rPr>
                <w:rFonts w:cs="Times New Roman"/>
                <w:sz w:val="20"/>
                <w:szCs w:val="20"/>
              </w:rPr>
            </w:pPr>
            <w:r w:rsidRPr="008C09A4">
              <w:rPr>
                <w:rFonts w:cs="Times New Roman"/>
                <w:sz w:val="20"/>
                <w:szCs w:val="20"/>
              </w:rPr>
              <w:t>VID analītiskā darbā izmantot PMLP datu sistēmā esošo informāciju par ārvalstniekiem izsniegtām uzturēšanās atļaujām, analizējot pret deklarēto nostrādātā laiku un deklarētā atalgojuma atbilstību un lietderīgumu uzturēties Latvijā.</w:t>
            </w:r>
            <w:r w:rsidR="00CF545D">
              <w:rPr>
                <w:rFonts w:cs="Times New Roman"/>
                <w:sz w:val="20"/>
                <w:szCs w:val="20"/>
              </w:rPr>
              <w:t xml:space="preserve"> </w:t>
            </w:r>
          </w:p>
          <w:p w:rsidR="000D12AF" w:rsidRPr="008C09A4" w:rsidRDefault="00DD1F7C" w:rsidP="000D12AF">
            <w:pPr>
              <w:jc w:val="both"/>
              <w:rPr>
                <w:rFonts w:cs="Times New Roman"/>
                <w:sz w:val="20"/>
                <w:szCs w:val="20"/>
              </w:rPr>
            </w:pPr>
            <w:r w:rsidRPr="00F714EC">
              <w:rPr>
                <w:rFonts w:cs="Times New Roman"/>
                <w:sz w:val="20"/>
                <w:szCs w:val="20"/>
              </w:rPr>
              <w:t>Ņemot vērā to, ka šobrīd tieši nodarbinātībai izsniegto vīzu skaits prevalē pār uzturēšanās atļauju skaitu būtu svarīgi pārbaudīt tos ārzemniekus, kuri Latvijā saistībā ar nodarbinātību saņēmuši gan uzturēšanās atļauju, gan vīzu. Uzsākot vīzu turētāju pārbaudes, VID būtu jāizvērtē nodarbinātības pamatu un sākotnēji uzraudzīt, piemēram, personas, kas nodarbinātas uz darba līguma pamata, bet vēlāk pārbaudīt arī personas, kas veic darbu uz uzņēmuma līguma pamata</w:t>
            </w:r>
            <w:r w:rsidR="00CF545D" w:rsidRPr="006A78E6">
              <w:rPr>
                <w:rFonts w:cs="Times New Roman"/>
                <w:color w:val="0070C0"/>
                <w:sz w:val="20"/>
                <w:szCs w:val="20"/>
              </w:rPr>
              <w:t>.</w:t>
            </w:r>
          </w:p>
        </w:tc>
        <w:tc>
          <w:tcPr>
            <w:tcW w:w="2551" w:type="dxa"/>
          </w:tcPr>
          <w:p w:rsidR="000D12AF" w:rsidRPr="008C09A4" w:rsidRDefault="000D12AF" w:rsidP="000D12AF">
            <w:pPr>
              <w:jc w:val="both"/>
              <w:rPr>
                <w:rFonts w:cs="Times New Roman"/>
                <w:sz w:val="20"/>
                <w:szCs w:val="20"/>
              </w:rPr>
            </w:pPr>
            <w:r w:rsidRPr="008C09A4">
              <w:rPr>
                <w:rFonts w:cs="Times New Roman"/>
                <w:sz w:val="20"/>
                <w:szCs w:val="20"/>
              </w:rPr>
              <w:t>VID pilnveido PMLP datu izmantošanu risku analīzē un nodokļu administrēšanas pasākumos. Uzlabot PMLP un VID datu apmaiņas procesu.</w:t>
            </w:r>
          </w:p>
        </w:tc>
        <w:tc>
          <w:tcPr>
            <w:tcW w:w="1985" w:type="dxa"/>
          </w:tcPr>
          <w:p w:rsidR="000D12AF" w:rsidRPr="00804193" w:rsidRDefault="000D12AF" w:rsidP="000D12AF">
            <w:pPr>
              <w:jc w:val="both"/>
              <w:rPr>
                <w:rFonts w:cs="Times New Roman"/>
                <w:spacing w:val="-4"/>
                <w:sz w:val="20"/>
                <w:szCs w:val="20"/>
              </w:rPr>
            </w:pPr>
            <w:r w:rsidRPr="00804193">
              <w:rPr>
                <w:rFonts w:cs="Times New Roman"/>
                <w:spacing w:val="-4"/>
                <w:sz w:val="20"/>
                <w:szCs w:val="20"/>
              </w:rPr>
              <w:t xml:space="preserve">Izmantojot PMLP datus, VID veikto </w:t>
            </w:r>
            <w:r w:rsidRPr="00804193">
              <w:rPr>
                <w:rFonts w:cs="Times New Roman"/>
                <w:color w:val="000000"/>
                <w:spacing w:val="-4"/>
                <w:sz w:val="20"/>
                <w:szCs w:val="20"/>
              </w:rPr>
              <w:t xml:space="preserve">nodokļu administrēšanas </w:t>
            </w:r>
            <w:r w:rsidRPr="00804193">
              <w:rPr>
                <w:rFonts w:cs="Times New Roman"/>
                <w:spacing w:val="-4"/>
                <w:sz w:val="20"/>
                <w:szCs w:val="20"/>
              </w:rPr>
              <w:t>pasākumu rezultātā konstatētie pārkāpumi.</w:t>
            </w:r>
          </w:p>
        </w:tc>
        <w:tc>
          <w:tcPr>
            <w:tcW w:w="1275" w:type="dxa"/>
          </w:tcPr>
          <w:p w:rsidR="000D12AF" w:rsidRDefault="000D12AF" w:rsidP="000D12AF">
            <w:pPr>
              <w:jc w:val="center"/>
              <w:rPr>
                <w:rFonts w:cs="Times New Roman"/>
                <w:bCs/>
                <w:sz w:val="20"/>
                <w:szCs w:val="20"/>
              </w:rPr>
            </w:pPr>
            <w:r w:rsidRPr="008C09A4">
              <w:rPr>
                <w:rFonts w:cs="Times New Roman"/>
                <w:bCs/>
                <w:sz w:val="20"/>
                <w:szCs w:val="20"/>
              </w:rPr>
              <w:t xml:space="preserve">VID, </w:t>
            </w:r>
          </w:p>
          <w:p w:rsidR="000D12AF" w:rsidRPr="008C09A4" w:rsidRDefault="000D12AF" w:rsidP="000D12AF">
            <w:pPr>
              <w:jc w:val="center"/>
              <w:rPr>
                <w:rFonts w:cs="Times New Roman"/>
                <w:bCs/>
                <w:sz w:val="20"/>
                <w:szCs w:val="20"/>
              </w:rPr>
            </w:pPr>
            <w:r w:rsidRPr="008C09A4">
              <w:rPr>
                <w:rFonts w:cs="Times New Roman"/>
                <w:bCs/>
                <w:sz w:val="20"/>
                <w:szCs w:val="20"/>
              </w:rPr>
              <w:t xml:space="preserve">PMLP </w:t>
            </w:r>
          </w:p>
        </w:tc>
        <w:tc>
          <w:tcPr>
            <w:tcW w:w="1134" w:type="dxa"/>
          </w:tcPr>
          <w:p w:rsidR="000D12AF" w:rsidRDefault="000D12AF" w:rsidP="000D12AF">
            <w:pPr>
              <w:jc w:val="center"/>
              <w:rPr>
                <w:rFonts w:cs="Times New Roman"/>
                <w:bCs/>
                <w:sz w:val="20"/>
                <w:szCs w:val="20"/>
              </w:rPr>
            </w:pPr>
            <w:r w:rsidRPr="008C09A4">
              <w:rPr>
                <w:rFonts w:cs="Times New Roman"/>
                <w:bCs/>
                <w:sz w:val="20"/>
                <w:szCs w:val="20"/>
              </w:rPr>
              <w:t xml:space="preserve">FM, </w:t>
            </w:r>
          </w:p>
          <w:p w:rsidR="000D12AF" w:rsidRPr="008C09A4" w:rsidRDefault="000D12AF" w:rsidP="000D12AF">
            <w:pPr>
              <w:jc w:val="center"/>
              <w:rPr>
                <w:rFonts w:cs="Times New Roman"/>
                <w:bCs/>
                <w:sz w:val="20"/>
                <w:szCs w:val="20"/>
              </w:rPr>
            </w:pPr>
            <w:r w:rsidRPr="008C09A4">
              <w:rPr>
                <w:rFonts w:cs="Times New Roman"/>
                <w:bCs/>
                <w:sz w:val="20"/>
                <w:szCs w:val="20"/>
              </w:rPr>
              <w:t>IeM</w:t>
            </w:r>
          </w:p>
        </w:tc>
        <w:tc>
          <w:tcPr>
            <w:tcW w:w="1276" w:type="dxa"/>
          </w:tcPr>
          <w:p w:rsidR="000D12AF" w:rsidRPr="008C09A4" w:rsidRDefault="000D12AF" w:rsidP="000D12AF">
            <w:pPr>
              <w:jc w:val="center"/>
              <w:rPr>
                <w:rFonts w:cs="Times New Roman"/>
                <w:bCs/>
                <w:sz w:val="20"/>
                <w:szCs w:val="20"/>
              </w:rPr>
            </w:pPr>
            <w:r w:rsidRPr="008C09A4">
              <w:rPr>
                <w:rFonts w:cs="Times New Roman"/>
                <w:bCs/>
                <w:sz w:val="20"/>
                <w:szCs w:val="20"/>
              </w:rPr>
              <w:t>Pastāvīgi</w:t>
            </w:r>
          </w:p>
        </w:tc>
      </w:tr>
      <w:bookmarkEnd w:id="26"/>
      <w:tr w:rsidR="000D12AF" w:rsidRPr="008C09A4" w:rsidTr="00DA5BE6">
        <w:trPr>
          <w:trHeight w:val="424"/>
        </w:trPr>
        <w:tc>
          <w:tcPr>
            <w:tcW w:w="568" w:type="dxa"/>
          </w:tcPr>
          <w:p w:rsidR="000D12AF" w:rsidRPr="008C09A4" w:rsidRDefault="000D12AF" w:rsidP="000D12AF">
            <w:pPr>
              <w:ind w:right="-21"/>
              <w:rPr>
                <w:rFonts w:cs="Times New Roman"/>
                <w:bCs/>
                <w:color w:val="000000" w:themeColor="text1"/>
                <w:sz w:val="20"/>
                <w:szCs w:val="20"/>
              </w:rPr>
            </w:pPr>
            <w:r w:rsidRPr="008C09A4">
              <w:rPr>
                <w:rFonts w:cs="Times New Roman"/>
                <w:bCs/>
                <w:color w:val="000000" w:themeColor="text1"/>
                <w:sz w:val="20"/>
                <w:szCs w:val="20"/>
              </w:rPr>
              <w:t>2.</w:t>
            </w:r>
            <w:r w:rsidR="00133F1A">
              <w:rPr>
                <w:rFonts w:cs="Times New Roman"/>
                <w:bCs/>
                <w:color w:val="000000" w:themeColor="text1"/>
                <w:sz w:val="20"/>
                <w:szCs w:val="20"/>
              </w:rPr>
              <w:t>7</w:t>
            </w:r>
            <w:r w:rsidRPr="008C09A4">
              <w:rPr>
                <w:rFonts w:cs="Times New Roman"/>
                <w:bCs/>
                <w:color w:val="000000" w:themeColor="text1"/>
                <w:sz w:val="20"/>
                <w:szCs w:val="20"/>
              </w:rPr>
              <w:t>.</w:t>
            </w:r>
          </w:p>
        </w:tc>
        <w:tc>
          <w:tcPr>
            <w:tcW w:w="2268" w:type="dxa"/>
          </w:tcPr>
          <w:p w:rsidR="000D12AF" w:rsidRPr="008C09A4" w:rsidRDefault="000D12AF" w:rsidP="000D12AF">
            <w:pPr>
              <w:jc w:val="both"/>
              <w:rPr>
                <w:rFonts w:cs="Times New Roman"/>
                <w:color w:val="000000" w:themeColor="text1"/>
                <w:sz w:val="20"/>
                <w:szCs w:val="20"/>
              </w:rPr>
            </w:pPr>
            <w:r w:rsidRPr="008C09A4">
              <w:rPr>
                <w:rFonts w:cs="Times New Roman"/>
                <w:color w:val="000000" w:themeColor="text1"/>
                <w:sz w:val="20"/>
                <w:szCs w:val="20"/>
              </w:rPr>
              <w:t>Efektivizēt pasākumus, kas vērsti uz ārzemnieku piesaisti nodarbinātības jomā un sadarbību starp iestādēm to kontrolē.</w:t>
            </w:r>
          </w:p>
        </w:tc>
        <w:tc>
          <w:tcPr>
            <w:tcW w:w="3544" w:type="dxa"/>
          </w:tcPr>
          <w:p w:rsidR="000D12AF" w:rsidRPr="008C09A4" w:rsidRDefault="000D12AF" w:rsidP="000D12AF">
            <w:pPr>
              <w:jc w:val="both"/>
              <w:rPr>
                <w:rFonts w:cs="Times New Roman"/>
                <w:color w:val="000000" w:themeColor="text1"/>
                <w:sz w:val="20"/>
                <w:szCs w:val="20"/>
              </w:rPr>
            </w:pPr>
            <w:r w:rsidRPr="008C09A4">
              <w:rPr>
                <w:rFonts w:cs="Times New Roman"/>
                <w:color w:val="000000" w:themeColor="text1"/>
                <w:sz w:val="20"/>
                <w:szCs w:val="20"/>
              </w:rPr>
              <w:t xml:space="preserve">Nepieciešams pilnveidot tiesiskos un praktiskos aspektus attiecībā uz </w:t>
            </w:r>
            <w:r w:rsidRPr="00133F1A">
              <w:rPr>
                <w:rFonts w:cs="Times New Roman"/>
                <w:color w:val="000000" w:themeColor="text1"/>
                <w:sz w:val="20"/>
                <w:szCs w:val="20"/>
              </w:rPr>
              <w:t>ārzemnieku piesaisti nodarbinātības jomā, jo ārzemnieku nelegālās nodarbinātības risks sa</w:t>
            </w:r>
            <w:r w:rsidRPr="008C09A4">
              <w:rPr>
                <w:rFonts w:cs="Times New Roman"/>
                <w:color w:val="000000" w:themeColor="text1"/>
                <w:sz w:val="20"/>
                <w:szCs w:val="20"/>
              </w:rPr>
              <w:t xml:space="preserve">glabājas augstā līmenī. Vienotas kontroles sistēmas </w:t>
            </w:r>
            <w:proofErr w:type="spellStart"/>
            <w:r w:rsidRPr="008C09A4">
              <w:rPr>
                <w:rFonts w:cs="Times New Roman"/>
                <w:color w:val="000000" w:themeColor="text1"/>
                <w:sz w:val="20"/>
                <w:szCs w:val="20"/>
              </w:rPr>
              <w:t>efektivizēšana</w:t>
            </w:r>
            <w:proofErr w:type="spellEnd"/>
            <w:r w:rsidRPr="008C09A4">
              <w:rPr>
                <w:rFonts w:cs="Times New Roman"/>
                <w:color w:val="000000" w:themeColor="text1"/>
                <w:sz w:val="20"/>
                <w:szCs w:val="20"/>
              </w:rPr>
              <w:t xml:space="preserve"> no sākumposma, kad tiek izsniegta atļauja ārzemnieku nodarbināt Latvijā līdz kontroles pasākumu nodarbinātības jomā un cieša sadarbība starp iestādēm veicinās leģitīmu nodarbinātību Latvijā.</w:t>
            </w:r>
          </w:p>
        </w:tc>
        <w:tc>
          <w:tcPr>
            <w:tcW w:w="2551" w:type="dxa"/>
          </w:tcPr>
          <w:p w:rsidR="000D12AF" w:rsidRPr="008C09A4" w:rsidRDefault="000D12AF" w:rsidP="000D12AF">
            <w:pPr>
              <w:jc w:val="both"/>
              <w:rPr>
                <w:rFonts w:cs="Times New Roman"/>
                <w:color w:val="000000" w:themeColor="text1"/>
                <w:sz w:val="20"/>
                <w:szCs w:val="20"/>
              </w:rPr>
            </w:pPr>
            <w:r w:rsidRPr="008C09A4">
              <w:rPr>
                <w:rFonts w:cs="Times New Roman"/>
                <w:color w:val="000000" w:themeColor="text1"/>
                <w:sz w:val="20"/>
                <w:szCs w:val="20"/>
              </w:rPr>
              <w:t xml:space="preserve">Izvērtēt nepieciešamos tiesiskos aspektus attiecībā uz kontroles mehānisma </w:t>
            </w:r>
            <w:proofErr w:type="spellStart"/>
            <w:r w:rsidRPr="008C09A4">
              <w:rPr>
                <w:rFonts w:cs="Times New Roman"/>
                <w:color w:val="000000" w:themeColor="text1"/>
                <w:sz w:val="20"/>
                <w:szCs w:val="20"/>
              </w:rPr>
              <w:t>efektivizēšanu</w:t>
            </w:r>
            <w:proofErr w:type="spellEnd"/>
            <w:r w:rsidRPr="008C09A4">
              <w:rPr>
                <w:rFonts w:cs="Times New Roman"/>
                <w:color w:val="000000" w:themeColor="text1"/>
                <w:sz w:val="20"/>
                <w:szCs w:val="20"/>
              </w:rPr>
              <w:t xml:space="preserve"> attiecībā uz ārzemnieku nodarbinātības jomu un sagatavot attiecīgo normatīvo aktu grozījumu projektus.</w:t>
            </w:r>
          </w:p>
          <w:p w:rsidR="000D12AF" w:rsidRPr="008C09A4" w:rsidRDefault="000D12AF" w:rsidP="000D12AF">
            <w:pPr>
              <w:jc w:val="both"/>
              <w:rPr>
                <w:rFonts w:cs="Times New Roman"/>
                <w:color w:val="000000" w:themeColor="text1"/>
                <w:sz w:val="20"/>
                <w:szCs w:val="20"/>
              </w:rPr>
            </w:pPr>
            <w:r w:rsidRPr="008C09A4">
              <w:rPr>
                <w:rFonts w:cs="Times New Roman"/>
                <w:color w:val="000000" w:themeColor="text1"/>
                <w:sz w:val="20"/>
                <w:szCs w:val="20"/>
              </w:rPr>
              <w:t>Izvērtēt iestāžu esošo sadarbību un pilnveidot vienotas kontroles sistēmas pamatprincipus un mehānismu.</w:t>
            </w:r>
            <w:r>
              <w:rPr>
                <w:rFonts w:cs="Times New Roman"/>
                <w:color w:val="000000" w:themeColor="text1"/>
                <w:sz w:val="20"/>
                <w:szCs w:val="20"/>
              </w:rPr>
              <w:t xml:space="preserve"> </w:t>
            </w:r>
          </w:p>
        </w:tc>
        <w:tc>
          <w:tcPr>
            <w:tcW w:w="1985" w:type="dxa"/>
          </w:tcPr>
          <w:p w:rsidR="000D12AF" w:rsidRPr="000E4DEE" w:rsidRDefault="000D12AF" w:rsidP="000E4DEE">
            <w:pPr>
              <w:jc w:val="both"/>
              <w:rPr>
                <w:rFonts w:cs="Times New Roman"/>
                <w:color w:val="000000" w:themeColor="text1"/>
                <w:sz w:val="20"/>
                <w:szCs w:val="20"/>
              </w:rPr>
            </w:pPr>
            <w:r w:rsidRPr="008C09A4">
              <w:rPr>
                <w:rFonts w:cs="Times New Roman"/>
                <w:color w:val="000000" w:themeColor="text1"/>
                <w:sz w:val="20"/>
                <w:szCs w:val="20"/>
              </w:rPr>
              <w:t>Veikts izvērtējums par nepieciešamajiem grozījumiem normatīvajos aktos un izstrādāti normatīvo aktu grozījumu projekti.</w:t>
            </w:r>
          </w:p>
        </w:tc>
        <w:tc>
          <w:tcPr>
            <w:tcW w:w="1275" w:type="dxa"/>
          </w:tcPr>
          <w:p w:rsidR="000D12AF" w:rsidRPr="008C09A4" w:rsidRDefault="000D12AF" w:rsidP="000D12AF">
            <w:pPr>
              <w:jc w:val="center"/>
              <w:rPr>
                <w:rFonts w:cs="Times New Roman"/>
                <w:bCs/>
                <w:color w:val="000000" w:themeColor="text1"/>
                <w:sz w:val="20"/>
                <w:szCs w:val="20"/>
              </w:rPr>
            </w:pPr>
            <w:r w:rsidRPr="008C09A4">
              <w:rPr>
                <w:rFonts w:cs="Times New Roman"/>
                <w:bCs/>
                <w:color w:val="000000" w:themeColor="text1"/>
                <w:sz w:val="20"/>
                <w:szCs w:val="20"/>
              </w:rPr>
              <w:t xml:space="preserve">IeM </w:t>
            </w:r>
          </w:p>
        </w:tc>
        <w:tc>
          <w:tcPr>
            <w:tcW w:w="1134" w:type="dxa"/>
          </w:tcPr>
          <w:p w:rsidR="000D12AF" w:rsidRDefault="000D12AF" w:rsidP="000D12AF">
            <w:pPr>
              <w:jc w:val="center"/>
              <w:rPr>
                <w:rFonts w:cs="Times New Roman"/>
                <w:bCs/>
                <w:color w:val="000000" w:themeColor="text1"/>
                <w:sz w:val="20"/>
                <w:szCs w:val="20"/>
              </w:rPr>
            </w:pPr>
            <w:r w:rsidRPr="008C09A4">
              <w:rPr>
                <w:rFonts w:cs="Times New Roman"/>
                <w:bCs/>
                <w:color w:val="000000" w:themeColor="text1"/>
                <w:sz w:val="20"/>
                <w:szCs w:val="20"/>
              </w:rPr>
              <w:t xml:space="preserve">ĀM, </w:t>
            </w:r>
          </w:p>
          <w:p w:rsidR="000D12AF" w:rsidRDefault="000D12AF" w:rsidP="000D12AF">
            <w:pPr>
              <w:jc w:val="center"/>
              <w:rPr>
                <w:rFonts w:cs="Times New Roman"/>
                <w:bCs/>
                <w:color w:val="000000" w:themeColor="text1"/>
                <w:sz w:val="20"/>
                <w:szCs w:val="20"/>
              </w:rPr>
            </w:pPr>
            <w:r w:rsidRPr="008C09A4">
              <w:rPr>
                <w:rFonts w:cs="Times New Roman"/>
                <w:bCs/>
                <w:color w:val="000000" w:themeColor="text1"/>
                <w:sz w:val="20"/>
                <w:szCs w:val="20"/>
              </w:rPr>
              <w:t xml:space="preserve">LM, </w:t>
            </w:r>
          </w:p>
          <w:p w:rsidR="000D12AF" w:rsidRDefault="000D12AF" w:rsidP="000D12AF">
            <w:pPr>
              <w:jc w:val="center"/>
              <w:rPr>
                <w:rFonts w:cs="Times New Roman"/>
                <w:bCs/>
                <w:color w:val="000000" w:themeColor="text1"/>
                <w:sz w:val="20"/>
                <w:szCs w:val="20"/>
              </w:rPr>
            </w:pPr>
            <w:r w:rsidRPr="008C09A4">
              <w:rPr>
                <w:rFonts w:cs="Times New Roman"/>
                <w:bCs/>
                <w:color w:val="000000" w:themeColor="text1"/>
                <w:sz w:val="20"/>
                <w:szCs w:val="20"/>
              </w:rPr>
              <w:t xml:space="preserve">FM, </w:t>
            </w:r>
          </w:p>
          <w:p w:rsidR="000D12AF" w:rsidRDefault="000D12AF" w:rsidP="000D12AF">
            <w:pPr>
              <w:jc w:val="center"/>
              <w:rPr>
                <w:rFonts w:cs="Times New Roman"/>
                <w:bCs/>
                <w:color w:val="000000" w:themeColor="text1"/>
                <w:sz w:val="20"/>
                <w:szCs w:val="20"/>
              </w:rPr>
            </w:pPr>
            <w:r w:rsidRPr="008C09A4">
              <w:rPr>
                <w:rFonts w:cs="Times New Roman"/>
                <w:bCs/>
                <w:color w:val="000000" w:themeColor="text1"/>
                <w:sz w:val="20"/>
                <w:szCs w:val="20"/>
              </w:rPr>
              <w:t xml:space="preserve">EM, </w:t>
            </w:r>
          </w:p>
          <w:p w:rsidR="000D12AF" w:rsidRDefault="000D12AF" w:rsidP="000D12AF">
            <w:pPr>
              <w:jc w:val="center"/>
              <w:rPr>
                <w:rFonts w:cs="Times New Roman"/>
                <w:bCs/>
                <w:color w:val="000000" w:themeColor="text1"/>
                <w:sz w:val="20"/>
                <w:szCs w:val="20"/>
              </w:rPr>
            </w:pPr>
            <w:r w:rsidRPr="008C09A4">
              <w:rPr>
                <w:rFonts w:cs="Times New Roman"/>
                <w:bCs/>
                <w:color w:val="000000" w:themeColor="text1"/>
                <w:sz w:val="20"/>
                <w:szCs w:val="20"/>
              </w:rPr>
              <w:t xml:space="preserve">PMLP, </w:t>
            </w:r>
          </w:p>
          <w:p w:rsidR="000D12AF" w:rsidRDefault="000D12AF" w:rsidP="000D12AF">
            <w:pPr>
              <w:jc w:val="center"/>
              <w:rPr>
                <w:rFonts w:cs="Times New Roman"/>
                <w:bCs/>
                <w:color w:val="000000" w:themeColor="text1"/>
                <w:sz w:val="20"/>
                <w:szCs w:val="20"/>
              </w:rPr>
            </w:pPr>
            <w:r w:rsidRPr="008C09A4">
              <w:rPr>
                <w:rFonts w:cs="Times New Roman"/>
                <w:bCs/>
                <w:color w:val="000000" w:themeColor="text1"/>
                <w:sz w:val="20"/>
                <w:szCs w:val="20"/>
              </w:rPr>
              <w:t xml:space="preserve">VRS, </w:t>
            </w:r>
          </w:p>
          <w:p w:rsidR="000D12AF" w:rsidRDefault="000D12AF" w:rsidP="000D12AF">
            <w:pPr>
              <w:jc w:val="center"/>
              <w:rPr>
                <w:rFonts w:cs="Times New Roman"/>
                <w:bCs/>
                <w:color w:val="000000" w:themeColor="text1"/>
                <w:sz w:val="20"/>
                <w:szCs w:val="20"/>
              </w:rPr>
            </w:pPr>
            <w:r w:rsidRPr="008C09A4">
              <w:rPr>
                <w:rFonts w:cs="Times New Roman"/>
                <w:bCs/>
                <w:color w:val="000000" w:themeColor="text1"/>
                <w:sz w:val="20"/>
                <w:szCs w:val="20"/>
              </w:rPr>
              <w:t xml:space="preserve">VDD, </w:t>
            </w:r>
          </w:p>
          <w:p w:rsidR="000D12AF" w:rsidRDefault="000D12AF" w:rsidP="000D12AF">
            <w:pPr>
              <w:jc w:val="center"/>
              <w:rPr>
                <w:rFonts w:cs="Times New Roman"/>
                <w:bCs/>
                <w:color w:val="000000" w:themeColor="text1"/>
                <w:sz w:val="20"/>
                <w:szCs w:val="20"/>
              </w:rPr>
            </w:pPr>
            <w:r w:rsidRPr="008C09A4">
              <w:rPr>
                <w:rFonts w:cs="Times New Roman"/>
                <w:bCs/>
                <w:color w:val="000000" w:themeColor="text1"/>
                <w:sz w:val="20"/>
                <w:szCs w:val="20"/>
              </w:rPr>
              <w:t xml:space="preserve">VDI, </w:t>
            </w:r>
          </w:p>
          <w:p w:rsidR="000D12AF" w:rsidRDefault="000D12AF" w:rsidP="000D12AF">
            <w:pPr>
              <w:jc w:val="center"/>
              <w:rPr>
                <w:rFonts w:cs="Times New Roman"/>
                <w:bCs/>
                <w:color w:val="000000" w:themeColor="text1"/>
                <w:sz w:val="20"/>
                <w:szCs w:val="20"/>
              </w:rPr>
            </w:pPr>
            <w:r w:rsidRPr="008C09A4">
              <w:rPr>
                <w:rFonts w:cs="Times New Roman"/>
                <w:bCs/>
                <w:color w:val="000000" w:themeColor="text1"/>
                <w:sz w:val="20"/>
                <w:szCs w:val="20"/>
              </w:rPr>
              <w:t xml:space="preserve">VID, </w:t>
            </w:r>
          </w:p>
          <w:p w:rsidR="000D12AF" w:rsidRPr="008C09A4" w:rsidRDefault="000D12AF" w:rsidP="000D12AF">
            <w:pPr>
              <w:jc w:val="center"/>
              <w:rPr>
                <w:rFonts w:cs="Times New Roman"/>
                <w:bCs/>
                <w:color w:val="000000" w:themeColor="text1"/>
                <w:sz w:val="20"/>
                <w:szCs w:val="20"/>
              </w:rPr>
            </w:pPr>
            <w:r w:rsidRPr="008C09A4">
              <w:rPr>
                <w:rFonts w:cs="Times New Roman"/>
                <w:bCs/>
                <w:color w:val="000000" w:themeColor="text1"/>
                <w:sz w:val="20"/>
                <w:szCs w:val="20"/>
              </w:rPr>
              <w:t>BVKB</w:t>
            </w:r>
          </w:p>
        </w:tc>
        <w:tc>
          <w:tcPr>
            <w:tcW w:w="1276" w:type="dxa"/>
          </w:tcPr>
          <w:p w:rsidR="000D12AF" w:rsidRPr="008C09A4" w:rsidRDefault="000D12AF" w:rsidP="000D12AF">
            <w:pPr>
              <w:jc w:val="center"/>
              <w:rPr>
                <w:rFonts w:cs="Times New Roman"/>
                <w:bCs/>
                <w:color w:val="000000" w:themeColor="text1"/>
                <w:sz w:val="20"/>
                <w:szCs w:val="20"/>
              </w:rPr>
            </w:pPr>
            <w:r w:rsidRPr="008C09A4">
              <w:rPr>
                <w:rFonts w:cs="Times New Roman"/>
                <w:bCs/>
                <w:color w:val="000000" w:themeColor="text1"/>
                <w:sz w:val="20"/>
                <w:szCs w:val="20"/>
              </w:rPr>
              <w:t>3</w:t>
            </w:r>
            <w:r w:rsidR="006A19D3">
              <w:rPr>
                <w:rFonts w:cs="Times New Roman"/>
                <w:bCs/>
                <w:color w:val="000000" w:themeColor="text1"/>
                <w:sz w:val="20"/>
                <w:szCs w:val="20"/>
              </w:rPr>
              <w:t>0</w:t>
            </w:r>
            <w:r w:rsidRPr="008C09A4">
              <w:rPr>
                <w:rFonts w:cs="Times New Roman"/>
                <w:bCs/>
                <w:color w:val="000000" w:themeColor="text1"/>
                <w:sz w:val="20"/>
                <w:szCs w:val="20"/>
              </w:rPr>
              <w:t>.12.2022.</w:t>
            </w:r>
          </w:p>
        </w:tc>
      </w:tr>
      <w:tr w:rsidR="00133F1A" w:rsidRPr="008C09A4" w:rsidTr="00DA5BE6">
        <w:trPr>
          <w:trHeight w:val="1238"/>
        </w:trPr>
        <w:tc>
          <w:tcPr>
            <w:tcW w:w="568" w:type="dxa"/>
          </w:tcPr>
          <w:p w:rsidR="00133F1A" w:rsidRPr="008C09A4" w:rsidRDefault="00133F1A" w:rsidP="00C04B50">
            <w:pPr>
              <w:ind w:right="-21"/>
              <w:rPr>
                <w:rFonts w:cs="Times New Roman"/>
                <w:bCs/>
                <w:sz w:val="20"/>
                <w:szCs w:val="20"/>
              </w:rPr>
            </w:pPr>
            <w:r w:rsidRPr="008C09A4">
              <w:rPr>
                <w:rFonts w:cs="Times New Roman"/>
                <w:bCs/>
                <w:sz w:val="20"/>
                <w:szCs w:val="20"/>
              </w:rPr>
              <w:t>2.</w:t>
            </w:r>
            <w:r>
              <w:rPr>
                <w:rFonts w:cs="Times New Roman"/>
                <w:bCs/>
                <w:sz w:val="20"/>
                <w:szCs w:val="20"/>
              </w:rPr>
              <w:t>8</w:t>
            </w:r>
            <w:r w:rsidRPr="008C09A4">
              <w:rPr>
                <w:rFonts w:cs="Times New Roman"/>
                <w:bCs/>
                <w:sz w:val="20"/>
                <w:szCs w:val="20"/>
              </w:rPr>
              <w:t>.</w:t>
            </w:r>
          </w:p>
        </w:tc>
        <w:tc>
          <w:tcPr>
            <w:tcW w:w="2268" w:type="dxa"/>
          </w:tcPr>
          <w:p w:rsidR="00133F1A" w:rsidRPr="008C09A4" w:rsidRDefault="00133F1A" w:rsidP="00C04B50">
            <w:pPr>
              <w:jc w:val="both"/>
              <w:rPr>
                <w:rFonts w:cs="Times New Roman"/>
                <w:color w:val="000000" w:themeColor="text1"/>
                <w:sz w:val="20"/>
                <w:szCs w:val="20"/>
              </w:rPr>
            </w:pPr>
            <w:r w:rsidRPr="008C09A4">
              <w:rPr>
                <w:rFonts w:cs="Times New Roman"/>
                <w:color w:val="000000" w:themeColor="text1"/>
                <w:sz w:val="20"/>
                <w:szCs w:val="20"/>
              </w:rPr>
              <w:t xml:space="preserve">Ierobežot nereģistrētu nodarbinātību </w:t>
            </w:r>
            <w:r w:rsidRPr="008C09A4">
              <w:rPr>
                <w:color w:val="000000" w:themeColor="text1"/>
                <w:sz w:val="20"/>
                <w:szCs w:val="20"/>
              </w:rPr>
              <w:t>augļkopības un dārzeņkopības</w:t>
            </w:r>
            <w:r w:rsidRPr="008C09A4">
              <w:rPr>
                <w:rFonts w:cs="Times New Roman"/>
                <w:color w:val="000000" w:themeColor="text1"/>
                <w:sz w:val="20"/>
                <w:szCs w:val="20"/>
              </w:rPr>
              <w:t xml:space="preserve"> nozarē</w:t>
            </w:r>
            <w:r>
              <w:rPr>
                <w:rFonts w:cs="Times New Roman"/>
                <w:color w:val="000000" w:themeColor="text1"/>
                <w:sz w:val="20"/>
                <w:szCs w:val="20"/>
              </w:rPr>
              <w:t>.</w:t>
            </w:r>
            <w:r w:rsidRPr="008C09A4">
              <w:rPr>
                <w:rFonts w:cs="Times New Roman"/>
                <w:color w:val="000000" w:themeColor="text1"/>
                <w:sz w:val="20"/>
                <w:szCs w:val="20"/>
              </w:rPr>
              <w:t xml:space="preserve"> </w:t>
            </w:r>
          </w:p>
        </w:tc>
        <w:tc>
          <w:tcPr>
            <w:tcW w:w="3544" w:type="dxa"/>
          </w:tcPr>
          <w:p w:rsidR="00962F9D" w:rsidRDefault="00133F1A" w:rsidP="00C04B50">
            <w:pPr>
              <w:jc w:val="both"/>
              <w:rPr>
                <w:rFonts w:cs="Times New Roman"/>
                <w:color w:val="000000" w:themeColor="text1"/>
                <w:sz w:val="20"/>
                <w:szCs w:val="20"/>
              </w:rPr>
            </w:pPr>
            <w:r>
              <w:rPr>
                <w:color w:val="000000" w:themeColor="text1"/>
                <w:sz w:val="20"/>
                <w:szCs w:val="20"/>
              </w:rPr>
              <w:t>A</w:t>
            </w:r>
            <w:r w:rsidRPr="008C09A4">
              <w:rPr>
                <w:color w:val="000000" w:themeColor="text1"/>
                <w:sz w:val="20"/>
                <w:szCs w:val="20"/>
              </w:rPr>
              <w:t>ugļkopības un dārzeņkopības</w:t>
            </w:r>
            <w:r w:rsidRPr="008C09A4" w:rsidDel="009F084B">
              <w:rPr>
                <w:rFonts w:cs="Times New Roman"/>
                <w:color w:val="000000" w:themeColor="text1"/>
                <w:sz w:val="20"/>
                <w:szCs w:val="20"/>
              </w:rPr>
              <w:t xml:space="preserve"> </w:t>
            </w:r>
            <w:r w:rsidRPr="008C09A4">
              <w:rPr>
                <w:rFonts w:cs="Times New Roman"/>
                <w:color w:val="000000" w:themeColor="text1"/>
                <w:sz w:val="20"/>
                <w:szCs w:val="20"/>
              </w:rPr>
              <w:t>nozarē sezonālu darbu veikšanai tiek nolīgti papildu darbinieki, kas vienlaicīgi var atrasties arī bezdarbnieku statusā, ārvalsts personas u.c., kuru nodarbinātība netiek atbilstoši reģistrēta.</w:t>
            </w:r>
          </w:p>
          <w:p w:rsidR="00133F1A" w:rsidRPr="008C09A4" w:rsidRDefault="00962F9D" w:rsidP="00C04B50">
            <w:pPr>
              <w:jc w:val="both"/>
              <w:rPr>
                <w:rFonts w:cs="Times New Roman"/>
                <w:color w:val="000000" w:themeColor="text1"/>
                <w:sz w:val="20"/>
                <w:szCs w:val="20"/>
              </w:rPr>
            </w:pPr>
            <w:r w:rsidRPr="006A19D3">
              <w:rPr>
                <w:rFonts w:cs="Times New Roman"/>
                <w:sz w:val="20"/>
                <w:szCs w:val="20"/>
              </w:rPr>
              <w:t>Tādēļ ir jāveic pastiprināti kontroles pasākumi tieši tajās augļkopības un dārzeņkopības saimniecībās, kas nav reģistrējušas sezonas laukstrādniekus LAD Informācijas sistēmā, kā arī nav sniegušas ziņas VID, ka nodarbina strādniekus vispārējā darbaspēka nodokļu režīmā.</w:t>
            </w:r>
            <w:r w:rsidRPr="008C09A4">
              <w:rPr>
                <w:rFonts w:cs="Times New Roman"/>
                <w:color w:val="000000" w:themeColor="text1"/>
                <w:sz w:val="20"/>
                <w:szCs w:val="20"/>
              </w:rPr>
              <w:t xml:space="preserve"> </w:t>
            </w:r>
            <w:r w:rsidR="00133F1A" w:rsidRPr="008C09A4">
              <w:rPr>
                <w:rFonts w:cs="Times New Roman"/>
                <w:color w:val="000000" w:themeColor="text1"/>
                <w:sz w:val="20"/>
                <w:szCs w:val="20"/>
              </w:rPr>
              <w:t xml:space="preserve"> </w:t>
            </w:r>
          </w:p>
        </w:tc>
        <w:tc>
          <w:tcPr>
            <w:tcW w:w="2551" w:type="dxa"/>
          </w:tcPr>
          <w:p w:rsidR="00133F1A" w:rsidRPr="008C09A4" w:rsidRDefault="00133F1A" w:rsidP="00C04B50">
            <w:pPr>
              <w:jc w:val="both"/>
              <w:rPr>
                <w:rFonts w:cs="Times New Roman"/>
                <w:color w:val="000000" w:themeColor="text1"/>
                <w:sz w:val="20"/>
                <w:szCs w:val="20"/>
              </w:rPr>
            </w:pPr>
            <w:r w:rsidRPr="008C09A4">
              <w:rPr>
                <w:rFonts w:cs="Times New Roman"/>
                <w:color w:val="000000" w:themeColor="text1"/>
                <w:sz w:val="20"/>
                <w:szCs w:val="20"/>
              </w:rPr>
              <w:t xml:space="preserve">VID izmanto LAD informāciju risku analīzē un nodokļu administrēšanas pasākumos. </w:t>
            </w:r>
          </w:p>
        </w:tc>
        <w:tc>
          <w:tcPr>
            <w:tcW w:w="1985" w:type="dxa"/>
          </w:tcPr>
          <w:p w:rsidR="00133F1A" w:rsidRPr="008C09A4" w:rsidRDefault="00133F1A" w:rsidP="00C04B50">
            <w:pPr>
              <w:jc w:val="both"/>
              <w:rPr>
                <w:rFonts w:cs="Times New Roman"/>
                <w:color w:val="000000" w:themeColor="text1"/>
                <w:sz w:val="20"/>
                <w:szCs w:val="20"/>
              </w:rPr>
            </w:pPr>
            <w:r w:rsidRPr="008C09A4">
              <w:rPr>
                <w:color w:val="000000" w:themeColor="text1"/>
                <w:sz w:val="20"/>
                <w:szCs w:val="20"/>
              </w:rPr>
              <w:t>Kontroles pasākumu rezultāti</w:t>
            </w:r>
            <w:r>
              <w:rPr>
                <w:color w:val="000000" w:themeColor="text1"/>
                <w:sz w:val="20"/>
                <w:szCs w:val="20"/>
              </w:rPr>
              <w:t>.</w:t>
            </w:r>
            <w:r w:rsidRPr="008C09A4">
              <w:rPr>
                <w:color w:val="000000" w:themeColor="text1"/>
                <w:sz w:val="20"/>
                <w:szCs w:val="20"/>
              </w:rPr>
              <w:t xml:space="preserve"> </w:t>
            </w:r>
          </w:p>
        </w:tc>
        <w:tc>
          <w:tcPr>
            <w:tcW w:w="1275" w:type="dxa"/>
          </w:tcPr>
          <w:p w:rsidR="00133F1A" w:rsidRDefault="00133F1A" w:rsidP="00C04B50">
            <w:pPr>
              <w:jc w:val="center"/>
              <w:rPr>
                <w:rFonts w:cs="Times New Roman"/>
                <w:bCs/>
                <w:sz w:val="20"/>
                <w:szCs w:val="20"/>
              </w:rPr>
            </w:pPr>
            <w:r w:rsidRPr="008C09A4">
              <w:rPr>
                <w:rFonts w:cs="Times New Roman"/>
                <w:bCs/>
                <w:sz w:val="20"/>
                <w:szCs w:val="20"/>
              </w:rPr>
              <w:t xml:space="preserve">VID, </w:t>
            </w:r>
          </w:p>
          <w:p w:rsidR="00133F1A" w:rsidRPr="008C09A4" w:rsidRDefault="00133F1A" w:rsidP="00C04B50">
            <w:pPr>
              <w:jc w:val="center"/>
              <w:rPr>
                <w:rFonts w:cs="Times New Roman"/>
                <w:bCs/>
                <w:sz w:val="20"/>
                <w:szCs w:val="20"/>
              </w:rPr>
            </w:pPr>
            <w:r w:rsidRPr="008C09A4">
              <w:rPr>
                <w:rFonts w:cs="Times New Roman"/>
                <w:bCs/>
                <w:sz w:val="20"/>
                <w:szCs w:val="20"/>
              </w:rPr>
              <w:t>VDI</w:t>
            </w:r>
          </w:p>
        </w:tc>
        <w:tc>
          <w:tcPr>
            <w:tcW w:w="1134" w:type="dxa"/>
          </w:tcPr>
          <w:p w:rsidR="00133F1A" w:rsidRDefault="00133F1A" w:rsidP="00C04B50">
            <w:pPr>
              <w:jc w:val="center"/>
              <w:rPr>
                <w:rFonts w:cs="Times New Roman"/>
                <w:bCs/>
                <w:sz w:val="20"/>
                <w:szCs w:val="20"/>
              </w:rPr>
            </w:pPr>
            <w:r w:rsidRPr="008C09A4">
              <w:rPr>
                <w:rFonts w:cs="Times New Roman"/>
                <w:bCs/>
                <w:sz w:val="20"/>
                <w:szCs w:val="20"/>
              </w:rPr>
              <w:t>ZM,</w:t>
            </w:r>
          </w:p>
          <w:p w:rsidR="00133F1A" w:rsidRDefault="00133F1A" w:rsidP="00C04B50">
            <w:pPr>
              <w:jc w:val="center"/>
              <w:rPr>
                <w:rFonts w:cs="Times New Roman"/>
                <w:bCs/>
                <w:sz w:val="20"/>
                <w:szCs w:val="20"/>
              </w:rPr>
            </w:pPr>
            <w:r w:rsidRPr="008C09A4">
              <w:rPr>
                <w:rFonts w:cs="Times New Roman"/>
                <w:bCs/>
                <w:sz w:val="20"/>
                <w:szCs w:val="20"/>
              </w:rPr>
              <w:t>FM,</w:t>
            </w:r>
          </w:p>
          <w:p w:rsidR="00133F1A" w:rsidRPr="008C09A4" w:rsidRDefault="00133F1A" w:rsidP="00C04B50">
            <w:pPr>
              <w:jc w:val="center"/>
              <w:rPr>
                <w:rFonts w:cs="Times New Roman"/>
                <w:bCs/>
                <w:sz w:val="20"/>
                <w:szCs w:val="20"/>
              </w:rPr>
            </w:pPr>
            <w:r w:rsidRPr="008C09A4">
              <w:rPr>
                <w:rFonts w:cs="Times New Roman"/>
                <w:bCs/>
                <w:sz w:val="20"/>
                <w:szCs w:val="20"/>
              </w:rPr>
              <w:t>LAD</w:t>
            </w:r>
          </w:p>
        </w:tc>
        <w:tc>
          <w:tcPr>
            <w:tcW w:w="1276" w:type="dxa"/>
          </w:tcPr>
          <w:p w:rsidR="00962F9D" w:rsidRPr="006A19D3" w:rsidRDefault="00962F9D" w:rsidP="00C04B50">
            <w:pPr>
              <w:jc w:val="center"/>
              <w:rPr>
                <w:rFonts w:cs="Times New Roman"/>
                <w:bCs/>
                <w:strike/>
                <w:sz w:val="20"/>
                <w:szCs w:val="20"/>
              </w:rPr>
            </w:pPr>
            <w:r w:rsidRPr="006A19D3">
              <w:rPr>
                <w:rFonts w:cs="Times New Roman"/>
                <w:bCs/>
                <w:sz w:val="20"/>
                <w:szCs w:val="20"/>
              </w:rPr>
              <w:t>3</w:t>
            </w:r>
            <w:r w:rsidR="006A19D3" w:rsidRPr="006A19D3">
              <w:rPr>
                <w:rFonts w:cs="Times New Roman"/>
                <w:bCs/>
                <w:sz w:val="20"/>
                <w:szCs w:val="20"/>
              </w:rPr>
              <w:t>0</w:t>
            </w:r>
            <w:r w:rsidRPr="006A19D3">
              <w:rPr>
                <w:rFonts w:cs="Times New Roman"/>
                <w:bCs/>
                <w:sz w:val="20"/>
                <w:szCs w:val="20"/>
              </w:rPr>
              <w:t xml:space="preserve">.12.2022. </w:t>
            </w:r>
          </w:p>
        </w:tc>
      </w:tr>
      <w:tr w:rsidR="000D12AF" w:rsidRPr="00DC0E01" w:rsidTr="00D87E27">
        <w:trPr>
          <w:trHeight w:val="454"/>
        </w:trPr>
        <w:tc>
          <w:tcPr>
            <w:tcW w:w="14601" w:type="dxa"/>
            <w:gridSpan w:val="8"/>
            <w:shd w:val="clear" w:color="auto" w:fill="D9E2F3" w:themeFill="accent5" w:themeFillTint="33"/>
            <w:vAlign w:val="center"/>
          </w:tcPr>
          <w:p w:rsidR="000D12AF" w:rsidRPr="00DC0E01" w:rsidRDefault="000D12AF" w:rsidP="006A19D3">
            <w:pPr>
              <w:pStyle w:val="Heading2"/>
              <w:rPr>
                <w:sz w:val="24"/>
                <w:szCs w:val="24"/>
              </w:rPr>
            </w:pPr>
            <w:bookmarkStart w:id="27" w:name="_Toc86949441"/>
            <w:r w:rsidRPr="00DC0E01">
              <w:rPr>
                <w:sz w:val="24"/>
                <w:szCs w:val="24"/>
              </w:rPr>
              <w:t xml:space="preserve">3. </w:t>
            </w:r>
            <w:bookmarkStart w:id="28" w:name="_Hlk76366169"/>
            <w:r w:rsidR="00F714EC" w:rsidRPr="00DC0E01">
              <w:rPr>
                <w:sz w:val="24"/>
                <w:szCs w:val="24"/>
              </w:rPr>
              <w:t xml:space="preserve">rīcības virziens – </w:t>
            </w:r>
            <w:r w:rsidRPr="00DC0E01">
              <w:rPr>
                <w:sz w:val="24"/>
                <w:szCs w:val="24"/>
              </w:rPr>
              <w:t>Neuzskaitīti darījumi un nelegāla preču aprite</w:t>
            </w:r>
            <w:bookmarkEnd w:id="27"/>
            <w:bookmarkEnd w:id="28"/>
          </w:p>
        </w:tc>
      </w:tr>
      <w:tr w:rsidR="000D12AF" w:rsidRPr="008C09A4" w:rsidTr="00DA5BE6">
        <w:trPr>
          <w:trHeight w:val="543"/>
        </w:trPr>
        <w:tc>
          <w:tcPr>
            <w:tcW w:w="568" w:type="dxa"/>
            <w:shd w:val="clear" w:color="auto" w:fill="auto"/>
          </w:tcPr>
          <w:p w:rsidR="000D12AF" w:rsidRPr="008C09A4" w:rsidRDefault="000D12AF" w:rsidP="000D12AF">
            <w:pPr>
              <w:ind w:right="-21"/>
              <w:rPr>
                <w:rFonts w:cs="Times New Roman"/>
                <w:bCs/>
                <w:sz w:val="20"/>
                <w:szCs w:val="20"/>
              </w:rPr>
            </w:pPr>
            <w:r w:rsidRPr="008C09A4">
              <w:rPr>
                <w:rFonts w:cs="Times New Roman"/>
                <w:bCs/>
                <w:sz w:val="20"/>
                <w:szCs w:val="20"/>
              </w:rPr>
              <w:t>3.1.</w:t>
            </w:r>
          </w:p>
        </w:tc>
        <w:tc>
          <w:tcPr>
            <w:tcW w:w="2268" w:type="dxa"/>
            <w:shd w:val="clear" w:color="auto" w:fill="auto"/>
          </w:tcPr>
          <w:p w:rsidR="000D12AF" w:rsidRPr="008C09A4" w:rsidRDefault="000D12AF" w:rsidP="000D12AF">
            <w:pPr>
              <w:jc w:val="both"/>
              <w:rPr>
                <w:rFonts w:cs="Times New Roman"/>
                <w:sz w:val="20"/>
                <w:szCs w:val="20"/>
              </w:rPr>
            </w:pPr>
            <w:bookmarkStart w:id="29" w:name="_Hlk75858414"/>
            <w:r w:rsidRPr="008C09A4">
              <w:rPr>
                <w:rFonts w:cs="Times New Roman"/>
                <w:sz w:val="20"/>
                <w:szCs w:val="20"/>
              </w:rPr>
              <w:t>Veicināt informācijas apmaiņu un valsts iestāžu savstarpējo sadarbību zemes dzīļu resursu ieguves atbilstības nodrošināšanai.</w:t>
            </w:r>
            <w:bookmarkEnd w:id="29"/>
          </w:p>
        </w:tc>
        <w:tc>
          <w:tcPr>
            <w:tcW w:w="3544" w:type="dxa"/>
            <w:shd w:val="clear" w:color="auto" w:fill="auto"/>
          </w:tcPr>
          <w:p w:rsidR="000D12AF" w:rsidRPr="008C09A4" w:rsidRDefault="000D12AF" w:rsidP="000D12AF">
            <w:pPr>
              <w:jc w:val="both"/>
              <w:rPr>
                <w:rFonts w:cs="Times New Roman"/>
                <w:sz w:val="20"/>
                <w:szCs w:val="20"/>
              </w:rPr>
            </w:pPr>
            <w:r w:rsidRPr="008C09A4">
              <w:rPr>
                <w:rFonts w:cs="Times New Roman"/>
                <w:sz w:val="20"/>
                <w:szCs w:val="20"/>
              </w:rPr>
              <w:t xml:space="preserve">Nepieciešams pilnveidot kontrolējošo iestāžu sadarbību informācijas apmaiņā un </w:t>
            </w:r>
            <w:bookmarkStart w:id="30" w:name="_Hlk86356709"/>
            <w:r w:rsidRPr="008C09A4">
              <w:rPr>
                <w:rFonts w:cs="Times New Roman"/>
                <w:sz w:val="20"/>
                <w:szCs w:val="20"/>
              </w:rPr>
              <w:t>kopēju kontroles pasākumu īstenošanā</w:t>
            </w:r>
            <w:bookmarkEnd w:id="30"/>
            <w:r w:rsidRPr="008C09A4">
              <w:rPr>
                <w:rFonts w:cs="Times New Roman"/>
                <w:sz w:val="20"/>
                <w:szCs w:val="20"/>
              </w:rPr>
              <w:t>. Katrai iestādei savas kompetences ietvaros jākoordinē darbības ar citām saistītām iestādēm un jāinformē tās par konstatētajiem riskiem, kas ir citas iestādes kompetencē. Piemēram, VVD jānodrošina kontroli par faktiski iegūtajiem no karjera derīgo izrakteņu apjomiem; VID jāpārbauda dokumentus par karjera produkcijas realizācijas apjomiem – katras institūcijas iegūtie dati jāsalīdzina savā starpā.</w:t>
            </w:r>
          </w:p>
        </w:tc>
        <w:tc>
          <w:tcPr>
            <w:tcW w:w="2551" w:type="dxa"/>
            <w:shd w:val="clear" w:color="auto" w:fill="auto"/>
          </w:tcPr>
          <w:p w:rsidR="000D12AF" w:rsidRPr="008C09A4" w:rsidRDefault="000D12AF" w:rsidP="000D12AF">
            <w:pPr>
              <w:jc w:val="both"/>
              <w:rPr>
                <w:rFonts w:cs="Times New Roman"/>
                <w:sz w:val="20"/>
                <w:szCs w:val="20"/>
              </w:rPr>
            </w:pPr>
            <w:r w:rsidRPr="008C09A4">
              <w:rPr>
                <w:rFonts w:cs="Times New Roman"/>
                <w:sz w:val="20"/>
                <w:szCs w:val="20"/>
              </w:rPr>
              <w:t xml:space="preserve">Izvērtēt iestāžu esošo sadarbību un izvērtēt iespējas to paplašināt. </w:t>
            </w:r>
          </w:p>
        </w:tc>
        <w:tc>
          <w:tcPr>
            <w:tcW w:w="1985" w:type="dxa"/>
            <w:shd w:val="clear" w:color="auto" w:fill="auto"/>
          </w:tcPr>
          <w:p w:rsidR="000D12AF" w:rsidRPr="008C09A4" w:rsidRDefault="000D12AF" w:rsidP="000D12AF">
            <w:pPr>
              <w:jc w:val="both"/>
              <w:rPr>
                <w:rFonts w:cs="Times New Roman"/>
                <w:sz w:val="20"/>
                <w:szCs w:val="20"/>
              </w:rPr>
            </w:pPr>
            <w:bookmarkStart w:id="31" w:name="_Hlk76366097"/>
            <w:bookmarkStart w:id="32" w:name="_Hlk86356379"/>
            <w:r w:rsidRPr="00133F1A">
              <w:rPr>
                <w:rFonts w:cs="Times New Roman"/>
                <w:color w:val="000000" w:themeColor="text1"/>
                <w:sz w:val="20"/>
                <w:szCs w:val="20"/>
              </w:rPr>
              <w:t>Veikts izvērtējums par iespējām pilnveidot sadarbību un parakstīti iestāžu sadarbības memorandi</w:t>
            </w:r>
            <w:bookmarkEnd w:id="31"/>
            <w:r w:rsidRPr="00924FEE">
              <w:rPr>
                <w:rFonts w:cs="Times New Roman"/>
                <w:color w:val="000000" w:themeColor="text1"/>
                <w:sz w:val="20"/>
                <w:szCs w:val="20"/>
              </w:rPr>
              <w:t xml:space="preserve">. </w:t>
            </w:r>
            <w:bookmarkEnd w:id="32"/>
          </w:p>
        </w:tc>
        <w:tc>
          <w:tcPr>
            <w:tcW w:w="1275" w:type="dxa"/>
            <w:shd w:val="clear" w:color="auto" w:fill="auto"/>
          </w:tcPr>
          <w:p w:rsidR="000D12AF" w:rsidRPr="008C09A4" w:rsidRDefault="000D12AF" w:rsidP="000D12AF">
            <w:pPr>
              <w:jc w:val="center"/>
              <w:rPr>
                <w:rFonts w:cs="Times New Roman"/>
                <w:bCs/>
                <w:sz w:val="20"/>
                <w:szCs w:val="20"/>
              </w:rPr>
            </w:pPr>
            <w:r w:rsidRPr="008C09A4">
              <w:rPr>
                <w:rFonts w:cs="Times New Roman"/>
                <w:bCs/>
                <w:sz w:val="20"/>
                <w:szCs w:val="20"/>
              </w:rPr>
              <w:t xml:space="preserve">VVD, </w:t>
            </w:r>
          </w:p>
          <w:p w:rsidR="000D12AF" w:rsidRPr="008C09A4" w:rsidRDefault="000D12AF" w:rsidP="000D12AF">
            <w:pPr>
              <w:jc w:val="center"/>
              <w:rPr>
                <w:rFonts w:cs="Times New Roman"/>
                <w:bCs/>
                <w:sz w:val="20"/>
                <w:szCs w:val="20"/>
              </w:rPr>
            </w:pPr>
            <w:r w:rsidRPr="008C09A4">
              <w:rPr>
                <w:rFonts w:cs="Times New Roman"/>
                <w:bCs/>
                <w:sz w:val="20"/>
                <w:szCs w:val="20"/>
              </w:rPr>
              <w:t>VID</w:t>
            </w:r>
          </w:p>
        </w:tc>
        <w:tc>
          <w:tcPr>
            <w:tcW w:w="1134" w:type="dxa"/>
            <w:shd w:val="clear" w:color="auto" w:fill="auto"/>
          </w:tcPr>
          <w:p w:rsidR="000D12AF" w:rsidRPr="008C09A4" w:rsidRDefault="000D12AF" w:rsidP="000D12AF">
            <w:pPr>
              <w:jc w:val="center"/>
              <w:rPr>
                <w:rFonts w:cs="Times New Roman"/>
                <w:bCs/>
                <w:sz w:val="20"/>
                <w:szCs w:val="20"/>
              </w:rPr>
            </w:pPr>
            <w:r w:rsidRPr="008C09A4">
              <w:rPr>
                <w:rFonts w:cs="Times New Roman"/>
                <w:bCs/>
                <w:sz w:val="20"/>
                <w:szCs w:val="20"/>
              </w:rPr>
              <w:t xml:space="preserve">VARAM, </w:t>
            </w:r>
          </w:p>
          <w:p w:rsidR="000D12AF" w:rsidRPr="008C09A4" w:rsidRDefault="000D12AF" w:rsidP="000D12AF">
            <w:pPr>
              <w:jc w:val="center"/>
              <w:rPr>
                <w:rFonts w:cs="Times New Roman"/>
                <w:bCs/>
                <w:sz w:val="20"/>
                <w:szCs w:val="20"/>
              </w:rPr>
            </w:pPr>
            <w:r w:rsidRPr="008C09A4">
              <w:rPr>
                <w:rFonts w:cs="Times New Roman"/>
                <w:bCs/>
                <w:sz w:val="20"/>
                <w:szCs w:val="20"/>
              </w:rPr>
              <w:t>FM</w:t>
            </w:r>
          </w:p>
        </w:tc>
        <w:tc>
          <w:tcPr>
            <w:tcW w:w="1276" w:type="dxa"/>
            <w:shd w:val="clear" w:color="auto" w:fill="auto"/>
          </w:tcPr>
          <w:p w:rsidR="000D12AF" w:rsidRPr="008C09A4" w:rsidRDefault="000D12AF" w:rsidP="000D12AF">
            <w:pPr>
              <w:jc w:val="center"/>
              <w:rPr>
                <w:rFonts w:cs="Times New Roman"/>
                <w:bCs/>
                <w:sz w:val="20"/>
                <w:szCs w:val="20"/>
              </w:rPr>
            </w:pPr>
            <w:r w:rsidRPr="008C09A4">
              <w:rPr>
                <w:rFonts w:cs="Times New Roman"/>
                <w:bCs/>
                <w:sz w:val="20"/>
                <w:szCs w:val="20"/>
              </w:rPr>
              <w:t>3</w:t>
            </w:r>
            <w:r w:rsidR="006A19D3">
              <w:rPr>
                <w:rFonts w:cs="Times New Roman"/>
                <w:bCs/>
                <w:sz w:val="20"/>
                <w:szCs w:val="20"/>
              </w:rPr>
              <w:t>0</w:t>
            </w:r>
            <w:r w:rsidRPr="008C09A4">
              <w:rPr>
                <w:rFonts w:cs="Times New Roman"/>
                <w:bCs/>
                <w:sz w:val="20"/>
                <w:szCs w:val="20"/>
              </w:rPr>
              <w:t>.12.2022.</w:t>
            </w:r>
          </w:p>
        </w:tc>
      </w:tr>
      <w:tr w:rsidR="000D12AF" w:rsidRPr="008C09A4" w:rsidTr="00DA5BE6">
        <w:trPr>
          <w:trHeight w:val="543"/>
        </w:trPr>
        <w:tc>
          <w:tcPr>
            <w:tcW w:w="568" w:type="dxa"/>
            <w:vMerge w:val="restart"/>
          </w:tcPr>
          <w:p w:rsidR="000D12AF" w:rsidRPr="008C09A4" w:rsidRDefault="000D12AF" w:rsidP="000D12AF">
            <w:pPr>
              <w:ind w:right="-21"/>
              <w:rPr>
                <w:rFonts w:cs="Times New Roman"/>
                <w:bCs/>
                <w:sz w:val="20"/>
                <w:szCs w:val="20"/>
              </w:rPr>
            </w:pPr>
            <w:r w:rsidRPr="008C09A4">
              <w:rPr>
                <w:rFonts w:cs="Times New Roman"/>
                <w:bCs/>
                <w:sz w:val="20"/>
                <w:szCs w:val="20"/>
              </w:rPr>
              <w:t>3.2.</w:t>
            </w:r>
          </w:p>
        </w:tc>
        <w:tc>
          <w:tcPr>
            <w:tcW w:w="2268" w:type="dxa"/>
            <w:vMerge w:val="restart"/>
          </w:tcPr>
          <w:p w:rsidR="000D12AF" w:rsidRPr="008C09A4" w:rsidRDefault="000D12AF" w:rsidP="000D12AF">
            <w:pPr>
              <w:jc w:val="both"/>
              <w:rPr>
                <w:rFonts w:cs="Times New Roman"/>
                <w:color w:val="000000"/>
                <w:sz w:val="20"/>
                <w:szCs w:val="20"/>
              </w:rPr>
            </w:pPr>
            <w:bookmarkStart w:id="33" w:name="_Hlk75858167"/>
            <w:r w:rsidRPr="008C09A4">
              <w:rPr>
                <w:rFonts w:cs="Times New Roman"/>
                <w:color w:val="000000"/>
                <w:sz w:val="20"/>
                <w:szCs w:val="20"/>
              </w:rPr>
              <w:t xml:space="preserve">Mazināt atradnēs iegūto derīgo izrakteņu vai būvniecības procesā iegūto dabas resursu realizāciju saimnieciskajā </w:t>
            </w:r>
            <w:r w:rsidRPr="00133F1A">
              <w:rPr>
                <w:rFonts w:cs="Times New Roman"/>
                <w:color w:val="000000"/>
                <w:sz w:val="20"/>
                <w:szCs w:val="20"/>
              </w:rPr>
              <w:t>darbībā, neuzskaitot to apjomu</w:t>
            </w:r>
            <w:r w:rsidRPr="008C09A4">
              <w:rPr>
                <w:rFonts w:cs="Times New Roman"/>
                <w:color w:val="000000"/>
                <w:sz w:val="20"/>
                <w:szCs w:val="20"/>
              </w:rPr>
              <w:t xml:space="preserve"> un nesamaksājot noteikto DRN</w:t>
            </w:r>
            <w:r>
              <w:rPr>
                <w:rFonts w:cs="Times New Roman"/>
                <w:color w:val="000000"/>
                <w:sz w:val="20"/>
                <w:szCs w:val="20"/>
              </w:rPr>
              <w:t>.</w:t>
            </w:r>
          </w:p>
          <w:bookmarkEnd w:id="33"/>
          <w:p w:rsidR="000D12AF" w:rsidRPr="008C09A4" w:rsidRDefault="000D12AF" w:rsidP="000D12AF">
            <w:pPr>
              <w:jc w:val="both"/>
              <w:rPr>
                <w:rFonts w:cs="Times New Roman"/>
                <w:sz w:val="20"/>
                <w:szCs w:val="20"/>
              </w:rPr>
            </w:pPr>
          </w:p>
        </w:tc>
        <w:tc>
          <w:tcPr>
            <w:tcW w:w="3544" w:type="dxa"/>
          </w:tcPr>
          <w:p w:rsidR="000D12AF" w:rsidRPr="008C09A4" w:rsidRDefault="000D12AF" w:rsidP="000D12AF">
            <w:pPr>
              <w:jc w:val="both"/>
              <w:rPr>
                <w:rFonts w:cs="Times New Roman"/>
                <w:sz w:val="20"/>
                <w:szCs w:val="20"/>
              </w:rPr>
            </w:pPr>
            <w:r w:rsidRPr="008C09A4">
              <w:rPr>
                <w:rFonts w:cs="Times New Roman"/>
                <w:sz w:val="20"/>
                <w:szCs w:val="20"/>
              </w:rPr>
              <w:t>Derīgo izrakteņu apritē ir iesaistīti zemes dzīļu izmantotāji, pārvadātāji un būvnieki. Lai derīgos izrakteņus varētu iegūt, ir jāsaņem VVD izsniegta licence, Dabas resursu lietošanas atļauja vai pašvaldības atļauja. VVD veic darbības kontroli atradnēs. Būvniecību var veikt, pamatojoties uz būvvaldē akceptētu būvatļauju vai būvniecības ieceri, un to veic pats īpašnieks vai piesaistot reģistrētu būvnieku. Būvniecības procesu kontrolē būvvalde. Savukārt pārvadātājs, kuram ir transports un atbilstošas autovadītāja tiesības, pakalpojumus sniedz bez speciālām prasībām. Izmantojot iespēju, ka derīgo izrakteņu vai minerālmateriālu pārvadāšanai nav noteikta nepieciešamība reģistrēties vai saņemt atļauju, kā arī nav obligāti nepieciešami kravas pārvadājumu apliecinoši dokumenti (ieguves vieta, pārvadātājs, piegādes adrese u.c.) katras kravas pārvadājumam</w:t>
            </w:r>
            <w:r w:rsidRPr="00133F1A">
              <w:rPr>
                <w:rFonts w:cs="Times New Roman"/>
                <w:sz w:val="20"/>
                <w:szCs w:val="20"/>
              </w:rPr>
              <w:t>, pārvadātājs var nekontrolēti pārvadāt arī nelegāli iegūtus derīgos izrakteņus. Faktiski pārvadātāji arī ir tie, kas ievieto sludinājumus un piedāvā piegādāt minerālmateriālus par atlīdzību, un atkarībā no pieprasījuma</w:t>
            </w:r>
            <w:r w:rsidRPr="008C09A4">
              <w:rPr>
                <w:rFonts w:cs="Times New Roman"/>
                <w:sz w:val="20"/>
                <w:szCs w:val="20"/>
              </w:rPr>
              <w:t xml:space="preserve"> vienojas ar derīgo izrakteņu ieguvējiem vai būves īpašniekiem par iegūto dabas resursu slēptu iegādi.</w:t>
            </w:r>
          </w:p>
          <w:p w:rsidR="000D12AF" w:rsidRPr="008C09A4" w:rsidRDefault="000D12AF" w:rsidP="000D12AF">
            <w:pPr>
              <w:jc w:val="both"/>
              <w:rPr>
                <w:rFonts w:cs="Times New Roman"/>
                <w:sz w:val="20"/>
                <w:szCs w:val="20"/>
              </w:rPr>
            </w:pPr>
            <w:r w:rsidRPr="008C09A4">
              <w:rPr>
                <w:rFonts w:cs="Times New Roman"/>
                <w:sz w:val="20"/>
                <w:szCs w:val="20"/>
              </w:rPr>
              <w:t xml:space="preserve">VVD kompetencē nav pārbaudīt šādos sludinājumos ievietotās informācijas patiesumu ar kontroles pirkuma palīdzību.  Par to var pārliecināties tikai sadarbojoties ar VID amatpersonām. Tomēr tas neļauj valsts vides inspektoriem būt pietiekoši operatīviem. </w:t>
            </w:r>
          </w:p>
        </w:tc>
        <w:tc>
          <w:tcPr>
            <w:tcW w:w="2551" w:type="dxa"/>
          </w:tcPr>
          <w:p w:rsidR="000D12AF" w:rsidRDefault="000D12AF" w:rsidP="000D12AF">
            <w:pPr>
              <w:jc w:val="both"/>
              <w:rPr>
                <w:rFonts w:cs="Times New Roman"/>
                <w:color w:val="000000"/>
                <w:sz w:val="20"/>
                <w:szCs w:val="20"/>
              </w:rPr>
            </w:pPr>
            <w:r w:rsidRPr="008C09A4">
              <w:rPr>
                <w:rFonts w:cs="Times New Roman"/>
                <w:color w:val="000000"/>
                <w:sz w:val="20"/>
                <w:szCs w:val="20"/>
              </w:rPr>
              <w:t xml:space="preserve">1.Normatīvajos aktos noteikta obligātā prasība kravu </w:t>
            </w:r>
            <w:r w:rsidRPr="00E56628">
              <w:rPr>
                <w:rFonts w:cs="Times New Roman"/>
                <w:color w:val="000000"/>
                <w:sz w:val="20"/>
                <w:szCs w:val="20"/>
              </w:rPr>
              <w:t>autopārvadātājiem, kuri komercpakalpojuma ietvaros pārvadā preci/materiālus, kam tiek uzrēķināts DRN, noformēt papīra vai elektroniskā formātā</w:t>
            </w:r>
            <w:r w:rsidRPr="00806EF2">
              <w:rPr>
                <w:rFonts w:cs="Times New Roman"/>
                <w:color w:val="000000"/>
                <w:sz w:val="20"/>
                <w:szCs w:val="20"/>
              </w:rPr>
              <w:t xml:space="preserve"> </w:t>
            </w:r>
            <w:r w:rsidRPr="008C09A4">
              <w:rPr>
                <w:rFonts w:cs="Times New Roman"/>
                <w:color w:val="000000"/>
                <w:sz w:val="20"/>
                <w:szCs w:val="20"/>
              </w:rPr>
              <w:t>pavadzīmi katrai kr</w:t>
            </w:r>
            <w:r>
              <w:rPr>
                <w:rFonts w:cs="Times New Roman"/>
                <w:color w:val="000000"/>
                <w:sz w:val="20"/>
                <w:szCs w:val="20"/>
              </w:rPr>
              <w:t>a</w:t>
            </w:r>
            <w:r w:rsidRPr="008C09A4">
              <w:rPr>
                <w:rFonts w:cs="Times New Roman"/>
                <w:color w:val="000000"/>
                <w:sz w:val="20"/>
                <w:szCs w:val="20"/>
              </w:rPr>
              <w:t>vai, ko autovadītājs var uzrādīt kompetentās iestādes likumīgajam pārstāvim.  Pavadzīmē ir jānorāda kravas pārvadājuma datums, materiāla izcelsmes vieta, kravas saņēmējs un adrese.</w:t>
            </w:r>
            <w:r>
              <w:rPr>
                <w:rFonts w:cs="Times New Roman"/>
                <w:color w:val="000000"/>
                <w:sz w:val="20"/>
                <w:szCs w:val="20"/>
              </w:rPr>
              <w:t xml:space="preserve"> </w:t>
            </w:r>
            <w:r w:rsidRPr="008C09A4">
              <w:rPr>
                <w:rFonts w:cs="Times New Roman"/>
                <w:color w:val="000000"/>
                <w:sz w:val="20"/>
                <w:szCs w:val="20"/>
              </w:rPr>
              <w:t xml:space="preserve"> </w:t>
            </w:r>
          </w:p>
          <w:p w:rsidR="000D12AF" w:rsidRDefault="000D12AF" w:rsidP="000D12AF">
            <w:pPr>
              <w:jc w:val="both"/>
              <w:rPr>
                <w:rFonts w:cs="Times New Roman"/>
                <w:color w:val="000000"/>
                <w:sz w:val="20"/>
                <w:szCs w:val="20"/>
              </w:rPr>
            </w:pPr>
          </w:p>
          <w:p w:rsidR="000D12AF" w:rsidRPr="008C09A4" w:rsidRDefault="000D12AF" w:rsidP="000D12AF">
            <w:pPr>
              <w:jc w:val="both"/>
              <w:rPr>
                <w:rFonts w:cs="Times New Roman"/>
                <w:sz w:val="20"/>
                <w:szCs w:val="20"/>
              </w:rPr>
            </w:pPr>
            <w:r>
              <w:rPr>
                <w:rFonts w:cs="Times New Roman"/>
                <w:color w:val="000000"/>
                <w:sz w:val="20"/>
                <w:szCs w:val="20"/>
              </w:rPr>
              <w:t>2.</w:t>
            </w:r>
            <w:r w:rsidRPr="008C09A4">
              <w:rPr>
                <w:rFonts w:cs="Times New Roman"/>
                <w:color w:val="000000"/>
                <w:sz w:val="20"/>
                <w:szCs w:val="20"/>
              </w:rPr>
              <w:t xml:space="preserve">Normatīvajos aktos atbilstošā kārtībā ir paredzētas tiesības noteiktām VVD amatpersonām </w:t>
            </w:r>
            <w:r w:rsidRPr="008C09A4">
              <w:rPr>
                <w:rFonts w:cs="Times New Roman"/>
                <w:sz w:val="20"/>
                <w:szCs w:val="20"/>
              </w:rPr>
              <w:t>nepieciešamības gadījumā izdarīt kontroles pirkumu, lai pārliecinātos par darījumiem ar dabas resursiem, kuri ir iegūti nelikumīgi vai par tiem netiek maksāts DR</w:t>
            </w:r>
            <w:r>
              <w:rPr>
                <w:rFonts w:cs="Times New Roman"/>
                <w:sz w:val="20"/>
                <w:szCs w:val="20"/>
              </w:rPr>
              <w:t>N.</w:t>
            </w:r>
          </w:p>
        </w:tc>
        <w:tc>
          <w:tcPr>
            <w:tcW w:w="1985" w:type="dxa"/>
          </w:tcPr>
          <w:p w:rsidR="000D12AF" w:rsidRPr="008C09A4" w:rsidRDefault="000D12AF" w:rsidP="000E4DEE">
            <w:pPr>
              <w:jc w:val="both"/>
              <w:rPr>
                <w:rFonts w:cs="Times New Roman"/>
                <w:sz w:val="20"/>
                <w:szCs w:val="20"/>
              </w:rPr>
            </w:pPr>
            <w:r w:rsidRPr="008C09A4">
              <w:rPr>
                <w:rFonts w:cs="Times New Roman"/>
                <w:sz w:val="20"/>
                <w:szCs w:val="20"/>
              </w:rPr>
              <w:t>Sadarbojoties kompetentajām iestādēm sagatavoti grozījumi normatīvajos aktos.</w:t>
            </w:r>
          </w:p>
        </w:tc>
        <w:tc>
          <w:tcPr>
            <w:tcW w:w="1275" w:type="dxa"/>
          </w:tcPr>
          <w:p w:rsidR="00DC5E0A" w:rsidRDefault="00DC5E0A" w:rsidP="000D12AF">
            <w:pPr>
              <w:jc w:val="center"/>
              <w:rPr>
                <w:rFonts w:cs="Times New Roman"/>
                <w:bCs/>
                <w:sz w:val="20"/>
                <w:szCs w:val="20"/>
              </w:rPr>
            </w:pPr>
            <w:r w:rsidRPr="00981D5F">
              <w:rPr>
                <w:rFonts w:cs="Times New Roman"/>
                <w:bCs/>
                <w:sz w:val="20"/>
                <w:szCs w:val="20"/>
              </w:rPr>
              <w:t>VARAM</w:t>
            </w:r>
            <w:r w:rsidR="00981D5F">
              <w:rPr>
                <w:rFonts w:cs="Times New Roman"/>
                <w:bCs/>
                <w:sz w:val="20"/>
                <w:szCs w:val="20"/>
              </w:rPr>
              <w:t>,</w:t>
            </w:r>
          </w:p>
          <w:p w:rsidR="000D12AF" w:rsidRPr="008C09A4" w:rsidRDefault="000D12AF" w:rsidP="000D12AF">
            <w:pPr>
              <w:jc w:val="center"/>
              <w:rPr>
                <w:rFonts w:cs="Times New Roman"/>
                <w:bCs/>
                <w:sz w:val="20"/>
                <w:szCs w:val="20"/>
              </w:rPr>
            </w:pPr>
            <w:r w:rsidRPr="008C09A4">
              <w:rPr>
                <w:rFonts w:cs="Times New Roman"/>
                <w:bCs/>
                <w:sz w:val="20"/>
                <w:szCs w:val="20"/>
              </w:rPr>
              <w:t>FM</w:t>
            </w:r>
          </w:p>
        </w:tc>
        <w:tc>
          <w:tcPr>
            <w:tcW w:w="1134" w:type="dxa"/>
          </w:tcPr>
          <w:p w:rsidR="000D12AF" w:rsidRDefault="000D12AF" w:rsidP="000D12AF">
            <w:pPr>
              <w:jc w:val="center"/>
              <w:rPr>
                <w:rFonts w:cs="Times New Roman"/>
                <w:bCs/>
                <w:sz w:val="20"/>
                <w:szCs w:val="20"/>
              </w:rPr>
            </w:pPr>
            <w:r w:rsidRPr="008C09A4">
              <w:rPr>
                <w:rFonts w:cs="Times New Roman"/>
                <w:bCs/>
                <w:sz w:val="20"/>
                <w:szCs w:val="20"/>
              </w:rPr>
              <w:t>VVD,</w:t>
            </w:r>
          </w:p>
          <w:p w:rsidR="000D12AF" w:rsidRDefault="000D12AF" w:rsidP="000D12AF">
            <w:pPr>
              <w:jc w:val="center"/>
              <w:rPr>
                <w:rFonts w:cs="Times New Roman"/>
                <w:bCs/>
                <w:sz w:val="20"/>
                <w:szCs w:val="20"/>
              </w:rPr>
            </w:pPr>
            <w:r w:rsidRPr="008C09A4">
              <w:rPr>
                <w:rFonts w:cs="Times New Roman"/>
                <w:bCs/>
                <w:sz w:val="20"/>
                <w:szCs w:val="20"/>
              </w:rPr>
              <w:t>VP,</w:t>
            </w:r>
          </w:p>
          <w:p w:rsidR="000D12AF" w:rsidRDefault="000D12AF" w:rsidP="000D12AF">
            <w:pPr>
              <w:jc w:val="center"/>
              <w:rPr>
                <w:rFonts w:cs="Times New Roman"/>
                <w:bCs/>
                <w:sz w:val="20"/>
                <w:szCs w:val="20"/>
              </w:rPr>
            </w:pPr>
            <w:r w:rsidRPr="008C09A4">
              <w:rPr>
                <w:rFonts w:cs="Times New Roman"/>
                <w:bCs/>
                <w:sz w:val="20"/>
                <w:szCs w:val="20"/>
              </w:rPr>
              <w:t>VID</w:t>
            </w:r>
            <w:r w:rsidR="00981D5F">
              <w:rPr>
                <w:rFonts w:cs="Times New Roman"/>
                <w:bCs/>
                <w:sz w:val="20"/>
                <w:szCs w:val="20"/>
              </w:rPr>
              <w:t>,</w:t>
            </w:r>
          </w:p>
          <w:p w:rsidR="00DC5E0A" w:rsidRPr="008C09A4" w:rsidRDefault="00DC5E0A" w:rsidP="000D12AF">
            <w:pPr>
              <w:jc w:val="center"/>
              <w:rPr>
                <w:rFonts w:cs="Times New Roman"/>
                <w:bCs/>
                <w:sz w:val="20"/>
                <w:szCs w:val="20"/>
              </w:rPr>
            </w:pPr>
            <w:r w:rsidRPr="006A19D3">
              <w:rPr>
                <w:rFonts w:cs="Times New Roman"/>
                <w:bCs/>
                <w:sz w:val="20"/>
                <w:szCs w:val="20"/>
              </w:rPr>
              <w:t>SM</w:t>
            </w:r>
          </w:p>
        </w:tc>
        <w:tc>
          <w:tcPr>
            <w:tcW w:w="1276" w:type="dxa"/>
          </w:tcPr>
          <w:p w:rsidR="000D12AF" w:rsidRPr="008C09A4" w:rsidRDefault="000D12AF" w:rsidP="000D12AF">
            <w:pPr>
              <w:jc w:val="center"/>
              <w:rPr>
                <w:rFonts w:cs="Times New Roman"/>
                <w:bCs/>
                <w:sz w:val="20"/>
                <w:szCs w:val="20"/>
              </w:rPr>
            </w:pPr>
            <w:r w:rsidRPr="008C09A4">
              <w:rPr>
                <w:rFonts w:cs="Times New Roman"/>
                <w:bCs/>
                <w:sz w:val="20"/>
                <w:szCs w:val="20"/>
              </w:rPr>
              <w:t>30.12.2022.</w:t>
            </w:r>
          </w:p>
          <w:p w:rsidR="000D12AF" w:rsidRPr="008C09A4" w:rsidRDefault="000D12AF" w:rsidP="000D12AF">
            <w:pPr>
              <w:jc w:val="center"/>
              <w:rPr>
                <w:rFonts w:cs="Times New Roman"/>
                <w:bCs/>
                <w:sz w:val="20"/>
                <w:szCs w:val="20"/>
              </w:rPr>
            </w:pPr>
          </w:p>
        </w:tc>
      </w:tr>
      <w:tr w:rsidR="000D12AF" w:rsidRPr="008C09A4" w:rsidTr="00DA5BE6">
        <w:trPr>
          <w:trHeight w:val="543"/>
        </w:trPr>
        <w:tc>
          <w:tcPr>
            <w:tcW w:w="568" w:type="dxa"/>
            <w:vMerge/>
          </w:tcPr>
          <w:p w:rsidR="000D12AF" w:rsidRPr="008C09A4" w:rsidRDefault="000D12AF" w:rsidP="000D12AF">
            <w:pPr>
              <w:ind w:right="-21"/>
              <w:rPr>
                <w:rFonts w:cs="Times New Roman"/>
                <w:bCs/>
                <w:sz w:val="20"/>
                <w:szCs w:val="20"/>
              </w:rPr>
            </w:pPr>
          </w:p>
        </w:tc>
        <w:tc>
          <w:tcPr>
            <w:tcW w:w="2268" w:type="dxa"/>
            <w:vMerge/>
          </w:tcPr>
          <w:p w:rsidR="000D12AF" w:rsidRPr="008C09A4" w:rsidRDefault="000D12AF" w:rsidP="000D12AF">
            <w:pPr>
              <w:jc w:val="both"/>
              <w:rPr>
                <w:rFonts w:cs="Times New Roman"/>
                <w:color w:val="000000"/>
                <w:sz w:val="20"/>
                <w:szCs w:val="20"/>
              </w:rPr>
            </w:pPr>
          </w:p>
        </w:tc>
        <w:tc>
          <w:tcPr>
            <w:tcW w:w="3544" w:type="dxa"/>
          </w:tcPr>
          <w:p w:rsidR="000D12AF" w:rsidRPr="008C09A4" w:rsidRDefault="000D12AF" w:rsidP="000D12AF">
            <w:pPr>
              <w:jc w:val="both"/>
              <w:rPr>
                <w:rFonts w:cs="Times New Roman"/>
                <w:sz w:val="20"/>
                <w:szCs w:val="20"/>
              </w:rPr>
            </w:pPr>
            <w:r w:rsidRPr="008C09A4">
              <w:rPr>
                <w:rFonts w:cs="Times New Roman"/>
                <w:sz w:val="20"/>
                <w:szCs w:val="20"/>
              </w:rPr>
              <w:t>Lai varētu vizuāli</w:t>
            </w:r>
            <w:r w:rsidRPr="00133F1A">
              <w:rPr>
                <w:rFonts w:cs="Times New Roman"/>
                <w:sz w:val="20"/>
                <w:szCs w:val="20"/>
              </w:rPr>
              <w:t xml:space="preserve"> sekot līdzi notiekošām reljefa izmaiņām visā</w:t>
            </w:r>
            <w:r w:rsidRPr="008C09A4">
              <w:rPr>
                <w:rFonts w:cs="Times New Roman"/>
                <w:sz w:val="20"/>
                <w:szCs w:val="20"/>
              </w:rPr>
              <w:t xml:space="preserve"> Latvijas teritorijā un atklāt faktus, kas liecina par iespējamu derīgo izrakteņu ieguvi, VVD pieejamie kartogrāfiskie dati, ar kuriem var strādāt, ir publiski pieejamais LĢIA karšu pārlūks. Karšu pārlūkā pieejamās ortofoto kartes ir ar vairāku gadu nobīdi, kas ļauj tikai konstatēt ilgāku laiku atpakaļ notikušas aktivitātes. Bez tam šo procesu monitorings fiziski iespējams tikai izlases veidā, ja VVD ir saņēmis konkrētu informāciju vai pieteikumu. Vispārīgs Latvijas teritorijas reljefa izmaiņu monitorings netiek veikts. </w:t>
            </w:r>
            <w:r>
              <w:rPr>
                <w:rFonts w:cs="Times New Roman"/>
                <w:sz w:val="20"/>
                <w:szCs w:val="20"/>
              </w:rPr>
              <w:t xml:space="preserve">Tādējādi </w:t>
            </w:r>
            <w:r w:rsidRPr="008C09A4">
              <w:rPr>
                <w:rFonts w:cs="Times New Roman"/>
                <w:sz w:val="20"/>
                <w:szCs w:val="20"/>
              </w:rPr>
              <w:t>nav iespējama pilnvērtīga un operatīva kontrole, kas aptvertu visu Latvijas teritoriju. Plā</w:t>
            </w:r>
            <w:r>
              <w:rPr>
                <w:rFonts w:cs="Times New Roman"/>
                <w:sz w:val="20"/>
                <w:szCs w:val="20"/>
              </w:rPr>
              <w:t>n</w:t>
            </w:r>
            <w:r w:rsidRPr="008C09A4">
              <w:rPr>
                <w:rFonts w:cs="Times New Roman"/>
                <w:sz w:val="20"/>
                <w:szCs w:val="20"/>
              </w:rPr>
              <w:t>ota kontrole tiek veikta tikai zināmajās atradnēs, kuru izmantošanai izsniegta atļauja vai licence</w:t>
            </w:r>
            <w:r>
              <w:rPr>
                <w:rFonts w:cs="Times New Roman"/>
                <w:sz w:val="20"/>
                <w:szCs w:val="20"/>
              </w:rPr>
              <w:t>.</w:t>
            </w:r>
          </w:p>
        </w:tc>
        <w:tc>
          <w:tcPr>
            <w:tcW w:w="2551" w:type="dxa"/>
          </w:tcPr>
          <w:p w:rsidR="000D12AF" w:rsidRPr="008C09A4" w:rsidRDefault="000D12AF" w:rsidP="000D12AF">
            <w:pPr>
              <w:jc w:val="both"/>
              <w:rPr>
                <w:rFonts w:cs="Times New Roman"/>
                <w:color w:val="000000"/>
                <w:sz w:val="20"/>
                <w:szCs w:val="20"/>
              </w:rPr>
            </w:pPr>
            <w:r w:rsidRPr="008C09A4">
              <w:rPr>
                <w:rFonts w:cs="Times New Roman"/>
                <w:color w:val="000000"/>
                <w:sz w:val="20"/>
                <w:szCs w:val="20"/>
              </w:rPr>
              <w:t>3.Uz pieejamo satelītattēlu robotizētas salīdzināšanas metodes pamata ieviests zemes virsmas reljefa izmaiņu attālināts monitorings, kas ļaus sistēmiski un laicīgi atklāt iespējamos zemes dzīļu izmantošanas pārkāpumus, tai skaitā nelikumīgi iegūto derīgo izrakteņu iesaistīšanu saimnieciskajā darbībā.</w:t>
            </w:r>
          </w:p>
        </w:tc>
        <w:tc>
          <w:tcPr>
            <w:tcW w:w="1985" w:type="dxa"/>
            <w:shd w:val="clear" w:color="auto" w:fill="auto"/>
          </w:tcPr>
          <w:p w:rsidR="000D12AF" w:rsidRPr="000E4DEE" w:rsidRDefault="000D12AF" w:rsidP="00133F1A">
            <w:pPr>
              <w:jc w:val="both"/>
              <w:rPr>
                <w:rFonts w:cs="Times New Roman"/>
                <w:sz w:val="20"/>
                <w:szCs w:val="20"/>
              </w:rPr>
            </w:pPr>
            <w:r w:rsidRPr="008C09A4">
              <w:rPr>
                <w:rFonts w:cs="Times New Roman"/>
                <w:sz w:val="20"/>
                <w:szCs w:val="20"/>
              </w:rPr>
              <w:t>Aprobēšanai ieviests zemes virsmas reljefa izmaiņu attālināta monitoringa prototips, kas ļautu laicīgi atklāt un novērst nelegālus zemes dzīļu izmantošanas un dabas resursu lietošanas gadījumus</w:t>
            </w:r>
            <w:r w:rsidR="00796F11">
              <w:rPr>
                <w:rFonts w:cs="Times New Roman"/>
                <w:sz w:val="20"/>
                <w:szCs w:val="20"/>
              </w:rPr>
              <w:t xml:space="preserve">, </w:t>
            </w:r>
            <w:r w:rsidR="00796F11" w:rsidRPr="000E4DEE">
              <w:rPr>
                <w:rFonts w:cs="Times New Roman"/>
                <w:sz w:val="20"/>
                <w:szCs w:val="20"/>
              </w:rPr>
              <w:t>lai izveidotu informācijas sistēmu zemes pielietojuma izmaiņu kartogrāfiskās bāzes veidošanai</w:t>
            </w:r>
            <w:r w:rsidRPr="000E4DEE">
              <w:rPr>
                <w:rFonts w:cs="Times New Roman"/>
                <w:sz w:val="20"/>
                <w:szCs w:val="20"/>
              </w:rPr>
              <w:t>.</w:t>
            </w:r>
            <w:r w:rsidRPr="008C09A4">
              <w:rPr>
                <w:rFonts w:cs="Times New Roman"/>
                <w:sz w:val="20"/>
                <w:szCs w:val="20"/>
              </w:rPr>
              <w:t xml:space="preserve"> </w:t>
            </w:r>
          </w:p>
        </w:tc>
        <w:tc>
          <w:tcPr>
            <w:tcW w:w="1275" w:type="dxa"/>
          </w:tcPr>
          <w:p w:rsidR="000D12AF" w:rsidRPr="008C09A4" w:rsidRDefault="000D12AF" w:rsidP="000D12AF">
            <w:pPr>
              <w:jc w:val="center"/>
              <w:rPr>
                <w:rFonts w:cs="Times New Roman"/>
                <w:bCs/>
                <w:sz w:val="20"/>
                <w:szCs w:val="20"/>
              </w:rPr>
            </w:pPr>
            <w:r w:rsidRPr="008C09A4">
              <w:rPr>
                <w:rFonts w:cs="Times New Roman"/>
                <w:bCs/>
                <w:sz w:val="20"/>
                <w:szCs w:val="20"/>
              </w:rPr>
              <w:t xml:space="preserve">VARAM </w:t>
            </w:r>
          </w:p>
        </w:tc>
        <w:tc>
          <w:tcPr>
            <w:tcW w:w="1134" w:type="dxa"/>
          </w:tcPr>
          <w:p w:rsidR="000D12AF" w:rsidRPr="008C09A4" w:rsidRDefault="000D12AF" w:rsidP="000D12AF">
            <w:pPr>
              <w:jc w:val="center"/>
              <w:rPr>
                <w:rFonts w:cs="Times New Roman"/>
                <w:bCs/>
                <w:sz w:val="20"/>
                <w:szCs w:val="20"/>
              </w:rPr>
            </w:pPr>
            <w:bookmarkStart w:id="34" w:name="_Hlk75858668"/>
            <w:r w:rsidRPr="008C09A4">
              <w:rPr>
                <w:rFonts w:cs="Times New Roman"/>
                <w:bCs/>
                <w:sz w:val="20"/>
                <w:szCs w:val="20"/>
              </w:rPr>
              <w:t>VVD, LVĢMC,</w:t>
            </w:r>
          </w:p>
          <w:p w:rsidR="000D12AF" w:rsidRDefault="000D12AF" w:rsidP="000D12AF">
            <w:pPr>
              <w:jc w:val="center"/>
              <w:rPr>
                <w:rFonts w:cs="Times New Roman"/>
                <w:bCs/>
                <w:sz w:val="20"/>
                <w:szCs w:val="20"/>
              </w:rPr>
            </w:pPr>
            <w:r w:rsidRPr="008C09A4">
              <w:rPr>
                <w:rFonts w:cs="Times New Roman"/>
                <w:bCs/>
                <w:sz w:val="20"/>
                <w:szCs w:val="20"/>
              </w:rPr>
              <w:t>TM</w:t>
            </w:r>
            <w:r>
              <w:rPr>
                <w:rFonts w:cs="Times New Roman"/>
                <w:bCs/>
                <w:sz w:val="20"/>
                <w:szCs w:val="20"/>
              </w:rPr>
              <w:t>,</w:t>
            </w:r>
          </w:p>
          <w:p w:rsidR="000D12AF" w:rsidRDefault="000D12AF" w:rsidP="000D12AF">
            <w:pPr>
              <w:jc w:val="center"/>
              <w:rPr>
                <w:rFonts w:cs="Times New Roman"/>
                <w:bCs/>
                <w:sz w:val="20"/>
                <w:szCs w:val="20"/>
              </w:rPr>
            </w:pPr>
            <w:r>
              <w:rPr>
                <w:rFonts w:cs="Times New Roman"/>
                <w:bCs/>
                <w:sz w:val="20"/>
                <w:szCs w:val="20"/>
              </w:rPr>
              <w:t>ZM,</w:t>
            </w:r>
          </w:p>
          <w:p w:rsidR="000D12AF" w:rsidRPr="008C09A4" w:rsidRDefault="000D12AF" w:rsidP="000D12AF">
            <w:pPr>
              <w:jc w:val="center"/>
              <w:rPr>
                <w:rFonts w:cs="Times New Roman"/>
                <w:bCs/>
                <w:sz w:val="20"/>
                <w:szCs w:val="20"/>
              </w:rPr>
            </w:pPr>
            <w:r>
              <w:rPr>
                <w:rFonts w:cs="Times New Roman"/>
                <w:bCs/>
                <w:sz w:val="20"/>
                <w:szCs w:val="20"/>
              </w:rPr>
              <w:t>LĢIA</w:t>
            </w:r>
            <w:bookmarkEnd w:id="34"/>
          </w:p>
        </w:tc>
        <w:tc>
          <w:tcPr>
            <w:tcW w:w="1276" w:type="dxa"/>
          </w:tcPr>
          <w:p w:rsidR="000D12AF" w:rsidRPr="008C09A4" w:rsidRDefault="000D12AF" w:rsidP="000D12AF">
            <w:pPr>
              <w:jc w:val="center"/>
              <w:rPr>
                <w:rFonts w:cs="Times New Roman"/>
                <w:bCs/>
                <w:sz w:val="20"/>
                <w:szCs w:val="20"/>
              </w:rPr>
            </w:pPr>
            <w:r w:rsidRPr="008C09A4">
              <w:rPr>
                <w:rFonts w:cs="Times New Roman"/>
                <w:bCs/>
                <w:sz w:val="20"/>
                <w:szCs w:val="20"/>
              </w:rPr>
              <w:t>30.12.2022.</w:t>
            </w:r>
          </w:p>
        </w:tc>
      </w:tr>
      <w:tr w:rsidR="00133F1A" w:rsidRPr="008C09A4" w:rsidTr="00DA5BE6">
        <w:trPr>
          <w:trHeight w:val="543"/>
        </w:trPr>
        <w:tc>
          <w:tcPr>
            <w:tcW w:w="568" w:type="dxa"/>
            <w:shd w:val="clear" w:color="auto" w:fill="auto"/>
          </w:tcPr>
          <w:p w:rsidR="00133F1A" w:rsidRPr="008C09A4" w:rsidRDefault="00133F1A" w:rsidP="00734DAC">
            <w:pPr>
              <w:ind w:right="-21"/>
              <w:rPr>
                <w:rFonts w:cs="Times New Roman"/>
                <w:bCs/>
                <w:sz w:val="20"/>
                <w:szCs w:val="20"/>
              </w:rPr>
            </w:pPr>
            <w:bookmarkStart w:id="35" w:name="_Hlk75857270"/>
            <w:r>
              <w:rPr>
                <w:rFonts w:cs="Times New Roman"/>
                <w:bCs/>
                <w:sz w:val="20"/>
                <w:szCs w:val="20"/>
              </w:rPr>
              <w:t>3.3.</w:t>
            </w:r>
          </w:p>
        </w:tc>
        <w:tc>
          <w:tcPr>
            <w:tcW w:w="2268" w:type="dxa"/>
            <w:shd w:val="clear" w:color="auto" w:fill="auto"/>
          </w:tcPr>
          <w:p w:rsidR="00133F1A" w:rsidRPr="008C09A4" w:rsidRDefault="00133F1A" w:rsidP="00734DAC">
            <w:pPr>
              <w:jc w:val="both"/>
              <w:rPr>
                <w:rFonts w:cs="Times New Roman"/>
                <w:sz w:val="20"/>
                <w:szCs w:val="20"/>
              </w:rPr>
            </w:pPr>
            <w:r w:rsidRPr="008C09A4">
              <w:rPr>
                <w:rFonts w:cs="Times New Roman"/>
                <w:sz w:val="20"/>
                <w:szCs w:val="20"/>
              </w:rPr>
              <w:t>Nodrošināt atbilstošu kontroles vidi zemes dzīļu atradnēs izmantoto resursu izmantošanā būvniecībā.</w:t>
            </w:r>
          </w:p>
        </w:tc>
        <w:tc>
          <w:tcPr>
            <w:tcW w:w="3544" w:type="dxa"/>
            <w:shd w:val="clear" w:color="auto" w:fill="auto"/>
          </w:tcPr>
          <w:p w:rsidR="00133F1A" w:rsidRPr="008C09A4" w:rsidRDefault="00133F1A" w:rsidP="00734DAC">
            <w:pPr>
              <w:jc w:val="both"/>
              <w:rPr>
                <w:rFonts w:cs="Times New Roman"/>
                <w:sz w:val="20"/>
                <w:szCs w:val="20"/>
              </w:rPr>
            </w:pPr>
            <w:r w:rsidRPr="008C09A4">
              <w:rPr>
                <w:rFonts w:cs="Times New Roman"/>
                <w:sz w:val="20"/>
                <w:szCs w:val="20"/>
              </w:rPr>
              <w:t xml:space="preserve">Vēl joprojām pastāv augsts risks, kad zemes dzīļu resursi tiek </w:t>
            </w:r>
            <w:r w:rsidRPr="00964D20">
              <w:rPr>
                <w:rFonts w:cs="Times New Roman"/>
                <w:sz w:val="20"/>
                <w:szCs w:val="20"/>
              </w:rPr>
              <w:t>iegūti un realizēti nenoformējot karjera/atradnes dokumentus un atļaujas,</w:t>
            </w:r>
            <w:r w:rsidRPr="008C09A4">
              <w:rPr>
                <w:rFonts w:cs="Times New Roman"/>
                <w:sz w:val="20"/>
                <w:szCs w:val="20"/>
              </w:rPr>
              <w:t xml:space="preserve"> bet “sakārtojot” dažāda veida būvatļaujas – zivju dīķu būvniecībai, noteku tīrīšanas, hidrotehniskajiem un zemes darbiem u.tml. Tādos gadījumos, kaut gan pēc fakta notiek zemes derīgo izrakteņu ieguve un pārdošana, pirmkārt, nav jāievēro karjeriem saistošas prasības (izpēte, licencēšana, </w:t>
            </w:r>
            <w:r>
              <w:rPr>
                <w:rFonts w:cs="Times New Roman"/>
                <w:sz w:val="20"/>
                <w:szCs w:val="20"/>
              </w:rPr>
              <w:t>ietekmes uz vidi novērtēšanas</w:t>
            </w:r>
            <w:r w:rsidRPr="008C09A4">
              <w:rPr>
                <w:rFonts w:cs="Times New Roman"/>
                <w:sz w:val="20"/>
                <w:szCs w:val="20"/>
              </w:rPr>
              <w:t xml:space="preserve"> process, uzskaite), otrkārt, tādu objektu kontroli veic attiecīgas pašvaldības būvvalde, bet VVD par tiem nav informēts. </w:t>
            </w:r>
            <w:r>
              <w:rPr>
                <w:rFonts w:cs="Times New Roman"/>
                <w:sz w:val="20"/>
                <w:szCs w:val="20"/>
              </w:rPr>
              <w:t>V</w:t>
            </w:r>
            <w:r w:rsidRPr="008C09A4">
              <w:rPr>
                <w:rFonts w:cs="Times New Roman"/>
                <w:sz w:val="20"/>
                <w:szCs w:val="20"/>
              </w:rPr>
              <w:t xml:space="preserve">eiktās izmaiņas normatīvajos aktos, lai ierobežotu šādas iespējas, kā piemēram, nosakot zemes dzīļu izmantošanas licences saņemšanu, ja derīgo izrakteņu ieguve paredzēta vairāk </w:t>
            </w:r>
            <w:r>
              <w:rPr>
                <w:rFonts w:cs="Times New Roman"/>
                <w:sz w:val="20"/>
                <w:szCs w:val="20"/>
              </w:rPr>
              <w:t>ne</w:t>
            </w:r>
            <w:r w:rsidRPr="008C09A4">
              <w:rPr>
                <w:rFonts w:cs="Times New Roman"/>
                <w:sz w:val="20"/>
                <w:szCs w:val="20"/>
              </w:rPr>
              <w:t>kā 10</w:t>
            </w:r>
            <w:r>
              <w:rPr>
                <w:rFonts w:cs="Times New Roman"/>
                <w:sz w:val="20"/>
                <w:szCs w:val="20"/>
              </w:rPr>
              <w:t> </w:t>
            </w:r>
            <w:r w:rsidRPr="008C09A4">
              <w:rPr>
                <w:rFonts w:cs="Times New Roman"/>
                <w:sz w:val="20"/>
                <w:szCs w:val="20"/>
              </w:rPr>
              <w:t>000</w:t>
            </w:r>
            <w:r>
              <w:rPr>
                <w:rFonts w:cs="Times New Roman"/>
                <w:sz w:val="20"/>
                <w:szCs w:val="20"/>
              </w:rPr>
              <w:t> </w:t>
            </w:r>
            <w:r w:rsidRPr="008C09A4">
              <w:rPr>
                <w:rFonts w:cs="Times New Roman"/>
                <w:sz w:val="20"/>
                <w:szCs w:val="20"/>
              </w:rPr>
              <w:t>m</w:t>
            </w:r>
            <w:r w:rsidRPr="008C09A4">
              <w:rPr>
                <w:rFonts w:cs="Times New Roman"/>
                <w:sz w:val="20"/>
                <w:szCs w:val="20"/>
                <w:vertAlign w:val="superscript"/>
              </w:rPr>
              <w:t>3</w:t>
            </w:r>
            <w:r w:rsidRPr="008C09A4">
              <w:rPr>
                <w:rFonts w:cs="Times New Roman"/>
                <w:sz w:val="20"/>
                <w:szCs w:val="20"/>
              </w:rPr>
              <w:t xml:space="preserve">, dīķa izveides (būvniecības) rezultātā iegūto un neuzrādīto derīgo izrakteņu realizācijas riskus nemazina. </w:t>
            </w:r>
          </w:p>
        </w:tc>
        <w:tc>
          <w:tcPr>
            <w:tcW w:w="2551" w:type="dxa"/>
            <w:shd w:val="clear" w:color="auto" w:fill="auto"/>
          </w:tcPr>
          <w:p w:rsidR="00133F1A" w:rsidRDefault="00133F1A" w:rsidP="00734DAC">
            <w:pPr>
              <w:jc w:val="both"/>
              <w:rPr>
                <w:rFonts w:cs="Times New Roman"/>
                <w:sz w:val="20"/>
                <w:szCs w:val="20"/>
              </w:rPr>
            </w:pPr>
            <w:r w:rsidRPr="008C09A4">
              <w:rPr>
                <w:rFonts w:cs="Times New Roman"/>
                <w:sz w:val="20"/>
                <w:szCs w:val="20"/>
              </w:rPr>
              <w:t xml:space="preserve">1.Ieviesta obligāta prasība būvniecības gaitā iegūtās un pārvietotas augsnes, grunts vai derīgo izrakteņu apjoma klasificēšanai pa dabas resursu veidiem un reģistrēšanai Būvniecības informācijas sistēmā, norādot tā apjomu, transportēšanas laiku un piegādes adresi, ja tas tiek realizēts saimnieciskajā darbībā ārpus zemes īpašuma. </w:t>
            </w:r>
          </w:p>
          <w:p w:rsidR="00133F1A" w:rsidRPr="008C09A4" w:rsidRDefault="00133F1A" w:rsidP="00734DAC">
            <w:pPr>
              <w:jc w:val="both"/>
              <w:rPr>
                <w:rFonts w:cs="Times New Roman"/>
                <w:sz w:val="20"/>
                <w:szCs w:val="20"/>
              </w:rPr>
            </w:pPr>
          </w:p>
          <w:p w:rsidR="00133F1A" w:rsidRPr="008C09A4" w:rsidRDefault="00133F1A" w:rsidP="00734DAC">
            <w:pPr>
              <w:jc w:val="both"/>
              <w:rPr>
                <w:rFonts w:cs="Times New Roman"/>
                <w:sz w:val="20"/>
                <w:szCs w:val="20"/>
              </w:rPr>
            </w:pPr>
            <w:r w:rsidRPr="008C09A4">
              <w:rPr>
                <w:rFonts w:cs="Times New Roman"/>
                <w:sz w:val="20"/>
                <w:szCs w:val="20"/>
              </w:rPr>
              <w:t>2.Ieviesta obligāta prasība būvobjektu būvniecības gaitā izmantoto minerālmateriālu piegādes apjomu reģistrēt Būvniecības informācijas sistēmā, norādot katras piegādes apjomu un sastāvu, minerālmateriālu izcelsmes vietu, derīgo izrakteņu ieguvēju vai minerālmateriālu sagatavotāju, piegādātāju un piegādes adresi (būvobjektu).</w:t>
            </w:r>
          </w:p>
          <w:p w:rsidR="00133F1A" w:rsidRPr="001F2282" w:rsidRDefault="00133F1A" w:rsidP="00734DAC">
            <w:pPr>
              <w:jc w:val="both"/>
              <w:rPr>
                <w:rFonts w:cs="Times New Roman"/>
                <w:color w:val="000000" w:themeColor="text1"/>
                <w:sz w:val="20"/>
                <w:szCs w:val="20"/>
              </w:rPr>
            </w:pPr>
          </w:p>
          <w:p w:rsidR="00133F1A" w:rsidRPr="00082F27" w:rsidRDefault="00133F1A" w:rsidP="00734DAC">
            <w:pPr>
              <w:jc w:val="both"/>
              <w:rPr>
                <w:rFonts w:cs="Times New Roman"/>
                <w:color w:val="000000" w:themeColor="text1"/>
                <w:sz w:val="20"/>
                <w:szCs w:val="20"/>
              </w:rPr>
            </w:pPr>
            <w:r w:rsidRPr="001F2282">
              <w:rPr>
                <w:rFonts w:cs="Times New Roman"/>
                <w:color w:val="000000" w:themeColor="text1"/>
                <w:sz w:val="20"/>
                <w:szCs w:val="20"/>
              </w:rPr>
              <w:t xml:space="preserve">3.Būvuzraugiem noteikts pienākums veikt kontroli  par uzrādīto, no derīgo izrakteņu ieguves vietām piegādāto minerālmateriālu apjomu un veidu sakritību ar būvobjektā faktiski iestrādāto minerālmateriālu apjomu un veidu.  </w:t>
            </w:r>
          </w:p>
        </w:tc>
        <w:tc>
          <w:tcPr>
            <w:tcW w:w="1985" w:type="dxa"/>
            <w:shd w:val="clear" w:color="auto" w:fill="auto"/>
          </w:tcPr>
          <w:p w:rsidR="00133F1A" w:rsidRPr="008C09A4" w:rsidRDefault="00133F1A" w:rsidP="00734DAC">
            <w:pPr>
              <w:jc w:val="both"/>
              <w:rPr>
                <w:rFonts w:cs="Times New Roman"/>
                <w:sz w:val="20"/>
                <w:szCs w:val="20"/>
              </w:rPr>
            </w:pPr>
            <w:r>
              <w:rPr>
                <w:rFonts w:cs="Times New Roman"/>
                <w:sz w:val="20"/>
                <w:szCs w:val="20"/>
              </w:rPr>
              <w:t xml:space="preserve">Izvērtēti un sniegti priekšlikumi normatīvajiem aktiem </w:t>
            </w:r>
            <w:r w:rsidRPr="0045631B">
              <w:rPr>
                <w:rFonts w:cs="Times New Roman"/>
                <w:sz w:val="20"/>
                <w:szCs w:val="20"/>
              </w:rPr>
              <w:t>minerālmateriālu izmantošanas uzraudzībai būvniecībā</w:t>
            </w:r>
            <w:r>
              <w:rPr>
                <w:rFonts w:cs="Times New Roman"/>
                <w:sz w:val="20"/>
                <w:szCs w:val="20"/>
              </w:rPr>
              <w:t>.</w:t>
            </w:r>
          </w:p>
        </w:tc>
        <w:tc>
          <w:tcPr>
            <w:tcW w:w="1275" w:type="dxa"/>
            <w:shd w:val="clear" w:color="auto" w:fill="auto"/>
          </w:tcPr>
          <w:p w:rsidR="00133F1A" w:rsidRPr="008C09A4" w:rsidRDefault="00133F1A" w:rsidP="00734DAC">
            <w:pPr>
              <w:jc w:val="center"/>
              <w:rPr>
                <w:rFonts w:cs="Times New Roman"/>
                <w:bCs/>
                <w:sz w:val="20"/>
                <w:szCs w:val="20"/>
              </w:rPr>
            </w:pPr>
            <w:r w:rsidRPr="008C09A4">
              <w:rPr>
                <w:rFonts w:cs="Times New Roman"/>
                <w:bCs/>
                <w:sz w:val="20"/>
                <w:szCs w:val="20"/>
              </w:rPr>
              <w:t>EM,</w:t>
            </w:r>
          </w:p>
          <w:p w:rsidR="00133F1A" w:rsidRPr="008C09A4" w:rsidRDefault="00133F1A" w:rsidP="00734DAC">
            <w:pPr>
              <w:jc w:val="center"/>
              <w:rPr>
                <w:rFonts w:cs="Times New Roman"/>
                <w:bCs/>
                <w:sz w:val="20"/>
                <w:szCs w:val="20"/>
              </w:rPr>
            </w:pPr>
            <w:r w:rsidRPr="008C09A4">
              <w:rPr>
                <w:rFonts w:cs="Times New Roman"/>
                <w:bCs/>
                <w:sz w:val="20"/>
                <w:szCs w:val="20"/>
              </w:rPr>
              <w:t>VARAM</w:t>
            </w:r>
            <w:r>
              <w:rPr>
                <w:rFonts w:cs="Times New Roman"/>
                <w:bCs/>
                <w:sz w:val="20"/>
                <w:szCs w:val="20"/>
              </w:rPr>
              <w:t>,</w:t>
            </w:r>
            <w:r w:rsidRPr="008C09A4">
              <w:rPr>
                <w:rFonts w:cs="Times New Roman"/>
                <w:bCs/>
                <w:sz w:val="20"/>
                <w:szCs w:val="20"/>
              </w:rPr>
              <w:t xml:space="preserve"> B</w:t>
            </w:r>
            <w:r>
              <w:rPr>
                <w:rFonts w:cs="Times New Roman"/>
                <w:bCs/>
                <w:sz w:val="20"/>
                <w:szCs w:val="20"/>
              </w:rPr>
              <w:t>V</w:t>
            </w:r>
            <w:r w:rsidRPr="008C09A4">
              <w:rPr>
                <w:rFonts w:cs="Times New Roman"/>
                <w:bCs/>
                <w:sz w:val="20"/>
                <w:szCs w:val="20"/>
              </w:rPr>
              <w:t>KB</w:t>
            </w:r>
          </w:p>
        </w:tc>
        <w:tc>
          <w:tcPr>
            <w:tcW w:w="1134" w:type="dxa"/>
            <w:shd w:val="clear" w:color="auto" w:fill="auto"/>
          </w:tcPr>
          <w:p w:rsidR="00133F1A" w:rsidRDefault="00133F1A" w:rsidP="00734DAC">
            <w:pPr>
              <w:jc w:val="center"/>
              <w:rPr>
                <w:rFonts w:cs="Times New Roman"/>
                <w:bCs/>
                <w:sz w:val="20"/>
                <w:szCs w:val="20"/>
              </w:rPr>
            </w:pPr>
            <w:r w:rsidRPr="008C09A4">
              <w:rPr>
                <w:rFonts w:cs="Times New Roman"/>
                <w:bCs/>
                <w:sz w:val="20"/>
                <w:szCs w:val="20"/>
              </w:rPr>
              <w:t xml:space="preserve">VVD, </w:t>
            </w:r>
          </w:p>
          <w:p w:rsidR="00133F1A" w:rsidRPr="008C09A4" w:rsidRDefault="00133F1A" w:rsidP="00734DAC">
            <w:pPr>
              <w:jc w:val="center"/>
              <w:rPr>
                <w:rFonts w:cs="Times New Roman"/>
                <w:bCs/>
                <w:sz w:val="20"/>
                <w:szCs w:val="20"/>
              </w:rPr>
            </w:pPr>
            <w:r>
              <w:rPr>
                <w:rFonts w:cs="Times New Roman"/>
                <w:bCs/>
                <w:sz w:val="20"/>
                <w:szCs w:val="20"/>
              </w:rPr>
              <w:t>LTRK</w:t>
            </w:r>
          </w:p>
        </w:tc>
        <w:tc>
          <w:tcPr>
            <w:tcW w:w="1276" w:type="dxa"/>
            <w:shd w:val="clear" w:color="auto" w:fill="auto"/>
          </w:tcPr>
          <w:p w:rsidR="00133F1A" w:rsidRPr="008C09A4" w:rsidRDefault="00133F1A" w:rsidP="00734DAC">
            <w:pPr>
              <w:jc w:val="center"/>
              <w:rPr>
                <w:rFonts w:cs="Times New Roman"/>
                <w:bCs/>
                <w:sz w:val="20"/>
                <w:szCs w:val="20"/>
              </w:rPr>
            </w:pPr>
            <w:r w:rsidRPr="008C09A4">
              <w:rPr>
                <w:rFonts w:cs="Times New Roman"/>
                <w:bCs/>
                <w:sz w:val="20"/>
                <w:szCs w:val="20"/>
              </w:rPr>
              <w:t>30.12.2022.</w:t>
            </w:r>
          </w:p>
        </w:tc>
      </w:tr>
      <w:bookmarkEnd w:id="35"/>
      <w:tr w:rsidR="000D12AF" w:rsidRPr="008C09A4" w:rsidTr="00DA5BE6">
        <w:trPr>
          <w:trHeight w:val="543"/>
        </w:trPr>
        <w:tc>
          <w:tcPr>
            <w:tcW w:w="568" w:type="dxa"/>
          </w:tcPr>
          <w:p w:rsidR="000D12AF" w:rsidRPr="008C09A4" w:rsidRDefault="000D12AF" w:rsidP="000D12AF">
            <w:pPr>
              <w:ind w:right="-21"/>
              <w:rPr>
                <w:rFonts w:cs="Times New Roman"/>
                <w:bCs/>
                <w:sz w:val="20"/>
                <w:szCs w:val="20"/>
              </w:rPr>
            </w:pPr>
            <w:r w:rsidRPr="008C09A4">
              <w:rPr>
                <w:rFonts w:cs="Times New Roman"/>
                <w:bCs/>
                <w:sz w:val="20"/>
                <w:szCs w:val="20"/>
              </w:rPr>
              <w:t>3.</w:t>
            </w:r>
            <w:r w:rsidR="00133F1A">
              <w:rPr>
                <w:rFonts w:cs="Times New Roman"/>
                <w:bCs/>
                <w:sz w:val="20"/>
                <w:szCs w:val="20"/>
              </w:rPr>
              <w:t>4</w:t>
            </w:r>
            <w:r w:rsidRPr="008C09A4">
              <w:rPr>
                <w:rFonts w:cs="Times New Roman"/>
                <w:bCs/>
                <w:sz w:val="20"/>
                <w:szCs w:val="20"/>
              </w:rPr>
              <w:t>.</w:t>
            </w:r>
          </w:p>
        </w:tc>
        <w:tc>
          <w:tcPr>
            <w:tcW w:w="2268" w:type="dxa"/>
          </w:tcPr>
          <w:p w:rsidR="000D12AF" w:rsidRPr="008C09A4" w:rsidRDefault="000D12AF" w:rsidP="000D12AF">
            <w:pPr>
              <w:jc w:val="both"/>
              <w:rPr>
                <w:rFonts w:cs="Times New Roman"/>
                <w:color w:val="000000"/>
                <w:sz w:val="20"/>
                <w:szCs w:val="20"/>
              </w:rPr>
            </w:pPr>
            <w:r w:rsidRPr="008C09A4">
              <w:rPr>
                <w:rFonts w:cs="Times New Roman"/>
                <w:color w:val="000000"/>
                <w:sz w:val="20"/>
                <w:szCs w:val="20"/>
              </w:rPr>
              <w:t>Nelegālo atkritumu aprites ierobežošana</w:t>
            </w:r>
          </w:p>
          <w:p w:rsidR="000D12AF" w:rsidRPr="008C09A4" w:rsidRDefault="000D12AF" w:rsidP="000D12AF">
            <w:pPr>
              <w:jc w:val="both"/>
              <w:rPr>
                <w:rFonts w:cs="Times New Roman"/>
                <w:color w:val="000000"/>
                <w:sz w:val="20"/>
                <w:szCs w:val="20"/>
              </w:rPr>
            </w:pPr>
          </w:p>
        </w:tc>
        <w:tc>
          <w:tcPr>
            <w:tcW w:w="3544" w:type="dxa"/>
          </w:tcPr>
          <w:p w:rsidR="000D12AF" w:rsidRPr="008C09A4" w:rsidRDefault="000D12AF" w:rsidP="00133F1A">
            <w:pPr>
              <w:jc w:val="both"/>
              <w:rPr>
                <w:rFonts w:cs="Times New Roman"/>
                <w:sz w:val="20"/>
                <w:szCs w:val="20"/>
              </w:rPr>
            </w:pPr>
            <w:r w:rsidRPr="008C09A4">
              <w:rPr>
                <w:rFonts w:cs="Times New Roman"/>
                <w:sz w:val="20"/>
                <w:szCs w:val="20"/>
              </w:rPr>
              <w:t>Novērst iespējas atkritumu apsaimniekošanas jomā veikt atkritumu nereģistrētu pārvadāšanu, uzglabāšanu un pārstrādi.</w:t>
            </w:r>
          </w:p>
          <w:p w:rsidR="000D12AF" w:rsidRPr="008C09A4" w:rsidRDefault="000D12AF" w:rsidP="00133F1A">
            <w:pPr>
              <w:jc w:val="both"/>
              <w:rPr>
                <w:rFonts w:cs="Times New Roman"/>
                <w:color w:val="000000"/>
                <w:sz w:val="20"/>
                <w:szCs w:val="20"/>
              </w:rPr>
            </w:pPr>
            <w:r w:rsidRPr="008C09A4">
              <w:rPr>
                <w:rFonts w:cs="Times New Roman"/>
                <w:sz w:val="20"/>
                <w:szCs w:val="20"/>
              </w:rPr>
              <w:t xml:space="preserve">Lai nodrošinātu godīgu konkurenci un augstus uzņēmējdarbības standartus atkritumu apsaimniekošanas jomā ir nepieciešams </w:t>
            </w:r>
            <w:r w:rsidRPr="008C09A4">
              <w:rPr>
                <w:rFonts w:cs="Times New Roman"/>
                <w:color w:val="000000"/>
                <w:sz w:val="20"/>
                <w:szCs w:val="20"/>
              </w:rPr>
              <w:t>izvērtēt iespējamos grozījumus normatīvajos aktos, nosakot ierobežojumus saņemt atļaujas atkritumu apsaimniekošanas jomā komersantiem, kuru nodokļu parāda apmērs ir virs 150 </w:t>
            </w:r>
            <w:r w:rsidRPr="008C09A4">
              <w:rPr>
                <w:rFonts w:cs="Times New Roman"/>
                <w:i/>
                <w:iCs/>
                <w:color w:val="000000"/>
                <w:sz w:val="20"/>
                <w:szCs w:val="20"/>
              </w:rPr>
              <w:t>euro</w:t>
            </w:r>
            <w:r w:rsidRPr="008C09A4">
              <w:rPr>
                <w:rFonts w:cs="Times New Roman"/>
                <w:color w:val="000000"/>
                <w:sz w:val="20"/>
                <w:szCs w:val="20"/>
              </w:rPr>
              <w:t>, kuri divus gadus pirms atļaujas saņemšanas ir bijuši reģistrēti VID riska personu sarakstā, kā arī nosakot nosacījumus liegt atļaujas saņemšanu, ja pret komersantu ir sākts kriminālprocess par noziedzīgiem nodarījumiem nodokļu vai muitas jomā.</w:t>
            </w:r>
          </w:p>
          <w:p w:rsidR="000D12AF" w:rsidRPr="008C09A4" w:rsidRDefault="000D12AF" w:rsidP="000D12AF">
            <w:pPr>
              <w:jc w:val="both"/>
              <w:rPr>
                <w:rFonts w:cs="Times New Roman"/>
                <w:sz w:val="20"/>
                <w:szCs w:val="20"/>
              </w:rPr>
            </w:pPr>
            <w:r w:rsidRPr="008C09A4">
              <w:rPr>
                <w:rFonts w:cs="Times New Roman"/>
                <w:sz w:val="20"/>
                <w:szCs w:val="20"/>
              </w:rPr>
              <w:t>Attiecināt minētās prasības arī uz komersantiem, kuri vēlas kļūt par iepakojuma, videi kaitīgo preču atkritumu un nolietotu transportlīdzekļu apsaimniekotājiem atbilstoši normatīvajiem aktiem par dabas resursu nodokli.</w:t>
            </w:r>
          </w:p>
          <w:p w:rsidR="000D12AF" w:rsidRPr="008C09A4" w:rsidRDefault="000D12AF" w:rsidP="000D12AF">
            <w:pPr>
              <w:jc w:val="both"/>
              <w:rPr>
                <w:rFonts w:cs="Times New Roman"/>
                <w:sz w:val="20"/>
                <w:szCs w:val="20"/>
              </w:rPr>
            </w:pPr>
            <w:r w:rsidRPr="008C09A4">
              <w:rPr>
                <w:rFonts w:cs="Times New Roman"/>
                <w:sz w:val="20"/>
                <w:szCs w:val="20"/>
              </w:rPr>
              <w:t>Veikt VVD analītiskās kapacitātes stiprināšanu nelegālo atkritumu plūsmu mazināšanai un atkritumu reģenerācijas mērķu izpildes kontroles nodrošināšanai.</w:t>
            </w:r>
          </w:p>
        </w:tc>
        <w:tc>
          <w:tcPr>
            <w:tcW w:w="2551" w:type="dxa"/>
          </w:tcPr>
          <w:p w:rsidR="000D12AF" w:rsidRPr="008C09A4" w:rsidRDefault="000D12AF" w:rsidP="000D12AF">
            <w:pPr>
              <w:jc w:val="both"/>
              <w:rPr>
                <w:rFonts w:cs="Times New Roman"/>
                <w:color w:val="000000"/>
                <w:sz w:val="20"/>
                <w:szCs w:val="20"/>
              </w:rPr>
            </w:pPr>
            <w:r w:rsidRPr="008C09A4">
              <w:rPr>
                <w:rFonts w:cs="Times New Roman"/>
                <w:color w:val="000000"/>
                <w:sz w:val="20"/>
                <w:szCs w:val="20"/>
              </w:rPr>
              <w:t>1.Veikt atkritumu apjoma un aprites plūsmas salīdzinājumu ar noteiktu komersantu finanšu plūsmu, identificējot neatbilstības un veicot attiecīgus kontroles pasākumus saistībā ar identificētiem riskiem.</w:t>
            </w:r>
          </w:p>
          <w:p w:rsidR="000D12AF" w:rsidRPr="008C09A4" w:rsidRDefault="000D12AF" w:rsidP="000D12AF">
            <w:pPr>
              <w:jc w:val="both"/>
              <w:rPr>
                <w:rFonts w:cs="Times New Roman"/>
                <w:color w:val="000000"/>
                <w:sz w:val="20"/>
                <w:szCs w:val="20"/>
              </w:rPr>
            </w:pPr>
          </w:p>
          <w:p w:rsidR="000D12AF" w:rsidRPr="008C09A4" w:rsidRDefault="00924FEE" w:rsidP="00082F27">
            <w:pPr>
              <w:jc w:val="both"/>
              <w:rPr>
                <w:rFonts w:cs="Times New Roman"/>
                <w:color w:val="000000"/>
                <w:sz w:val="20"/>
                <w:szCs w:val="20"/>
              </w:rPr>
            </w:pPr>
            <w:r>
              <w:rPr>
                <w:rFonts w:cs="Times New Roman"/>
                <w:color w:val="000000"/>
                <w:sz w:val="20"/>
                <w:szCs w:val="20"/>
              </w:rPr>
              <w:t>2</w:t>
            </w:r>
            <w:r w:rsidR="000D12AF" w:rsidRPr="008C09A4">
              <w:rPr>
                <w:rFonts w:cs="Times New Roman"/>
                <w:color w:val="000000"/>
                <w:sz w:val="20"/>
                <w:szCs w:val="20"/>
              </w:rPr>
              <w:t>.Izstrādāti grozījumi normatīvajos aktos, nosakot ierobežojumus saņemt atļaujas atkritumu apsaimniekošanas jomā.</w:t>
            </w:r>
          </w:p>
        </w:tc>
        <w:tc>
          <w:tcPr>
            <w:tcW w:w="1985" w:type="dxa"/>
          </w:tcPr>
          <w:p w:rsidR="000D12AF" w:rsidRDefault="000D12AF" w:rsidP="000D12AF">
            <w:pPr>
              <w:jc w:val="both"/>
              <w:rPr>
                <w:rFonts w:cs="Times New Roman"/>
                <w:sz w:val="20"/>
                <w:szCs w:val="20"/>
              </w:rPr>
            </w:pPr>
            <w:r w:rsidRPr="008C09A4">
              <w:rPr>
                <w:rFonts w:cs="Times New Roman"/>
                <w:sz w:val="20"/>
                <w:szCs w:val="20"/>
              </w:rPr>
              <w:t>Kontroles pasākumu rezultāti.</w:t>
            </w:r>
          </w:p>
          <w:p w:rsidR="00964D20" w:rsidRDefault="00964D20" w:rsidP="000D12AF">
            <w:pPr>
              <w:jc w:val="both"/>
              <w:rPr>
                <w:rFonts w:cs="Times New Roman"/>
                <w:sz w:val="20"/>
                <w:szCs w:val="20"/>
              </w:rPr>
            </w:pPr>
          </w:p>
          <w:p w:rsidR="00964D20" w:rsidRDefault="00964D20" w:rsidP="000D12AF">
            <w:pPr>
              <w:jc w:val="both"/>
              <w:rPr>
                <w:rFonts w:cs="Times New Roman"/>
                <w:sz w:val="20"/>
                <w:szCs w:val="20"/>
              </w:rPr>
            </w:pPr>
          </w:p>
          <w:p w:rsidR="00964D20" w:rsidRPr="008C09A4" w:rsidRDefault="00964D20" w:rsidP="000D12AF">
            <w:pPr>
              <w:jc w:val="both"/>
              <w:rPr>
                <w:rFonts w:cs="Times New Roman"/>
                <w:sz w:val="20"/>
                <w:szCs w:val="20"/>
              </w:rPr>
            </w:pPr>
          </w:p>
          <w:p w:rsidR="000D12AF" w:rsidRPr="008C09A4" w:rsidRDefault="000D12AF" w:rsidP="000D12AF">
            <w:pPr>
              <w:jc w:val="both"/>
              <w:rPr>
                <w:rFonts w:cs="Times New Roman"/>
                <w:sz w:val="20"/>
                <w:szCs w:val="20"/>
              </w:rPr>
            </w:pPr>
          </w:p>
          <w:p w:rsidR="000D12AF" w:rsidRPr="008C09A4" w:rsidRDefault="000D12AF" w:rsidP="000D12AF">
            <w:pPr>
              <w:jc w:val="both"/>
              <w:rPr>
                <w:rFonts w:cs="Times New Roman"/>
                <w:sz w:val="20"/>
                <w:szCs w:val="20"/>
              </w:rPr>
            </w:pPr>
          </w:p>
          <w:p w:rsidR="000D12AF" w:rsidRPr="008C09A4" w:rsidRDefault="000D12AF" w:rsidP="000D12AF">
            <w:pPr>
              <w:jc w:val="both"/>
              <w:rPr>
                <w:rFonts w:cs="Times New Roman"/>
                <w:sz w:val="20"/>
                <w:szCs w:val="20"/>
              </w:rPr>
            </w:pPr>
          </w:p>
          <w:p w:rsidR="000D12AF" w:rsidRPr="008C09A4" w:rsidRDefault="000D12AF" w:rsidP="000D12AF">
            <w:pPr>
              <w:jc w:val="both"/>
              <w:rPr>
                <w:rFonts w:cs="Times New Roman"/>
                <w:sz w:val="20"/>
                <w:szCs w:val="20"/>
              </w:rPr>
            </w:pPr>
            <w:r w:rsidRPr="008C09A4">
              <w:rPr>
                <w:rFonts w:cs="Times New Roman"/>
                <w:sz w:val="20"/>
                <w:szCs w:val="20"/>
              </w:rPr>
              <w:t>Izstrādāti grozījumi normatīvajos aktos</w:t>
            </w:r>
            <w:r w:rsidR="00302BEE">
              <w:rPr>
                <w:rFonts w:cs="Times New Roman"/>
                <w:sz w:val="20"/>
                <w:szCs w:val="20"/>
              </w:rPr>
              <w:t>.</w:t>
            </w:r>
          </w:p>
        </w:tc>
        <w:tc>
          <w:tcPr>
            <w:tcW w:w="1275" w:type="dxa"/>
          </w:tcPr>
          <w:p w:rsidR="000D12AF" w:rsidRPr="008C09A4" w:rsidRDefault="000D12AF" w:rsidP="000D12AF">
            <w:pPr>
              <w:jc w:val="center"/>
              <w:rPr>
                <w:rFonts w:cs="Times New Roman"/>
                <w:bCs/>
                <w:sz w:val="20"/>
                <w:szCs w:val="20"/>
              </w:rPr>
            </w:pPr>
            <w:r w:rsidRPr="008C09A4">
              <w:rPr>
                <w:rFonts w:cs="Times New Roman"/>
                <w:bCs/>
                <w:sz w:val="20"/>
                <w:szCs w:val="20"/>
              </w:rPr>
              <w:t>VARAM, VVD</w:t>
            </w:r>
          </w:p>
        </w:tc>
        <w:tc>
          <w:tcPr>
            <w:tcW w:w="1134" w:type="dxa"/>
          </w:tcPr>
          <w:p w:rsidR="000D12AF" w:rsidRPr="008C09A4" w:rsidRDefault="000D12AF" w:rsidP="000D12AF">
            <w:pPr>
              <w:jc w:val="center"/>
              <w:rPr>
                <w:rFonts w:cs="Times New Roman"/>
                <w:bCs/>
                <w:sz w:val="20"/>
                <w:szCs w:val="20"/>
              </w:rPr>
            </w:pPr>
            <w:r w:rsidRPr="008C09A4">
              <w:rPr>
                <w:rFonts w:cs="Times New Roman"/>
                <w:bCs/>
                <w:sz w:val="20"/>
                <w:szCs w:val="20"/>
              </w:rPr>
              <w:t>VID</w:t>
            </w:r>
          </w:p>
        </w:tc>
        <w:tc>
          <w:tcPr>
            <w:tcW w:w="1276" w:type="dxa"/>
          </w:tcPr>
          <w:p w:rsidR="000D12AF" w:rsidRPr="008C09A4" w:rsidRDefault="000D12AF" w:rsidP="000D12AF">
            <w:pPr>
              <w:jc w:val="center"/>
              <w:rPr>
                <w:rFonts w:cs="Times New Roman"/>
                <w:bCs/>
                <w:sz w:val="20"/>
                <w:szCs w:val="20"/>
              </w:rPr>
            </w:pPr>
            <w:r w:rsidRPr="008C09A4">
              <w:rPr>
                <w:rFonts w:cs="Times New Roman"/>
                <w:bCs/>
                <w:sz w:val="20"/>
                <w:szCs w:val="20"/>
              </w:rPr>
              <w:t>30.12.2022.</w:t>
            </w:r>
          </w:p>
        </w:tc>
      </w:tr>
      <w:tr w:rsidR="000D12AF" w:rsidRPr="008C09A4" w:rsidTr="00DA5BE6">
        <w:trPr>
          <w:trHeight w:val="543"/>
        </w:trPr>
        <w:tc>
          <w:tcPr>
            <w:tcW w:w="568" w:type="dxa"/>
          </w:tcPr>
          <w:p w:rsidR="000D12AF" w:rsidRPr="008C09A4" w:rsidRDefault="000D12AF" w:rsidP="000D12AF">
            <w:pPr>
              <w:ind w:right="-21"/>
              <w:rPr>
                <w:rFonts w:cs="Times New Roman"/>
                <w:bCs/>
                <w:sz w:val="20"/>
                <w:szCs w:val="20"/>
              </w:rPr>
            </w:pPr>
            <w:r w:rsidRPr="008C09A4">
              <w:rPr>
                <w:rFonts w:cs="Times New Roman"/>
                <w:bCs/>
                <w:sz w:val="20"/>
                <w:szCs w:val="20"/>
              </w:rPr>
              <w:t>3.</w:t>
            </w:r>
            <w:r w:rsidR="00133F1A">
              <w:rPr>
                <w:rFonts w:cs="Times New Roman"/>
                <w:bCs/>
                <w:sz w:val="20"/>
                <w:szCs w:val="20"/>
              </w:rPr>
              <w:t>5</w:t>
            </w:r>
            <w:r w:rsidRPr="008C09A4">
              <w:rPr>
                <w:rFonts w:cs="Times New Roman"/>
                <w:bCs/>
                <w:sz w:val="20"/>
                <w:szCs w:val="20"/>
              </w:rPr>
              <w:t>.</w:t>
            </w:r>
          </w:p>
        </w:tc>
        <w:tc>
          <w:tcPr>
            <w:tcW w:w="2268" w:type="dxa"/>
          </w:tcPr>
          <w:p w:rsidR="000D12AF" w:rsidRPr="008C09A4" w:rsidRDefault="000D12AF" w:rsidP="000D12AF">
            <w:pPr>
              <w:jc w:val="both"/>
              <w:rPr>
                <w:rFonts w:cs="Times New Roman"/>
                <w:sz w:val="20"/>
                <w:szCs w:val="20"/>
                <w:shd w:val="clear" w:color="auto" w:fill="FFFFFF"/>
              </w:rPr>
            </w:pPr>
            <w:r w:rsidRPr="008C09A4">
              <w:rPr>
                <w:rFonts w:cs="Times New Roman"/>
                <w:sz w:val="20"/>
                <w:szCs w:val="20"/>
                <w:shd w:val="clear" w:color="auto" w:fill="FFFFFF"/>
              </w:rPr>
              <w:t xml:space="preserve">Uzskaites pilnveidošana darījumiem, kuros tiek izmantoti maksājumu karšu POS termināli. </w:t>
            </w:r>
          </w:p>
        </w:tc>
        <w:tc>
          <w:tcPr>
            <w:tcW w:w="3544" w:type="dxa"/>
          </w:tcPr>
          <w:p w:rsidR="000D12AF" w:rsidRPr="008C09A4" w:rsidRDefault="000D12AF" w:rsidP="000D12AF">
            <w:pPr>
              <w:jc w:val="both"/>
              <w:rPr>
                <w:rFonts w:cs="Times New Roman"/>
                <w:sz w:val="20"/>
                <w:szCs w:val="20"/>
              </w:rPr>
            </w:pPr>
            <w:r w:rsidRPr="008C09A4">
              <w:rPr>
                <w:rFonts w:cs="Times New Roman"/>
                <w:sz w:val="20"/>
                <w:szCs w:val="20"/>
                <w:shd w:val="clear" w:color="auto" w:fill="FFFFFF"/>
              </w:rPr>
              <w:t xml:space="preserve">Nodokļu maksātāji arvien biežāk izmanto mobilos POS terminālus, </w:t>
            </w:r>
            <w:r w:rsidRPr="00133F1A">
              <w:rPr>
                <w:rFonts w:cs="Times New Roman"/>
                <w:sz w:val="20"/>
                <w:szCs w:val="20"/>
              </w:rPr>
              <w:t>lai izvairītos no nodokļu nomaksas, nedeklarējot ieņēmumus, kas rodas, pieņemot maksājumu ar mobilo POS termināli, kuram piesaistīts</w:t>
            </w:r>
            <w:r w:rsidRPr="008C09A4">
              <w:rPr>
                <w:rFonts w:cs="Times New Roman"/>
                <w:sz w:val="20"/>
                <w:szCs w:val="20"/>
                <w:shd w:val="clear" w:color="auto" w:fill="FFFFFF"/>
              </w:rPr>
              <w:t xml:space="preserve"> ārvalstī atvērts konts, par kuru informācija VID nav sniegta likumā noteiktajā kārtībā. </w:t>
            </w:r>
          </w:p>
          <w:p w:rsidR="000D12AF" w:rsidRPr="008C09A4" w:rsidRDefault="000D12AF" w:rsidP="000D12AF">
            <w:pPr>
              <w:jc w:val="both"/>
              <w:rPr>
                <w:rFonts w:cs="Times New Roman"/>
                <w:sz w:val="20"/>
                <w:szCs w:val="20"/>
              </w:rPr>
            </w:pPr>
            <w:r w:rsidRPr="008C09A4">
              <w:rPr>
                <w:rFonts w:cs="Times New Roman"/>
                <w:sz w:val="20"/>
                <w:szCs w:val="20"/>
                <w:shd w:val="clear" w:color="auto" w:fill="FFFFFF"/>
              </w:rPr>
              <w:t>Šobrīd likuma “Par nodokļiem un nodevām” 15.panta trešās daļas 9.punkts uzliek par pienākumu saimnieciskās darbības veicējiem sniegt informāciju VID par ārvalstīs atvērtajiem kontiem.</w:t>
            </w:r>
          </w:p>
          <w:p w:rsidR="000D12AF" w:rsidRPr="00EF58CD" w:rsidRDefault="000D12AF" w:rsidP="000D12AF">
            <w:pPr>
              <w:jc w:val="both"/>
              <w:rPr>
                <w:rFonts w:cs="Times New Roman"/>
                <w:sz w:val="20"/>
                <w:szCs w:val="20"/>
                <w:shd w:val="clear" w:color="auto" w:fill="FFFFFF"/>
              </w:rPr>
            </w:pPr>
            <w:r w:rsidRPr="008C09A4">
              <w:rPr>
                <w:rFonts w:cs="Times New Roman"/>
                <w:sz w:val="20"/>
                <w:szCs w:val="20"/>
                <w:shd w:val="clear" w:color="auto" w:fill="FFFFFF"/>
              </w:rPr>
              <w:t>Taču esošā informācija nav pietiekama, lai pietiekami efektīvi kontrolētu mobilos POS, kuriem piesaistīti ārvalstu konti.</w:t>
            </w:r>
          </w:p>
        </w:tc>
        <w:tc>
          <w:tcPr>
            <w:tcW w:w="2551" w:type="dxa"/>
            <w:shd w:val="clear" w:color="auto" w:fill="auto"/>
          </w:tcPr>
          <w:p w:rsidR="000D12AF" w:rsidRPr="008C09A4" w:rsidRDefault="000D12AF" w:rsidP="000D12AF">
            <w:pPr>
              <w:jc w:val="both"/>
              <w:rPr>
                <w:rFonts w:cs="Times New Roman"/>
                <w:sz w:val="20"/>
                <w:szCs w:val="20"/>
                <w:shd w:val="clear" w:color="auto" w:fill="FFFFFF"/>
              </w:rPr>
            </w:pPr>
            <w:r w:rsidRPr="008C09A4">
              <w:rPr>
                <w:rFonts w:cs="Times New Roman"/>
                <w:sz w:val="20"/>
                <w:szCs w:val="20"/>
                <w:shd w:val="clear" w:color="auto" w:fill="FFFFFF"/>
              </w:rPr>
              <w:t xml:space="preserve">Izvērtēt iespējamos risinājumus, lai </w:t>
            </w:r>
            <w:r w:rsidRPr="00133F1A">
              <w:rPr>
                <w:rFonts w:cs="Times New Roman"/>
                <w:sz w:val="20"/>
                <w:szCs w:val="20"/>
              </w:rPr>
              <w:t>ierobežotu izvairīšanos no nodokļu nomaksas darījumos</w:t>
            </w:r>
            <w:r w:rsidRPr="008C09A4">
              <w:rPr>
                <w:rFonts w:cs="Times New Roman"/>
                <w:sz w:val="20"/>
                <w:szCs w:val="20"/>
                <w:shd w:val="clear" w:color="auto" w:fill="FFFFFF"/>
              </w:rPr>
              <w:t>, kuros tiek izmantoti POS termināli.</w:t>
            </w:r>
          </w:p>
        </w:tc>
        <w:tc>
          <w:tcPr>
            <w:tcW w:w="1985" w:type="dxa"/>
          </w:tcPr>
          <w:p w:rsidR="000D12AF" w:rsidRPr="008C09A4" w:rsidRDefault="000D12AF" w:rsidP="000D12AF">
            <w:pPr>
              <w:rPr>
                <w:rFonts w:cs="Times New Roman"/>
                <w:sz w:val="20"/>
                <w:szCs w:val="20"/>
              </w:rPr>
            </w:pPr>
            <w:r w:rsidRPr="008C09A4">
              <w:rPr>
                <w:rFonts w:cs="Times New Roman"/>
                <w:sz w:val="20"/>
                <w:szCs w:val="20"/>
              </w:rPr>
              <w:t>Izvērtētas iespējas un sniegti priekšlikumi grozījumiem normatīvajos aktos.</w:t>
            </w:r>
          </w:p>
        </w:tc>
        <w:tc>
          <w:tcPr>
            <w:tcW w:w="1275" w:type="dxa"/>
          </w:tcPr>
          <w:p w:rsidR="000D12AF" w:rsidRDefault="000D12AF" w:rsidP="000D12AF">
            <w:pPr>
              <w:jc w:val="center"/>
              <w:rPr>
                <w:rFonts w:cs="Times New Roman"/>
                <w:bCs/>
                <w:sz w:val="20"/>
                <w:szCs w:val="20"/>
              </w:rPr>
            </w:pPr>
            <w:r w:rsidRPr="008C09A4">
              <w:rPr>
                <w:rFonts w:cs="Times New Roman"/>
                <w:bCs/>
                <w:sz w:val="20"/>
                <w:szCs w:val="20"/>
              </w:rPr>
              <w:t xml:space="preserve"> FM, </w:t>
            </w:r>
          </w:p>
          <w:p w:rsidR="000D12AF" w:rsidRPr="008C09A4" w:rsidRDefault="000D12AF" w:rsidP="000D12AF">
            <w:pPr>
              <w:jc w:val="center"/>
              <w:rPr>
                <w:rFonts w:cs="Times New Roman"/>
                <w:bCs/>
                <w:sz w:val="20"/>
                <w:szCs w:val="20"/>
              </w:rPr>
            </w:pPr>
            <w:r w:rsidRPr="008C09A4">
              <w:rPr>
                <w:rFonts w:cs="Times New Roman"/>
                <w:bCs/>
                <w:sz w:val="20"/>
                <w:szCs w:val="20"/>
              </w:rPr>
              <w:t>VID</w:t>
            </w:r>
          </w:p>
        </w:tc>
        <w:tc>
          <w:tcPr>
            <w:tcW w:w="1134" w:type="dxa"/>
          </w:tcPr>
          <w:p w:rsidR="000D12AF" w:rsidRDefault="000D12AF" w:rsidP="000D12AF">
            <w:pPr>
              <w:jc w:val="center"/>
              <w:rPr>
                <w:rFonts w:cs="Times New Roman"/>
                <w:bCs/>
                <w:sz w:val="20"/>
                <w:szCs w:val="20"/>
              </w:rPr>
            </w:pPr>
            <w:r w:rsidRPr="008C09A4">
              <w:rPr>
                <w:rFonts w:cs="Times New Roman"/>
                <w:bCs/>
                <w:sz w:val="20"/>
                <w:szCs w:val="20"/>
              </w:rPr>
              <w:t xml:space="preserve">FKTK, </w:t>
            </w:r>
          </w:p>
          <w:p w:rsidR="000D12AF" w:rsidRDefault="000D12AF" w:rsidP="000D12AF">
            <w:pPr>
              <w:jc w:val="center"/>
              <w:rPr>
                <w:rFonts w:cs="Times New Roman"/>
                <w:bCs/>
                <w:sz w:val="20"/>
                <w:szCs w:val="20"/>
              </w:rPr>
            </w:pPr>
            <w:r w:rsidRPr="008C09A4">
              <w:rPr>
                <w:rFonts w:cs="Times New Roman"/>
                <w:bCs/>
                <w:sz w:val="20"/>
                <w:szCs w:val="20"/>
              </w:rPr>
              <w:t xml:space="preserve">EM, </w:t>
            </w:r>
          </w:p>
          <w:p w:rsidR="000D12AF" w:rsidRPr="008C09A4" w:rsidRDefault="000D12AF" w:rsidP="000D12AF">
            <w:pPr>
              <w:jc w:val="center"/>
              <w:rPr>
                <w:rFonts w:cs="Times New Roman"/>
                <w:bCs/>
                <w:sz w:val="20"/>
                <w:szCs w:val="20"/>
              </w:rPr>
            </w:pPr>
            <w:r w:rsidRPr="008C09A4">
              <w:rPr>
                <w:rFonts w:cs="Times New Roman"/>
                <w:bCs/>
                <w:sz w:val="20"/>
                <w:szCs w:val="20"/>
              </w:rPr>
              <w:t>LTRK</w:t>
            </w:r>
          </w:p>
        </w:tc>
        <w:tc>
          <w:tcPr>
            <w:tcW w:w="1276" w:type="dxa"/>
          </w:tcPr>
          <w:p w:rsidR="000D12AF" w:rsidRPr="008C09A4" w:rsidRDefault="000D12AF" w:rsidP="000D12AF">
            <w:pPr>
              <w:jc w:val="center"/>
              <w:rPr>
                <w:rFonts w:cs="Times New Roman"/>
                <w:bCs/>
                <w:sz w:val="20"/>
                <w:szCs w:val="20"/>
              </w:rPr>
            </w:pPr>
            <w:r w:rsidRPr="008C09A4">
              <w:rPr>
                <w:rFonts w:cs="Times New Roman"/>
                <w:bCs/>
                <w:sz w:val="20"/>
                <w:szCs w:val="20"/>
              </w:rPr>
              <w:t>30.06.2022.</w:t>
            </w:r>
          </w:p>
        </w:tc>
      </w:tr>
      <w:tr w:rsidR="000D12AF" w:rsidRPr="008C09A4" w:rsidTr="00DA5BE6">
        <w:trPr>
          <w:trHeight w:val="543"/>
        </w:trPr>
        <w:tc>
          <w:tcPr>
            <w:tcW w:w="568" w:type="dxa"/>
          </w:tcPr>
          <w:p w:rsidR="000D12AF" w:rsidRPr="008C09A4" w:rsidRDefault="000D12AF" w:rsidP="000D12AF">
            <w:pPr>
              <w:ind w:right="-21"/>
              <w:rPr>
                <w:rFonts w:cs="Times New Roman"/>
                <w:bCs/>
                <w:sz w:val="20"/>
                <w:szCs w:val="20"/>
              </w:rPr>
            </w:pPr>
            <w:r w:rsidRPr="008C09A4">
              <w:rPr>
                <w:rFonts w:cs="Times New Roman"/>
                <w:bCs/>
                <w:sz w:val="20"/>
                <w:szCs w:val="20"/>
              </w:rPr>
              <w:t>3.</w:t>
            </w:r>
            <w:r w:rsidR="00133F1A">
              <w:rPr>
                <w:rFonts w:cs="Times New Roman"/>
                <w:bCs/>
                <w:sz w:val="20"/>
                <w:szCs w:val="20"/>
              </w:rPr>
              <w:t>6</w:t>
            </w:r>
            <w:r w:rsidRPr="008C09A4">
              <w:rPr>
                <w:rFonts w:cs="Times New Roman"/>
                <w:bCs/>
                <w:sz w:val="20"/>
                <w:szCs w:val="20"/>
              </w:rPr>
              <w:t>.</w:t>
            </w:r>
          </w:p>
        </w:tc>
        <w:tc>
          <w:tcPr>
            <w:tcW w:w="2268" w:type="dxa"/>
          </w:tcPr>
          <w:p w:rsidR="000D12AF" w:rsidRPr="008C09A4" w:rsidRDefault="000D12AF" w:rsidP="000D12AF">
            <w:pPr>
              <w:jc w:val="both"/>
              <w:rPr>
                <w:rFonts w:cs="Times New Roman"/>
                <w:sz w:val="20"/>
                <w:szCs w:val="20"/>
              </w:rPr>
            </w:pPr>
            <w:r w:rsidRPr="008C09A4">
              <w:rPr>
                <w:rFonts w:cs="Times New Roman"/>
                <w:sz w:val="20"/>
                <w:szCs w:val="20"/>
              </w:rPr>
              <w:t xml:space="preserve">Novērst digitālo maksājumu sistēmas izmantošanu nekontrolētu un </w:t>
            </w:r>
            <w:r w:rsidRPr="00133F1A">
              <w:rPr>
                <w:rFonts w:cs="Times New Roman"/>
                <w:sz w:val="20"/>
                <w:szCs w:val="20"/>
              </w:rPr>
              <w:t>neuzskaitītu norēķinu veikšanai</w:t>
            </w:r>
            <w:r w:rsidRPr="008C09A4">
              <w:rPr>
                <w:rFonts w:cs="Times New Roman"/>
                <w:sz w:val="20"/>
                <w:szCs w:val="20"/>
              </w:rPr>
              <w:t xml:space="preserve"> uzņēmējdarbībā.</w:t>
            </w:r>
          </w:p>
        </w:tc>
        <w:tc>
          <w:tcPr>
            <w:tcW w:w="3544" w:type="dxa"/>
          </w:tcPr>
          <w:p w:rsidR="000D12AF" w:rsidRPr="008C09A4" w:rsidRDefault="000D12AF" w:rsidP="000D12AF">
            <w:pPr>
              <w:jc w:val="both"/>
              <w:rPr>
                <w:rFonts w:cs="Times New Roman"/>
                <w:sz w:val="20"/>
                <w:szCs w:val="20"/>
              </w:rPr>
            </w:pPr>
            <w:r w:rsidRPr="008C09A4">
              <w:rPr>
                <w:rFonts w:cs="Times New Roman"/>
                <w:sz w:val="20"/>
                <w:szCs w:val="20"/>
              </w:rPr>
              <w:t>Arvien biežāk uzņēmumi izvēlas atvērt kontus digitālajās maksājumu pakalpojumu lietotnēs (</w:t>
            </w:r>
            <w:proofErr w:type="spellStart"/>
            <w:r w:rsidRPr="00F80E7F">
              <w:rPr>
                <w:rFonts w:cs="Times New Roman"/>
                <w:i/>
                <w:iCs/>
                <w:sz w:val="20"/>
                <w:szCs w:val="20"/>
              </w:rPr>
              <w:t>Revolut</w:t>
            </w:r>
            <w:proofErr w:type="spellEnd"/>
            <w:r w:rsidRPr="00F80E7F">
              <w:rPr>
                <w:rFonts w:cs="Times New Roman"/>
                <w:i/>
                <w:iCs/>
                <w:sz w:val="20"/>
                <w:szCs w:val="20"/>
              </w:rPr>
              <w:t xml:space="preserve">, </w:t>
            </w:r>
            <w:proofErr w:type="spellStart"/>
            <w:r w:rsidRPr="00F80E7F">
              <w:rPr>
                <w:rFonts w:cs="Times New Roman"/>
                <w:i/>
                <w:iCs/>
                <w:sz w:val="20"/>
                <w:szCs w:val="20"/>
              </w:rPr>
              <w:t>Paysera</w:t>
            </w:r>
            <w:proofErr w:type="spellEnd"/>
            <w:r w:rsidRPr="00F80E7F">
              <w:rPr>
                <w:rFonts w:cs="Times New Roman"/>
                <w:i/>
                <w:iCs/>
                <w:sz w:val="20"/>
                <w:szCs w:val="20"/>
              </w:rPr>
              <w:t xml:space="preserve">, </w:t>
            </w:r>
            <w:proofErr w:type="spellStart"/>
            <w:r w:rsidRPr="00F80E7F">
              <w:rPr>
                <w:rFonts w:cs="Times New Roman"/>
                <w:i/>
                <w:iCs/>
                <w:sz w:val="20"/>
                <w:szCs w:val="20"/>
              </w:rPr>
              <w:t>Transferwise</w:t>
            </w:r>
            <w:proofErr w:type="spellEnd"/>
            <w:r w:rsidRPr="008C09A4">
              <w:rPr>
                <w:rFonts w:cs="Times New Roman"/>
                <w:sz w:val="20"/>
                <w:szCs w:val="20"/>
              </w:rPr>
              <w:t xml:space="preserve"> </w:t>
            </w:r>
            <w:proofErr w:type="spellStart"/>
            <w:r w:rsidRPr="008C09A4">
              <w:rPr>
                <w:rFonts w:cs="Times New Roman"/>
                <w:sz w:val="20"/>
                <w:szCs w:val="20"/>
              </w:rPr>
              <w:t>utml</w:t>
            </w:r>
            <w:proofErr w:type="spellEnd"/>
            <w:r w:rsidRPr="008C09A4">
              <w:rPr>
                <w:rFonts w:cs="Times New Roman"/>
                <w:sz w:val="20"/>
                <w:szCs w:val="20"/>
              </w:rPr>
              <w:t xml:space="preserve">.). Pēc FICIL veiktajām izpētēm un novērojumiem, ir saskatāmi šo iestāžu trūkumi noziedzīgi iegūtu līdzekļu legalizācijas novēršanas un sankciju riska pārvaldīšanas iekšējās kontroles sistēmās un iestāžu klientu izpētē atbilstoši “NILLTPFN likumā” noteiktajām prasībām. Nav pārliecības, ka šīs iestādes sniedz ziņojumus VID par savu klientu </w:t>
            </w:r>
            <w:r w:rsidRPr="00133F1A">
              <w:rPr>
                <w:rFonts w:cs="Times New Roman"/>
                <w:sz w:val="20"/>
                <w:szCs w:val="20"/>
              </w:rPr>
              <w:t>aizdomīgiem darījumiem at</w:t>
            </w:r>
            <w:r w:rsidRPr="008C09A4">
              <w:rPr>
                <w:rFonts w:cs="Times New Roman"/>
                <w:sz w:val="20"/>
                <w:szCs w:val="20"/>
              </w:rPr>
              <w:t>tiecībā uz nodokļu nomaksu.</w:t>
            </w:r>
          </w:p>
        </w:tc>
        <w:tc>
          <w:tcPr>
            <w:tcW w:w="2551" w:type="dxa"/>
          </w:tcPr>
          <w:p w:rsidR="000D12AF" w:rsidRPr="008C09A4" w:rsidRDefault="000D12AF" w:rsidP="000D12AF">
            <w:pPr>
              <w:jc w:val="both"/>
              <w:rPr>
                <w:rFonts w:cs="Times New Roman"/>
                <w:color w:val="000000"/>
                <w:sz w:val="20"/>
                <w:szCs w:val="20"/>
              </w:rPr>
            </w:pPr>
            <w:r w:rsidRPr="008C09A4">
              <w:rPr>
                <w:rFonts w:cs="Times New Roman"/>
                <w:color w:val="000000"/>
                <w:sz w:val="20"/>
                <w:szCs w:val="20"/>
              </w:rPr>
              <w:t>Izvērtēt riskus un sniegt priekšlikumus, lai mazinātu maksājumu iestādes</w:t>
            </w:r>
            <w:r w:rsidR="003B5A2D">
              <w:rPr>
                <w:rFonts w:cs="Times New Roman"/>
                <w:color w:val="000000"/>
                <w:sz w:val="20"/>
                <w:szCs w:val="20"/>
              </w:rPr>
              <w:t xml:space="preserve"> </w:t>
            </w:r>
            <w:r w:rsidRPr="008C09A4">
              <w:rPr>
                <w:rFonts w:cs="Times New Roman"/>
                <w:color w:val="000000"/>
                <w:sz w:val="20"/>
                <w:szCs w:val="20"/>
              </w:rPr>
              <w:t xml:space="preserve">/elektroniskās naudas iestādes, kā, piemēram, </w:t>
            </w:r>
            <w:proofErr w:type="spellStart"/>
            <w:r w:rsidRPr="00F80E7F">
              <w:rPr>
                <w:rFonts w:cs="Times New Roman"/>
                <w:i/>
                <w:iCs/>
                <w:color w:val="000000"/>
                <w:sz w:val="20"/>
                <w:szCs w:val="20"/>
              </w:rPr>
              <w:t>Pay</w:t>
            </w:r>
            <w:r>
              <w:rPr>
                <w:rFonts w:cs="Times New Roman"/>
                <w:i/>
                <w:iCs/>
                <w:color w:val="000000"/>
                <w:sz w:val="20"/>
                <w:szCs w:val="20"/>
              </w:rPr>
              <w:t>s</w:t>
            </w:r>
            <w:r w:rsidRPr="00F80E7F">
              <w:rPr>
                <w:rFonts w:cs="Times New Roman"/>
                <w:i/>
                <w:iCs/>
                <w:color w:val="000000"/>
                <w:sz w:val="20"/>
                <w:szCs w:val="20"/>
              </w:rPr>
              <w:t>era</w:t>
            </w:r>
            <w:proofErr w:type="spellEnd"/>
            <w:r w:rsidRPr="008C09A4">
              <w:rPr>
                <w:rFonts w:cs="Times New Roman"/>
                <w:color w:val="000000"/>
                <w:sz w:val="20"/>
                <w:szCs w:val="20"/>
              </w:rPr>
              <w:t xml:space="preserve"> maksājumu sistēmas izmantošanu nekontrolētu un neuzskaitītu norēķinu veikšanai uzņēmējdarbībā.</w:t>
            </w:r>
          </w:p>
        </w:tc>
        <w:tc>
          <w:tcPr>
            <w:tcW w:w="1985" w:type="dxa"/>
          </w:tcPr>
          <w:p w:rsidR="000D12AF" w:rsidRPr="008C09A4" w:rsidRDefault="000D12AF" w:rsidP="000D12AF">
            <w:pPr>
              <w:jc w:val="both"/>
              <w:rPr>
                <w:rFonts w:cs="Times New Roman"/>
                <w:sz w:val="20"/>
                <w:szCs w:val="20"/>
              </w:rPr>
            </w:pPr>
            <w:r w:rsidRPr="008C09A4">
              <w:rPr>
                <w:rFonts w:cs="Times New Roman"/>
                <w:sz w:val="20"/>
                <w:szCs w:val="20"/>
              </w:rPr>
              <w:t>Sagatavoti priekšlikumi par iespējamajiem risinājumiem, grozījumiem normatīvajos aktos.</w:t>
            </w:r>
          </w:p>
        </w:tc>
        <w:tc>
          <w:tcPr>
            <w:tcW w:w="1275" w:type="dxa"/>
          </w:tcPr>
          <w:p w:rsidR="000D12AF" w:rsidRDefault="000D12AF" w:rsidP="000D12AF">
            <w:pPr>
              <w:jc w:val="center"/>
              <w:rPr>
                <w:rFonts w:cs="Times New Roman"/>
                <w:bCs/>
                <w:sz w:val="20"/>
                <w:szCs w:val="20"/>
              </w:rPr>
            </w:pPr>
            <w:r w:rsidRPr="008C09A4">
              <w:rPr>
                <w:rFonts w:cs="Times New Roman"/>
                <w:bCs/>
                <w:sz w:val="20"/>
                <w:szCs w:val="20"/>
              </w:rPr>
              <w:t>FM,</w:t>
            </w:r>
          </w:p>
          <w:p w:rsidR="000D12AF" w:rsidRPr="008C09A4" w:rsidRDefault="000D12AF" w:rsidP="000D12AF">
            <w:pPr>
              <w:jc w:val="center"/>
              <w:rPr>
                <w:rFonts w:cs="Times New Roman"/>
                <w:bCs/>
                <w:sz w:val="20"/>
                <w:szCs w:val="20"/>
              </w:rPr>
            </w:pPr>
            <w:r w:rsidRPr="008C09A4">
              <w:rPr>
                <w:rFonts w:cs="Times New Roman"/>
                <w:bCs/>
                <w:sz w:val="20"/>
                <w:szCs w:val="20"/>
              </w:rPr>
              <w:t>FKTK</w:t>
            </w:r>
          </w:p>
        </w:tc>
        <w:tc>
          <w:tcPr>
            <w:tcW w:w="1134" w:type="dxa"/>
          </w:tcPr>
          <w:p w:rsidR="000D12AF" w:rsidRDefault="000D12AF" w:rsidP="000D12AF">
            <w:pPr>
              <w:jc w:val="center"/>
              <w:rPr>
                <w:rFonts w:cs="Times New Roman"/>
                <w:bCs/>
                <w:sz w:val="20"/>
                <w:szCs w:val="20"/>
              </w:rPr>
            </w:pPr>
            <w:r w:rsidRPr="008C09A4">
              <w:rPr>
                <w:rFonts w:cs="Times New Roman"/>
                <w:bCs/>
                <w:sz w:val="20"/>
                <w:szCs w:val="20"/>
              </w:rPr>
              <w:t>VID,</w:t>
            </w:r>
          </w:p>
          <w:p w:rsidR="000D12AF" w:rsidRDefault="000D12AF" w:rsidP="000D12AF">
            <w:pPr>
              <w:jc w:val="center"/>
              <w:rPr>
                <w:rFonts w:cs="Times New Roman"/>
                <w:bCs/>
                <w:sz w:val="20"/>
                <w:szCs w:val="20"/>
              </w:rPr>
            </w:pPr>
            <w:r w:rsidRPr="008C09A4">
              <w:rPr>
                <w:rFonts w:cs="Times New Roman"/>
                <w:bCs/>
                <w:sz w:val="20"/>
                <w:szCs w:val="20"/>
              </w:rPr>
              <w:t>LB</w:t>
            </w:r>
            <w:r>
              <w:rPr>
                <w:rFonts w:cs="Times New Roman"/>
                <w:bCs/>
                <w:sz w:val="20"/>
                <w:szCs w:val="20"/>
              </w:rPr>
              <w:t>,</w:t>
            </w:r>
          </w:p>
          <w:p w:rsidR="000D12AF" w:rsidRPr="008C09A4" w:rsidRDefault="000D12AF" w:rsidP="000D12AF">
            <w:pPr>
              <w:jc w:val="center"/>
              <w:rPr>
                <w:rFonts w:cs="Times New Roman"/>
                <w:bCs/>
                <w:sz w:val="20"/>
                <w:szCs w:val="20"/>
              </w:rPr>
            </w:pPr>
            <w:r>
              <w:rPr>
                <w:rFonts w:cs="Times New Roman"/>
                <w:bCs/>
                <w:sz w:val="20"/>
                <w:szCs w:val="20"/>
              </w:rPr>
              <w:t>EM</w:t>
            </w:r>
          </w:p>
        </w:tc>
        <w:tc>
          <w:tcPr>
            <w:tcW w:w="1276" w:type="dxa"/>
          </w:tcPr>
          <w:p w:rsidR="000D12AF" w:rsidRPr="008C09A4" w:rsidRDefault="000D12AF" w:rsidP="000D12AF">
            <w:pPr>
              <w:jc w:val="center"/>
              <w:rPr>
                <w:rFonts w:cs="Times New Roman"/>
                <w:bCs/>
                <w:sz w:val="20"/>
                <w:szCs w:val="20"/>
              </w:rPr>
            </w:pPr>
            <w:r w:rsidRPr="008C09A4">
              <w:rPr>
                <w:rFonts w:cs="Times New Roman"/>
                <w:bCs/>
                <w:sz w:val="20"/>
                <w:szCs w:val="20"/>
              </w:rPr>
              <w:t>30.06.2022.</w:t>
            </w:r>
          </w:p>
        </w:tc>
      </w:tr>
      <w:tr w:rsidR="000D12AF" w:rsidRPr="008C09A4" w:rsidTr="00DA5BE6">
        <w:trPr>
          <w:trHeight w:val="543"/>
        </w:trPr>
        <w:tc>
          <w:tcPr>
            <w:tcW w:w="568" w:type="dxa"/>
          </w:tcPr>
          <w:p w:rsidR="000D12AF" w:rsidRPr="008C09A4" w:rsidRDefault="000D12AF" w:rsidP="000D12AF">
            <w:pPr>
              <w:ind w:right="-21"/>
              <w:rPr>
                <w:rFonts w:cs="Times New Roman"/>
                <w:bCs/>
                <w:sz w:val="20"/>
                <w:szCs w:val="20"/>
              </w:rPr>
            </w:pPr>
            <w:r w:rsidRPr="008C09A4">
              <w:rPr>
                <w:rFonts w:cs="Times New Roman"/>
                <w:bCs/>
                <w:sz w:val="20"/>
                <w:szCs w:val="20"/>
              </w:rPr>
              <w:t>3.</w:t>
            </w:r>
            <w:r w:rsidR="00133F1A">
              <w:rPr>
                <w:rFonts w:cs="Times New Roman"/>
                <w:bCs/>
                <w:sz w:val="20"/>
                <w:szCs w:val="20"/>
              </w:rPr>
              <w:t>7</w:t>
            </w:r>
            <w:r w:rsidRPr="008C09A4">
              <w:rPr>
                <w:rFonts w:cs="Times New Roman"/>
                <w:bCs/>
                <w:sz w:val="20"/>
                <w:szCs w:val="20"/>
              </w:rPr>
              <w:t>.</w:t>
            </w:r>
          </w:p>
        </w:tc>
        <w:tc>
          <w:tcPr>
            <w:tcW w:w="2268" w:type="dxa"/>
          </w:tcPr>
          <w:p w:rsidR="000D12AF" w:rsidRPr="008C09A4" w:rsidRDefault="000D12AF" w:rsidP="000D12AF">
            <w:pPr>
              <w:jc w:val="both"/>
              <w:rPr>
                <w:rFonts w:cs="Times New Roman"/>
                <w:sz w:val="20"/>
                <w:szCs w:val="20"/>
              </w:rPr>
            </w:pPr>
            <w:r w:rsidRPr="008C09A4">
              <w:rPr>
                <w:rFonts w:cs="Times New Roman"/>
                <w:sz w:val="20"/>
                <w:szCs w:val="20"/>
              </w:rPr>
              <w:t xml:space="preserve">Mazināt iespējas un motivāciju organizētās noziedzības grupējumiem veidot un izmantot nelegālās </w:t>
            </w:r>
            <w:r w:rsidR="001B2B92" w:rsidRPr="00573C31">
              <w:rPr>
                <w:rFonts w:cs="Times New Roman"/>
                <w:sz w:val="20"/>
                <w:szCs w:val="20"/>
              </w:rPr>
              <w:t>cigarešu</w:t>
            </w:r>
            <w:r w:rsidR="001B2B92">
              <w:rPr>
                <w:rFonts w:cs="Times New Roman"/>
                <w:sz w:val="20"/>
                <w:szCs w:val="20"/>
              </w:rPr>
              <w:t xml:space="preserve"> </w:t>
            </w:r>
            <w:r w:rsidRPr="008C09A4">
              <w:rPr>
                <w:rFonts w:cs="Times New Roman"/>
                <w:sz w:val="20"/>
                <w:szCs w:val="20"/>
              </w:rPr>
              <w:t xml:space="preserve">ražošanas iekārtas. </w:t>
            </w:r>
          </w:p>
        </w:tc>
        <w:tc>
          <w:tcPr>
            <w:tcW w:w="3544" w:type="dxa"/>
          </w:tcPr>
          <w:p w:rsidR="000D12AF" w:rsidRPr="008C09A4" w:rsidRDefault="000D12AF" w:rsidP="000D12AF">
            <w:pPr>
              <w:jc w:val="both"/>
              <w:rPr>
                <w:rFonts w:cs="Times New Roman"/>
                <w:sz w:val="20"/>
                <w:szCs w:val="20"/>
              </w:rPr>
            </w:pPr>
            <w:r w:rsidRPr="008C09A4">
              <w:rPr>
                <w:rFonts w:cs="Times New Roman"/>
                <w:sz w:val="20"/>
                <w:szCs w:val="20"/>
              </w:rPr>
              <w:t xml:space="preserve">Nepieciešams aktualizēt jautājumu par </w:t>
            </w:r>
            <w:r w:rsidRPr="00133F1A">
              <w:rPr>
                <w:rFonts w:cs="Times New Roman"/>
                <w:sz w:val="20"/>
                <w:szCs w:val="20"/>
              </w:rPr>
              <w:t>nelegālo tabakas ražošanas iekārtu iegādi un glabāšanu un veikt nepieciešamos grozījumus normatīvajos aktos ar mērķi mazināt iespējas un vēlmi organizētās noziedzības grupējumiem veidot nelegālās cigarešu ražotnes valstī.</w:t>
            </w:r>
          </w:p>
        </w:tc>
        <w:tc>
          <w:tcPr>
            <w:tcW w:w="2551" w:type="dxa"/>
          </w:tcPr>
          <w:p w:rsidR="000D12AF" w:rsidRPr="008C09A4" w:rsidRDefault="000D12AF" w:rsidP="000D12AF">
            <w:pPr>
              <w:jc w:val="both"/>
              <w:rPr>
                <w:rFonts w:cs="Times New Roman"/>
                <w:sz w:val="20"/>
                <w:szCs w:val="20"/>
              </w:rPr>
            </w:pPr>
            <w:r w:rsidRPr="008C09A4">
              <w:rPr>
                <w:rFonts w:cs="Times New Roman"/>
                <w:sz w:val="20"/>
                <w:szCs w:val="20"/>
              </w:rPr>
              <w:t xml:space="preserve">Izvērtēt nepieciešamos grozījumus normatīvajos aktos, nosakot </w:t>
            </w:r>
            <w:r>
              <w:rPr>
                <w:rFonts w:cs="Times New Roman"/>
                <w:sz w:val="20"/>
                <w:szCs w:val="20"/>
              </w:rPr>
              <w:t xml:space="preserve">gan </w:t>
            </w:r>
            <w:r w:rsidR="001B2B92" w:rsidRPr="00573C31">
              <w:rPr>
                <w:rFonts w:cs="Times New Roman"/>
                <w:sz w:val="20"/>
                <w:szCs w:val="20"/>
              </w:rPr>
              <w:t>cigarešu</w:t>
            </w:r>
            <w:r w:rsidR="001B2B92">
              <w:rPr>
                <w:rFonts w:cs="Times New Roman"/>
                <w:sz w:val="20"/>
                <w:szCs w:val="20"/>
              </w:rPr>
              <w:t xml:space="preserve"> </w:t>
            </w:r>
            <w:r>
              <w:rPr>
                <w:rFonts w:cs="Times New Roman"/>
                <w:sz w:val="20"/>
                <w:szCs w:val="20"/>
              </w:rPr>
              <w:t xml:space="preserve">ražošanas iekārtu reģistrāciju, gan </w:t>
            </w:r>
            <w:r w:rsidRPr="008C09A4">
              <w:rPr>
                <w:rFonts w:cs="Times New Roman"/>
                <w:sz w:val="20"/>
                <w:szCs w:val="20"/>
              </w:rPr>
              <w:t xml:space="preserve">atbildību par nelegālo </w:t>
            </w:r>
            <w:r w:rsidR="001B2B92" w:rsidRPr="00573C31">
              <w:rPr>
                <w:rFonts w:cs="Times New Roman"/>
                <w:sz w:val="20"/>
                <w:szCs w:val="20"/>
              </w:rPr>
              <w:t>cigarešu</w:t>
            </w:r>
            <w:r w:rsidR="001B2B92">
              <w:rPr>
                <w:rFonts w:cs="Times New Roman"/>
                <w:sz w:val="20"/>
                <w:szCs w:val="20"/>
              </w:rPr>
              <w:t xml:space="preserve"> </w:t>
            </w:r>
            <w:r w:rsidRPr="008C09A4">
              <w:rPr>
                <w:rFonts w:cs="Times New Roman"/>
                <w:sz w:val="20"/>
                <w:szCs w:val="20"/>
              </w:rPr>
              <w:t xml:space="preserve">ražošanas iekārtu </w:t>
            </w:r>
            <w:r>
              <w:rPr>
                <w:rFonts w:cs="Times New Roman"/>
                <w:sz w:val="20"/>
                <w:szCs w:val="20"/>
              </w:rPr>
              <w:t xml:space="preserve">nelikumīgu </w:t>
            </w:r>
            <w:r w:rsidRPr="008C09A4">
              <w:rPr>
                <w:rFonts w:cs="Times New Roman"/>
                <w:sz w:val="20"/>
                <w:szCs w:val="20"/>
              </w:rPr>
              <w:t>iegādi un glabāšanu.</w:t>
            </w:r>
          </w:p>
        </w:tc>
        <w:tc>
          <w:tcPr>
            <w:tcW w:w="1985" w:type="dxa"/>
          </w:tcPr>
          <w:p w:rsidR="000D12AF" w:rsidRPr="008C09A4" w:rsidRDefault="000D12AF" w:rsidP="000D12AF">
            <w:pPr>
              <w:jc w:val="both"/>
              <w:rPr>
                <w:rFonts w:cs="Times New Roman"/>
                <w:sz w:val="20"/>
                <w:szCs w:val="20"/>
              </w:rPr>
            </w:pPr>
            <w:r w:rsidRPr="00D23E4B">
              <w:rPr>
                <w:rFonts w:cs="Times New Roman"/>
                <w:sz w:val="20"/>
                <w:szCs w:val="20"/>
              </w:rPr>
              <w:t xml:space="preserve">Sniegti priekšlikumi grozījumiem normatīvajos aktos par </w:t>
            </w:r>
            <w:r w:rsidR="001B2B92" w:rsidRPr="00573C31">
              <w:rPr>
                <w:rFonts w:cs="Times New Roman"/>
                <w:sz w:val="20"/>
                <w:szCs w:val="20"/>
              </w:rPr>
              <w:t>cigarešu</w:t>
            </w:r>
            <w:r w:rsidR="001B2B92">
              <w:rPr>
                <w:rFonts w:cs="Times New Roman"/>
                <w:sz w:val="20"/>
                <w:szCs w:val="20"/>
              </w:rPr>
              <w:t xml:space="preserve"> </w:t>
            </w:r>
            <w:r w:rsidRPr="00D23E4B">
              <w:rPr>
                <w:rFonts w:cs="Times New Roman"/>
                <w:sz w:val="20"/>
                <w:szCs w:val="20"/>
              </w:rPr>
              <w:t>ražošanas iekārtu reģistrāciju (EM), nelikumīgu iegādi un glabāšanu.</w:t>
            </w:r>
            <w:r>
              <w:rPr>
                <w:rFonts w:cs="Times New Roman"/>
                <w:sz w:val="20"/>
                <w:szCs w:val="20"/>
              </w:rPr>
              <w:t xml:space="preserve"> (VID)</w:t>
            </w:r>
          </w:p>
        </w:tc>
        <w:tc>
          <w:tcPr>
            <w:tcW w:w="1275" w:type="dxa"/>
          </w:tcPr>
          <w:p w:rsidR="000D12AF" w:rsidRDefault="000D12AF" w:rsidP="000D12AF">
            <w:pPr>
              <w:jc w:val="center"/>
              <w:rPr>
                <w:rFonts w:cs="Times New Roman"/>
                <w:bCs/>
                <w:sz w:val="20"/>
                <w:szCs w:val="20"/>
              </w:rPr>
            </w:pPr>
            <w:r>
              <w:rPr>
                <w:rFonts w:cs="Times New Roman"/>
                <w:bCs/>
                <w:sz w:val="20"/>
                <w:szCs w:val="20"/>
              </w:rPr>
              <w:t>EM,</w:t>
            </w:r>
          </w:p>
          <w:p w:rsidR="000D12AF" w:rsidRPr="008C09A4" w:rsidRDefault="000D12AF" w:rsidP="000D12AF">
            <w:pPr>
              <w:jc w:val="center"/>
              <w:rPr>
                <w:rFonts w:cs="Times New Roman"/>
                <w:bCs/>
                <w:sz w:val="20"/>
                <w:szCs w:val="20"/>
              </w:rPr>
            </w:pPr>
            <w:r>
              <w:rPr>
                <w:rFonts w:cs="Times New Roman"/>
                <w:bCs/>
                <w:sz w:val="20"/>
                <w:szCs w:val="20"/>
              </w:rPr>
              <w:t>VID</w:t>
            </w:r>
          </w:p>
        </w:tc>
        <w:tc>
          <w:tcPr>
            <w:tcW w:w="1134" w:type="dxa"/>
          </w:tcPr>
          <w:p w:rsidR="000D12AF" w:rsidRDefault="000D12AF" w:rsidP="000D12AF">
            <w:pPr>
              <w:jc w:val="center"/>
              <w:rPr>
                <w:rFonts w:cs="Times New Roman"/>
                <w:bCs/>
                <w:sz w:val="20"/>
                <w:szCs w:val="20"/>
              </w:rPr>
            </w:pPr>
            <w:r w:rsidRPr="008C09A4">
              <w:rPr>
                <w:rFonts w:cs="Times New Roman"/>
                <w:bCs/>
                <w:sz w:val="20"/>
                <w:szCs w:val="20"/>
              </w:rPr>
              <w:t>FM</w:t>
            </w:r>
            <w:r w:rsidR="00302BEE">
              <w:rPr>
                <w:rFonts w:cs="Times New Roman"/>
                <w:bCs/>
                <w:sz w:val="20"/>
                <w:szCs w:val="20"/>
              </w:rPr>
              <w:t>,</w:t>
            </w:r>
          </w:p>
          <w:p w:rsidR="000D12AF" w:rsidRPr="008C09A4" w:rsidRDefault="00082F27" w:rsidP="00082F27">
            <w:pPr>
              <w:jc w:val="center"/>
              <w:rPr>
                <w:rFonts w:cs="Times New Roman"/>
                <w:bCs/>
                <w:sz w:val="20"/>
                <w:szCs w:val="20"/>
              </w:rPr>
            </w:pPr>
            <w:r>
              <w:rPr>
                <w:rFonts w:cs="Times New Roman"/>
                <w:bCs/>
                <w:sz w:val="20"/>
                <w:szCs w:val="20"/>
              </w:rPr>
              <w:t>TM</w:t>
            </w:r>
          </w:p>
        </w:tc>
        <w:tc>
          <w:tcPr>
            <w:tcW w:w="1276" w:type="dxa"/>
          </w:tcPr>
          <w:p w:rsidR="000D12AF" w:rsidRPr="008C09A4" w:rsidRDefault="000D12AF" w:rsidP="000D12AF">
            <w:pPr>
              <w:jc w:val="center"/>
              <w:rPr>
                <w:rFonts w:cs="Times New Roman"/>
                <w:bCs/>
                <w:sz w:val="20"/>
                <w:szCs w:val="20"/>
              </w:rPr>
            </w:pPr>
            <w:r w:rsidRPr="008C09A4">
              <w:rPr>
                <w:rFonts w:cs="Times New Roman"/>
                <w:bCs/>
                <w:sz w:val="20"/>
                <w:szCs w:val="20"/>
              </w:rPr>
              <w:t>30.06.2022.</w:t>
            </w:r>
          </w:p>
        </w:tc>
      </w:tr>
      <w:tr w:rsidR="000D12AF" w:rsidRPr="008C09A4" w:rsidTr="00DA5BE6">
        <w:trPr>
          <w:trHeight w:val="543"/>
        </w:trPr>
        <w:tc>
          <w:tcPr>
            <w:tcW w:w="568" w:type="dxa"/>
          </w:tcPr>
          <w:p w:rsidR="000D12AF" w:rsidRPr="008C09A4" w:rsidRDefault="000D12AF" w:rsidP="000D12AF">
            <w:pPr>
              <w:ind w:right="-21"/>
              <w:rPr>
                <w:rFonts w:cs="Times New Roman"/>
                <w:bCs/>
                <w:sz w:val="20"/>
                <w:szCs w:val="20"/>
              </w:rPr>
            </w:pPr>
            <w:bookmarkStart w:id="36" w:name="_Hlk86360228"/>
            <w:r w:rsidRPr="008C09A4">
              <w:rPr>
                <w:rFonts w:cs="Times New Roman"/>
                <w:bCs/>
                <w:sz w:val="20"/>
                <w:szCs w:val="20"/>
              </w:rPr>
              <w:t>3.</w:t>
            </w:r>
            <w:r w:rsidR="00133F1A">
              <w:rPr>
                <w:rFonts w:cs="Times New Roman"/>
                <w:bCs/>
                <w:sz w:val="20"/>
                <w:szCs w:val="20"/>
              </w:rPr>
              <w:t>8</w:t>
            </w:r>
            <w:r w:rsidRPr="008C09A4">
              <w:rPr>
                <w:rFonts w:cs="Times New Roman"/>
                <w:bCs/>
                <w:sz w:val="20"/>
                <w:szCs w:val="20"/>
              </w:rPr>
              <w:t>.</w:t>
            </w:r>
          </w:p>
        </w:tc>
        <w:tc>
          <w:tcPr>
            <w:tcW w:w="2268" w:type="dxa"/>
          </w:tcPr>
          <w:p w:rsidR="000D12AF" w:rsidRPr="008C09A4" w:rsidRDefault="000D12AF" w:rsidP="000D12AF">
            <w:pPr>
              <w:jc w:val="both"/>
              <w:rPr>
                <w:rFonts w:cs="Times New Roman"/>
                <w:sz w:val="20"/>
                <w:szCs w:val="20"/>
              </w:rPr>
            </w:pPr>
            <w:r w:rsidRPr="00133F1A">
              <w:rPr>
                <w:rFonts w:cs="Times New Roman"/>
                <w:sz w:val="20"/>
                <w:szCs w:val="20"/>
              </w:rPr>
              <w:t>Samazināt nelegālas izcelsmes degvielas apgrozījumu.</w:t>
            </w:r>
          </w:p>
        </w:tc>
        <w:tc>
          <w:tcPr>
            <w:tcW w:w="3544" w:type="dxa"/>
          </w:tcPr>
          <w:p w:rsidR="000D12AF" w:rsidRPr="008C09A4" w:rsidRDefault="000D12AF" w:rsidP="000D12AF">
            <w:pPr>
              <w:jc w:val="both"/>
              <w:rPr>
                <w:rFonts w:cs="Times New Roman"/>
                <w:sz w:val="20"/>
                <w:szCs w:val="20"/>
              </w:rPr>
            </w:pPr>
            <w:r w:rsidRPr="008C09A4">
              <w:rPr>
                <w:rFonts w:cs="Times New Roman"/>
                <w:sz w:val="20"/>
                <w:szCs w:val="20"/>
              </w:rPr>
              <w:t xml:space="preserve">Saskaņā ar dažādām </w:t>
            </w:r>
            <w:r w:rsidRPr="00F24AB5">
              <w:rPr>
                <w:rFonts w:cs="Times New Roman"/>
                <w:sz w:val="20"/>
                <w:szCs w:val="20"/>
              </w:rPr>
              <w:t xml:space="preserve">aplēsēm degvielas nelegālā tirgus </w:t>
            </w:r>
            <w:r w:rsidRPr="008C09A4">
              <w:rPr>
                <w:rFonts w:cs="Times New Roman"/>
                <w:sz w:val="20"/>
                <w:szCs w:val="20"/>
              </w:rPr>
              <w:t>apjoms Latvijā ir 10-20 % no ikgadējās legālās degvielas realizācijas apjoma. Tas nozīmē, ka tikai akcīzes nodokl</w:t>
            </w:r>
            <w:r>
              <w:rPr>
                <w:rFonts w:cs="Times New Roman"/>
                <w:sz w:val="20"/>
                <w:szCs w:val="20"/>
              </w:rPr>
              <w:t>i</w:t>
            </w:r>
            <w:r w:rsidRPr="008C09A4">
              <w:rPr>
                <w:rFonts w:cs="Times New Roman"/>
                <w:sz w:val="20"/>
                <w:szCs w:val="20"/>
              </w:rPr>
              <w:t xml:space="preserve"> vien valsts 2018.</w:t>
            </w:r>
            <w:r>
              <w:rPr>
                <w:rFonts w:cs="Times New Roman"/>
                <w:sz w:val="20"/>
                <w:szCs w:val="20"/>
              </w:rPr>
              <w:t>-</w:t>
            </w:r>
            <w:r w:rsidRPr="008C09A4">
              <w:rPr>
                <w:rFonts w:cs="Times New Roman"/>
                <w:sz w:val="20"/>
                <w:szCs w:val="20"/>
              </w:rPr>
              <w:t>2019.</w:t>
            </w:r>
            <w:r w:rsidR="00082F27">
              <w:rPr>
                <w:rFonts w:cs="Times New Roman"/>
                <w:sz w:val="20"/>
                <w:szCs w:val="20"/>
              </w:rPr>
              <w:t> </w:t>
            </w:r>
            <w:r w:rsidRPr="008C09A4">
              <w:rPr>
                <w:rFonts w:cs="Times New Roman"/>
                <w:sz w:val="20"/>
                <w:szCs w:val="20"/>
              </w:rPr>
              <w:t xml:space="preserve">gadā nav iekasējusi ap 54-108 miljonus </w:t>
            </w:r>
            <w:r w:rsidRPr="008C09A4">
              <w:rPr>
                <w:rFonts w:cs="Times New Roman"/>
                <w:i/>
                <w:iCs/>
                <w:sz w:val="20"/>
                <w:szCs w:val="20"/>
              </w:rPr>
              <w:t>euro</w:t>
            </w:r>
            <w:r w:rsidRPr="008C09A4">
              <w:rPr>
                <w:rFonts w:cs="Times New Roman"/>
                <w:sz w:val="20"/>
                <w:szCs w:val="20"/>
              </w:rPr>
              <w:t xml:space="preserve"> gadā dēļ degvielas nelegālā tirgus esamības. </w:t>
            </w:r>
          </w:p>
          <w:p w:rsidR="000D12AF" w:rsidRPr="008C09A4" w:rsidRDefault="000D12AF" w:rsidP="000D12AF">
            <w:pPr>
              <w:jc w:val="both"/>
              <w:rPr>
                <w:rFonts w:cs="Times New Roman"/>
                <w:sz w:val="20"/>
                <w:szCs w:val="20"/>
              </w:rPr>
            </w:pPr>
            <w:r w:rsidRPr="008C09A4">
              <w:rPr>
                <w:rFonts w:cs="Times New Roman"/>
                <w:sz w:val="20"/>
                <w:szCs w:val="20"/>
              </w:rPr>
              <w:t>Viens no degvielas nelegālās aprites kanāliem ir tieši no Krievijas un Baltkrievijas iebraucošo komerciālo transportlīdzekļu degvielas tvertnēs ievestā degviela. Šādi ievestā degviela tiek lietota ne tikai konkrētā komerciālā transportlīdzekļa ekspluatācijā, bet pretlikumīgi tiek nolieta un realizēta Latvijas teritorijā.</w:t>
            </w:r>
          </w:p>
        </w:tc>
        <w:tc>
          <w:tcPr>
            <w:tcW w:w="2551" w:type="dxa"/>
          </w:tcPr>
          <w:p w:rsidR="00904732" w:rsidRPr="00FC1571" w:rsidRDefault="00904732" w:rsidP="00904732">
            <w:pPr>
              <w:jc w:val="both"/>
              <w:rPr>
                <w:rFonts w:cs="Times New Roman"/>
                <w:sz w:val="20"/>
                <w:szCs w:val="20"/>
              </w:rPr>
            </w:pPr>
            <w:r w:rsidRPr="00FC1571">
              <w:rPr>
                <w:rFonts w:cs="Times New Roman"/>
                <w:sz w:val="20"/>
                <w:szCs w:val="20"/>
              </w:rPr>
              <w:t>Sadarbībā ar nozares ekspertiem izvērtētas iespējas ierobežot nelegālas izcelsmes degvielas apriti, kā arī iespējamus veicamus pasākumus, lai ierobežotu no trešajām valstīm iebraucošo komerciālo transportlīdzekļu degvielas tvertnēs ievestās degvielas nonākšanu nelegālajā tirgū.</w:t>
            </w:r>
          </w:p>
          <w:p w:rsidR="001B0354" w:rsidRPr="00904732" w:rsidRDefault="00904732" w:rsidP="00904732">
            <w:pPr>
              <w:jc w:val="both"/>
              <w:rPr>
                <w:rFonts w:cs="Times New Roman"/>
                <w:sz w:val="20"/>
                <w:szCs w:val="20"/>
                <w:highlight w:val="yellow"/>
              </w:rPr>
            </w:pPr>
            <w:r w:rsidRPr="00FC1571">
              <w:rPr>
                <w:rFonts w:cs="Times New Roman"/>
                <w:sz w:val="20"/>
                <w:szCs w:val="20"/>
              </w:rPr>
              <w:t>Organizēta diskusija ar nozares asociācijām par  iespējām ierobežot nelegālas izcelsmes degvielas apriti, kā arī izvērtēti koordinēti risinājumi visās Baltijas valstīs situācijas sakārtošanai transporta nozarē.</w:t>
            </w:r>
          </w:p>
        </w:tc>
        <w:tc>
          <w:tcPr>
            <w:tcW w:w="1985" w:type="dxa"/>
          </w:tcPr>
          <w:p w:rsidR="000D12AF" w:rsidRPr="006A19D3" w:rsidRDefault="000D12AF" w:rsidP="000D12AF">
            <w:pPr>
              <w:jc w:val="both"/>
              <w:rPr>
                <w:rFonts w:cs="Times New Roman"/>
                <w:sz w:val="20"/>
                <w:szCs w:val="20"/>
              </w:rPr>
            </w:pPr>
            <w:r w:rsidRPr="006A19D3">
              <w:rPr>
                <w:rFonts w:cs="Times New Roman"/>
                <w:bCs/>
                <w:sz w:val="20"/>
                <w:szCs w:val="20"/>
              </w:rPr>
              <w:t>Sagatavots izvērtējums un iesniegt</w:t>
            </w:r>
            <w:r w:rsidR="001B0354" w:rsidRPr="006A19D3">
              <w:rPr>
                <w:rFonts w:cs="Times New Roman"/>
                <w:bCs/>
                <w:sz w:val="20"/>
                <w:szCs w:val="20"/>
              </w:rPr>
              <w:t>i</w:t>
            </w:r>
            <w:r w:rsidRPr="006A19D3">
              <w:rPr>
                <w:rFonts w:cs="Times New Roman"/>
                <w:bCs/>
                <w:strike/>
                <w:sz w:val="20"/>
                <w:szCs w:val="20"/>
              </w:rPr>
              <w:t xml:space="preserve"> </w:t>
            </w:r>
            <w:r w:rsidRPr="006A19D3">
              <w:rPr>
                <w:rFonts w:cs="Times New Roman"/>
                <w:bCs/>
                <w:sz w:val="20"/>
                <w:szCs w:val="20"/>
              </w:rPr>
              <w:t>priekšlikumi</w:t>
            </w:r>
            <w:r w:rsidR="001B0354" w:rsidRPr="006A19D3">
              <w:rPr>
                <w:rFonts w:cs="Times New Roman"/>
                <w:bCs/>
                <w:sz w:val="20"/>
                <w:szCs w:val="20"/>
              </w:rPr>
              <w:t xml:space="preserve"> </w:t>
            </w:r>
            <w:r w:rsidR="00CA6A26" w:rsidRPr="006A19D3">
              <w:rPr>
                <w:rFonts w:cs="Times New Roman"/>
                <w:bCs/>
                <w:sz w:val="20"/>
                <w:szCs w:val="20"/>
              </w:rPr>
              <w:t>turpmākai rīcībai.</w:t>
            </w:r>
          </w:p>
        </w:tc>
        <w:tc>
          <w:tcPr>
            <w:tcW w:w="1275" w:type="dxa"/>
          </w:tcPr>
          <w:p w:rsidR="000D12AF" w:rsidRPr="00FC1571" w:rsidRDefault="000D12AF" w:rsidP="000D12AF">
            <w:pPr>
              <w:jc w:val="center"/>
              <w:rPr>
                <w:rFonts w:cs="Times New Roman"/>
                <w:bCs/>
                <w:color w:val="000000" w:themeColor="text1"/>
                <w:sz w:val="20"/>
                <w:szCs w:val="20"/>
              </w:rPr>
            </w:pPr>
            <w:r w:rsidRPr="00FC1571">
              <w:rPr>
                <w:rFonts w:cs="Times New Roman"/>
                <w:bCs/>
                <w:color w:val="000000" w:themeColor="text1"/>
                <w:sz w:val="20"/>
                <w:szCs w:val="20"/>
              </w:rPr>
              <w:t>SM</w:t>
            </w:r>
          </w:p>
          <w:p w:rsidR="00DC5E0A" w:rsidRPr="00DC0E01" w:rsidRDefault="00DC5E0A" w:rsidP="000D12AF">
            <w:pPr>
              <w:jc w:val="center"/>
              <w:rPr>
                <w:rFonts w:cs="Times New Roman"/>
                <w:bCs/>
                <w:sz w:val="20"/>
                <w:szCs w:val="20"/>
                <w:highlight w:val="yellow"/>
              </w:rPr>
            </w:pPr>
          </w:p>
        </w:tc>
        <w:tc>
          <w:tcPr>
            <w:tcW w:w="1134" w:type="dxa"/>
          </w:tcPr>
          <w:p w:rsidR="00302BEE" w:rsidRDefault="000D12AF" w:rsidP="009F1144">
            <w:pPr>
              <w:jc w:val="center"/>
              <w:rPr>
                <w:rFonts w:cs="Times New Roman"/>
                <w:bCs/>
                <w:sz w:val="20"/>
                <w:szCs w:val="20"/>
              </w:rPr>
            </w:pPr>
            <w:r w:rsidRPr="008C09A4">
              <w:rPr>
                <w:rFonts w:cs="Times New Roman"/>
                <w:bCs/>
                <w:sz w:val="20"/>
                <w:szCs w:val="20"/>
              </w:rPr>
              <w:t>FM</w:t>
            </w:r>
            <w:r w:rsidR="00302BEE">
              <w:rPr>
                <w:rFonts w:cs="Times New Roman"/>
                <w:bCs/>
                <w:sz w:val="20"/>
                <w:szCs w:val="20"/>
              </w:rPr>
              <w:t>,</w:t>
            </w:r>
          </w:p>
          <w:p w:rsidR="001B0354" w:rsidRPr="008C09A4" w:rsidRDefault="00302BEE" w:rsidP="009F1144">
            <w:pPr>
              <w:jc w:val="center"/>
              <w:rPr>
                <w:rFonts w:cs="Times New Roman"/>
                <w:bCs/>
                <w:sz w:val="20"/>
                <w:szCs w:val="20"/>
              </w:rPr>
            </w:pPr>
            <w:r>
              <w:rPr>
                <w:rFonts w:cs="Times New Roman"/>
                <w:bCs/>
                <w:sz w:val="20"/>
                <w:szCs w:val="20"/>
              </w:rPr>
              <w:t>VID</w:t>
            </w:r>
          </w:p>
        </w:tc>
        <w:tc>
          <w:tcPr>
            <w:tcW w:w="1276" w:type="dxa"/>
          </w:tcPr>
          <w:p w:rsidR="000D12AF" w:rsidRPr="008C09A4" w:rsidRDefault="000D12AF" w:rsidP="000D12AF">
            <w:pPr>
              <w:jc w:val="center"/>
              <w:rPr>
                <w:rFonts w:cs="Times New Roman"/>
                <w:bCs/>
                <w:sz w:val="20"/>
                <w:szCs w:val="20"/>
              </w:rPr>
            </w:pPr>
            <w:r w:rsidRPr="00FC1571">
              <w:rPr>
                <w:rFonts w:cs="Times New Roman"/>
                <w:bCs/>
                <w:sz w:val="20"/>
                <w:szCs w:val="20"/>
              </w:rPr>
              <w:t>30.</w:t>
            </w:r>
            <w:r w:rsidR="00904732" w:rsidRPr="00FC1571">
              <w:rPr>
                <w:rFonts w:cs="Times New Roman"/>
                <w:bCs/>
                <w:sz w:val="20"/>
                <w:szCs w:val="20"/>
              </w:rPr>
              <w:t>12</w:t>
            </w:r>
            <w:r w:rsidRPr="00FC1571">
              <w:rPr>
                <w:rFonts w:cs="Times New Roman"/>
                <w:bCs/>
                <w:sz w:val="20"/>
                <w:szCs w:val="20"/>
              </w:rPr>
              <w:t>.2022.</w:t>
            </w:r>
          </w:p>
        </w:tc>
      </w:tr>
      <w:bookmarkEnd w:id="36"/>
      <w:tr w:rsidR="000D12AF" w:rsidRPr="008C09A4" w:rsidTr="00DA5BE6">
        <w:trPr>
          <w:trHeight w:val="543"/>
        </w:trPr>
        <w:tc>
          <w:tcPr>
            <w:tcW w:w="568" w:type="dxa"/>
          </w:tcPr>
          <w:p w:rsidR="000D12AF" w:rsidRPr="008C09A4" w:rsidRDefault="000D12AF" w:rsidP="000D12AF">
            <w:pPr>
              <w:ind w:right="-21"/>
              <w:rPr>
                <w:rFonts w:cs="Times New Roman"/>
                <w:bCs/>
                <w:sz w:val="20"/>
                <w:szCs w:val="20"/>
              </w:rPr>
            </w:pPr>
            <w:r w:rsidRPr="008C09A4">
              <w:rPr>
                <w:rFonts w:cs="Times New Roman"/>
                <w:bCs/>
                <w:sz w:val="20"/>
                <w:szCs w:val="20"/>
              </w:rPr>
              <w:t>3.</w:t>
            </w:r>
            <w:r w:rsidR="00133F1A">
              <w:rPr>
                <w:rFonts w:cs="Times New Roman"/>
                <w:bCs/>
                <w:sz w:val="20"/>
                <w:szCs w:val="20"/>
              </w:rPr>
              <w:t>9</w:t>
            </w:r>
            <w:r w:rsidRPr="008C09A4">
              <w:rPr>
                <w:rFonts w:cs="Times New Roman"/>
                <w:bCs/>
                <w:sz w:val="20"/>
                <w:szCs w:val="20"/>
              </w:rPr>
              <w:t>.</w:t>
            </w:r>
          </w:p>
        </w:tc>
        <w:tc>
          <w:tcPr>
            <w:tcW w:w="2268" w:type="dxa"/>
          </w:tcPr>
          <w:p w:rsidR="000D12AF" w:rsidRPr="008C09A4" w:rsidRDefault="000D12AF" w:rsidP="000D12AF">
            <w:pPr>
              <w:jc w:val="both"/>
              <w:rPr>
                <w:rFonts w:cs="Times New Roman"/>
                <w:sz w:val="20"/>
                <w:szCs w:val="20"/>
              </w:rPr>
            </w:pPr>
            <w:r w:rsidRPr="008C09A4">
              <w:rPr>
                <w:rFonts w:cs="Times New Roman"/>
                <w:color w:val="000000" w:themeColor="text1"/>
                <w:sz w:val="20"/>
                <w:szCs w:val="20"/>
              </w:rPr>
              <w:t>Paaugstināt kontrabandas apkarošanas iespējas uz ES ārējās robežas</w:t>
            </w:r>
            <w:r>
              <w:rPr>
                <w:rFonts w:cs="Times New Roman"/>
                <w:color w:val="000000" w:themeColor="text1"/>
                <w:sz w:val="20"/>
                <w:szCs w:val="20"/>
              </w:rPr>
              <w:t>.</w:t>
            </w:r>
          </w:p>
        </w:tc>
        <w:tc>
          <w:tcPr>
            <w:tcW w:w="3544" w:type="dxa"/>
          </w:tcPr>
          <w:p w:rsidR="000D12AF" w:rsidRPr="008C09A4" w:rsidRDefault="000D12AF" w:rsidP="000D12AF">
            <w:pPr>
              <w:jc w:val="both"/>
              <w:rPr>
                <w:rFonts w:cs="Times New Roman"/>
                <w:sz w:val="20"/>
                <w:szCs w:val="20"/>
              </w:rPr>
            </w:pPr>
            <w:r w:rsidRPr="008C09A4">
              <w:rPr>
                <w:rFonts w:cs="Times New Roman"/>
                <w:sz w:val="20"/>
                <w:szCs w:val="20"/>
              </w:rPr>
              <w:t xml:space="preserve">Lai nodrošinātu ātrāku un efektīvāku </w:t>
            </w:r>
            <w:r w:rsidRPr="00133F1A">
              <w:rPr>
                <w:rFonts w:cs="Times New Roman"/>
                <w:sz w:val="20"/>
                <w:szCs w:val="20"/>
              </w:rPr>
              <w:t>kontrabandas preču, t.</w:t>
            </w:r>
            <w:r w:rsidRPr="008C09A4">
              <w:rPr>
                <w:rFonts w:cs="Times New Roman"/>
                <w:sz w:val="20"/>
                <w:szCs w:val="20"/>
              </w:rPr>
              <w:t xml:space="preserve">sk., narkotiku, tabakas izstrādājumu un citu neatļautu preču, kas veido daļu ēnu ekonomikas, pārvietošanas pāri valsts robežai identificēšanu un atklāšanu, tādējādi nodrošinot Latvijas un visas ES finanšu interešu, sabiedrības drošuma un drošības aizsardzību, kā arī pozitīvi ietekmējot uzņēmējdarbības vidi, nepieciešams turpināt efektivizēt muitas kontroles procesus, kā arī stiprināt kontroles dienestu sadarbspēju, mērķtiecīgi attīstot viedu infrastruktūru. </w:t>
            </w:r>
          </w:p>
          <w:p w:rsidR="000D12AF" w:rsidRPr="008C09A4" w:rsidRDefault="000D12AF" w:rsidP="000D12AF">
            <w:pPr>
              <w:jc w:val="both"/>
              <w:rPr>
                <w:rFonts w:cs="Times New Roman"/>
                <w:sz w:val="20"/>
                <w:szCs w:val="20"/>
              </w:rPr>
            </w:pPr>
            <w:r w:rsidRPr="008C09A4">
              <w:rPr>
                <w:rFonts w:cs="Times New Roman"/>
                <w:sz w:val="20"/>
                <w:szCs w:val="20"/>
              </w:rPr>
              <w:t>Aizvien tiek atklāti jauni kontrabandas un sabiedrībai bīstamu un nedrošu preču ievešanas gadījumi, kuru neatklāšana būtu nodarījusi ievērojamu kaitējumu valsts ekonomikai un cilvēku drošībai. 2020.</w:t>
            </w:r>
            <w:r w:rsidR="003656D7">
              <w:rPr>
                <w:rFonts w:cs="Times New Roman"/>
                <w:sz w:val="20"/>
                <w:szCs w:val="20"/>
              </w:rPr>
              <w:t> </w:t>
            </w:r>
            <w:r w:rsidRPr="008C09A4">
              <w:rPr>
                <w:rFonts w:cs="Times New Roman"/>
                <w:sz w:val="20"/>
                <w:szCs w:val="20"/>
              </w:rPr>
              <w:t>gadā veikto muitas kontroles pasākumu (izņemto cigarešu un tabakas) rezultātā novērsti zaudējumi 11,48 milj.</w:t>
            </w:r>
            <w:r>
              <w:rPr>
                <w:rFonts w:cs="Times New Roman"/>
                <w:sz w:val="20"/>
                <w:szCs w:val="20"/>
              </w:rPr>
              <w:t xml:space="preserve"> </w:t>
            </w:r>
            <w:r w:rsidRPr="008C09A4">
              <w:rPr>
                <w:rFonts w:cs="Times New Roman"/>
                <w:i/>
                <w:iCs/>
                <w:sz w:val="20"/>
                <w:szCs w:val="20"/>
              </w:rPr>
              <w:t>euro</w:t>
            </w:r>
            <w:r w:rsidRPr="008C09A4">
              <w:rPr>
                <w:rFonts w:cs="Times New Roman"/>
                <w:sz w:val="20"/>
                <w:szCs w:val="20"/>
              </w:rPr>
              <w:t xml:space="preserve"> apmērā.</w:t>
            </w:r>
          </w:p>
        </w:tc>
        <w:tc>
          <w:tcPr>
            <w:tcW w:w="2551" w:type="dxa"/>
          </w:tcPr>
          <w:p w:rsidR="000D12AF" w:rsidRPr="008C09A4" w:rsidRDefault="000D12AF" w:rsidP="000D12AF">
            <w:pPr>
              <w:spacing w:line="252" w:lineRule="auto"/>
              <w:jc w:val="both"/>
              <w:rPr>
                <w:rFonts w:cs="Times New Roman"/>
                <w:color w:val="000000" w:themeColor="text1"/>
                <w:sz w:val="20"/>
                <w:szCs w:val="20"/>
              </w:rPr>
            </w:pPr>
            <w:r w:rsidRPr="008C09A4">
              <w:rPr>
                <w:rFonts w:cs="Times New Roman"/>
                <w:color w:val="000000" w:themeColor="text1"/>
                <w:sz w:val="20"/>
                <w:szCs w:val="20"/>
              </w:rPr>
              <w:t xml:space="preserve">Pilnveidot muitas kontroles procesu, izmantojot uz jaunākajām tehnoloģijām balstītu kontroles aprīkojumu un kontroles metodes. </w:t>
            </w:r>
          </w:p>
          <w:p w:rsidR="000D12AF" w:rsidRPr="008C09A4" w:rsidRDefault="000D12AF" w:rsidP="000D12AF">
            <w:pPr>
              <w:spacing w:line="252" w:lineRule="auto"/>
              <w:jc w:val="both"/>
              <w:rPr>
                <w:rFonts w:cs="Times New Roman"/>
                <w:color w:val="000000" w:themeColor="text1"/>
                <w:sz w:val="20"/>
                <w:szCs w:val="20"/>
              </w:rPr>
            </w:pPr>
            <w:r w:rsidRPr="008C09A4">
              <w:rPr>
                <w:rFonts w:cs="Times New Roman"/>
                <w:color w:val="000000" w:themeColor="text1"/>
                <w:sz w:val="20"/>
                <w:szCs w:val="20"/>
              </w:rPr>
              <w:t xml:space="preserve">Attīstīt </w:t>
            </w:r>
            <w:r w:rsidRPr="00EF58CD">
              <w:rPr>
                <w:rFonts w:cs="Times New Roman"/>
                <w:color w:val="000000" w:themeColor="text1"/>
                <w:sz w:val="20"/>
                <w:szCs w:val="20"/>
              </w:rPr>
              <w:t>robežšķērsošanas viet</w:t>
            </w:r>
            <w:r>
              <w:rPr>
                <w:rFonts w:cs="Times New Roman"/>
                <w:color w:val="000000" w:themeColor="text1"/>
                <w:sz w:val="20"/>
                <w:szCs w:val="20"/>
              </w:rPr>
              <w:t xml:space="preserve">u un </w:t>
            </w:r>
            <w:r w:rsidRPr="00EF58CD">
              <w:rPr>
                <w:rFonts w:cs="Times New Roman"/>
                <w:color w:val="000000" w:themeColor="text1"/>
                <w:sz w:val="20"/>
                <w:szCs w:val="20"/>
              </w:rPr>
              <w:t>muitas kontroles punkt</w:t>
            </w:r>
            <w:r>
              <w:rPr>
                <w:rFonts w:cs="Times New Roman"/>
                <w:color w:val="000000" w:themeColor="text1"/>
                <w:sz w:val="20"/>
                <w:szCs w:val="20"/>
              </w:rPr>
              <w:t>u</w:t>
            </w:r>
            <w:r w:rsidRPr="008C09A4">
              <w:rPr>
                <w:rFonts w:cs="Times New Roman"/>
                <w:color w:val="000000" w:themeColor="text1"/>
                <w:sz w:val="20"/>
                <w:szCs w:val="20"/>
              </w:rPr>
              <w:t xml:space="preserve"> infrastruktūru kontroles dienestu sadarbspējas stiprināšanai un kontroles procesa uzlabošanai.</w:t>
            </w:r>
          </w:p>
          <w:p w:rsidR="000D12AF" w:rsidRPr="008C09A4" w:rsidRDefault="000D12AF" w:rsidP="000B0D02">
            <w:pPr>
              <w:spacing w:line="252" w:lineRule="auto"/>
              <w:jc w:val="both"/>
              <w:rPr>
                <w:rFonts w:cs="Times New Roman"/>
                <w:sz w:val="20"/>
                <w:szCs w:val="20"/>
              </w:rPr>
            </w:pPr>
            <w:r w:rsidRPr="008C09A4">
              <w:rPr>
                <w:rFonts w:cs="Times New Roman"/>
                <w:color w:val="000000" w:themeColor="text1"/>
                <w:sz w:val="20"/>
                <w:szCs w:val="20"/>
              </w:rPr>
              <w:t>Turpināt datu analīzes un pārkāpumu muitas jomā identificēšanas procesu automatizāciju.</w:t>
            </w:r>
          </w:p>
        </w:tc>
        <w:tc>
          <w:tcPr>
            <w:tcW w:w="1985" w:type="dxa"/>
          </w:tcPr>
          <w:p w:rsidR="000D12AF" w:rsidRPr="008C09A4" w:rsidRDefault="000D12AF" w:rsidP="000D12AF">
            <w:pPr>
              <w:jc w:val="both"/>
              <w:rPr>
                <w:rFonts w:cs="Times New Roman"/>
                <w:bCs/>
                <w:sz w:val="20"/>
                <w:szCs w:val="20"/>
              </w:rPr>
            </w:pPr>
            <w:r w:rsidRPr="008C09A4">
              <w:rPr>
                <w:rFonts w:cs="Times New Roman"/>
                <w:bCs/>
                <w:sz w:val="20"/>
                <w:szCs w:val="20"/>
              </w:rPr>
              <w:t>Kontroles pasākumu rezultāti.</w:t>
            </w:r>
          </w:p>
          <w:p w:rsidR="000D12AF" w:rsidRPr="008C09A4" w:rsidRDefault="000D12AF" w:rsidP="000D12AF">
            <w:pPr>
              <w:rPr>
                <w:rFonts w:cs="Times New Roman"/>
                <w:bCs/>
                <w:sz w:val="20"/>
                <w:szCs w:val="20"/>
              </w:rPr>
            </w:pPr>
          </w:p>
        </w:tc>
        <w:tc>
          <w:tcPr>
            <w:tcW w:w="1275" w:type="dxa"/>
          </w:tcPr>
          <w:p w:rsidR="000D12AF" w:rsidRPr="00FD39A0" w:rsidRDefault="000D12AF" w:rsidP="000D12AF">
            <w:pPr>
              <w:jc w:val="center"/>
              <w:rPr>
                <w:rFonts w:cs="Times New Roman"/>
                <w:bCs/>
                <w:color w:val="000000" w:themeColor="text1"/>
                <w:sz w:val="20"/>
                <w:szCs w:val="20"/>
              </w:rPr>
            </w:pPr>
            <w:r w:rsidRPr="008C09A4">
              <w:rPr>
                <w:rFonts w:cs="Times New Roman"/>
                <w:bCs/>
                <w:sz w:val="20"/>
                <w:szCs w:val="20"/>
              </w:rPr>
              <w:t xml:space="preserve">VID </w:t>
            </w:r>
          </w:p>
        </w:tc>
        <w:tc>
          <w:tcPr>
            <w:tcW w:w="1134" w:type="dxa"/>
          </w:tcPr>
          <w:p w:rsidR="000D12AF" w:rsidRDefault="000D12AF" w:rsidP="000D12AF">
            <w:pPr>
              <w:jc w:val="center"/>
              <w:rPr>
                <w:rFonts w:cs="Times New Roman"/>
                <w:bCs/>
                <w:sz w:val="20"/>
                <w:szCs w:val="20"/>
              </w:rPr>
            </w:pPr>
            <w:r w:rsidRPr="008C09A4">
              <w:rPr>
                <w:rFonts w:cs="Times New Roman"/>
                <w:bCs/>
                <w:sz w:val="20"/>
                <w:szCs w:val="20"/>
              </w:rPr>
              <w:t>FM</w:t>
            </w:r>
          </w:p>
        </w:tc>
        <w:tc>
          <w:tcPr>
            <w:tcW w:w="1276" w:type="dxa"/>
          </w:tcPr>
          <w:p w:rsidR="000D12AF" w:rsidRPr="008C09A4" w:rsidRDefault="000D12AF" w:rsidP="000D12AF">
            <w:pPr>
              <w:jc w:val="center"/>
              <w:rPr>
                <w:rFonts w:cs="Times New Roman"/>
                <w:bCs/>
                <w:sz w:val="20"/>
                <w:szCs w:val="20"/>
              </w:rPr>
            </w:pPr>
            <w:r w:rsidRPr="008C09A4">
              <w:rPr>
                <w:rFonts w:cs="Times New Roman"/>
                <w:bCs/>
                <w:sz w:val="20"/>
                <w:szCs w:val="20"/>
              </w:rPr>
              <w:t>Pastāvīgi</w:t>
            </w:r>
          </w:p>
        </w:tc>
      </w:tr>
      <w:tr w:rsidR="000D12AF" w:rsidRPr="008C09A4" w:rsidTr="00DA5BE6">
        <w:trPr>
          <w:trHeight w:val="543"/>
        </w:trPr>
        <w:tc>
          <w:tcPr>
            <w:tcW w:w="568" w:type="dxa"/>
            <w:shd w:val="clear" w:color="auto" w:fill="auto"/>
          </w:tcPr>
          <w:p w:rsidR="000D12AF" w:rsidRPr="008C09A4" w:rsidRDefault="00261F3B" w:rsidP="000D12AF">
            <w:pPr>
              <w:ind w:right="-21"/>
              <w:rPr>
                <w:rFonts w:cs="Times New Roman"/>
                <w:bCs/>
                <w:sz w:val="20"/>
                <w:szCs w:val="20"/>
              </w:rPr>
            </w:pPr>
            <w:r>
              <w:rPr>
                <w:rFonts w:cs="Times New Roman"/>
                <w:bCs/>
                <w:sz w:val="20"/>
                <w:szCs w:val="20"/>
              </w:rPr>
              <w:t>3.10</w:t>
            </w:r>
            <w:r w:rsidR="000D12AF" w:rsidRPr="008C09A4">
              <w:rPr>
                <w:rFonts w:cs="Times New Roman"/>
                <w:bCs/>
                <w:sz w:val="20"/>
                <w:szCs w:val="20"/>
              </w:rPr>
              <w:t>.</w:t>
            </w:r>
          </w:p>
        </w:tc>
        <w:tc>
          <w:tcPr>
            <w:tcW w:w="2268" w:type="dxa"/>
            <w:shd w:val="clear" w:color="auto" w:fill="auto"/>
          </w:tcPr>
          <w:p w:rsidR="000D12AF" w:rsidRPr="008C09A4" w:rsidRDefault="000D12AF" w:rsidP="000D12AF">
            <w:pPr>
              <w:jc w:val="both"/>
              <w:rPr>
                <w:rFonts w:cs="Times New Roman"/>
                <w:sz w:val="20"/>
                <w:szCs w:val="20"/>
              </w:rPr>
            </w:pPr>
            <w:r w:rsidRPr="008C09A4">
              <w:rPr>
                <w:rFonts w:cs="Times New Roman"/>
                <w:bCs/>
                <w:sz w:val="20"/>
                <w:szCs w:val="20"/>
              </w:rPr>
              <w:t>Zāļu lieltirgotavu un zāļu ražotāju savstarpējie līgumi par zāļu realizāciju.</w:t>
            </w:r>
          </w:p>
        </w:tc>
        <w:tc>
          <w:tcPr>
            <w:tcW w:w="3544" w:type="dxa"/>
            <w:shd w:val="clear" w:color="auto" w:fill="auto"/>
          </w:tcPr>
          <w:p w:rsidR="000D12AF" w:rsidRPr="004934FB" w:rsidRDefault="000D12AF" w:rsidP="000D12AF">
            <w:pPr>
              <w:contextualSpacing/>
              <w:jc w:val="both"/>
              <w:rPr>
                <w:rFonts w:eastAsia="Times New Roman" w:cs="Times New Roman"/>
                <w:color w:val="000000"/>
                <w:sz w:val="20"/>
                <w:szCs w:val="20"/>
              </w:rPr>
            </w:pPr>
            <w:r w:rsidRPr="008C09A4">
              <w:rPr>
                <w:rFonts w:eastAsia="Times New Roman" w:cs="Times New Roman"/>
                <w:color w:val="000000"/>
                <w:sz w:val="20"/>
                <w:szCs w:val="20"/>
              </w:rPr>
              <w:t xml:space="preserve">Zāļu ražotāji neoficiālās sarunās ir norādījuši, ka zāļu lieltirgotavas uzstāda nepamatotas prasības (piemēram, lielas atlaides, neatbilstošs </w:t>
            </w:r>
            <w:r w:rsidR="00461A9D">
              <w:rPr>
                <w:rFonts w:eastAsia="Times New Roman" w:cs="Times New Roman"/>
                <w:color w:val="000000"/>
                <w:sz w:val="20"/>
                <w:szCs w:val="20"/>
              </w:rPr>
              <w:t>uz</w:t>
            </w:r>
            <w:r w:rsidRPr="008C09A4">
              <w:rPr>
                <w:rFonts w:eastAsia="Times New Roman" w:cs="Times New Roman"/>
                <w:color w:val="000000"/>
                <w:sz w:val="20"/>
                <w:szCs w:val="20"/>
              </w:rPr>
              <w:t>cenojums cenu veidošanā), lai ražotājs varētu savus medikamentus izplatīt caur šīm lieltirgotavām. Īpaši tas attiecas uz lieltirgotavām ar lielajām aptieku ķēdēm. Šādu prasību realizācijas rezultātā, iespējams, paaugstina zāļu cenas, veidojas lieltirgotavas monopolstāvoklis konkrēta ražotāja zāļu izplatīšanā vai, gadījumos, kad ražotājs nevar vai negrib piekrist lieltirgotavas līgumam, veidojas situācija, kad ražotājs ir spiests aiziet no kompensējamo zāļu saraksta vai no tirgus.</w:t>
            </w:r>
          </w:p>
        </w:tc>
        <w:tc>
          <w:tcPr>
            <w:tcW w:w="2551" w:type="dxa"/>
            <w:shd w:val="clear" w:color="auto" w:fill="auto"/>
          </w:tcPr>
          <w:p w:rsidR="000D12AF" w:rsidRPr="008C09A4" w:rsidRDefault="000D12AF" w:rsidP="000D12AF">
            <w:pPr>
              <w:jc w:val="both"/>
              <w:rPr>
                <w:rFonts w:cs="Times New Roman"/>
                <w:sz w:val="20"/>
                <w:szCs w:val="20"/>
              </w:rPr>
            </w:pPr>
            <w:r w:rsidRPr="008C09A4">
              <w:rPr>
                <w:rFonts w:cs="Times New Roman"/>
                <w:bCs/>
                <w:sz w:val="20"/>
                <w:szCs w:val="20"/>
              </w:rPr>
              <w:t>Līgumu “caurspīdība”, kontrolēti atlaižu mehānismi.</w:t>
            </w:r>
          </w:p>
        </w:tc>
        <w:tc>
          <w:tcPr>
            <w:tcW w:w="1985" w:type="dxa"/>
            <w:shd w:val="clear" w:color="auto" w:fill="auto"/>
          </w:tcPr>
          <w:p w:rsidR="000D12AF" w:rsidRPr="008C09A4" w:rsidRDefault="000D12AF" w:rsidP="000D12AF">
            <w:pPr>
              <w:jc w:val="both"/>
              <w:rPr>
                <w:rFonts w:cs="Times New Roman"/>
                <w:sz w:val="20"/>
                <w:szCs w:val="20"/>
              </w:rPr>
            </w:pPr>
            <w:r w:rsidRPr="008C09A4">
              <w:rPr>
                <w:rFonts w:cs="Times New Roman"/>
                <w:bCs/>
                <w:sz w:val="20"/>
                <w:szCs w:val="20"/>
              </w:rPr>
              <w:t>Normatīvo aktu papildināšana ar  līgumu kontroles mehānismu.</w:t>
            </w:r>
          </w:p>
        </w:tc>
        <w:tc>
          <w:tcPr>
            <w:tcW w:w="1275" w:type="dxa"/>
            <w:shd w:val="clear" w:color="auto" w:fill="auto"/>
          </w:tcPr>
          <w:p w:rsidR="000D12AF" w:rsidRDefault="000D12AF" w:rsidP="000D12AF">
            <w:pPr>
              <w:jc w:val="center"/>
              <w:rPr>
                <w:rFonts w:cs="Times New Roman"/>
                <w:bCs/>
                <w:sz w:val="20"/>
                <w:szCs w:val="20"/>
              </w:rPr>
            </w:pPr>
            <w:r w:rsidRPr="008C09A4">
              <w:rPr>
                <w:rFonts w:cs="Times New Roman"/>
                <w:bCs/>
                <w:sz w:val="20"/>
                <w:szCs w:val="20"/>
              </w:rPr>
              <w:t>VM</w:t>
            </w:r>
          </w:p>
          <w:p w:rsidR="000D12AF" w:rsidRPr="008C09A4" w:rsidRDefault="000D12AF" w:rsidP="000D12AF">
            <w:pPr>
              <w:jc w:val="center"/>
              <w:rPr>
                <w:rFonts w:cs="Times New Roman"/>
                <w:bCs/>
                <w:sz w:val="20"/>
                <w:szCs w:val="20"/>
              </w:rPr>
            </w:pPr>
          </w:p>
        </w:tc>
        <w:tc>
          <w:tcPr>
            <w:tcW w:w="1134" w:type="dxa"/>
            <w:shd w:val="clear" w:color="auto" w:fill="auto"/>
          </w:tcPr>
          <w:p w:rsidR="000D12AF" w:rsidRDefault="000D12AF" w:rsidP="000D12AF">
            <w:pPr>
              <w:jc w:val="center"/>
              <w:rPr>
                <w:rFonts w:cs="Times New Roman"/>
                <w:bCs/>
                <w:sz w:val="20"/>
                <w:szCs w:val="20"/>
              </w:rPr>
            </w:pPr>
            <w:r w:rsidRPr="008C09A4">
              <w:rPr>
                <w:rFonts w:cs="Times New Roman"/>
                <w:bCs/>
                <w:sz w:val="20"/>
                <w:szCs w:val="20"/>
              </w:rPr>
              <w:t xml:space="preserve">NVD, </w:t>
            </w:r>
          </w:p>
          <w:p w:rsidR="000D12AF" w:rsidRDefault="000D12AF" w:rsidP="000D12AF">
            <w:pPr>
              <w:jc w:val="center"/>
              <w:rPr>
                <w:rFonts w:cs="Times New Roman"/>
                <w:bCs/>
                <w:sz w:val="20"/>
                <w:szCs w:val="20"/>
              </w:rPr>
            </w:pPr>
            <w:r w:rsidRPr="008C09A4">
              <w:rPr>
                <w:rFonts w:cs="Times New Roman"/>
                <w:bCs/>
                <w:sz w:val="20"/>
                <w:szCs w:val="20"/>
              </w:rPr>
              <w:t xml:space="preserve">ZVA, </w:t>
            </w:r>
          </w:p>
          <w:p w:rsidR="00207762" w:rsidRDefault="000D12AF" w:rsidP="000D12AF">
            <w:pPr>
              <w:jc w:val="center"/>
              <w:rPr>
                <w:rFonts w:cs="Times New Roman"/>
                <w:bCs/>
                <w:sz w:val="20"/>
                <w:szCs w:val="20"/>
              </w:rPr>
            </w:pPr>
            <w:r w:rsidRPr="008C09A4">
              <w:rPr>
                <w:rFonts w:cs="Times New Roman"/>
                <w:bCs/>
                <w:sz w:val="20"/>
                <w:szCs w:val="20"/>
              </w:rPr>
              <w:t>VI</w:t>
            </w:r>
            <w:r w:rsidR="00207762">
              <w:rPr>
                <w:rFonts w:cs="Times New Roman"/>
                <w:bCs/>
                <w:sz w:val="20"/>
                <w:szCs w:val="20"/>
              </w:rPr>
              <w:t>,</w:t>
            </w:r>
          </w:p>
          <w:p w:rsidR="000D12AF" w:rsidRPr="008C09A4" w:rsidRDefault="00207762" w:rsidP="000D12AF">
            <w:pPr>
              <w:jc w:val="center"/>
              <w:rPr>
                <w:rFonts w:cs="Times New Roman"/>
                <w:bCs/>
                <w:sz w:val="20"/>
                <w:szCs w:val="20"/>
              </w:rPr>
            </w:pPr>
            <w:r>
              <w:rPr>
                <w:rFonts w:cs="Times New Roman"/>
                <w:bCs/>
                <w:sz w:val="20"/>
                <w:szCs w:val="20"/>
              </w:rPr>
              <w:t>KP</w:t>
            </w:r>
          </w:p>
        </w:tc>
        <w:tc>
          <w:tcPr>
            <w:tcW w:w="1276" w:type="dxa"/>
            <w:shd w:val="clear" w:color="auto" w:fill="auto"/>
          </w:tcPr>
          <w:p w:rsidR="000D12AF" w:rsidRPr="008C09A4" w:rsidRDefault="000D12AF" w:rsidP="000D12AF">
            <w:pPr>
              <w:jc w:val="center"/>
              <w:rPr>
                <w:rFonts w:cs="Times New Roman"/>
                <w:bCs/>
                <w:sz w:val="20"/>
                <w:szCs w:val="20"/>
              </w:rPr>
            </w:pPr>
            <w:r w:rsidRPr="008C09A4">
              <w:rPr>
                <w:rFonts w:cs="Times New Roman"/>
                <w:sz w:val="20"/>
                <w:szCs w:val="20"/>
              </w:rPr>
              <w:t>3</w:t>
            </w:r>
            <w:r w:rsidR="000B0D02">
              <w:rPr>
                <w:rFonts w:cs="Times New Roman"/>
                <w:sz w:val="20"/>
                <w:szCs w:val="20"/>
              </w:rPr>
              <w:t>0</w:t>
            </w:r>
            <w:r w:rsidRPr="008C09A4">
              <w:rPr>
                <w:rFonts w:cs="Times New Roman"/>
                <w:sz w:val="20"/>
                <w:szCs w:val="20"/>
              </w:rPr>
              <w:t>.12.2022.</w:t>
            </w:r>
          </w:p>
        </w:tc>
      </w:tr>
      <w:tr w:rsidR="00EC4864" w:rsidRPr="008C09A4" w:rsidTr="00DA5BE6">
        <w:trPr>
          <w:trHeight w:val="543"/>
        </w:trPr>
        <w:tc>
          <w:tcPr>
            <w:tcW w:w="568" w:type="dxa"/>
            <w:shd w:val="clear" w:color="auto" w:fill="auto"/>
          </w:tcPr>
          <w:p w:rsidR="00EC4864" w:rsidRPr="008718C3" w:rsidRDefault="00EC4864" w:rsidP="0094052B">
            <w:pPr>
              <w:ind w:right="-21"/>
              <w:rPr>
                <w:rFonts w:cs="Times New Roman"/>
                <w:bCs/>
                <w:sz w:val="20"/>
                <w:szCs w:val="20"/>
              </w:rPr>
            </w:pPr>
            <w:bookmarkStart w:id="37" w:name="_Hlk86360370"/>
            <w:r w:rsidRPr="008718C3">
              <w:rPr>
                <w:rFonts w:cs="Times New Roman"/>
                <w:bCs/>
                <w:sz w:val="20"/>
                <w:szCs w:val="20"/>
              </w:rPr>
              <w:t>3.11.</w:t>
            </w:r>
          </w:p>
        </w:tc>
        <w:tc>
          <w:tcPr>
            <w:tcW w:w="2268" w:type="dxa"/>
            <w:shd w:val="clear" w:color="auto" w:fill="auto"/>
          </w:tcPr>
          <w:p w:rsidR="00EC4864" w:rsidRPr="008718C3" w:rsidRDefault="00EC4864" w:rsidP="0094052B">
            <w:pPr>
              <w:jc w:val="both"/>
              <w:rPr>
                <w:rFonts w:cs="Times New Roman"/>
                <w:bCs/>
                <w:sz w:val="20"/>
                <w:szCs w:val="20"/>
              </w:rPr>
            </w:pPr>
            <w:r w:rsidRPr="008718C3">
              <w:rPr>
                <w:rFonts w:cs="Times New Roman"/>
                <w:sz w:val="20"/>
                <w:szCs w:val="20"/>
                <w:lang w:eastAsia="lv-LV"/>
              </w:rPr>
              <w:t xml:space="preserve">Mājas (istabas) dzīvnieku aprites izsekojamības pastiprināšana un </w:t>
            </w:r>
            <w:r w:rsidRPr="008718C3">
              <w:rPr>
                <w:rFonts w:eastAsia="Times New Roman" w:cs="Times New Roman"/>
                <w:sz w:val="20"/>
                <w:szCs w:val="20"/>
              </w:rPr>
              <w:t>nekontrolētas  pavairošanas un tirdzniecības novēršana.</w:t>
            </w:r>
          </w:p>
        </w:tc>
        <w:tc>
          <w:tcPr>
            <w:tcW w:w="3544" w:type="dxa"/>
            <w:shd w:val="clear" w:color="auto" w:fill="auto"/>
          </w:tcPr>
          <w:p w:rsidR="00EC4864" w:rsidRPr="008718C3" w:rsidRDefault="00EC4864" w:rsidP="00E03169">
            <w:pPr>
              <w:spacing w:line="220" w:lineRule="exact"/>
              <w:contextualSpacing/>
              <w:jc w:val="both"/>
              <w:rPr>
                <w:rFonts w:cs="Times New Roman"/>
                <w:sz w:val="20"/>
                <w:szCs w:val="20"/>
                <w:lang w:eastAsia="lv-LV"/>
              </w:rPr>
            </w:pPr>
            <w:r w:rsidRPr="008718C3">
              <w:rPr>
                <w:rFonts w:cs="Times New Roman"/>
                <w:sz w:val="20"/>
                <w:szCs w:val="20"/>
                <w:lang w:eastAsia="lv-LV"/>
              </w:rPr>
              <w:t>Nepieciešams novērst nekontrolētu mājas (istabas) dzīvnieku pavairošanu un tirdzniecību un nodrošināt efektīvāku mājas (istabas) dzīvnieku aprites izsekojamību. Jānosaka konkrētas prasības informācijas norādīšanai, kas jāievēro dzīvnieka īpašniekam, ievietot sludinājumus par mājas (istabas) dzīvnieku atsavināšanu.</w:t>
            </w:r>
          </w:p>
          <w:p w:rsidR="00EC4864" w:rsidRPr="008718C3" w:rsidRDefault="00595FEB" w:rsidP="00E03169">
            <w:pPr>
              <w:spacing w:line="220" w:lineRule="exact"/>
              <w:contextualSpacing/>
              <w:jc w:val="both"/>
              <w:rPr>
                <w:rFonts w:eastAsia="Times New Roman" w:cs="Times New Roman"/>
                <w:sz w:val="20"/>
                <w:szCs w:val="20"/>
              </w:rPr>
            </w:pPr>
            <w:r w:rsidRPr="008718C3">
              <w:rPr>
                <w:rFonts w:cs="Times New Roman"/>
                <w:bCs/>
                <w:sz w:val="20"/>
                <w:szCs w:val="20"/>
              </w:rPr>
              <w:t>PVD</w:t>
            </w:r>
            <w:r w:rsidRPr="008718C3">
              <w:rPr>
                <w:rFonts w:eastAsia="Times New Roman" w:cs="Times New Roman"/>
                <w:color w:val="000000"/>
                <w:sz w:val="20"/>
                <w:szCs w:val="20"/>
              </w:rPr>
              <w:t xml:space="preserve"> n</w:t>
            </w:r>
            <w:r w:rsidR="00EC4864" w:rsidRPr="008718C3">
              <w:rPr>
                <w:rFonts w:eastAsia="Times New Roman" w:cs="Times New Roman"/>
                <w:color w:val="000000"/>
                <w:sz w:val="20"/>
                <w:szCs w:val="20"/>
              </w:rPr>
              <w:t xml:space="preserve">epieciešams pastiprināt mājas (istabas) dzīvnieku pavairošanas un tirdzniecības kontroli, veicot </w:t>
            </w:r>
            <w:r w:rsidR="00EC4864" w:rsidRPr="008718C3">
              <w:rPr>
                <w:rFonts w:cs="Times New Roman"/>
                <w:bCs/>
                <w:sz w:val="20"/>
                <w:szCs w:val="20"/>
              </w:rPr>
              <w:t>sludinājumu pārbaudes tīmekļvietnēs,</w:t>
            </w:r>
            <w:r w:rsidRPr="008718C3">
              <w:rPr>
                <w:rFonts w:cs="Times New Roman"/>
                <w:bCs/>
                <w:sz w:val="20"/>
                <w:szCs w:val="20"/>
              </w:rPr>
              <w:t xml:space="preserve"> kā arī</w:t>
            </w:r>
            <w:r w:rsidR="00EC4864" w:rsidRPr="008718C3">
              <w:rPr>
                <w:rFonts w:cs="Times New Roman"/>
                <w:bCs/>
                <w:sz w:val="20"/>
                <w:szCs w:val="20"/>
              </w:rPr>
              <w:t xml:space="preserve"> veicot dzīvnieku </w:t>
            </w:r>
            <w:proofErr w:type="spellStart"/>
            <w:r w:rsidR="00EC4864" w:rsidRPr="008718C3">
              <w:rPr>
                <w:rFonts w:cs="Times New Roman"/>
                <w:bCs/>
                <w:sz w:val="20"/>
                <w:szCs w:val="20"/>
              </w:rPr>
              <w:t>kontrolpirkumus</w:t>
            </w:r>
            <w:proofErr w:type="spellEnd"/>
            <w:r w:rsidR="00EC4864" w:rsidRPr="008718C3">
              <w:rPr>
                <w:rFonts w:cs="Times New Roman"/>
                <w:bCs/>
                <w:sz w:val="20"/>
                <w:szCs w:val="20"/>
              </w:rPr>
              <w:t>.</w:t>
            </w:r>
            <w:r w:rsidR="00EC4864" w:rsidRPr="008718C3">
              <w:rPr>
                <w:rFonts w:eastAsia="Times New Roman" w:cs="Times New Roman"/>
                <w:sz w:val="20"/>
                <w:szCs w:val="20"/>
              </w:rPr>
              <w:t xml:space="preserve"> </w:t>
            </w:r>
          </w:p>
          <w:p w:rsidR="00F372B6" w:rsidRPr="008718C3" w:rsidRDefault="00EC4864" w:rsidP="00E03169">
            <w:pPr>
              <w:spacing w:line="220" w:lineRule="exact"/>
              <w:contextualSpacing/>
              <w:jc w:val="both"/>
              <w:rPr>
                <w:rFonts w:cs="Times New Roman"/>
                <w:sz w:val="20"/>
                <w:szCs w:val="20"/>
              </w:rPr>
            </w:pPr>
            <w:r w:rsidRPr="008718C3">
              <w:rPr>
                <w:rFonts w:eastAsia="Times New Roman" w:cs="Times New Roman"/>
                <w:sz w:val="20"/>
                <w:szCs w:val="20"/>
              </w:rPr>
              <w:t>Nepieciešams nodrošināt no trešajām valstīm Latvijā ievesto suņu izsekojamību un pieeju aktuālajai informācijai par Latvijā ievestajiem suņiem to kontrolē un reģistrācijā iesaistītajām personām – VID MP, PVD un praktizējošiem veterinārārstiem, kas izsniedz mājas (istabas) dzīvnieka pasi, kas ļaus noskaidrot personas, kas nekomerciālos nolūkos ieved suņus, lai tos pārdotu (atsavinātu), kā arī ļaus atrast dzīvnieka īpašnieku gadījumos, kad suns noklīdis. Tiks i</w:t>
            </w:r>
            <w:r w:rsidRPr="008718C3">
              <w:rPr>
                <w:rFonts w:cs="Times New Roman"/>
                <w:sz w:val="20"/>
                <w:szCs w:val="20"/>
              </w:rPr>
              <w:t>erobežota normatīvajiem aktiem neatbilstoša mājas (istabas) dzīvnieku atsavināšana.</w:t>
            </w:r>
          </w:p>
        </w:tc>
        <w:tc>
          <w:tcPr>
            <w:tcW w:w="2551" w:type="dxa"/>
            <w:shd w:val="clear" w:color="auto" w:fill="auto"/>
          </w:tcPr>
          <w:p w:rsidR="00EC4864" w:rsidRPr="008718C3" w:rsidRDefault="00EC4864" w:rsidP="0094052B">
            <w:pPr>
              <w:jc w:val="both"/>
              <w:rPr>
                <w:sz w:val="20"/>
                <w:szCs w:val="20"/>
              </w:rPr>
            </w:pPr>
            <w:r w:rsidRPr="008718C3">
              <w:rPr>
                <w:sz w:val="20"/>
                <w:szCs w:val="20"/>
              </w:rPr>
              <w:t>Sagatavoti grozījumi normatīvajos aktos, nosakot:</w:t>
            </w:r>
          </w:p>
          <w:p w:rsidR="00EC4864" w:rsidRPr="008718C3" w:rsidRDefault="00EC4864" w:rsidP="0094052B">
            <w:pPr>
              <w:jc w:val="both"/>
              <w:rPr>
                <w:rFonts w:cs="Times New Roman"/>
                <w:bCs/>
                <w:sz w:val="20"/>
                <w:szCs w:val="20"/>
              </w:rPr>
            </w:pPr>
            <w:r w:rsidRPr="008718C3">
              <w:rPr>
                <w:sz w:val="20"/>
                <w:szCs w:val="20"/>
              </w:rPr>
              <w:t xml:space="preserve">1. prasības </w:t>
            </w:r>
            <w:r w:rsidRPr="008718C3">
              <w:rPr>
                <w:rFonts w:cs="Times New Roman"/>
                <w:sz w:val="20"/>
                <w:szCs w:val="20"/>
                <w:lang w:eastAsia="lv-LV"/>
              </w:rPr>
              <w:t>informācijas norādīšanai sludinājumos par mājas (istabas) dzīvnieku atsavināšanu</w:t>
            </w:r>
            <w:r w:rsidRPr="008718C3">
              <w:rPr>
                <w:sz w:val="20"/>
                <w:szCs w:val="20"/>
              </w:rPr>
              <w:t xml:space="preserve"> </w:t>
            </w:r>
            <w:r w:rsidRPr="008718C3">
              <w:rPr>
                <w:rFonts w:cs="Times New Roman"/>
                <w:bCs/>
                <w:sz w:val="20"/>
                <w:szCs w:val="20"/>
              </w:rPr>
              <w:t xml:space="preserve">un dodot tiesības PVD veikt </w:t>
            </w:r>
            <w:r w:rsidRPr="008718C3">
              <w:rPr>
                <w:rFonts w:cs="Times New Roman"/>
                <w:sz w:val="20"/>
                <w:szCs w:val="20"/>
                <w:lang w:eastAsia="lv-LV"/>
              </w:rPr>
              <w:t xml:space="preserve">mājas (istabas) dzīvnieku </w:t>
            </w:r>
            <w:proofErr w:type="spellStart"/>
            <w:r w:rsidRPr="008718C3">
              <w:rPr>
                <w:rFonts w:cs="Times New Roman"/>
                <w:bCs/>
                <w:sz w:val="20"/>
                <w:szCs w:val="20"/>
              </w:rPr>
              <w:t>kontrolpirkumus</w:t>
            </w:r>
            <w:proofErr w:type="spellEnd"/>
            <w:r w:rsidRPr="008718C3">
              <w:rPr>
                <w:rFonts w:cs="Times New Roman"/>
                <w:bCs/>
                <w:sz w:val="20"/>
                <w:szCs w:val="20"/>
              </w:rPr>
              <w:t>;</w:t>
            </w:r>
          </w:p>
          <w:p w:rsidR="00EC4864" w:rsidRPr="008718C3" w:rsidRDefault="00EC4864" w:rsidP="0094052B">
            <w:pPr>
              <w:jc w:val="both"/>
              <w:rPr>
                <w:rFonts w:cs="Times New Roman"/>
                <w:bCs/>
                <w:sz w:val="20"/>
                <w:szCs w:val="20"/>
              </w:rPr>
            </w:pPr>
            <w:r w:rsidRPr="008718C3">
              <w:rPr>
                <w:rFonts w:cs="Times New Roman"/>
                <w:bCs/>
                <w:sz w:val="20"/>
                <w:szCs w:val="20"/>
              </w:rPr>
              <w:t>2. no trešajām valstīm Latvijā ievesto suņu reģistrācijas kārtību.</w:t>
            </w:r>
          </w:p>
        </w:tc>
        <w:tc>
          <w:tcPr>
            <w:tcW w:w="1985" w:type="dxa"/>
            <w:shd w:val="clear" w:color="auto" w:fill="auto"/>
          </w:tcPr>
          <w:p w:rsidR="00EC4864" w:rsidRPr="008718C3" w:rsidRDefault="00EC4864" w:rsidP="0094052B">
            <w:pPr>
              <w:jc w:val="both"/>
              <w:rPr>
                <w:rFonts w:cs="Times New Roman"/>
                <w:bCs/>
                <w:sz w:val="20"/>
                <w:szCs w:val="20"/>
              </w:rPr>
            </w:pPr>
            <w:r w:rsidRPr="008718C3">
              <w:rPr>
                <w:sz w:val="20"/>
                <w:szCs w:val="20"/>
              </w:rPr>
              <w:t>Sagatavoti grozījumi normatīvajos aktos</w:t>
            </w:r>
            <w:r w:rsidRPr="008718C3">
              <w:rPr>
                <w:rFonts w:cs="Times New Roman"/>
                <w:bCs/>
                <w:sz w:val="20"/>
                <w:szCs w:val="20"/>
              </w:rPr>
              <w:t>.</w:t>
            </w:r>
          </w:p>
        </w:tc>
        <w:tc>
          <w:tcPr>
            <w:tcW w:w="1275" w:type="dxa"/>
            <w:shd w:val="clear" w:color="auto" w:fill="auto"/>
          </w:tcPr>
          <w:p w:rsidR="00EC4864" w:rsidRPr="008718C3" w:rsidRDefault="00EC4864" w:rsidP="0094052B">
            <w:pPr>
              <w:jc w:val="center"/>
              <w:rPr>
                <w:rFonts w:cs="Times New Roman"/>
                <w:bCs/>
                <w:sz w:val="20"/>
                <w:szCs w:val="20"/>
              </w:rPr>
            </w:pPr>
            <w:r w:rsidRPr="008718C3">
              <w:rPr>
                <w:rFonts w:cs="Times New Roman"/>
                <w:bCs/>
                <w:sz w:val="20"/>
                <w:szCs w:val="20"/>
              </w:rPr>
              <w:t>ZM</w:t>
            </w:r>
          </w:p>
        </w:tc>
        <w:tc>
          <w:tcPr>
            <w:tcW w:w="1134" w:type="dxa"/>
            <w:shd w:val="clear" w:color="auto" w:fill="auto"/>
          </w:tcPr>
          <w:p w:rsidR="00EC4864" w:rsidRPr="008718C3" w:rsidRDefault="00EC4864" w:rsidP="0094052B">
            <w:pPr>
              <w:jc w:val="center"/>
              <w:rPr>
                <w:rFonts w:cs="Times New Roman"/>
                <w:bCs/>
                <w:sz w:val="20"/>
                <w:szCs w:val="20"/>
              </w:rPr>
            </w:pPr>
            <w:r w:rsidRPr="008718C3">
              <w:rPr>
                <w:rFonts w:cs="Times New Roman"/>
                <w:bCs/>
                <w:sz w:val="20"/>
                <w:szCs w:val="20"/>
              </w:rPr>
              <w:t>PVD,</w:t>
            </w:r>
          </w:p>
          <w:p w:rsidR="00EC4864" w:rsidRPr="008718C3" w:rsidRDefault="00EC4864" w:rsidP="0094052B">
            <w:pPr>
              <w:jc w:val="center"/>
              <w:rPr>
                <w:rFonts w:cs="Times New Roman"/>
                <w:bCs/>
                <w:sz w:val="20"/>
                <w:szCs w:val="20"/>
              </w:rPr>
            </w:pPr>
            <w:r w:rsidRPr="008718C3">
              <w:rPr>
                <w:rFonts w:cs="Times New Roman"/>
                <w:bCs/>
                <w:sz w:val="20"/>
                <w:szCs w:val="20"/>
              </w:rPr>
              <w:t>EM,</w:t>
            </w:r>
          </w:p>
          <w:p w:rsidR="00EC4864" w:rsidRPr="008718C3" w:rsidRDefault="00EC4864" w:rsidP="0094052B">
            <w:pPr>
              <w:jc w:val="center"/>
              <w:rPr>
                <w:rFonts w:cs="Times New Roman"/>
                <w:bCs/>
                <w:sz w:val="20"/>
                <w:szCs w:val="20"/>
              </w:rPr>
            </w:pPr>
            <w:r w:rsidRPr="008718C3">
              <w:rPr>
                <w:rFonts w:cs="Times New Roman"/>
                <w:bCs/>
                <w:sz w:val="20"/>
                <w:szCs w:val="20"/>
              </w:rPr>
              <w:t>FM,</w:t>
            </w:r>
          </w:p>
          <w:p w:rsidR="00EC4864" w:rsidRPr="008718C3" w:rsidRDefault="00EC4864" w:rsidP="0094052B">
            <w:pPr>
              <w:jc w:val="center"/>
              <w:rPr>
                <w:rFonts w:cs="Times New Roman"/>
                <w:bCs/>
                <w:sz w:val="20"/>
                <w:szCs w:val="20"/>
              </w:rPr>
            </w:pPr>
            <w:r w:rsidRPr="008718C3">
              <w:rPr>
                <w:rFonts w:cs="Times New Roman"/>
                <w:bCs/>
                <w:sz w:val="20"/>
                <w:szCs w:val="20"/>
              </w:rPr>
              <w:t>VID</w:t>
            </w:r>
          </w:p>
        </w:tc>
        <w:tc>
          <w:tcPr>
            <w:tcW w:w="1276" w:type="dxa"/>
            <w:shd w:val="clear" w:color="auto" w:fill="auto"/>
          </w:tcPr>
          <w:p w:rsidR="00EC4864" w:rsidRPr="008718C3" w:rsidRDefault="00EC4864" w:rsidP="0094052B">
            <w:pPr>
              <w:jc w:val="center"/>
              <w:rPr>
                <w:rFonts w:cs="Times New Roman"/>
                <w:sz w:val="20"/>
                <w:szCs w:val="20"/>
              </w:rPr>
            </w:pPr>
            <w:r w:rsidRPr="008718C3">
              <w:rPr>
                <w:rFonts w:cs="Times New Roman"/>
                <w:sz w:val="20"/>
                <w:szCs w:val="20"/>
              </w:rPr>
              <w:t>30.12.2022.</w:t>
            </w:r>
          </w:p>
        </w:tc>
      </w:tr>
      <w:tr w:rsidR="00D318BB" w:rsidRPr="008C09A4" w:rsidTr="00DA5BE6">
        <w:trPr>
          <w:trHeight w:val="543"/>
        </w:trPr>
        <w:tc>
          <w:tcPr>
            <w:tcW w:w="568" w:type="dxa"/>
            <w:shd w:val="clear" w:color="auto" w:fill="auto"/>
          </w:tcPr>
          <w:p w:rsidR="00D318BB" w:rsidRPr="008718C3" w:rsidRDefault="00D318BB" w:rsidP="0094052B">
            <w:pPr>
              <w:ind w:right="-21"/>
              <w:rPr>
                <w:rFonts w:cs="Times New Roman"/>
                <w:bCs/>
                <w:sz w:val="20"/>
                <w:szCs w:val="20"/>
              </w:rPr>
            </w:pPr>
            <w:r>
              <w:rPr>
                <w:rFonts w:cs="Times New Roman"/>
                <w:bCs/>
                <w:sz w:val="20"/>
                <w:szCs w:val="20"/>
              </w:rPr>
              <w:t>3.12</w:t>
            </w:r>
            <w:r w:rsidR="00DA5BE6">
              <w:rPr>
                <w:rFonts w:cs="Times New Roman"/>
                <w:bCs/>
                <w:sz w:val="20"/>
                <w:szCs w:val="20"/>
              </w:rPr>
              <w:t>.</w:t>
            </w:r>
          </w:p>
        </w:tc>
        <w:tc>
          <w:tcPr>
            <w:tcW w:w="2268" w:type="dxa"/>
            <w:shd w:val="clear" w:color="auto" w:fill="auto"/>
          </w:tcPr>
          <w:p w:rsidR="00D318BB" w:rsidRPr="008718C3" w:rsidRDefault="00876C52" w:rsidP="00876C52">
            <w:pPr>
              <w:jc w:val="both"/>
              <w:rPr>
                <w:rFonts w:cs="Times New Roman"/>
                <w:sz w:val="20"/>
                <w:szCs w:val="20"/>
                <w:lang w:eastAsia="lv-LV"/>
              </w:rPr>
            </w:pPr>
            <w:r w:rsidRPr="00876C52">
              <w:rPr>
                <w:rFonts w:cs="Times New Roman"/>
                <w:sz w:val="20"/>
                <w:szCs w:val="20"/>
                <w:lang w:eastAsia="lv-LV"/>
              </w:rPr>
              <w:t>Samazināt nelicencēto interaktīvo azartspēļu īpatsvaru</w:t>
            </w:r>
          </w:p>
        </w:tc>
        <w:tc>
          <w:tcPr>
            <w:tcW w:w="3544" w:type="dxa"/>
            <w:shd w:val="clear" w:color="auto" w:fill="auto"/>
          </w:tcPr>
          <w:p w:rsidR="00876C52" w:rsidRPr="00876C52" w:rsidRDefault="00876C52" w:rsidP="00E03169">
            <w:pPr>
              <w:spacing w:line="220" w:lineRule="exact"/>
              <w:contextualSpacing/>
              <w:jc w:val="both"/>
              <w:rPr>
                <w:rFonts w:cs="Times New Roman"/>
                <w:sz w:val="20"/>
                <w:szCs w:val="20"/>
                <w:lang w:eastAsia="lv-LV"/>
              </w:rPr>
            </w:pPr>
            <w:r w:rsidRPr="00876C52">
              <w:rPr>
                <w:rFonts w:cs="Times New Roman"/>
                <w:sz w:val="20"/>
                <w:szCs w:val="20"/>
                <w:lang w:eastAsia="lv-LV"/>
              </w:rPr>
              <w:t xml:space="preserve">Latvijā ir lielākais nelicencētā azartspēļu tirgus īpatsvars starp Baltijas valstīm </w:t>
            </w:r>
            <w:r w:rsidR="00D31E60">
              <w:rPr>
                <w:rFonts w:cs="Times New Roman"/>
                <w:sz w:val="20"/>
                <w:szCs w:val="20"/>
                <w:lang w:eastAsia="lv-LV"/>
              </w:rPr>
              <w:t>–</w:t>
            </w:r>
            <w:r w:rsidRPr="00876C52">
              <w:rPr>
                <w:rFonts w:cs="Times New Roman"/>
                <w:sz w:val="20"/>
                <w:szCs w:val="20"/>
                <w:lang w:eastAsia="lv-LV"/>
              </w:rPr>
              <w:t xml:space="preserve"> 44% no kopējā jeb 44,7 milj. </w:t>
            </w:r>
            <w:r w:rsidRPr="006A4493">
              <w:rPr>
                <w:rFonts w:cs="Times New Roman"/>
                <w:i/>
                <w:iCs/>
                <w:sz w:val="20"/>
                <w:szCs w:val="20"/>
                <w:lang w:eastAsia="lv-LV"/>
              </w:rPr>
              <w:t>euro</w:t>
            </w:r>
            <w:r w:rsidRPr="00876C52">
              <w:rPr>
                <w:rFonts w:cs="Times New Roman"/>
                <w:sz w:val="20"/>
                <w:szCs w:val="20"/>
                <w:lang w:eastAsia="lv-LV"/>
              </w:rPr>
              <w:t xml:space="preserve">. Aplēsts, ka zaudējums valsts budžetam ir 22% no nelicencētā tirgus jeb apmēram 10 milj. </w:t>
            </w:r>
            <w:r w:rsidRPr="006A4493">
              <w:rPr>
                <w:rFonts w:cs="Times New Roman"/>
                <w:i/>
                <w:iCs/>
                <w:sz w:val="20"/>
                <w:szCs w:val="20"/>
                <w:lang w:eastAsia="lv-LV"/>
              </w:rPr>
              <w:t>euro</w:t>
            </w:r>
            <w:r w:rsidRPr="00876C52">
              <w:rPr>
                <w:rFonts w:cs="Times New Roman"/>
                <w:sz w:val="20"/>
                <w:szCs w:val="20"/>
                <w:lang w:eastAsia="lv-LV"/>
              </w:rPr>
              <w:t xml:space="preserve"> gadā. Viens no būtiskākajiem nesamērīgi lielas nelicencētā tirgus daļas pastāvēšanas iemesliem Latvijā ir nodokļa piemērošanas kārtība azartspēļu laimestiem, kas tiek piemērots nevis “tīrajam laimestam” (no laimesta atskaitot ar dalību saistītos izdevumus), bet gan naudas paskaitījumiem no spēles konta uz banku. Valsts Kultūrkapitāla fonda budžetu no 2022.gada veidos arī daļa no azartspēļu nodokļu ieņēmumiem 2,21% apmērā. Tādējādi nelegālā tirgus samazināšanās rezultātā palielinātos plānotie budžeta ieņēmumi. </w:t>
            </w:r>
          </w:p>
          <w:p w:rsidR="00D318BB" w:rsidRPr="008718C3" w:rsidRDefault="00876C52" w:rsidP="00E03169">
            <w:pPr>
              <w:spacing w:line="220" w:lineRule="exact"/>
              <w:contextualSpacing/>
              <w:jc w:val="both"/>
              <w:rPr>
                <w:rFonts w:cs="Times New Roman"/>
                <w:sz w:val="20"/>
                <w:szCs w:val="20"/>
                <w:lang w:eastAsia="lv-LV"/>
              </w:rPr>
            </w:pPr>
            <w:r w:rsidRPr="00876C52">
              <w:rPr>
                <w:rFonts w:cs="Times New Roman"/>
                <w:sz w:val="20"/>
                <w:szCs w:val="20"/>
                <w:lang w:eastAsia="lv-LV"/>
              </w:rPr>
              <w:t>Nelegālo azartspēļu norises vietu un pieejamības ierobežošana ir viena no IAUI prioritātēm atbilstoši IAUI stratēģijai 2020.-2022.gadam.</w:t>
            </w:r>
          </w:p>
        </w:tc>
        <w:tc>
          <w:tcPr>
            <w:tcW w:w="2551" w:type="dxa"/>
            <w:shd w:val="clear" w:color="auto" w:fill="auto"/>
          </w:tcPr>
          <w:p w:rsidR="00D318BB" w:rsidRPr="008718C3" w:rsidRDefault="00876C52" w:rsidP="0094052B">
            <w:pPr>
              <w:jc w:val="both"/>
              <w:rPr>
                <w:sz w:val="20"/>
                <w:szCs w:val="20"/>
              </w:rPr>
            </w:pPr>
            <w:r w:rsidRPr="00876C52">
              <w:rPr>
                <w:sz w:val="20"/>
                <w:szCs w:val="20"/>
              </w:rPr>
              <w:t>Mazināta azartspēļu spēlētāju motivācija piedalīties nelicencētās azartspēlēs, kā arī pārskatīts kopējais nodokļu slogs azartspēļu pakalpojumu sniedzējiem, lai izvērtētu iespējamos turpmākos risinājumus nelicencētu interaktīvu azartspēļu ierobežošanai.</w:t>
            </w:r>
          </w:p>
        </w:tc>
        <w:tc>
          <w:tcPr>
            <w:tcW w:w="1985" w:type="dxa"/>
            <w:shd w:val="clear" w:color="auto" w:fill="auto"/>
          </w:tcPr>
          <w:p w:rsidR="00D318BB" w:rsidRPr="008718C3" w:rsidRDefault="00876C52" w:rsidP="0094052B">
            <w:pPr>
              <w:jc w:val="both"/>
              <w:rPr>
                <w:sz w:val="20"/>
                <w:szCs w:val="20"/>
              </w:rPr>
            </w:pPr>
            <w:r w:rsidRPr="00876C52">
              <w:rPr>
                <w:sz w:val="20"/>
                <w:szCs w:val="20"/>
              </w:rPr>
              <w:t>Izvērtēta azartspēļu laimestiem nodokļu piemērošanas kārtība un nepieciešamība veikt izmaiņas.</w:t>
            </w:r>
          </w:p>
        </w:tc>
        <w:tc>
          <w:tcPr>
            <w:tcW w:w="1275" w:type="dxa"/>
            <w:shd w:val="clear" w:color="auto" w:fill="auto"/>
          </w:tcPr>
          <w:p w:rsidR="00D318BB" w:rsidRPr="008718C3" w:rsidRDefault="00876C52" w:rsidP="0094052B">
            <w:pPr>
              <w:jc w:val="center"/>
              <w:rPr>
                <w:rFonts w:cs="Times New Roman"/>
                <w:bCs/>
                <w:sz w:val="20"/>
                <w:szCs w:val="20"/>
              </w:rPr>
            </w:pPr>
            <w:r>
              <w:rPr>
                <w:rFonts w:cs="Times New Roman"/>
                <w:bCs/>
                <w:sz w:val="20"/>
                <w:szCs w:val="20"/>
              </w:rPr>
              <w:t>FM</w:t>
            </w:r>
          </w:p>
        </w:tc>
        <w:tc>
          <w:tcPr>
            <w:tcW w:w="1134" w:type="dxa"/>
            <w:shd w:val="clear" w:color="auto" w:fill="auto"/>
          </w:tcPr>
          <w:p w:rsidR="00D318BB" w:rsidRDefault="00876C52" w:rsidP="0094052B">
            <w:pPr>
              <w:jc w:val="center"/>
              <w:rPr>
                <w:rFonts w:cs="Times New Roman"/>
                <w:bCs/>
                <w:sz w:val="20"/>
                <w:szCs w:val="20"/>
              </w:rPr>
            </w:pPr>
            <w:r>
              <w:rPr>
                <w:rFonts w:cs="Times New Roman"/>
                <w:bCs/>
                <w:sz w:val="20"/>
                <w:szCs w:val="20"/>
              </w:rPr>
              <w:t>VID,</w:t>
            </w:r>
          </w:p>
          <w:p w:rsidR="00876C52" w:rsidRPr="008718C3" w:rsidRDefault="00876C52" w:rsidP="0094052B">
            <w:pPr>
              <w:jc w:val="center"/>
              <w:rPr>
                <w:rFonts w:cs="Times New Roman"/>
                <w:bCs/>
                <w:sz w:val="20"/>
                <w:szCs w:val="20"/>
              </w:rPr>
            </w:pPr>
            <w:r>
              <w:rPr>
                <w:rFonts w:cs="Times New Roman"/>
                <w:bCs/>
                <w:sz w:val="20"/>
                <w:szCs w:val="20"/>
              </w:rPr>
              <w:t>IAUI</w:t>
            </w:r>
          </w:p>
        </w:tc>
        <w:tc>
          <w:tcPr>
            <w:tcW w:w="1276" w:type="dxa"/>
            <w:shd w:val="clear" w:color="auto" w:fill="auto"/>
          </w:tcPr>
          <w:p w:rsidR="00D318BB" w:rsidRPr="008718C3" w:rsidRDefault="00876C52" w:rsidP="0094052B">
            <w:pPr>
              <w:jc w:val="center"/>
              <w:rPr>
                <w:rFonts w:cs="Times New Roman"/>
                <w:sz w:val="20"/>
                <w:szCs w:val="20"/>
              </w:rPr>
            </w:pPr>
            <w:r>
              <w:rPr>
                <w:rFonts w:cs="Times New Roman"/>
                <w:sz w:val="20"/>
                <w:szCs w:val="20"/>
              </w:rPr>
              <w:t>30.12.2022.</w:t>
            </w:r>
          </w:p>
        </w:tc>
      </w:tr>
      <w:tr w:rsidR="000D12AF" w:rsidRPr="00DC0E01" w:rsidTr="00D87E27">
        <w:trPr>
          <w:trHeight w:val="454"/>
        </w:trPr>
        <w:tc>
          <w:tcPr>
            <w:tcW w:w="14601" w:type="dxa"/>
            <w:gridSpan w:val="8"/>
            <w:shd w:val="clear" w:color="auto" w:fill="D9E2F3" w:themeFill="accent5" w:themeFillTint="33"/>
            <w:vAlign w:val="center"/>
          </w:tcPr>
          <w:p w:rsidR="000D12AF" w:rsidRPr="00DC0E01" w:rsidRDefault="000D12AF" w:rsidP="006A19D3">
            <w:pPr>
              <w:pStyle w:val="Heading2"/>
              <w:rPr>
                <w:b/>
                <w:bCs w:val="0"/>
                <w:sz w:val="24"/>
                <w:szCs w:val="24"/>
              </w:rPr>
            </w:pPr>
            <w:bookmarkStart w:id="38" w:name="_Toc86949442"/>
            <w:bookmarkEnd w:id="37"/>
            <w:r w:rsidRPr="00DC0E01">
              <w:rPr>
                <w:sz w:val="24"/>
                <w:szCs w:val="24"/>
              </w:rPr>
              <w:t xml:space="preserve">4. </w:t>
            </w:r>
            <w:bookmarkStart w:id="39" w:name="_Hlk76366464"/>
            <w:r w:rsidR="00F714EC" w:rsidRPr="00DC0E01">
              <w:rPr>
                <w:sz w:val="24"/>
                <w:szCs w:val="24"/>
              </w:rPr>
              <w:t xml:space="preserve">rīcības virziens – </w:t>
            </w:r>
            <w:r w:rsidRPr="00DC0E01">
              <w:rPr>
                <w:sz w:val="24"/>
                <w:szCs w:val="24"/>
              </w:rPr>
              <w:t>Skaidras naudas neuzskaitīta</w:t>
            </w:r>
            <w:r w:rsidR="00D644D1" w:rsidRPr="00DC0E01">
              <w:rPr>
                <w:sz w:val="24"/>
                <w:szCs w:val="24"/>
              </w:rPr>
              <w:t xml:space="preserve"> </w:t>
            </w:r>
            <w:r w:rsidRPr="00DC0E01">
              <w:rPr>
                <w:sz w:val="24"/>
                <w:szCs w:val="24"/>
              </w:rPr>
              <w:t>un</w:t>
            </w:r>
            <w:r w:rsidR="00D644D1" w:rsidRPr="00DC0E01">
              <w:rPr>
                <w:sz w:val="24"/>
                <w:szCs w:val="24"/>
              </w:rPr>
              <w:t xml:space="preserve"> </w:t>
            </w:r>
            <w:r w:rsidRPr="00DC0E01">
              <w:rPr>
                <w:sz w:val="24"/>
                <w:szCs w:val="24"/>
              </w:rPr>
              <w:t>nekontrolēta aprite</w:t>
            </w:r>
            <w:bookmarkEnd w:id="38"/>
            <w:bookmarkEnd w:id="39"/>
          </w:p>
        </w:tc>
      </w:tr>
      <w:tr w:rsidR="000D12AF" w:rsidTr="00DA5BE6">
        <w:trPr>
          <w:trHeight w:val="543"/>
        </w:trPr>
        <w:tc>
          <w:tcPr>
            <w:tcW w:w="568" w:type="dxa"/>
          </w:tcPr>
          <w:p w:rsidR="000D12AF" w:rsidRPr="00C91F76" w:rsidRDefault="000D12AF" w:rsidP="000D12AF">
            <w:pPr>
              <w:ind w:right="-21"/>
              <w:rPr>
                <w:rFonts w:cs="Times New Roman"/>
                <w:bCs/>
                <w:sz w:val="20"/>
                <w:szCs w:val="20"/>
              </w:rPr>
            </w:pPr>
            <w:r>
              <w:rPr>
                <w:rFonts w:cs="Times New Roman"/>
                <w:bCs/>
                <w:sz w:val="20"/>
                <w:szCs w:val="20"/>
              </w:rPr>
              <w:t>4.1.</w:t>
            </w:r>
          </w:p>
        </w:tc>
        <w:tc>
          <w:tcPr>
            <w:tcW w:w="2268" w:type="dxa"/>
          </w:tcPr>
          <w:p w:rsidR="000D12AF" w:rsidRPr="00DE7BCC" w:rsidRDefault="000D12AF" w:rsidP="000D12AF">
            <w:pPr>
              <w:jc w:val="both"/>
              <w:rPr>
                <w:rFonts w:cs="Times New Roman"/>
                <w:color w:val="000000"/>
                <w:sz w:val="20"/>
                <w:szCs w:val="28"/>
              </w:rPr>
            </w:pPr>
            <w:bookmarkStart w:id="40" w:name="_Hlk86926675"/>
            <w:r w:rsidRPr="00DE7BCC">
              <w:rPr>
                <w:rFonts w:cs="Times New Roman"/>
                <w:color w:val="000000"/>
                <w:sz w:val="20"/>
                <w:szCs w:val="28"/>
              </w:rPr>
              <w:t xml:space="preserve">Ierobežot </w:t>
            </w:r>
            <w:r>
              <w:rPr>
                <w:rFonts w:cs="Times New Roman"/>
                <w:color w:val="000000"/>
                <w:sz w:val="20"/>
                <w:szCs w:val="28"/>
              </w:rPr>
              <w:t>skaidras naudas darījumus un skaidras naudas apriti, tajā skaitā mazināt</w:t>
            </w:r>
            <w:r w:rsidRPr="00473745">
              <w:rPr>
                <w:rFonts w:cs="Times New Roman"/>
                <w:sz w:val="20"/>
                <w:szCs w:val="20"/>
              </w:rPr>
              <w:t xml:space="preserve"> </w:t>
            </w:r>
            <w:r>
              <w:rPr>
                <w:rFonts w:cs="Times New Roman"/>
                <w:sz w:val="20"/>
                <w:szCs w:val="20"/>
              </w:rPr>
              <w:t>s</w:t>
            </w:r>
            <w:r w:rsidRPr="00473745">
              <w:rPr>
                <w:rFonts w:cs="Times New Roman"/>
                <w:sz w:val="20"/>
                <w:szCs w:val="20"/>
              </w:rPr>
              <w:t>kaidras naudas lietošanas sliek</w:t>
            </w:r>
            <w:r>
              <w:rPr>
                <w:rFonts w:cs="Times New Roman"/>
                <w:sz w:val="20"/>
                <w:szCs w:val="20"/>
              </w:rPr>
              <w:t>sni.</w:t>
            </w:r>
            <w:r w:rsidRPr="00473745">
              <w:rPr>
                <w:rFonts w:cs="Times New Roman"/>
                <w:sz w:val="20"/>
                <w:szCs w:val="20"/>
              </w:rPr>
              <w:t xml:space="preserve"> </w:t>
            </w:r>
            <w:bookmarkEnd w:id="40"/>
          </w:p>
        </w:tc>
        <w:tc>
          <w:tcPr>
            <w:tcW w:w="3544" w:type="dxa"/>
          </w:tcPr>
          <w:p w:rsidR="000D12AF" w:rsidRDefault="000D12AF" w:rsidP="00E03169">
            <w:pPr>
              <w:spacing w:line="230" w:lineRule="exact"/>
              <w:jc w:val="both"/>
              <w:rPr>
                <w:rFonts w:cs="Times New Roman"/>
                <w:sz w:val="20"/>
                <w:szCs w:val="20"/>
              </w:rPr>
            </w:pPr>
            <w:r>
              <w:rPr>
                <w:rFonts w:cs="Times New Roman"/>
                <w:sz w:val="20"/>
                <w:szCs w:val="20"/>
              </w:rPr>
              <w:t xml:space="preserve">Lai gan pēdējos gados ir veikti grozījumi normatīvajos aktos, samazinot slieksni pieļaujamam skaidras naudas apjomam darījumos, tomēr </w:t>
            </w:r>
            <w:r w:rsidRPr="00DE7BCC">
              <w:rPr>
                <w:rFonts w:cs="Times New Roman"/>
                <w:sz w:val="20"/>
                <w:szCs w:val="20"/>
              </w:rPr>
              <w:t>VID nodokļu administrēšana</w:t>
            </w:r>
            <w:r>
              <w:rPr>
                <w:rFonts w:cs="Times New Roman"/>
                <w:sz w:val="20"/>
                <w:szCs w:val="20"/>
              </w:rPr>
              <w:t>s pasākumu laikā ir konstatējis</w:t>
            </w:r>
            <w:r w:rsidRPr="00DE7BCC">
              <w:rPr>
                <w:rFonts w:cs="Times New Roman"/>
                <w:sz w:val="20"/>
                <w:szCs w:val="20"/>
              </w:rPr>
              <w:t>, ka gan fiziskās, gan juridiskās personas, ievērojot likuma “Par nodokļiem un nodevām” 30.pantā noteikto ierobežojumu veikt darījumus skaidrā naudā virs 7</w:t>
            </w:r>
            <w:r>
              <w:rPr>
                <w:rFonts w:cs="Times New Roman"/>
                <w:sz w:val="20"/>
                <w:szCs w:val="20"/>
              </w:rPr>
              <w:t> </w:t>
            </w:r>
            <w:r w:rsidRPr="00DE7BCC">
              <w:rPr>
                <w:rFonts w:cs="Times New Roman"/>
                <w:sz w:val="20"/>
                <w:szCs w:val="20"/>
              </w:rPr>
              <w:t xml:space="preserve">200 </w:t>
            </w:r>
            <w:r w:rsidRPr="000367F3">
              <w:rPr>
                <w:rFonts w:cs="Times New Roman"/>
                <w:i/>
                <w:iCs/>
                <w:sz w:val="20"/>
                <w:szCs w:val="20"/>
              </w:rPr>
              <w:t>euro</w:t>
            </w:r>
            <w:r w:rsidRPr="00DE7BCC">
              <w:rPr>
                <w:rFonts w:cs="Times New Roman"/>
                <w:sz w:val="20"/>
                <w:szCs w:val="20"/>
              </w:rPr>
              <w:t>, Ceļu satiksmes drošības direkcijā iesniegtajos dokumentos norāda, ka transportlīdzeklis ir iegādāts skaidrā naudā, nepārsniedzot 7</w:t>
            </w:r>
            <w:r>
              <w:rPr>
                <w:rFonts w:cs="Times New Roman"/>
                <w:sz w:val="20"/>
                <w:szCs w:val="20"/>
              </w:rPr>
              <w:t> </w:t>
            </w:r>
            <w:r w:rsidRPr="00DE7BCC">
              <w:rPr>
                <w:rFonts w:cs="Times New Roman"/>
                <w:sz w:val="20"/>
                <w:szCs w:val="20"/>
              </w:rPr>
              <w:t>200</w:t>
            </w:r>
            <w:r w:rsidR="00082F27">
              <w:rPr>
                <w:rFonts w:cs="Times New Roman"/>
                <w:sz w:val="20"/>
                <w:szCs w:val="20"/>
              </w:rPr>
              <w:t> </w:t>
            </w:r>
            <w:r w:rsidRPr="00537D58">
              <w:rPr>
                <w:rFonts w:cs="Times New Roman"/>
                <w:i/>
                <w:sz w:val="20"/>
                <w:szCs w:val="20"/>
              </w:rPr>
              <w:t>euro</w:t>
            </w:r>
            <w:r w:rsidRPr="00DE7BCC">
              <w:rPr>
                <w:rFonts w:cs="Times New Roman"/>
                <w:sz w:val="20"/>
                <w:szCs w:val="20"/>
              </w:rPr>
              <w:t>. Turklāt norādītā transportlīdzekļa iegādes vērtība tiek norādīta ievērojami zemāka par transportlīdzekļa tirgus vērtību (pat divas līdz trīs reizes). Taču pārbaudes laikā no juridiskās personas uzrādītajiem dokumentiem, transportlīdzekļu sludinājumos norādītās informācijas vai arī no fizisko personu sniegtajiem paskaidrojumiem izriet, ka transportlīdzekļa iegādes vai realizācijas vērtība ir krietni augstāka par dokumentos norādīto vērtību, kā rezultātā juridiskās personas izvairās no pievienotās vērtības nodaļa nomaksas pilnā apmērā, radot ievērojamus zaudējumus valsts budžetam.</w:t>
            </w:r>
          </w:p>
          <w:p w:rsidR="000D12AF" w:rsidRDefault="000D12AF" w:rsidP="00E03169">
            <w:pPr>
              <w:spacing w:line="230" w:lineRule="exact"/>
              <w:jc w:val="both"/>
              <w:rPr>
                <w:rFonts w:cs="Times New Roman"/>
                <w:sz w:val="20"/>
                <w:szCs w:val="20"/>
              </w:rPr>
            </w:pPr>
            <w:r>
              <w:rPr>
                <w:rFonts w:cs="Times New Roman"/>
                <w:sz w:val="20"/>
                <w:szCs w:val="20"/>
              </w:rPr>
              <w:t>Tāpat, s</w:t>
            </w:r>
            <w:r w:rsidRPr="007F2218">
              <w:rPr>
                <w:rFonts w:cs="Times New Roman"/>
                <w:sz w:val="20"/>
                <w:szCs w:val="20"/>
              </w:rPr>
              <w:t xml:space="preserve">kaidras naudas lietošanas sliekšņa samazināšanu nodokļu maksātājiem, tajā skaitā fiziskajām personām, </w:t>
            </w:r>
            <w:r>
              <w:rPr>
                <w:rFonts w:cs="Times New Roman"/>
                <w:sz w:val="20"/>
                <w:szCs w:val="20"/>
              </w:rPr>
              <w:t>kas neveic saimniecisko darbību, mazina aplokšņu algu izmaksas risku, kā arī mazina iespējas nereģistrētas saimnieciskās darbības vai nereģistrētu darījumu izpausmēm.</w:t>
            </w:r>
          </w:p>
        </w:tc>
        <w:tc>
          <w:tcPr>
            <w:tcW w:w="2551" w:type="dxa"/>
          </w:tcPr>
          <w:p w:rsidR="000D12AF" w:rsidRPr="005D34B4" w:rsidRDefault="000D12AF" w:rsidP="000D12AF">
            <w:pPr>
              <w:jc w:val="both"/>
              <w:rPr>
                <w:rFonts w:cs="Times New Roman"/>
                <w:color w:val="000000"/>
                <w:sz w:val="20"/>
                <w:szCs w:val="28"/>
              </w:rPr>
            </w:pPr>
            <w:r>
              <w:rPr>
                <w:rFonts w:cs="Times New Roman"/>
                <w:color w:val="000000"/>
                <w:sz w:val="20"/>
                <w:szCs w:val="28"/>
              </w:rPr>
              <w:t xml:space="preserve">Samazināts skaidras naudas lietojums un skaidras naudas aprite gan atalgojuma izmaksā, gan norēķinos par darījumiem starp fiziskām personām, kā arī fiziskām personām un juridiskām personām. </w:t>
            </w:r>
          </w:p>
        </w:tc>
        <w:tc>
          <w:tcPr>
            <w:tcW w:w="1985" w:type="dxa"/>
          </w:tcPr>
          <w:p w:rsidR="000D12AF" w:rsidRDefault="000D12AF" w:rsidP="000D12AF">
            <w:pPr>
              <w:jc w:val="both"/>
              <w:rPr>
                <w:rFonts w:cs="Times New Roman"/>
                <w:sz w:val="20"/>
                <w:szCs w:val="20"/>
              </w:rPr>
            </w:pPr>
            <w:r>
              <w:rPr>
                <w:rFonts w:cs="Times New Roman"/>
                <w:color w:val="000000"/>
                <w:sz w:val="20"/>
                <w:szCs w:val="28"/>
              </w:rPr>
              <w:t>Izvērtētas iespējas samazināt normatīvajos aktos noteikto slieksni norēķiniem skaidras naudas veidā, izvērtētas iespējas veikt grozījumus normatīvajos aktos un sniegti priekšlikumi.</w:t>
            </w:r>
          </w:p>
        </w:tc>
        <w:tc>
          <w:tcPr>
            <w:tcW w:w="1275" w:type="dxa"/>
          </w:tcPr>
          <w:p w:rsidR="000D12AF" w:rsidRDefault="000D12AF" w:rsidP="000D12AF">
            <w:pPr>
              <w:jc w:val="center"/>
              <w:rPr>
                <w:rFonts w:cs="Times New Roman"/>
                <w:bCs/>
                <w:sz w:val="20"/>
                <w:szCs w:val="20"/>
              </w:rPr>
            </w:pPr>
            <w:r>
              <w:rPr>
                <w:rFonts w:cs="Times New Roman"/>
                <w:bCs/>
                <w:sz w:val="20"/>
                <w:szCs w:val="20"/>
              </w:rPr>
              <w:t>FM,</w:t>
            </w:r>
          </w:p>
          <w:p w:rsidR="000D12AF" w:rsidRDefault="000D12AF" w:rsidP="000D12AF">
            <w:pPr>
              <w:jc w:val="center"/>
              <w:rPr>
                <w:rFonts w:cs="Times New Roman"/>
                <w:bCs/>
                <w:sz w:val="20"/>
                <w:szCs w:val="20"/>
              </w:rPr>
            </w:pPr>
            <w:r>
              <w:rPr>
                <w:rFonts w:cs="Times New Roman"/>
                <w:bCs/>
                <w:sz w:val="20"/>
                <w:szCs w:val="20"/>
              </w:rPr>
              <w:t>VID</w:t>
            </w:r>
          </w:p>
        </w:tc>
        <w:tc>
          <w:tcPr>
            <w:tcW w:w="1134" w:type="dxa"/>
          </w:tcPr>
          <w:p w:rsidR="000D12AF" w:rsidRDefault="000D12AF" w:rsidP="000D12AF">
            <w:pPr>
              <w:jc w:val="center"/>
              <w:rPr>
                <w:rFonts w:cs="Times New Roman"/>
                <w:bCs/>
                <w:sz w:val="20"/>
                <w:szCs w:val="20"/>
              </w:rPr>
            </w:pPr>
            <w:r>
              <w:rPr>
                <w:rFonts w:cs="Times New Roman"/>
                <w:bCs/>
                <w:sz w:val="20"/>
                <w:szCs w:val="20"/>
              </w:rPr>
              <w:t>TM,</w:t>
            </w:r>
          </w:p>
          <w:p w:rsidR="000D12AF" w:rsidRDefault="000D12AF" w:rsidP="000D12AF">
            <w:pPr>
              <w:jc w:val="center"/>
              <w:rPr>
                <w:rFonts w:cs="Times New Roman"/>
                <w:bCs/>
                <w:sz w:val="20"/>
                <w:szCs w:val="20"/>
              </w:rPr>
            </w:pPr>
            <w:r>
              <w:rPr>
                <w:rFonts w:cs="Times New Roman"/>
                <w:bCs/>
                <w:sz w:val="20"/>
                <w:szCs w:val="20"/>
              </w:rPr>
              <w:t>EM,</w:t>
            </w:r>
          </w:p>
          <w:p w:rsidR="000D12AF" w:rsidRDefault="000D12AF" w:rsidP="000D12AF">
            <w:pPr>
              <w:jc w:val="center"/>
              <w:rPr>
                <w:rFonts w:cs="Times New Roman"/>
                <w:bCs/>
                <w:sz w:val="20"/>
                <w:szCs w:val="20"/>
              </w:rPr>
            </w:pPr>
            <w:r>
              <w:rPr>
                <w:rFonts w:cs="Times New Roman"/>
                <w:bCs/>
                <w:sz w:val="20"/>
                <w:szCs w:val="20"/>
              </w:rPr>
              <w:t>CSDD</w:t>
            </w:r>
          </w:p>
        </w:tc>
        <w:tc>
          <w:tcPr>
            <w:tcW w:w="1276" w:type="dxa"/>
          </w:tcPr>
          <w:p w:rsidR="000D12AF" w:rsidRDefault="000D12AF" w:rsidP="000D12AF">
            <w:pPr>
              <w:jc w:val="center"/>
              <w:rPr>
                <w:rFonts w:cs="Times New Roman"/>
                <w:bCs/>
                <w:sz w:val="20"/>
                <w:szCs w:val="20"/>
              </w:rPr>
            </w:pPr>
            <w:r>
              <w:rPr>
                <w:rFonts w:cs="Times New Roman"/>
                <w:bCs/>
                <w:sz w:val="20"/>
                <w:szCs w:val="20"/>
              </w:rPr>
              <w:t>30.12.202</w:t>
            </w:r>
            <w:r w:rsidR="008D7627">
              <w:rPr>
                <w:rFonts w:cs="Times New Roman"/>
                <w:bCs/>
                <w:sz w:val="20"/>
                <w:szCs w:val="20"/>
              </w:rPr>
              <w:t>2</w:t>
            </w:r>
            <w:r>
              <w:rPr>
                <w:rFonts w:cs="Times New Roman"/>
                <w:bCs/>
                <w:sz w:val="20"/>
                <w:szCs w:val="20"/>
              </w:rPr>
              <w:t>.</w:t>
            </w:r>
          </w:p>
        </w:tc>
      </w:tr>
      <w:tr w:rsidR="000D12AF" w:rsidRPr="0086370A" w:rsidTr="00DA5BE6">
        <w:trPr>
          <w:trHeight w:val="2693"/>
        </w:trPr>
        <w:tc>
          <w:tcPr>
            <w:tcW w:w="568" w:type="dxa"/>
          </w:tcPr>
          <w:p w:rsidR="000D12AF" w:rsidRPr="0036022E" w:rsidRDefault="000D12AF" w:rsidP="000D12AF">
            <w:pPr>
              <w:rPr>
                <w:rFonts w:cs="Times New Roman"/>
                <w:bCs/>
                <w:sz w:val="20"/>
                <w:szCs w:val="20"/>
              </w:rPr>
            </w:pPr>
            <w:r>
              <w:rPr>
                <w:rFonts w:cs="Times New Roman"/>
                <w:bCs/>
                <w:sz w:val="20"/>
                <w:szCs w:val="20"/>
              </w:rPr>
              <w:t>4</w:t>
            </w:r>
            <w:r w:rsidRPr="0036022E">
              <w:rPr>
                <w:rFonts w:cs="Times New Roman"/>
                <w:bCs/>
                <w:sz w:val="20"/>
                <w:szCs w:val="20"/>
              </w:rPr>
              <w:t>.</w:t>
            </w:r>
            <w:r>
              <w:rPr>
                <w:rFonts w:cs="Times New Roman"/>
                <w:bCs/>
                <w:sz w:val="20"/>
                <w:szCs w:val="20"/>
              </w:rPr>
              <w:t>2</w:t>
            </w:r>
            <w:r w:rsidRPr="0036022E">
              <w:rPr>
                <w:rFonts w:cs="Times New Roman"/>
                <w:bCs/>
                <w:sz w:val="20"/>
                <w:szCs w:val="20"/>
              </w:rPr>
              <w:t>.</w:t>
            </w:r>
          </w:p>
        </w:tc>
        <w:tc>
          <w:tcPr>
            <w:tcW w:w="2268" w:type="dxa"/>
          </w:tcPr>
          <w:p w:rsidR="000D12AF" w:rsidRPr="0036022E" w:rsidRDefault="000D12AF" w:rsidP="000D12AF">
            <w:pPr>
              <w:jc w:val="both"/>
              <w:rPr>
                <w:rFonts w:cs="Times New Roman"/>
                <w:bCs/>
                <w:sz w:val="20"/>
                <w:szCs w:val="20"/>
              </w:rPr>
            </w:pPr>
            <w:r w:rsidRPr="0036022E">
              <w:rPr>
                <w:rFonts w:cs="Times New Roman"/>
                <w:bCs/>
                <w:sz w:val="20"/>
                <w:szCs w:val="20"/>
              </w:rPr>
              <w:t>Neuzskaitītas, nelikumīgi vai noziedzīgi iegūtas skaidras naudas aprites mazināšana pār valsts robežu.</w:t>
            </w:r>
          </w:p>
        </w:tc>
        <w:tc>
          <w:tcPr>
            <w:tcW w:w="3544" w:type="dxa"/>
          </w:tcPr>
          <w:p w:rsidR="000D12AF" w:rsidRPr="000A2DE2" w:rsidRDefault="000D12AF" w:rsidP="003C3159">
            <w:pPr>
              <w:spacing w:line="220" w:lineRule="exact"/>
              <w:jc w:val="both"/>
              <w:rPr>
                <w:sz w:val="20"/>
                <w:szCs w:val="20"/>
                <w:lang w:eastAsia="ar-SA"/>
              </w:rPr>
            </w:pPr>
            <w:r w:rsidRPr="000A2DE2">
              <w:rPr>
                <w:sz w:val="20"/>
                <w:szCs w:val="20"/>
                <w:lang w:eastAsia="ar-SA"/>
              </w:rPr>
              <w:t xml:space="preserve">Lai novērstu nedeklarētas un noziedzīgi iegūtas skaidras naudas ievešanu vai izvešanu no </w:t>
            </w:r>
            <w:r>
              <w:rPr>
                <w:sz w:val="20"/>
                <w:szCs w:val="20"/>
                <w:lang w:eastAsia="ar-SA"/>
              </w:rPr>
              <w:t>LR</w:t>
            </w:r>
            <w:r w:rsidRPr="000A2DE2">
              <w:rPr>
                <w:sz w:val="20"/>
                <w:szCs w:val="20"/>
                <w:lang w:eastAsia="ar-SA"/>
              </w:rPr>
              <w:t>, 2019.</w:t>
            </w:r>
            <w:r w:rsidR="000B0D02">
              <w:rPr>
                <w:sz w:val="20"/>
                <w:szCs w:val="20"/>
                <w:lang w:eastAsia="ar-SA"/>
              </w:rPr>
              <w:t> </w:t>
            </w:r>
            <w:r w:rsidRPr="000A2DE2">
              <w:rPr>
                <w:sz w:val="20"/>
                <w:szCs w:val="20"/>
                <w:lang w:eastAsia="ar-SA"/>
              </w:rPr>
              <w:t>gadā tika veikti grozījumi likumā “Par skaidras naudas deklarēšanu uz valsts robežas” (</w:t>
            </w:r>
            <w:r>
              <w:rPr>
                <w:sz w:val="20"/>
                <w:szCs w:val="20"/>
                <w:lang w:eastAsia="ar-SA"/>
              </w:rPr>
              <w:t>l</w:t>
            </w:r>
            <w:r w:rsidRPr="000A2DE2">
              <w:rPr>
                <w:sz w:val="20"/>
                <w:szCs w:val="20"/>
                <w:lang w:eastAsia="ar-SA"/>
              </w:rPr>
              <w:t>ikums). Tādējādi stiprinot valsts spējas cīnīties ar noziedzīgi iegūtu līdzekļu legalizāciju, terorisma finansēšanu un proliferāciju un samazinot vispārējos NILLT</w:t>
            </w:r>
            <w:r>
              <w:rPr>
                <w:sz w:val="20"/>
                <w:szCs w:val="20"/>
                <w:lang w:eastAsia="ar-SA"/>
              </w:rPr>
              <w:t>P</w:t>
            </w:r>
            <w:r w:rsidRPr="000A2DE2">
              <w:rPr>
                <w:sz w:val="20"/>
                <w:szCs w:val="20"/>
                <w:lang w:eastAsia="ar-SA"/>
              </w:rPr>
              <w:t>F riskus, nodrošinot atbilstību starptautiskajām saistībām un standartiem NILLT</w:t>
            </w:r>
            <w:r>
              <w:rPr>
                <w:sz w:val="20"/>
                <w:szCs w:val="20"/>
                <w:lang w:eastAsia="ar-SA"/>
              </w:rPr>
              <w:t>P</w:t>
            </w:r>
            <w:r w:rsidRPr="000A2DE2">
              <w:rPr>
                <w:sz w:val="20"/>
                <w:szCs w:val="20"/>
                <w:lang w:eastAsia="ar-SA"/>
              </w:rPr>
              <w:t>F</w:t>
            </w:r>
            <w:r>
              <w:rPr>
                <w:sz w:val="20"/>
                <w:szCs w:val="20"/>
                <w:lang w:eastAsia="ar-SA"/>
              </w:rPr>
              <w:t xml:space="preserve">N </w:t>
            </w:r>
            <w:r w:rsidRPr="000A2DE2">
              <w:rPr>
                <w:sz w:val="20"/>
                <w:szCs w:val="20"/>
                <w:lang w:eastAsia="ar-SA"/>
              </w:rPr>
              <w:t xml:space="preserve">jomā un veicinot sabiedrisko drošību, ekonomiskas vides konkurētspēju un uzticamību Latvijas jurisdikcijai. Grozījumi likumā tika iniciēti saskaņā ar </w:t>
            </w:r>
            <w:proofErr w:type="spellStart"/>
            <w:r w:rsidRPr="009711F7">
              <w:rPr>
                <w:i/>
                <w:iCs/>
                <w:sz w:val="20"/>
                <w:szCs w:val="20"/>
                <w:lang w:eastAsia="ar-SA"/>
              </w:rPr>
              <w:t>Moneyval</w:t>
            </w:r>
            <w:proofErr w:type="spellEnd"/>
            <w:r w:rsidRPr="000A2DE2">
              <w:rPr>
                <w:sz w:val="20"/>
                <w:szCs w:val="20"/>
                <w:lang w:eastAsia="ar-SA"/>
              </w:rPr>
              <w:t xml:space="preserve"> 5.kārtas novērtēšanas ziņojumā ietverto rekomendāciju par pasākumiem, kuri Latvijai jāveic, lai nodrošinātu vairāk atturošu sistēmu attiecībā uz robežas nedeklarētās vai nepatiesi deklarētās skaidras naudas arestēšanu un konfiskāciju.</w:t>
            </w:r>
          </w:p>
          <w:p w:rsidR="000D12AF" w:rsidRDefault="000D12AF" w:rsidP="003C3159">
            <w:pPr>
              <w:spacing w:line="220" w:lineRule="exact"/>
              <w:jc w:val="both"/>
              <w:rPr>
                <w:sz w:val="20"/>
                <w:szCs w:val="20"/>
                <w:lang w:eastAsia="ar-SA"/>
              </w:rPr>
            </w:pPr>
          </w:p>
          <w:p w:rsidR="000D12AF" w:rsidRPr="000A2DE2" w:rsidRDefault="000D12AF" w:rsidP="003C3159">
            <w:pPr>
              <w:spacing w:line="220" w:lineRule="exact"/>
              <w:jc w:val="both"/>
              <w:rPr>
                <w:sz w:val="20"/>
                <w:szCs w:val="20"/>
                <w:lang w:eastAsia="ar-SA"/>
              </w:rPr>
            </w:pPr>
            <w:r w:rsidRPr="000A2DE2">
              <w:rPr>
                <w:sz w:val="20"/>
                <w:szCs w:val="20"/>
                <w:lang w:eastAsia="ar-SA"/>
              </w:rPr>
              <w:t xml:space="preserve">Ar šiem grozījumiem tika precizēts Likuma mērķa tvērums un darbības joma attiecībā uz </w:t>
            </w:r>
            <w:r>
              <w:rPr>
                <w:sz w:val="20"/>
                <w:szCs w:val="20"/>
                <w:lang w:eastAsia="ar-SA"/>
              </w:rPr>
              <w:t>LR</w:t>
            </w:r>
            <w:r w:rsidRPr="000A2DE2">
              <w:rPr>
                <w:sz w:val="20"/>
                <w:szCs w:val="20"/>
                <w:lang w:eastAsia="ar-SA"/>
              </w:rPr>
              <w:t xml:space="preserve"> iekšējo robežu ar ES dalībvalstīm, nosakot nedeklarētas vai noziedzīgi iegūtas skaidras naudas aizturēšanas nosacījumus un administratīvo atbildību par skaidras naudas deklarēšanas pienākuma neizpildīšanu uz valsts robežas un kompetenci sodu piemērošanā. Vienlaikus ir noteikts jauns subjektu loks – fiziskās personas, kurām šķērsojot valsts iekšējo robežu ievedot vai izvedot no L</w:t>
            </w:r>
            <w:r>
              <w:rPr>
                <w:sz w:val="20"/>
                <w:szCs w:val="20"/>
                <w:lang w:eastAsia="ar-SA"/>
              </w:rPr>
              <w:t xml:space="preserve">R </w:t>
            </w:r>
            <w:r w:rsidRPr="000A2DE2">
              <w:rPr>
                <w:sz w:val="20"/>
                <w:szCs w:val="20"/>
                <w:lang w:eastAsia="ar-SA"/>
              </w:rPr>
              <w:t>skaidru naudu vismaz 10</w:t>
            </w:r>
            <w:r>
              <w:rPr>
                <w:sz w:val="20"/>
                <w:szCs w:val="20"/>
                <w:lang w:eastAsia="ar-SA"/>
              </w:rPr>
              <w:t> </w:t>
            </w:r>
            <w:r w:rsidRPr="000A2DE2">
              <w:rPr>
                <w:sz w:val="20"/>
                <w:szCs w:val="20"/>
                <w:lang w:eastAsia="ar-SA"/>
              </w:rPr>
              <w:t>000</w:t>
            </w:r>
            <w:r>
              <w:rPr>
                <w:sz w:val="20"/>
                <w:szCs w:val="20"/>
                <w:lang w:eastAsia="ar-SA"/>
              </w:rPr>
              <w:t> </w:t>
            </w:r>
            <w:r w:rsidRPr="009711F7">
              <w:rPr>
                <w:i/>
                <w:iCs/>
                <w:sz w:val="20"/>
                <w:szCs w:val="20"/>
                <w:lang w:eastAsia="ar-SA"/>
              </w:rPr>
              <w:t>euro</w:t>
            </w:r>
            <w:r w:rsidRPr="000A2DE2">
              <w:rPr>
                <w:sz w:val="20"/>
                <w:szCs w:val="20"/>
                <w:lang w:eastAsia="ar-SA"/>
              </w:rPr>
              <w:t xml:space="preserve"> apmērā vai vairāk, pēc kompetentās iestādes amatpersonas pieprasījuma ir pienākums rakstveidā aizpildīt skaidras naudas deklarācijas veidlapu.</w:t>
            </w:r>
          </w:p>
          <w:p w:rsidR="000D12AF" w:rsidRPr="000A2DE2" w:rsidRDefault="000D12AF" w:rsidP="003C3159">
            <w:pPr>
              <w:spacing w:line="220" w:lineRule="exact"/>
              <w:jc w:val="both"/>
              <w:rPr>
                <w:sz w:val="20"/>
                <w:szCs w:val="20"/>
                <w:lang w:eastAsia="ar-SA"/>
              </w:rPr>
            </w:pPr>
          </w:p>
          <w:p w:rsidR="000D12AF" w:rsidRDefault="000D12AF" w:rsidP="003C3159">
            <w:pPr>
              <w:spacing w:line="220" w:lineRule="exact"/>
              <w:jc w:val="both"/>
              <w:rPr>
                <w:sz w:val="20"/>
                <w:szCs w:val="20"/>
                <w:lang w:eastAsia="ar-SA"/>
              </w:rPr>
            </w:pPr>
            <w:r w:rsidRPr="000A2DE2">
              <w:rPr>
                <w:sz w:val="20"/>
                <w:szCs w:val="20"/>
                <w:lang w:eastAsia="ar-SA"/>
              </w:rPr>
              <w:t>ES dalībvalstīs ar 2021.</w:t>
            </w:r>
            <w:r w:rsidR="000B0D02">
              <w:rPr>
                <w:sz w:val="20"/>
                <w:szCs w:val="20"/>
                <w:lang w:eastAsia="ar-SA"/>
              </w:rPr>
              <w:t> </w:t>
            </w:r>
            <w:r w:rsidRPr="000A2DE2">
              <w:rPr>
                <w:sz w:val="20"/>
                <w:szCs w:val="20"/>
                <w:lang w:eastAsia="ar-SA"/>
              </w:rPr>
              <w:t>gada 3.</w:t>
            </w:r>
            <w:r w:rsidR="000B0D02">
              <w:rPr>
                <w:sz w:val="20"/>
                <w:szCs w:val="20"/>
                <w:lang w:eastAsia="ar-SA"/>
              </w:rPr>
              <w:t> </w:t>
            </w:r>
            <w:r w:rsidRPr="000A2DE2">
              <w:rPr>
                <w:sz w:val="20"/>
                <w:szCs w:val="20"/>
                <w:lang w:eastAsia="ar-SA"/>
              </w:rPr>
              <w:t>jūniju tiek piemērota Eiropas Parlamenta un Padomes 2018.</w:t>
            </w:r>
            <w:r w:rsidR="000B0D02">
              <w:rPr>
                <w:sz w:val="20"/>
                <w:szCs w:val="20"/>
                <w:lang w:eastAsia="ar-SA"/>
              </w:rPr>
              <w:t> </w:t>
            </w:r>
            <w:r w:rsidRPr="000A2DE2">
              <w:rPr>
                <w:sz w:val="20"/>
                <w:szCs w:val="20"/>
                <w:lang w:eastAsia="ar-SA"/>
              </w:rPr>
              <w:t>gada 23.</w:t>
            </w:r>
            <w:r w:rsidR="000B0D02">
              <w:rPr>
                <w:sz w:val="20"/>
                <w:szCs w:val="20"/>
                <w:lang w:eastAsia="ar-SA"/>
              </w:rPr>
              <w:t> </w:t>
            </w:r>
            <w:r w:rsidRPr="000A2DE2">
              <w:rPr>
                <w:sz w:val="20"/>
                <w:szCs w:val="20"/>
                <w:lang w:eastAsia="ar-SA"/>
              </w:rPr>
              <w:t>oktobra Regula (ES) 2018/1672 par Savienības teritorijā ievestās skaidras naudas vai no tās izvestās skaidras naudas kontroli un par Regulas (EK) Nr.1889/2005 atcelšanu</w:t>
            </w:r>
            <w:r>
              <w:rPr>
                <w:sz w:val="20"/>
                <w:szCs w:val="20"/>
                <w:lang w:eastAsia="ar-SA"/>
              </w:rPr>
              <w:t xml:space="preserve"> (</w:t>
            </w:r>
            <w:r w:rsidRPr="000A2DE2">
              <w:rPr>
                <w:sz w:val="20"/>
                <w:szCs w:val="20"/>
                <w:lang w:eastAsia="ar-SA"/>
              </w:rPr>
              <w:t>regula Nr.2018/1672). Saskaņā ar minēto regulu tiek izveidota kontroles sistēma skaidrai naudai, ko ieved ES vai izved no tās, lai papildinātu Direktīvā (ES) 2015/849 noteikto tiesisko regulējumu nelikumīgi iegūtu līdzekļu legalizācijas un teroristu finansēšanas novēršanai. Viena no būtiskākajām izmaiņām regulā Nr.2018/1672, paredz, ka, lai ES dalībvalstu kompetentās iestādes vienveidīgi īsteno skaidras naudas kontroli, E</w:t>
            </w:r>
            <w:r>
              <w:rPr>
                <w:sz w:val="20"/>
                <w:szCs w:val="20"/>
                <w:lang w:eastAsia="ar-SA"/>
              </w:rPr>
              <w:t>K</w:t>
            </w:r>
            <w:r w:rsidRPr="000A2DE2">
              <w:rPr>
                <w:sz w:val="20"/>
                <w:szCs w:val="20"/>
                <w:lang w:eastAsia="ar-SA"/>
              </w:rPr>
              <w:t xml:space="preserve">, izmantojot īstenošanas aktu (Regula Nr.2021/776), pieņēma paraugus regulas 2018/1672 3.panta 3.punktā minētajai skaidras naudas deklarācijas veidlapai (pavadītai naudai) </w:t>
            </w:r>
            <w:proofErr w:type="spellStart"/>
            <w:r w:rsidRPr="00C0137C">
              <w:rPr>
                <w:i/>
                <w:iCs/>
                <w:sz w:val="20"/>
                <w:szCs w:val="20"/>
                <w:lang w:eastAsia="ar-SA"/>
              </w:rPr>
              <w:t>Cash</w:t>
            </w:r>
            <w:proofErr w:type="spellEnd"/>
            <w:r w:rsidRPr="00C0137C">
              <w:rPr>
                <w:i/>
                <w:iCs/>
                <w:sz w:val="20"/>
                <w:szCs w:val="20"/>
                <w:lang w:eastAsia="ar-SA"/>
              </w:rPr>
              <w:t xml:space="preserve"> </w:t>
            </w:r>
            <w:proofErr w:type="spellStart"/>
            <w:r w:rsidRPr="00C0137C">
              <w:rPr>
                <w:i/>
                <w:iCs/>
                <w:sz w:val="20"/>
                <w:szCs w:val="20"/>
                <w:lang w:eastAsia="ar-SA"/>
              </w:rPr>
              <w:t>declaration</w:t>
            </w:r>
            <w:proofErr w:type="spellEnd"/>
            <w:r w:rsidRPr="00C0137C">
              <w:rPr>
                <w:i/>
                <w:iCs/>
                <w:sz w:val="20"/>
                <w:szCs w:val="20"/>
                <w:lang w:eastAsia="ar-SA"/>
              </w:rPr>
              <w:t xml:space="preserve"> </w:t>
            </w:r>
            <w:proofErr w:type="spellStart"/>
            <w:r w:rsidRPr="00C0137C">
              <w:rPr>
                <w:i/>
                <w:iCs/>
                <w:sz w:val="20"/>
                <w:szCs w:val="20"/>
                <w:lang w:eastAsia="ar-SA"/>
              </w:rPr>
              <w:t>form</w:t>
            </w:r>
            <w:proofErr w:type="spellEnd"/>
            <w:r w:rsidRPr="000A2DE2">
              <w:rPr>
                <w:sz w:val="20"/>
                <w:szCs w:val="20"/>
                <w:lang w:eastAsia="ar-SA"/>
              </w:rPr>
              <w:t xml:space="preserve"> un 4.panta 3.punktā minētajai skaidras naudas informācijas atklāšanas deklarācijas veidlapai (nepavadītai naudai) </w:t>
            </w:r>
            <w:proofErr w:type="spellStart"/>
            <w:r w:rsidRPr="00296236">
              <w:rPr>
                <w:i/>
                <w:iCs/>
                <w:sz w:val="20"/>
                <w:szCs w:val="20"/>
                <w:lang w:eastAsia="ar-SA"/>
              </w:rPr>
              <w:t>Cash</w:t>
            </w:r>
            <w:proofErr w:type="spellEnd"/>
            <w:r w:rsidRPr="00296236">
              <w:rPr>
                <w:i/>
                <w:iCs/>
                <w:sz w:val="20"/>
                <w:szCs w:val="20"/>
                <w:lang w:eastAsia="ar-SA"/>
              </w:rPr>
              <w:t xml:space="preserve"> </w:t>
            </w:r>
            <w:proofErr w:type="spellStart"/>
            <w:r w:rsidRPr="00296236">
              <w:rPr>
                <w:i/>
                <w:iCs/>
                <w:sz w:val="20"/>
                <w:szCs w:val="20"/>
                <w:lang w:eastAsia="ar-SA"/>
              </w:rPr>
              <w:t>disclosure</w:t>
            </w:r>
            <w:proofErr w:type="spellEnd"/>
            <w:r w:rsidRPr="00296236">
              <w:rPr>
                <w:i/>
                <w:iCs/>
                <w:sz w:val="20"/>
                <w:szCs w:val="20"/>
                <w:lang w:eastAsia="ar-SA"/>
              </w:rPr>
              <w:t xml:space="preserve"> </w:t>
            </w:r>
            <w:proofErr w:type="spellStart"/>
            <w:r w:rsidRPr="00296236">
              <w:rPr>
                <w:i/>
                <w:iCs/>
                <w:sz w:val="20"/>
                <w:szCs w:val="20"/>
                <w:lang w:eastAsia="ar-SA"/>
              </w:rPr>
              <w:t>form</w:t>
            </w:r>
            <w:proofErr w:type="spellEnd"/>
            <w:r w:rsidRPr="000A2DE2">
              <w:rPr>
                <w:sz w:val="20"/>
                <w:szCs w:val="20"/>
                <w:lang w:eastAsia="ar-SA"/>
              </w:rPr>
              <w:t>.</w:t>
            </w:r>
          </w:p>
          <w:p w:rsidR="006A7DFB" w:rsidRPr="001616C6" w:rsidRDefault="000D12AF" w:rsidP="003C3159">
            <w:pPr>
              <w:spacing w:line="220" w:lineRule="exact"/>
              <w:jc w:val="both"/>
              <w:rPr>
                <w:sz w:val="20"/>
                <w:szCs w:val="20"/>
                <w:lang w:eastAsia="ar-SA"/>
              </w:rPr>
            </w:pPr>
            <w:r w:rsidRPr="000A2DE2">
              <w:rPr>
                <w:sz w:val="20"/>
                <w:szCs w:val="20"/>
                <w:lang w:eastAsia="ar-SA"/>
              </w:rPr>
              <w:t>Lai nodrošinātu regulas Nr.2018/1672 piemērošanu un paplašinātu Likuma tvērumu, Valsts sekretāru 2021.</w:t>
            </w:r>
            <w:r w:rsidR="000B0D02">
              <w:rPr>
                <w:sz w:val="20"/>
                <w:szCs w:val="20"/>
                <w:lang w:eastAsia="ar-SA"/>
              </w:rPr>
              <w:t> </w:t>
            </w:r>
            <w:r w:rsidRPr="000A2DE2">
              <w:rPr>
                <w:sz w:val="20"/>
                <w:szCs w:val="20"/>
                <w:lang w:eastAsia="ar-SA"/>
              </w:rPr>
              <w:t>gada 21.</w:t>
            </w:r>
            <w:r w:rsidR="000B0D02">
              <w:rPr>
                <w:sz w:val="20"/>
                <w:szCs w:val="20"/>
                <w:lang w:eastAsia="ar-SA"/>
              </w:rPr>
              <w:t> </w:t>
            </w:r>
            <w:r w:rsidRPr="000A2DE2">
              <w:rPr>
                <w:sz w:val="20"/>
                <w:szCs w:val="20"/>
                <w:lang w:eastAsia="ar-SA"/>
              </w:rPr>
              <w:t>aprīļa sanāksmē izsludināts likumprojekts “Grozījumi likumā “Skaidras naudas deklarēšana uz valsts robežas”” (likumprojekts). Likumprojektā, papildus jau Regulā Nr.1889/2005 noteiktajam (valūta un apgrozāmi uzrādītāja instrumenti), tiek paplašināta skaidras naudas definīcija, paredzot skaidras naudas kontroli arī precēm, ko izmanto kā vērtības uzkrāšanas līdzekļus ar augstu likviditāti un priekšapmaksas kartes. Vienlaikus likumprojektā tiek paredzēts, ka kompetentās iestādes ne tikai uz valsts ārējās robežas, bet arī uz valsts iekšējās robežas kontrolēs gan skaidru naudu, gan nepavadītu skaidru naudu, proti, skaidru nauda, kas nosūtīta pasta, kurjera vai kravas sūtījumos, tādējādi mazinot ēnu ekonomikas riskus</w:t>
            </w:r>
            <w:r>
              <w:rPr>
                <w:sz w:val="20"/>
                <w:szCs w:val="20"/>
                <w:lang w:eastAsia="ar-SA"/>
              </w:rPr>
              <w:t xml:space="preserve">, </w:t>
            </w:r>
            <w:r w:rsidRPr="000A2DE2">
              <w:rPr>
                <w:sz w:val="20"/>
                <w:szCs w:val="20"/>
                <w:lang w:eastAsia="ar-SA"/>
              </w:rPr>
              <w:t>veicinot cīņu un samazinot vispārējos NILLT</w:t>
            </w:r>
            <w:r>
              <w:rPr>
                <w:sz w:val="20"/>
                <w:szCs w:val="20"/>
                <w:lang w:eastAsia="ar-SA"/>
              </w:rPr>
              <w:t>P</w:t>
            </w:r>
            <w:r w:rsidRPr="000A2DE2">
              <w:rPr>
                <w:sz w:val="20"/>
                <w:szCs w:val="20"/>
                <w:lang w:eastAsia="ar-SA"/>
              </w:rPr>
              <w:t>F riskus</w:t>
            </w:r>
            <w:r>
              <w:rPr>
                <w:sz w:val="20"/>
                <w:szCs w:val="20"/>
                <w:lang w:eastAsia="ar-SA"/>
              </w:rPr>
              <w:t>.</w:t>
            </w:r>
          </w:p>
        </w:tc>
        <w:tc>
          <w:tcPr>
            <w:tcW w:w="2551" w:type="dxa"/>
          </w:tcPr>
          <w:p w:rsidR="000D12AF" w:rsidRDefault="000D12AF" w:rsidP="000D12AF">
            <w:pPr>
              <w:jc w:val="both"/>
              <w:rPr>
                <w:rFonts w:cs="Times New Roman"/>
                <w:bCs/>
                <w:sz w:val="20"/>
                <w:szCs w:val="20"/>
              </w:rPr>
            </w:pPr>
            <w:r>
              <w:rPr>
                <w:rFonts w:cs="Times New Roman"/>
                <w:bCs/>
                <w:sz w:val="20"/>
                <w:szCs w:val="20"/>
              </w:rPr>
              <w:t>Izvērtēti riski skaidras naudas aprites kontrolē gan pār ES ārējo robežu, gan Latvijas valsts iekšējo robežu un pilnveidots normatīvo aktu regulējums, lai mazinātu riskus noziedzīgi iegūtu līdzekļu pārvietošanai pār robežu, uzlabotu kontroles iespējas un ieviestu ES tiesību aktos noteiktās prasības.</w:t>
            </w:r>
          </w:p>
          <w:p w:rsidR="000D12AF" w:rsidRPr="0036022E" w:rsidRDefault="000D12AF" w:rsidP="000D12AF">
            <w:pPr>
              <w:jc w:val="both"/>
              <w:rPr>
                <w:rFonts w:cs="Times New Roman"/>
                <w:bCs/>
                <w:sz w:val="20"/>
                <w:szCs w:val="20"/>
              </w:rPr>
            </w:pPr>
          </w:p>
        </w:tc>
        <w:tc>
          <w:tcPr>
            <w:tcW w:w="1985" w:type="dxa"/>
          </w:tcPr>
          <w:p w:rsidR="000D12AF" w:rsidRPr="0036022E" w:rsidRDefault="000D12AF" w:rsidP="00082F27">
            <w:pPr>
              <w:jc w:val="both"/>
              <w:rPr>
                <w:rFonts w:cs="Times New Roman"/>
                <w:bCs/>
                <w:sz w:val="20"/>
                <w:szCs w:val="20"/>
              </w:rPr>
            </w:pPr>
            <w:r>
              <w:rPr>
                <w:rFonts w:cs="Times New Roman"/>
                <w:bCs/>
                <w:sz w:val="20"/>
                <w:szCs w:val="20"/>
              </w:rPr>
              <w:t xml:space="preserve">Izvērtētas iespējas un sniegti priekšlikumi pilnveidot normatīvo regulējumu skaidras naudas pārvietošanai pār ES ārējai robežai un Latvijas iekšējai robežai. </w:t>
            </w:r>
          </w:p>
        </w:tc>
        <w:tc>
          <w:tcPr>
            <w:tcW w:w="1275" w:type="dxa"/>
          </w:tcPr>
          <w:p w:rsidR="000D12AF" w:rsidRDefault="000D12AF" w:rsidP="000D12AF">
            <w:pPr>
              <w:jc w:val="center"/>
              <w:rPr>
                <w:rFonts w:cs="Times New Roman"/>
                <w:bCs/>
                <w:sz w:val="20"/>
                <w:szCs w:val="20"/>
              </w:rPr>
            </w:pPr>
            <w:r w:rsidRPr="0036022E">
              <w:rPr>
                <w:rFonts w:cs="Times New Roman"/>
                <w:bCs/>
                <w:sz w:val="20"/>
                <w:szCs w:val="20"/>
              </w:rPr>
              <w:t xml:space="preserve">VID, </w:t>
            </w:r>
          </w:p>
          <w:p w:rsidR="000D12AF" w:rsidRPr="0036022E" w:rsidRDefault="000D12AF" w:rsidP="000D12AF">
            <w:pPr>
              <w:jc w:val="center"/>
              <w:rPr>
                <w:rFonts w:cs="Times New Roman"/>
                <w:bCs/>
                <w:sz w:val="20"/>
                <w:szCs w:val="20"/>
              </w:rPr>
            </w:pPr>
            <w:r w:rsidRPr="0036022E">
              <w:rPr>
                <w:rFonts w:cs="Times New Roman"/>
                <w:bCs/>
                <w:sz w:val="20"/>
                <w:szCs w:val="20"/>
              </w:rPr>
              <w:t>FM</w:t>
            </w:r>
          </w:p>
        </w:tc>
        <w:tc>
          <w:tcPr>
            <w:tcW w:w="1134" w:type="dxa"/>
          </w:tcPr>
          <w:p w:rsidR="000D12AF" w:rsidRDefault="000D12AF" w:rsidP="000D12AF">
            <w:pPr>
              <w:jc w:val="center"/>
              <w:rPr>
                <w:rFonts w:cs="Times New Roman"/>
                <w:bCs/>
                <w:sz w:val="20"/>
                <w:szCs w:val="20"/>
              </w:rPr>
            </w:pPr>
            <w:r w:rsidRPr="0036022E">
              <w:rPr>
                <w:rFonts w:cs="Times New Roman"/>
                <w:bCs/>
                <w:sz w:val="20"/>
                <w:szCs w:val="20"/>
              </w:rPr>
              <w:t>FID,</w:t>
            </w:r>
          </w:p>
          <w:p w:rsidR="000D12AF" w:rsidRDefault="000D12AF" w:rsidP="000D12AF">
            <w:pPr>
              <w:jc w:val="center"/>
              <w:rPr>
                <w:rFonts w:cs="Times New Roman"/>
                <w:bCs/>
                <w:sz w:val="20"/>
                <w:szCs w:val="20"/>
              </w:rPr>
            </w:pPr>
            <w:r w:rsidRPr="0036022E">
              <w:rPr>
                <w:rFonts w:cs="Times New Roman"/>
                <w:bCs/>
                <w:sz w:val="20"/>
                <w:szCs w:val="20"/>
              </w:rPr>
              <w:t>IeM,</w:t>
            </w:r>
          </w:p>
          <w:p w:rsidR="000D12AF" w:rsidRPr="0036022E" w:rsidRDefault="000D12AF" w:rsidP="000D12AF">
            <w:pPr>
              <w:jc w:val="center"/>
              <w:rPr>
                <w:rFonts w:cs="Times New Roman"/>
                <w:bCs/>
                <w:sz w:val="20"/>
                <w:szCs w:val="20"/>
              </w:rPr>
            </w:pPr>
            <w:r w:rsidRPr="0036022E">
              <w:rPr>
                <w:rFonts w:cs="Times New Roman"/>
                <w:bCs/>
                <w:sz w:val="20"/>
                <w:szCs w:val="20"/>
              </w:rPr>
              <w:t>TM</w:t>
            </w:r>
          </w:p>
        </w:tc>
        <w:tc>
          <w:tcPr>
            <w:tcW w:w="1276" w:type="dxa"/>
          </w:tcPr>
          <w:p w:rsidR="000D12AF" w:rsidRPr="0036022E" w:rsidRDefault="000D12AF" w:rsidP="000D12AF">
            <w:pPr>
              <w:jc w:val="center"/>
              <w:rPr>
                <w:rFonts w:cs="Times New Roman"/>
                <w:bCs/>
                <w:sz w:val="20"/>
                <w:szCs w:val="20"/>
              </w:rPr>
            </w:pPr>
            <w:r w:rsidRPr="0036022E">
              <w:rPr>
                <w:rFonts w:cs="Times New Roman"/>
                <w:bCs/>
                <w:sz w:val="20"/>
                <w:szCs w:val="20"/>
              </w:rPr>
              <w:t>3</w:t>
            </w:r>
            <w:r>
              <w:rPr>
                <w:rFonts w:cs="Times New Roman"/>
                <w:bCs/>
                <w:sz w:val="20"/>
                <w:szCs w:val="20"/>
              </w:rPr>
              <w:t>0</w:t>
            </w:r>
            <w:r w:rsidRPr="0036022E">
              <w:rPr>
                <w:rFonts w:cs="Times New Roman"/>
                <w:bCs/>
                <w:sz w:val="20"/>
                <w:szCs w:val="20"/>
              </w:rPr>
              <w:t>.</w:t>
            </w:r>
            <w:r>
              <w:rPr>
                <w:rFonts w:cs="Times New Roman"/>
                <w:bCs/>
                <w:sz w:val="20"/>
                <w:szCs w:val="20"/>
              </w:rPr>
              <w:t>06</w:t>
            </w:r>
            <w:r w:rsidRPr="0036022E">
              <w:rPr>
                <w:rFonts w:cs="Times New Roman"/>
                <w:bCs/>
                <w:sz w:val="20"/>
                <w:szCs w:val="20"/>
              </w:rPr>
              <w:t>.202</w:t>
            </w:r>
            <w:r>
              <w:rPr>
                <w:rFonts w:cs="Times New Roman"/>
                <w:bCs/>
                <w:sz w:val="20"/>
                <w:szCs w:val="20"/>
              </w:rPr>
              <w:t>2</w:t>
            </w:r>
            <w:r w:rsidRPr="0036022E">
              <w:rPr>
                <w:rFonts w:cs="Times New Roman"/>
                <w:bCs/>
                <w:sz w:val="20"/>
                <w:szCs w:val="20"/>
              </w:rPr>
              <w:t>.</w:t>
            </w:r>
          </w:p>
        </w:tc>
      </w:tr>
      <w:tr w:rsidR="000D12AF" w:rsidRPr="00DC0E01" w:rsidTr="00251C83">
        <w:trPr>
          <w:trHeight w:val="454"/>
        </w:trPr>
        <w:tc>
          <w:tcPr>
            <w:tcW w:w="14601" w:type="dxa"/>
            <w:gridSpan w:val="8"/>
            <w:tcBorders>
              <w:bottom w:val="single" w:sz="4" w:space="0" w:color="auto"/>
            </w:tcBorders>
            <w:shd w:val="clear" w:color="auto" w:fill="D9E2F3" w:themeFill="accent5" w:themeFillTint="33"/>
            <w:vAlign w:val="center"/>
          </w:tcPr>
          <w:p w:rsidR="000D12AF" w:rsidRPr="00DC0E01" w:rsidRDefault="000D12AF" w:rsidP="006A19D3">
            <w:pPr>
              <w:pStyle w:val="Heading2"/>
              <w:rPr>
                <w:b/>
                <w:bCs w:val="0"/>
                <w:sz w:val="24"/>
                <w:szCs w:val="24"/>
              </w:rPr>
            </w:pPr>
            <w:bookmarkStart w:id="41" w:name="_Toc86949443"/>
            <w:bookmarkStart w:id="42" w:name="_Hlk86239654"/>
            <w:r w:rsidRPr="00DC0E01">
              <w:rPr>
                <w:sz w:val="24"/>
                <w:szCs w:val="24"/>
              </w:rPr>
              <w:t xml:space="preserve">5. </w:t>
            </w:r>
            <w:bookmarkStart w:id="43" w:name="_Hlk76366691"/>
            <w:r w:rsidR="00F714EC" w:rsidRPr="00DC0E01">
              <w:rPr>
                <w:sz w:val="24"/>
                <w:szCs w:val="24"/>
              </w:rPr>
              <w:t xml:space="preserve">rīcības virziens – </w:t>
            </w:r>
            <w:r w:rsidRPr="00DC0E01">
              <w:rPr>
                <w:sz w:val="24"/>
                <w:szCs w:val="24"/>
              </w:rPr>
              <w:t xml:space="preserve">Nodokļu </w:t>
            </w:r>
            <w:bookmarkEnd w:id="43"/>
            <w:r w:rsidRPr="00DC0E01">
              <w:rPr>
                <w:sz w:val="24"/>
                <w:szCs w:val="24"/>
              </w:rPr>
              <w:t>nomaksas veicināšana</w:t>
            </w:r>
            <w:bookmarkEnd w:id="41"/>
          </w:p>
        </w:tc>
      </w:tr>
      <w:tr w:rsidR="00AB62C1" w:rsidRPr="008C51D3" w:rsidTr="00251C83">
        <w:tblPrEx>
          <w:tblCellMar>
            <w:left w:w="108" w:type="dxa"/>
            <w:right w:w="108" w:type="dxa"/>
          </w:tblCellMar>
        </w:tblPrEx>
        <w:trPr>
          <w:trHeight w:val="269"/>
        </w:trPr>
        <w:tc>
          <w:tcPr>
            <w:tcW w:w="568" w:type="dxa"/>
            <w:tcBorders>
              <w:top w:val="single" w:sz="4" w:space="0" w:color="auto"/>
              <w:bottom w:val="single" w:sz="4" w:space="0" w:color="auto"/>
            </w:tcBorders>
            <w:shd w:val="clear" w:color="auto" w:fill="auto"/>
          </w:tcPr>
          <w:p w:rsidR="00AB62C1" w:rsidRPr="008C51D3" w:rsidRDefault="00AB62C1" w:rsidP="00AB62C1">
            <w:pPr>
              <w:ind w:right="-21"/>
              <w:rPr>
                <w:rFonts w:cs="Times New Roman"/>
                <w:bCs/>
                <w:color w:val="000000" w:themeColor="text1"/>
                <w:sz w:val="20"/>
                <w:szCs w:val="20"/>
              </w:rPr>
            </w:pPr>
            <w:r w:rsidRPr="008C51D3">
              <w:rPr>
                <w:rFonts w:cs="Times New Roman"/>
                <w:bCs/>
                <w:color w:val="000000" w:themeColor="text1"/>
                <w:sz w:val="20"/>
                <w:szCs w:val="20"/>
              </w:rPr>
              <w:t>5.1.</w:t>
            </w:r>
          </w:p>
        </w:tc>
        <w:tc>
          <w:tcPr>
            <w:tcW w:w="2268" w:type="dxa"/>
            <w:tcBorders>
              <w:top w:val="single" w:sz="4" w:space="0" w:color="auto"/>
              <w:left w:val="nil"/>
              <w:bottom w:val="single" w:sz="4" w:space="0" w:color="auto"/>
              <w:right w:val="single" w:sz="4" w:space="0" w:color="auto"/>
            </w:tcBorders>
          </w:tcPr>
          <w:p w:rsidR="00AB62C1" w:rsidRPr="00AB62C1" w:rsidRDefault="00AB62C1" w:rsidP="00AB62C1">
            <w:pPr>
              <w:jc w:val="both"/>
              <w:rPr>
                <w:sz w:val="20"/>
                <w:szCs w:val="20"/>
              </w:rPr>
            </w:pPr>
            <w:r w:rsidRPr="00AB62C1">
              <w:rPr>
                <w:sz w:val="20"/>
                <w:szCs w:val="20"/>
              </w:rPr>
              <w:t xml:space="preserve">Izstrādāt normatīvo </w:t>
            </w:r>
            <w:r w:rsidRPr="00AB62C1">
              <w:rPr>
                <w:color w:val="000000"/>
                <w:sz w:val="20"/>
                <w:szCs w:val="20"/>
              </w:rPr>
              <w:t xml:space="preserve">regulējumu par ikgadējo vispārējo iedzīvotāju ienākumu </w:t>
            </w:r>
            <w:r w:rsidRPr="00AB62C1">
              <w:rPr>
                <w:sz w:val="20"/>
                <w:szCs w:val="20"/>
              </w:rPr>
              <w:t>deklarēšanas pienākumu.</w:t>
            </w:r>
          </w:p>
          <w:p w:rsidR="00AB62C1" w:rsidRPr="00AB62C1" w:rsidRDefault="00AB62C1" w:rsidP="00AB62C1">
            <w:pPr>
              <w:jc w:val="both"/>
              <w:rPr>
                <w:sz w:val="20"/>
                <w:szCs w:val="20"/>
              </w:rPr>
            </w:pPr>
          </w:p>
          <w:p w:rsidR="00AB62C1" w:rsidRPr="00AB62C1" w:rsidRDefault="00AB62C1" w:rsidP="00AB62C1">
            <w:pPr>
              <w:jc w:val="both"/>
              <w:rPr>
                <w:rFonts w:cs="Times New Roman"/>
                <w:color w:val="000000" w:themeColor="text1"/>
                <w:sz w:val="20"/>
                <w:szCs w:val="20"/>
              </w:rPr>
            </w:pPr>
          </w:p>
        </w:tc>
        <w:tc>
          <w:tcPr>
            <w:tcW w:w="3544" w:type="dxa"/>
            <w:tcBorders>
              <w:top w:val="single" w:sz="4" w:space="0" w:color="auto"/>
              <w:left w:val="single" w:sz="4" w:space="0" w:color="auto"/>
              <w:bottom w:val="single" w:sz="4" w:space="0" w:color="auto"/>
              <w:right w:val="single" w:sz="4" w:space="0" w:color="auto"/>
            </w:tcBorders>
          </w:tcPr>
          <w:p w:rsidR="00AB62C1" w:rsidRPr="00AB62C1" w:rsidRDefault="00AB62C1" w:rsidP="00AB62C1">
            <w:pPr>
              <w:spacing w:line="220" w:lineRule="exact"/>
              <w:jc w:val="both"/>
              <w:rPr>
                <w:rFonts w:cs="Times New Roman"/>
                <w:color w:val="000000" w:themeColor="text1"/>
                <w:sz w:val="20"/>
                <w:szCs w:val="20"/>
              </w:rPr>
            </w:pPr>
            <w:r w:rsidRPr="00AB62C1">
              <w:rPr>
                <w:sz w:val="20"/>
                <w:szCs w:val="20"/>
              </w:rPr>
              <w:t>Saskaņā ar Ēnu ekonomikas apkarošanas padomē 2021.</w:t>
            </w:r>
            <w:r w:rsidR="0081170B">
              <w:rPr>
                <w:sz w:val="20"/>
                <w:szCs w:val="20"/>
              </w:rPr>
              <w:t> </w:t>
            </w:r>
            <w:r w:rsidRPr="00AB62C1">
              <w:rPr>
                <w:sz w:val="20"/>
                <w:szCs w:val="20"/>
              </w:rPr>
              <w:t>gada 23.</w:t>
            </w:r>
            <w:r w:rsidR="0081170B">
              <w:rPr>
                <w:sz w:val="20"/>
                <w:szCs w:val="20"/>
              </w:rPr>
              <w:t> </w:t>
            </w:r>
            <w:r w:rsidRPr="00AB62C1">
              <w:rPr>
                <w:sz w:val="20"/>
                <w:szCs w:val="20"/>
              </w:rPr>
              <w:t>septembrī izdiskutēto pieņemts lēmums (padomes protokola Nr.</w:t>
            </w:r>
            <w:r w:rsidR="0081170B">
              <w:rPr>
                <w:sz w:val="20"/>
                <w:szCs w:val="20"/>
              </w:rPr>
              <w:t> </w:t>
            </w:r>
            <w:r w:rsidRPr="00AB62C1">
              <w:rPr>
                <w:sz w:val="20"/>
                <w:szCs w:val="20"/>
              </w:rPr>
              <w:t>9, 4.</w:t>
            </w:r>
            <w:r w:rsidR="0081170B">
              <w:rPr>
                <w:sz w:val="20"/>
                <w:szCs w:val="20"/>
              </w:rPr>
              <w:t> </w:t>
            </w:r>
            <w:r w:rsidRPr="00AB62C1">
              <w:rPr>
                <w:sz w:val="20"/>
                <w:szCs w:val="20"/>
              </w:rPr>
              <w:t>punkts) izstrādāt normatīvo regulējumu par vispārējo iedzīvotāju ienākumu deklarēšanas pienākumu, paredzot, ka ar 2023.</w:t>
            </w:r>
            <w:r w:rsidR="0081170B">
              <w:rPr>
                <w:sz w:val="20"/>
                <w:szCs w:val="20"/>
              </w:rPr>
              <w:t> </w:t>
            </w:r>
            <w:r w:rsidRPr="00AB62C1">
              <w:rPr>
                <w:sz w:val="20"/>
                <w:szCs w:val="20"/>
              </w:rPr>
              <w:t>gadu visi iedzīvotāji deklarēs savus ienākumus par 2022.</w:t>
            </w:r>
            <w:r w:rsidR="0081170B">
              <w:rPr>
                <w:sz w:val="20"/>
                <w:szCs w:val="20"/>
              </w:rPr>
              <w:t> </w:t>
            </w:r>
            <w:r w:rsidRPr="00AB62C1">
              <w:rPr>
                <w:sz w:val="20"/>
                <w:szCs w:val="20"/>
              </w:rPr>
              <w:t>gadu un turpmāk katru gadu.</w:t>
            </w:r>
          </w:p>
        </w:tc>
        <w:tc>
          <w:tcPr>
            <w:tcW w:w="2551" w:type="dxa"/>
            <w:tcBorders>
              <w:top w:val="single" w:sz="4" w:space="0" w:color="auto"/>
              <w:left w:val="single" w:sz="4" w:space="0" w:color="auto"/>
              <w:bottom w:val="single" w:sz="4" w:space="0" w:color="auto"/>
              <w:right w:val="single" w:sz="4" w:space="0" w:color="auto"/>
            </w:tcBorders>
          </w:tcPr>
          <w:p w:rsidR="00AB62C1" w:rsidRPr="00AB62C1" w:rsidRDefault="00AB62C1" w:rsidP="00AB62C1">
            <w:pPr>
              <w:jc w:val="both"/>
              <w:rPr>
                <w:rFonts w:cs="Times New Roman"/>
                <w:color w:val="000000" w:themeColor="text1"/>
                <w:sz w:val="20"/>
                <w:szCs w:val="20"/>
              </w:rPr>
            </w:pPr>
            <w:r w:rsidRPr="0000195F">
              <w:rPr>
                <w:color w:val="000000"/>
                <w:sz w:val="20"/>
                <w:szCs w:val="20"/>
              </w:rPr>
              <w:t>Izstrādāt</w:t>
            </w:r>
            <w:r w:rsidR="007D035B" w:rsidRPr="0000195F">
              <w:rPr>
                <w:color w:val="000000"/>
                <w:sz w:val="20"/>
                <w:szCs w:val="20"/>
              </w:rPr>
              <w:t>s</w:t>
            </w:r>
            <w:r w:rsidRPr="0000195F">
              <w:rPr>
                <w:color w:val="000000"/>
                <w:sz w:val="20"/>
                <w:szCs w:val="20"/>
              </w:rPr>
              <w:t xml:space="preserve"> likumprojekt</w:t>
            </w:r>
            <w:r w:rsidR="007D035B" w:rsidRPr="0000195F">
              <w:rPr>
                <w:color w:val="000000"/>
                <w:sz w:val="20"/>
                <w:szCs w:val="20"/>
              </w:rPr>
              <w:t>s</w:t>
            </w:r>
            <w:r w:rsidRPr="00AB62C1">
              <w:rPr>
                <w:color w:val="000000"/>
                <w:sz w:val="20"/>
                <w:szCs w:val="20"/>
              </w:rPr>
              <w:t xml:space="preserve"> par ikgadējo  vispārējo iedzīvotāju ienākuma deklarēšanu.</w:t>
            </w:r>
          </w:p>
        </w:tc>
        <w:tc>
          <w:tcPr>
            <w:tcW w:w="1985" w:type="dxa"/>
            <w:tcBorders>
              <w:top w:val="single" w:sz="4" w:space="0" w:color="auto"/>
              <w:left w:val="single" w:sz="4" w:space="0" w:color="auto"/>
              <w:bottom w:val="single" w:sz="4" w:space="0" w:color="auto"/>
              <w:right w:val="single" w:sz="4" w:space="0" w:color="auto"/>
            </w:tcBorders>
          </w:tcPr>
          <w:p w:rsidR="00AB62C1" w:rsidRPr="00AB62C1" w:rsidRDefault="00AB62C1" w:rsidP="00AB62C1">
            <w:pPr>
              <w:jc w:val="both"/>
              <w:rPr>
                <w:color w:val="000000"/>
                <w:sz w:val="20"/>
                <w:szCs w:val="20"/>
              </w:rPr>
            </w:pPr>
            <w:r w:rsidRPr="00AB62C1">
              <w:rPr>
                <w:color w:val="000000"/>
                <w:sz w:val="20"/>
                <w:szCs w:val="20"/>
              </w:rPr>
              <w:t>Izstrādātais likumprojekts par  ikgadējo vispārējo iedzīvotāju ienākumu deklarēšanu  iesniegts izskatīšanai Ministru kabinetā.</w:t>
            </w:r>
          </w:p>
          <w:p w:rsidR="00AB62C1" w:rsidRPr="00AB62C1" w:rsidRDefault="00AB62C1" w:rsidP="00AB62C1">
            <w:pPr>
              <w:jc w:val="both"/>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AB62C1" w:rsidRPr="008C51D3" w:rsidRDefault="00AB62C1" w:rsidP="00AB62C1">
            <w:pPr>
              <w:jc w:val="center"/>
              <w:rPr>
                <w:rFonts w:cs="Times New Roman"/>
                <w:bCs/>
                <w:color w:val="000000" w:themeColor="text1"/>
                <w:sz w:val="20"/>
                <w:szCs w:val="20"/>
              </w:rPr>
            </w:pPr>
            <w:r w:rsidRPr="008C51D3">
              <w:rPr>
                <w:color w:val="000000" w:themeColor="text1"/>
                <w:sz w:val="20"/>
                <w:szCs w:val="20"/>
              </w:rPr>
              <w:t>FM</w:t>
            </w:r>
          </w:p>
        </w:tc>
        <w:tc>
          <w:tcPr>
            <w:tcW w:w="1134" w:type="dxa"/>
            <w:tcBorders>
              <w:top w:val="single" w:sz="4" w:space="0" w:color="auto"/>
              <w:left w:val="single" w:sz="4" w:space="0" w:color="auto"/>
              <w:bottom w:val="single" w:sz="4" w:space="0" w:color="auto"/>
              <w:right w:val="single" w:sz="4" w:space="0" w:color="auto"/>
            </w:tcBorders>
          </w:tcPr>
          <w:p w:rsidR="00AB62C1" w:rsidRPr="008C51D3" w:rsidRDefault="00AB62C1" w:rsidP="00AB62C1">
            <w:pPr>
              <w:jc w:val="center"/>
              <w:rPr>
                <w:rFonts w:cs="Times New Roman"/>
                <w:bCs/>
                <w:color w:val="000000" w:themeColor="text1"/>
                <w:sz w:val="20"/>
                <w:szCs w:val="20"/>
              </w:rPr>
            </w:pPr>
            <w:r w:rsidRPr="008C51D3">
              <w:rPr>
                <w:rFonts w:cs="Times New Roman"/>
                <w:bCs/>
                <w:color w:val="000000" w:themeColor="text1"/>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AB62C1" w:rsidRPr="008C51D3" w:rsidRDefault="00AB62C1" w:rsidP="00AB62C1">
            <w:pPr>
              <w:jc w:val="center"/>
              <w:rPr>
                <w:rFonts w:cs="Times New Roman"/>
                <w:bCs/>
                <w:color w:val="000000" w:themeColor="text1"/>
                <w:sz w:val="20"/>
                <w:szCs w:val="20"/>
              </w:rPr>
            </w:pPr>
            <w:r w:rsidRPr="008C51D3">
              <w:rPr>
                <w:color w:val="000000" w:themeColor="text1"/>
                <w:sz w:val="20"/>
                <w:szCs w:val="20"/>
              </w:rPr>
              <w:t>01.11.2022.</w:t>
            </w:r>
          </w:p>
        </w:tc>
      </w:tr>
      <w:tr w:rsidR="008C51D3" w:rsidRPr="008C09A4" w:rsidTr="00251C83">
        <w:tblPrEx>
          <w:tblCellMar>
            <w:left w:w="108" w:type="dxa"/>
            <w:right w:w="108" w:type="dxa"/>
          </w:tblCellMar>
        </w:tblPrEx>
        <w:trPr>
          <w:trHeight w:val="269"/>
        </w:trPr>
        <w:tc>
          <w:tcPr>
            <w:tcW w:w="568" w:type="dxa"/>
            <w:tcBorders>
              <w:top w:val="single" w:sz="4" w:space="0" w:color="auto"/>
            </w:tcBorders>
            <w:shd w:val="clear" w:color="auto" w:fill="auto"/>
          </w:tcPr>
          <w:p w:rsidR="008C51D3" w:rsidRDefault="008C51D3" w:rsidP="008C51D3">
            <w:pPr>
              <w:ind w:right="-21"/>
              <w:rPr>
                <w:rFonts w:cs="Times New Roman"/>
                <w:bCs/>
                <w:sz w:val="20"/>
                <w:szCs w:val="20"/>
              </w:rPr>
            </w:pPr>
            <w:r>
              <w:rPr>
                <w:rFonts w:cs="Times New Roman"/>
                <w:bCs/>
                <w:sz w:val="20"/>
                <w:szCs w:val="20"/>
              </w:rPr>
              <w:t>5.2.</w:t>
            </w:r>
          </w:p>
        </w:tc>
        <w:tc>
          <w:tcPr>
            <w:tcW w:w="2268" w:type="dxa"/>
            <w:tcBorders>
              <w:top w:val="single" w:sz="4" w:space="0" w:color="auto"/>
            </w:tcBorders>
            <w:shd w:val="clear" w:color="auto" w:fill="auto"/>
          </w:tcPr>
          <w:p w:rsidR="008C51D3" w:rsidRPr="008C09A4" w:rsidRDefault="008C51D3" w:rsidP="008C51D3">
            <w:pPr>
              <w:jc w:val="both"/>
              <w:rPr>
                <w:rFonts w:cs="Times New Roman"/>
                <w:sz w:val="20"/>
                <w:szCs w:val="20"/>
              </w:rPr>
            </w:pPr>
            <w:r w:rsidRPr="008C09A4">
              <w:rPr>
                <w:rFonts w:cs="Times New Roman"/>
                <w:sz w:val="20"/>
                <w:szCs w:val="20"/>
              </w:rPr>
              <w:t>Nodrošināt valsts pētījumu programmas “Ēnu ekonomikas mazināšana valsts ilgtspējīgas attīstības nodrošināšanai” īstenošanu.</w:t>
            </w:r>
          </w:p>
        </w:tc>
        <w:tc>
          <w:tcPr>
            <w:tcW w:w="3544" w:type="dxa"/>
            <w:tcBorders>
              <w:top w:val="single" w:sz="4" w:space="0" w:color="auto"/>
            </w:tcBorders>
            <w:shd w:val="clear" w:color="auto" w:fill="auto"/>
          </w:tcPr>
          <w:p w:rsidR="008C51D3" w:rsidRPr="008C09A4" w:rsidRDefault="008C51D3" w:rsidP="008C51D3">
            <w:pPr>
              <w:spacing w:line="220" w:lineRule="exact"/>
              <w:jc w:val="both"/>
              <w:rPr>
                <w:rFonts w:cs="Times New Roman"/>
                <w:sz w:val="20"/>
                <w:szCs w:val="20"/>
              </w:rPr>
            </w:pPr>
            <w:r w:rsidRPr="008C09A4">
              <w:rPr>
                <w:rFonts w:cs="Times New Roman"/>
                <w:sz w:val="20"/>
                <w:szCs w:val="20"/>
              </w:rPr>
              <w:t xml:space="preserve">Valsts pētījumu programmas </w:t>
            </w:r>
            <w:bookmarkStart w:id="44" w:name="_Hlk75188913"/>
            <w:r w:rsidRPr="008C09A4">
              <w:rPr>
                <w:rFonts w:cs="Times New Roman"/>
                <w:color w:val="000000"/>
                <w:sz w:val="20"/>
                <w:szCs w:val="20"/>
              </w:rPr>
              <w:t>“Ēnu ekonomikas mazināšana valsts ilgtspējīgas attīstības nodrošināšanai”</w:t>
            </w:r>
            <w:r w:rsidRPr="008C09A4">
              <w:rPr>
                <w:rFonts w:cs="Times New Roman"/>
                <w:sz w:val="20"/>
                <w:szCs w:val="20"/>
              </w:rPr>
              <w:t xml:space="preserve"> </w:t>
            </w:r>
            <w:bookmarkEnd w:id="44"/>
            <w:r w:rsidRPr="008C09A4">
              <w:rPr>
                <w:rFonts w:cs="Times New Roman"/>
                <w:sz w:val="20"/>
                <w:szCs w:val="20"/>
              </w:rPr>
              <w:t>virsmērķis ir mazināt ēnu ekonomiku, veicinot iekļaujošu un uz ilgtspējīgu attīstību vērstu ekonomisko izaugsmi, produktīvas un konkurētspējīgas uzņēmējdarbības vides sekmēšanu, tādējādi paaugstinot sabiedrības labklājību Latvijā.</w:t>
            </w:r>
          </w:p>
          <w:p w:rsidR="008C51D3" w:rsidRPr="008C09A4" w:rsidRDefault="008C51D3" w:rsidP="008C51D3">
            <w:pPr>
              <w:spacing w:line="220" w:lineRule="exact"/>
              <w:jc w:val="both"/>
              <w:rPr>
                <w:rFonts w:cs="Times New Roman"/>
                <w:sz w:val="20"/>
                <w:szCs w:val="20"/>
              </w:rPr>
            </w:pPr>
            <w:r w:rsidRPr="008C09A4">
              <w:rPr>
                <w:rFonts w:cs="Times New Roman"/>
                <w:sz w:val="20"/>
                <w:szCs w:val="20"/>
              </w:rPr>
              <w:t>Valsts pētījumu programmas mērķis ir veicināt zinātnisku pētījumu izmantošanu valsts politikas plānošanā un lēmumu pieņemšanā noteiktās jomās. Zinātnisko pētījumu rezultāti par ēnu ekonomikas apmēru un tās ietekmējošiem faktoriem, kā arī zinātnisko pētījumu rezultātā ierosinātie priekšlikumi tiks izmantoti kā izsvērti un zinātniski pamatoti argumenti jaunu ēnu ekonomikas mazinošu pasākumu ierosināšanai un īstenošanai.</w:t>
            </w:r>
          </w:p>
        </w:tc>
        <w:tc>
          <w:tcPr>
            <w:tcW w:w="2551" w:type="dxa"/>
            <w:tcBorders>
              <w:top w:val="single" w:sz="4" w:space="0" w:color="auto"/>
            </w:tcBorders>
            <w:shd w:val="clear" w:color="auto" w:fill="auto"/>
          </w:tcPr>
          <w:p w:rsidR="008C51D3" w:rsidRPr="008C09A4" w:rsidRDefault="008C51D3" w:rsidP="008C51D3">
            <w:pPr>
              <w:jc w:val="both"/>
              <w:rPr>
                <w:rFonts w:cs="Times New Roman"/>
                <w:sz w:val="20"/>
                <w:szCs w:val="20"/>
              </w:rPr>
            </w:pPr>
            <w:r w:rsidRPr="008C09A4">
              <w:rPr>
                <w:rFonts w:cs="Times New Roman"/>
                <w:sz w:val="20"/>
                <w:szCs w:val="20"/>
              </w:rPr>
              <w:t>Ēnu ekonomikas mazinošu pasākumu ierosināšanai un īstenošanai tiek izmantoti zinātniskā pētījum</w:t>
            </w:r>
            <w:r>
              <w:rPr>
                <w:rFonts w:cs="Times New Roman"/>
                <w:sz w:val="20"/>
                <w:szCs w:val="20"/>
              </w:rPr>
              <w:t>a</w:t>
            </w:r>
            <w:r w:rsidRPr="008C09A4">
              <w:rPr>
                <w:rFonts w:cs="Times New Roman"/>
                <w:sz w:val="20"/>
                <w:szCs w:val="20"/>
              </w:rPr>
              <w:t xml:space="preserve"> rezultāti par ēnu ekonomikas apmēru un tās ietekmējošiem faktoriem, kā arī zinātniskā pētījuma rezultātā ierosināti priekšlikumi.</w:t>
            </w:r>
          </w:p>
        </w:tc>
        <w:tc>
          <w:tcPr>
            <w:tcW w:w="1985" w:type="dxa"/>
            <w:tcBorders>
              <w:top w:val="single" w:sz="4" w:space="0" w:color="auto"/>
            </w:tcBorders>
            <w:shd w:val="clear" w:color="auto" w:fill="auto"/>
          </w:tcPr>
          <w:p w:rsidR="008C51D3" w:rsidRPr="008C09A4" w:rsidRDefault="008C51D3" w:rsidP="008C51D3">
            <w:pPr>
              <w:jc w:val="both"/>
              <w:rPr>
                <w:rFonts w:cs="Times New Roman"/>
                <w:sz w:val="20"/>
                <w:szCs w:val="20"/>
              </w:rPr>
            </w:pPr>
            <w:r w:rsidRPr="008C09A4">
              <w:rPr>
                <w:rFonts w:cs="Times New Roman"/>
                <w:sz w:val="20"/>
                <w:szCs w:val="20"/>
              </w:rPr>
              <w:t>Zinātniskā pētījuma rezultātā ierosinātie un plānā iekļautie pasākumi ēnu ekonomikas mazināšanai noteiktā tautsaimniecības nozarē vai kopumā.</w:t>
            </w:r>
          </w:p>
        </w:tc>
        <w:tc>
          <w:tcPr>
            <w:tcW w:w="1275" w:type="dxa"/>
            <w:tcBorders>
              <w:top w:val="single" w:sz="4" w:space="0" w:color="auto"/>
            </w:tcBorders>
            <w:shd w:val="clear" w:color="auto" w:fill="auto"/>
          </w:tcPr>
          <w:p w:rsidR="008C51D3" w:rsidRPr="008C09A4" w:rsidRDefault="008C51D3" w:rsidP="008C51D3">
            <w:pPr>
              <w:jc w:val="center"/>
              <w:rPr>
                <w:rFonts w:cs="Times New Roman"/>
                <w:bCs/>
                <w:sz w:val="20"/>
                <w:szCs w:val="20"/>
              </w:rPr>
            </w:pPr>
            <w:r w:rsidRPr="008C09A4">
              <w:rPr>
                <w:rFonts w:cs="Times New Roman"/>
                <w:bCs/>
                <w:sz w:val="20"/>
                <w:szCs w:val="20"/>
              </w:rPr>
              <w:t>FM</w:t>
            </w:r>
          </w:p>
        </w:tc>
        <w:tc>
          <w:tcPr>
            <w:tcW w:w="1134" w:type="dxa"/>
            <w:tcBorders>
              <w:top w:val="single" w:sz="4" w:space="0" w:color="auto"/>
            </w:tcBorders>
            <w:shd w:val="clear" w:color="auto" w:fill="auto"/>
          </w:tcPr>
          <w:p w:rsidR="008C51D3" w:rsidRPr="008C09A4" w:rsidRDefault="008C51D3" w:rsidP="008C51D3">
            <w:pPr>
              <w:jc w:val="center"/>
              <w:rPr>
                <w:rFonts w:cs="Times New Roman"/>
                <w:bCs/>
                <w:sz w:val="20"/>
                <w:szCs w:val="20"/>
              </w:rPr>
            </w:pPr>
            <w:r w:rsidRPr="008C09A4">
              <w:rPr>
                <w:rFonts w:cs="Times New Roman"/>
                <w:bCs/>
                <w:sz w:val="20"/>
                <w:szCs w:val="20"/>
              </w:rPr>
              <w:t xml:space="preserve">BICEPS, </w:t>
            </w:r>
          </w:p>
          <w:p w:rsidR="008C51D3" w:rsidRDefault="008C51D3" w:rsidP="008C51D3">
            <w:pPr>
              <w:jc w:val="center"/>
              <w:rPr>
                <w:rFonts w:cs="Times New Roman"/>
                <w:bCs/>
                <w:sz w:val="20"/>
                <w:szCs w:val="20"/>
              </w:rPr>
            </w:pPr>
            <w:r w:rsidRPr="008C09A4">
              <w:rPr>
                <w:rFonts w:cs="Times New Roman"/>
                <w:bCs/>
                <w:sz w:val="20"/>
                <w:szCs w:val="20"/>
              </w:rPr>
              <w:t xml:space="preserve">LZP, </w:t>
            </w:r>
          </w:p>
          <w:p w:rsidR="008C51D3" w:rsidRPr="008C09A4" w:rsidRDefault="008C51D3" w:rsidP="008C51D3">
            <w:pPr>
              <w:jc w:val="center"/>
              <w:rPr>
                <w:rFonts w:cs="Times New Roman"/>
                <w:bCs/>
                <w:sz w:val="20"/>
                <w:szCs w:val="20"/>
              </w:rPr>
            </w:pPr>
            <w:r w:rsidRPr="008C09A4">
              <w:rPr>
                <w:rFonts w:cs="Times New Roman"/>
                <w:bCs/>
                <w:sz w:val="20"/>
                <w:szCs w:val="20"/>
              </w:rPr>
              <w:t>VID,</w:t>
            </w:r>
          </w:p>
          <w:p w:rsidR="008C51D3" w:rsidRPr="008C09A4" w:rsidRDefault="008C51D3" w:rsidP="008C51D3">
            <w:pPr>
              <w:jc w:val="center"/>
              <w:rPr>
                <w:rFonts w:cs="Times New Roman"/>
                <w:bCs/>
                <w:sz w:val="20"/>
                <w:szCs w:val="20"/>
              </w:rPr>
            </w:pPr>
            <w:r>
              <w:rPr>
                <w:rFonts w:cs="Times New Roman"/>
                <w:bCs/>
                <w:sz w:val="20"/>
                <w:szCs w:val="20"/>
              </w:rPr>
              <w:t xml:space="preserve">Visas </w:t>
            </w:r>
            <w:r w:rsidRPr="008C09A4">
              <w:rPr>
                <w:rFonts w:cs="Times New Roman"/>
                <w:bCs/>
                <w:sz w:val="20"/>
                <w:szCs w:val="20"/>
              </w:rPr>
              <w:t>nozaru ministrijas</w:t>
            </w:r>
          </w:p>
        </w:tc>
        <w:tc>
          <w:tcPr>
            <w:tcW w:w="1276" w:type="dxa"/>
            <w:tcBorders>
              <w:top w:val="single" w:sz="4" w:space="0" w:color="auto"/>
            </w:tcBorders>
            <w:shd w:val="clear" w:color="auto" w:fill="auto"/>
          </w:tcPr>
          <w:p w:rsidR="008C51D3" w:rsidRPr="008C09A4" w:rsidRDefault="008C51D3" w:rsidP="008C51D3">
            <w:pPr>
              <w:jc w:val="center"/>
              <w:rPr>
                <w:rFonts w:cs="Times New Roman"/>
                <w:bCs/>
                <w:sz w:val="20"/>
                <w:szCs w:val="20"/>
              </w:rPr>
            </w:pPr>
            <w:r w:rsidRPr="008C09A4">
              <w:rPr>
                <w:rFonts w:cs="Times New Roman"/>
                <w:bCs/>
                <w:sz w:val="20"/>
                <w:szCs w:val="20"/>
              </w:rPr>
              <w:t>30.12.2022.</w:t>
            </w:r>
          </w:p>
        </w:tc>
      </w:tr>
      <w:tr w:rsidR="008C51D3" w:rsidRPr="008C09A4" w:rsidTr="00DA5BE6">
        <w:tblPrEx>
          <w:tblCellMar>
            <w:left w:w="108" w:type="dxa"/>
            <w:right w:w="108" w:type="dxa"/>
          </w:tblCellMar>
        </w:tblPrEx>
        <w:trPr>
          <w:trHeight w:val="283"/>
        </w:trPr>
        <w:tc>
          <w:tcPr>
            <w:tcW w:w="568" w:type="dxa"/>
            <w:shd w:val="clear" w:color="auto" w:fill="auto"/>
          </w:tcPr>
          <w:p w:rsidR="008C51D3" w:rsidRPr="008C09A4" w:rsidRDefault="008C51D3" w:rsidP="008C51D3">
            <w:pPr>
              <w:ind w:right="-21"/>
              <w:rPr>
                <w:rFonts w:cs="Times New Roman"/>
                <w:bCs/>
                <w:color w:val="000000" w:themeColor="text1"/>
                <w:sz w:val="20"/>
                <w:szCs w:val="20"/>
              </w:rPr>
            </w:pPr>
            <w:r>
              <w:rPr>
                <w:rFonts w:cs="Times New Roman"/>
                <w:bCs/>
                <w:color w:val="000000" w:themeColor="text1"/>
                <w:sz w:val="20"/>
                <w:szCs w:val="20"/>
              </w:rPr>
              <w:t>5</w:t>
            </w:r>
            <w:r w:rsidRPr="008C09A4">
              <w:rPr>
                <w:rFonts w:cs="Times New Roman"/>
                <w:bCs/>
                <w:color w:val="000000" w:themeColor="text1"/>
                <w:sz w:val="20"/>
                <w:szCs w:val="20"/>
              </w:rPr>
              <w:t>.</w:t>
            </w:r>
            <w:r w:rsidR="00341F3D">
              <w:rPr>
                <w:rFonts w:cs="Times New Roman"/>
                <w:bCs/>
                <w:color w:val="000000" w:themeColor="text1"/>
                <w:sz w:val="20"/>
                <w:szCs w:val="20"/>
              </w:rPr>
              <w:t>3</w:t>
            </w:r>
            <w:r w:rsidRPr="008C09A4">
              <w:rPr>
                <w:rFonts w:cs="Times New Roman"/>
                <w:bCs/>
                <w:color w:val="000000" w:themeColor="text1"/>
                <w:sz w:val="20"/>
                <w:szCs w:val="20"/>
              </w:rPr>
              <w:t>.</w:t>
            </w:r>
          </w:p>
        </w:tc>
        <w:tc>
          <w:tcPr>
            <w:tcW w:w="2268" w:type="dxa"/>
            <w:shd w:val="clear" w:color="auto" w:fill="auto"/>
          </w:tcPr>
          <w:p w:rsidR="008C51D3" w:rsidRPr="008C09A4" w:rsidRDefault="008C51D3" w:rsidP="008C51D3">
            <w:pPr>
              <w:spacing w:line="220" w:lineRule="exact"/>
              <w:jc w:val="both"/>
              <w:rPr>
                <w:rFonts w:cs="Times New Roman"/>
                <w:color w:val="000000" w:themeColor="text1"/>
                <w:sz w:val="20"/>
              </w:rPr>
            </w:pPr>
            <w:r w:rsidRPr="008C09A4">
              <w:rPr>
                <w:rFonts w:cs="Times New Roman"/>
                <w:color w:val="000000" w:themeColor="text1"/>
                <w:sz w:val="20"/>
              </w:rPr>
              <w:t>Turpināt darbu analītisko rīku attīstībai, izmantojot izveidoto “Nodokļu maksātāju reitinga sistēmu”, kurā ir aprakstīti rādītāji, tai skaitā par nodokļu pārskatu iesniegšanas disciplīnu, darba samaksas rādītāji, saimnieciskās darbības rādītāji, nodokļu deklarēšanas riski u.c.</w:t>
            </w:r>
          </w:p>
        </w:tc>
        <w:tc>
          <w:tcPr>
            <w:tcW w:w="3544" w:type="dxa"/>
            <w:shd w:val="clear" w:color="auto" w:fill="auto"/>
          </w:tcPr>
          <w:p w:rsidR="008C51D3" w:rsidRPr="008C09A4" w:rsidRDefault="008C51D3" w:rsidP="008C51D3">
            <w:pPr>
              <w:jc w:val="both"/>
              <w:rPr>
                <w:rFonts w:cs="Times New Roman"/>
                <w:color w:val="000000" w:themeColor="text1"/>
                <w:sz w:val="20"/>
              </w:rPr>
            </w:pPr>
            <w:r w:rsidRPr="008C09A4">
              <w:rPr>
                <w:rFonts w:cs="Times New Roman"/>
                <w:color w:val="000000" w:themeColor="text1"/>
                <w:sz w:val="20"/>
              </w:rPr>
              <w:t>Tāpat VID īsteno stratēģiskās iniciatīvas nodokļu maksātāju segmentēšanai, kas paredz, ka nodokļu administrēšanas procesu politika tiek balstīta uz nodokļu maksātāju uzvedības un brīvprātīgas saistību izpildes līmeņa novērtējumu.</w:t>
            </w:r>
          </w:p>
          <w:p w:rsidR="008C51D3" w:rsidRPr="004934FB" w:rsidRDefault="008C51D3" w:rsidP="008C51D3">
            <w:pPr>
              <w:jc w:val="both"/>
              <w:rPr>
                <w:rFonts w:cs="Times New Roman"/>
                <w:color w:val="000000" w:themeColor="text1"/>
                <w:sz w:val="20"/>
              </w:rPr>
            </w:pPr>
            <w:r w:rsidRPr="008C09A4">
              <w:rPr>
                <w:rFonts w:cs="Times New Roman"/>
                <w:color w:val="000000" w:themeColor="text1"/>
                <w:sz w:val="20"/>
              </w:rPr>
              <w:t>Minētais rīks “Nodokļu maksātāju reitinga sistēma” ne tikai informē nodokļu maksātājus par viņa saimniecisko darbību raksturojošo rādītāju atbilstību vispārējām ekonomiskajām tendencēm, bet arī motivē nodokļu maksātājus sekot nodokļu saistību izpildes disciplīnai un uzlabot to.</w:t>
            </w:r>
          </w:p>
        </w:tc>
        <w:tc>
          <w:tcPr>
            <w:tcW w:w="2551" w:type="dxa"/>
            <w:shd w:val="clear" w:color="auto" w:fill="auto"/>
          </w:tcPr>
          <w:p w:rsidR="008C51D3" w:rsidRPr="008C09A4" w:rsidRDefault="008C51D3" w:rsidP="008C51D3">
            <w:pPr>
              <w:jc w:val="both"/>
              <w:rPr>
                <w:rFonts w:cs="Times New Roman"/>
                <w:color w:val="000000" w:themeColor="text1"/>
                <w:sz w:val="20"/>
              </w:rPr>
            </w:pPr>
            <w:r w:rsidRPr="008C09A4">
              <w:rPr>
                <w:rFonts w:cs="Times New Roman"/>
                <w:color w:val="000000" w:themeColor="text1"/>
                <w:sz w:val="20"/>
              </w:rPr>
              <w:t xml:space="preserve">Popularizēta </w:t>
            </w:r>
            <w:r w:rsidRPr="008C09A4">
              <w:rPr>
                <w:rFonts w:cs="Times New Roman"/>
                <w:color w:val="000000" w:themeColor="text1"/>
                <w:sz w:val="20"/>
                <w:szCs w:val="28"/>
              </w:rPr>
              <w:t>“Nodokļu maksātāju reitinga sistēma”</w:t>
            </w:r>
            <w:r>
              <w:rPr>
                <w:rFonts w:cs="Times New Roman"/>
                <w:color w:val="000000" w:themeColor="text1"/>
                <w:sz w:val="20"/>
                <w:szCs w:val="28"/>
              </w:rPr>
              <w:t xml:space="preserve">.  </w:t>
            </w:r>
          </w:p>
        </w:tc>
        <w:tc>
          <w:tcPr>
            <w:tcW w:w="1985" w:type="dxa"/>
            <w:shd w:val="clear" w:color="auto" w:fill="auto"/>
          </w:tcPr>
          <w:p w:rsidR="008C51D3" w:rsidRPr="008C09A4" w:rsidRDefault="008C51D3" w:rsidP="008C51D3">
            <w:pPr>
              <w:jc w:val="both"/>
              <w:rPr>
                <w:rFonts w:cs="Times New Roman"/>
                <w:color w:val="000000" w:themeColor="text1"/>
                <w:sz w:val="20"/>
                <w:szCs w:val="20"/>
              </w:rPr>
            </w:pPr>
            <w:r w:rsidRPr="008C09A4">
              <w:rPr>
                <w:rFonts w:cs="Times New Roman"/>
                <w:color w:val="000000" w:themeColor="text1"/>
                <w:sz w:val="20"/>
                <w:szCs w:val="28"/>
              </w:rPr>
              <w:t>Veikti pasākumi “Nodokļu maksātāju reitinga sistēmas”</w:t>
            </w:r>
            <w:r w:rsidRPr="008C09A4">
              <w:rPr>
                <w:rFonts w:cs="Times New Roman"/>
                <w:color w:val="000000" w:themeColor="text1"/>
                <w:sz w:val="20"/>
                <w:szCs w:val="20"/>
              </w:rPr>
              <w:t xml:space="preserve"> popularizēšanai.</w:t>
            </w:r>
          </w:p>
        </w:tc>
        <w:tc>
          <w:tcPr>
            <w:tcW w:w="1275" w:type="dxa"/>
            <w:shd w:val="clear" w:color="auto" w:fill="auto"/>
          </w:tcPr>
          <w:p w:rsidR="008C51D3" w:rsidRDefault="008C51D3" w:rsidP="008C51D3">
            <w:pPr>
              <w:jc w:val="center"/>
              <w:rPr>
                <w:rFonts w:cs="Times New Roman"/>
                <w:bCs/>
                <w:color w:val="000000" w:themeColor="text1"/>
                <w:sz w:val="20"/>
                <w:szCs w:val="20"/>
              </w:rPr>
            </w:pPr>
            <w:r w:rsidRPr="008C09A4">
              <w:rPr>
                <w:rFonts w:cs="Times New Roman"/>
                <w:bCs/>
                <w:color w:val="000000" w:themeColor="text1"/>
                <w:sz w:val="20"/>
                <w:szCs w:val="20"/>
              </w:rPr>
              <w:t xml:space="preserve">VID, </w:t>
            </w:r>
          </w:p>
          <w:p w:rsidR="008C51D3" w:rsidRPr="008C09A4" w:rsidRDefault="008C51D3" w:rsidP="008C51D3">
            <w:pPr>
              <w:jc w:val="center"/>
              <w:rPr>
                <w:rFonts w:cs="Times New Roman"/>
                <w:bCs/>
                <w:color w:val="000000" w:themeColor="text1"/>
                <w:sz w:val="20"/>
                <w:szCs w:val="20"/>
              </w:rPr>
            </w:pPr>
            <w:r w:rsidRPr="008C09A4">
              <w:rPr>
                <w:rFonts w:cs="Times New Roman"/>
                <w:bCs/>
                <w:color w:val="000000" w:themeColor="text1"/>
                <w:sz w:val="20"/>
                <w:szCs w:val="20"/>
              </w:rPr>
              <w:t>FM</w:t>
            </w:r>
          </w:p>
        </w:tc>
        <w:tc>
          <w:tcPr>
            <w:tcW w:w="1134" w:type="dxa"/>
            <w:shd w:val="clear" w:color="auto" w:fill="auto"/>
          </w:tcPr>
          <w:p w:rsidR="008C51D3" w:rsidRPr="008C09A4" w:rsidRDefault="008C51D3" w:rsidP="008C51D3">
            <w:pPr>
              <w:jc w:val="center"/>
              <w:rPr>
                <w:rFonts w:cs="Times New Roman"/>
                <w:bCs/>
                <w:color w:val="000000" w:themeColor="text1"/>
                <w:sz w:val="20"/>
                <w:szCs w:val="20"/>
              </w:rPr>
            </w:pPr>
            <w:r w:rsidRPr="008C09A4">
              <w:rPr>
                <w:rFonts w:cs="Times New Roman"/>
                <w:bCs/>
                <w:color w:val="000000" w:themeColor="text1"/>
                <w:sz w:val="20"/>
                <w:szCs w:val="20"/>
              </w:rPr>
              <w:t>LM</w:t>
            </w:r>
          </w:p>
        </w:tc>
        <w:tc>
          <w:tcPr>
            <w:tcW w:w="1276" w:type="dxa"/>
            <w:shd w:val="clear" w:color="auto" w:fill="auto"/>
          </w:tcPr>
          <w:p w:rsidR="008C51D3" w:rsidRPr="008C09A4" w:rsidRDefault="008C51D3" w:rsidP="008C51D3">
            <w:pPr>
              <w:jc w:val="center"/>
              <w:rPr>
                <w:rFonts w:cs="Times New Roman"/>
                <w:bCs/>
                <w:color w:val="000000" w:themeColor="text1"/>
                <w:sz w:val="20"/>
                <w:szCs w:val="20"/>
              </w:rPr>
            </w:pPr>
            <w:r w:rsidRPr="008C09A4">
              <w:rPr>
                <w:rFonts w:cs="Times New Roman"/>
                <w:bCs/>
                <w:color w:val="000000" w:themeColor="text1"/>
                <w:sz w:val="20"/>
                <w:szCs w:val="20"/>
              </w:rPr>
              <w:t>3</w:t>
            </w:r>
            <w:r>
              <w:rPr>
                <w:rFonts w:cs="Times New Roman"/>
                <w:bCs/>
                <w:color w:val="000000" w:themeColor="text1"/>
                <w:sz w:val="20"/>
                <w:szCs w:val="20"/>
              </w:rPr>
              <w:t>0</w:t>
            </w:r>
            <w:r w:rsidRPr="008C09A4">
              <w:rPr>
                <w:rFonts w:cs="Times New Roman"/>
                <w:bCs/>
                <w:color w:val="000000" w:themeColor="text1"/>
                <w:sz w:val="20"/>
                <w:szCs w:val="20"/>
              </w:rPr>
              <w:t>.12.2022.</w:t>
            </w:r>
          </w:p>
        </w:tc>
      </w:tr>
      <w:tr w:rsidR="008C51D3" w:rsidRPr="008C09A4" w:rsidTr="00DA5BE6">
        <w:trPr>
          <w:trHeight w:val="543"/>
        </w:trPr>
        <w:tc>
          <w:tcPr>
            <w:tcW w:w="568" w:type="dxa"/>
          </w:tcPr>
          <w:p w:rsidR="008C51D3" w:rsidRPr="008C09A4" w:rsidRDefault="008C51D3" w:rsidP="008C51D3">
            <w:pPr>
              <w:ind w:right="-21"/>
              <w:rPr>
                <w:rFonts w:cs="Times New Roman"/>
                <w:bCs/>
                <w:sz w:val="20"/>
                <w:szCs w:val="20"/>
              </w:rPr>
            </w:pPr>
            <w:r w:rsidRPr="008C09A4">
              <w:rPr>
                <w:rFonts w:cs="Times New Roman"/>
                <w:bCs/>
                <w:sz w:val="20"/>
                <w:szCs w:val="20"/>
              </w:rPr>
              <w:t>5.</w:t>
            </w:r>
            <w:r w:rsidR="00341F3D">
              <w:rPr>
                <w:rFonts w:cs="Times New Roman"/>
                <w:bCs/>
                <w:sz w:val="20"/>
                <w:szCs w:val="20"/>
              </w:rPr>
              <w:t>4</w:t>
            </w:r>
            <w:r w:rsidRPr="008C09A4">
              <w:rPr>
                <w:rFonts w:cs="Times New Roman"/>
                <w:bCs/>
                <w:sz w:val="20"/>
                <w:szCs w:val="20"/>
              </w:rPr>
              <w:t>.</w:t>
            </w:r>
          </w:p>
        </w:tc>
        <w:tc>
          <w:tcPr>
            <w:tcW w:w="2268" w:type="dxa"/>
          </w:tcPr>
          <w:p w:rsidR="008C51D3" w:rsidRPr="008C09A4" w:rsidRDefault="008C51D3" w:rsidP="008C51D3">
            <w:pPr>
              <w:jc w:val="both"/>
              <w:rPr>
                <w:rFonts w:cs="Times New Roman"/>
                <w:sz w:val="20"/>
                <w:szCs w:val="20"/>
              </w:rPr>
            </w:pPr>
            <w:r w:rsidRPr="008C09A4">
              <w:rPr>
                <w:rFonts w:cs="Times New Roman"/>
                <w:sz w:val="20"/>
                <w:szCs w:val="20"/>
              </w:rPr>
              <w:t>Sadarbības pilnveidošana apsardzes nozares darbības sakārtošanai un ēnu ekonomikas mazināšanai nozarē.</w:t>
            </w:r>
          </w:p>
        </w:tc>
        <w:tc>
          <w:tcPr>
            <w:tcW w:w="3544" w:type="dxa"/>
          </w:tcPr>
          <w:p w:rsidR="008C51D3" w:rsidRPr="008C09A4" w:rsidRDefault="008C51D3" w:rsidP="008C51D3">
            <w:pPr>
              <w:jc w:val="both"/>
              <w:rPr>
                <w:rFonts w:cs="Times New Roman"/>
                <w:sz w:val="20"/>
                <w:szCs w:val="20"/>
              </w:rPr>
            </w:pPr>
            <w:r w:rsidRPr="008C09A4">
              <w:rPr>
                <w:rFonts w:cs="Times New Roman"/>
                <w:sz w:val="20"/>
                <w:szCs w:val="20"/>
              </w:rPr>
              <w:t xml:space="preserve">Nepieciešams izveidot </w:t>
            </w:r>
            <w:r>
              <w:rPr>
                <w:rFonts w:cs="Times New Roman"/>
                <w:sz w:val="20"/>
                <w:szCs w:val="20"/>
              </w:rPr>
              <w:t>VP</w:t>
            </w:r>
            <w:r w:rsidRPr="008C09A4">
              <w:rPr>
                <w:rFonts w:cs="Times New Roman"/>
                <w:sz w:val="20"/>
                <w:szCs w:val="20"/>
              </w:rPr>
              <w:t>, VID un apsardzes nozares asociāciju sadarbības platformu, lai mērķtiecīgi cīnītos ar ēnu ekonomiku u.c. normatīvo aktu prasību neievērošanu (pieejamo nozares datu analīze rīcības problēmu novēršanai izstrādei).</w:t>
            </w:r>
          </w:p>
          <w:p w:rsidR="008C51D3" w:rsidRPr="008C09A4" w:rsidRDefault="008C51D3" w:rsidP="008C51D3">
            <w:pPr>
              <w:jc w:val="both"/>
              <w:rPr>
                <w:rFonts w:cs="Times New Roman"/>
                <w:sz w:val="20"/>
                <w:szCs w:val="20"/>
              </w:rPr>
            </w:pPr>
            <w:r w:rsidRPr="008C09A4">
              <w:rPr>
                <w:rFonts w:cs="Times New Roman"/>
                <w:color w:val="000000" w:themeColor="text1"/>
                <w:sz w:val="20"/>
                <w:szCs w:val="20"/>
              </w:rPr>
              <w:t>Lai nodrošinātu platformas ietvarā izstrādāto priekšlikumu atbilstību ES un nacionālajiem tiesību aktiem brīvas konkurences jomā, platformā ar padomdevēja tiesībām nepieciešams pieaicināt E</w:t>
            </w:r>
            <w:r>
              <w:rPr>
                <w:rFonts w:cs="Times New Roman"/>
                <w:color w:val="000000" w:themeColor="text1"/>
                <w:sz w:val="20"/>
                <w:szCs w:val="20"/>
              </w:rPr>
              <w:t>M</w:t>
            </w:r>
            <w:r w:rsidRPr="008C09A4">
              <w:rPr>
                <w:rFonts w:cs="Times New Roman"/>
                <w:color w:val="000000" w:themeColor="text1"/>
                <w:sz w:val="20"/>
                <w:szCs w:val="20"/>
              </w:rPr>
              <w:t xml:space="preserve"> un K</w:t>
            </w:r>
            <w:r>
              <w:rPr>
                <w:rFonts w:cs="Times New Roman"/>
                <w:color w:val="000000" w:themeColor="text1"/>
                <w:sz w:val="20"/>
                <w:szCs w:val="20"/>
              </w:rPr>
              <w:t>P</w:t>
            </w:r>
            <w:r w:rsidRPr="008C09A4">
              <w:rPr>
                <w:rFonts w:cs="Times New Roman"/>
                <w:color w:val="000000" w:themeColor="text1"/>
                <w:sz w:val="20"/>
                <w:szCs w:val="20"/>
              </w:rPr>
              <w:t>.</w:t>
            </w:r>
          </w:p>
        </w:tc>
        <w:tc>
          <w:tcPr>
            <w:tcW w:w="2551" w:type="dxa"/>
          </w:tcPr>
          <w:p w:rsidR="008C51D3" w:rsidRPr="008C09A4" w:rsidRDefault="008C51D3" w:rsidP="008C51D3">
            <w:pPr>
              <w:jc w:val="both"/>
              <w:rPr>
                <w:rFonts w:cs="Times New Roman"/>
                <w:color w:val="000000" w:themeColor="text1"/>
                <w:sz w:val="20"/>
                <w:szCs w:val="20"/>
              </w:rPr>
            </w:pPr>
            <w:r w:rsidRPr="008C09A4">
              <w:rPr>
                <w:rFonts w:cs="Times New Roman"/>
                <w:color w:val="000000" w:themeColor="text1"/>
                <w:sz w:val="20"/>
                <w:szCs w:val="20"/>
              </w:rPr>
              <w:t>Izveidot un formāli nostiprināt VP, VID, VDI un apsardzes nozares asociāciju sadarbības platformu</w:t>
            </w:r>
            <w:r>
              <w:rPr>
                <w:rFonts w:cs="Times New Roman"/>
                <w:color w:val="000000" w:themeColor="text1"/>
                <w:sz w:val="20"/>
                <w:szCs w:val="20"/>
              </w:rPr>
              <w:t>.</w:t>
            </w:r>
          </w:p>
        </w:tc>
        <w:tc>
          <w:tcPr>
            <w:tcW w:w="1985" w:type="dxa"/>
          </w:tcPr>
          <w:p w:rsidR="008C51D3" w:rsidRPr="0035407C" w:rsidRDefault="008C51D3" w:rsidP="008C51D3">
            <w:pPr>
              <w:jc w:val="both"/>
              <w:rPr>
                <w:rFonts w:cs="Times New Roman"/>
                <w:bCs/>
                <w:color w:val="000000" w:themeColor="text1"/>
                <w:sz w:val="20"/>
                <w:szCs w:val="20"/>
              </w:rPr>
            </w:pPr>
            <w:r w:rsidRPr="008C09A4">
              <w:rPr>
                <w:rFonts w:cs="Times New Roman"/>
                <w:bCs/>
                <w:color w:val="000000" w:themeColor="text1"/>
                <w:sz w:val="20"/>
                <w:szCs w:val="20"/>
              </w:rPr>
              <w:t xml:space="preserve">Ar </w:t>
            </w:r>
            <w:proofErr w:type="spellStart"/>
            <w:r w:rsidRPr="008C09A4">
              <w:rPr>
                <w:rFonts w:cs="Times New Roman"/>
                <w:bCs/>
                <w:color w:val="000000" w:themeColor="text1"/>
                <w:sz w:val="20"/>
                <w:szCs w:val="20"/>
              </w:rPr>
              <w:t>iekšlietu</w:t>
            </w:r>
            <w:proofErr w:type="spellEnd"/>
            <w:r w:rsidRPr="008C09A4">
              <w:rPr>
                <w:rFonts w:cs="Times New Roman"/>
                <w:bCs/>
                <w:color w:val="000000" w:themeColor="text1"/>
                <w:sz w:val="20"/>
                <w:szCs w:val="20"/>
              </w:rPr>
              <w:t xml:space="preserve"> ministra rīkojumu </w:t>
            </w:r>
            <w:r w:rsidRPr="00964D20">
              <w:rPr>
                <w:rFonts w:cs="Times New Roman"/>
                <w:bCs/>
                <w:color w:val="000000" w:themeColor="text1"/>
                <w:sz w:val="20"/>
                <w:szCs w:val="20"/>
              </w:rPr>
              <w:t>izveidota pastāvīgā darba grupa</w:t>
            </w:r>
            <w:r w:rsidRPr="008C09A4">
              <w:rPr>
                <w:rFonts w:cs="Times New Roman"/>
                <w:bCs/>
                <w:color w:val="000000" w:themeColor="text1"/>
                <w:sz w:val="20"/>
                <w:szCs w:val="20"/>
              </w:rPr>
              <w:t xml:space="preserve"> institūciju sadarbībai apsardzes nozares pilnveidošanas jautājumos, t.sk. cīņā ar ēnu ekonomiku.</w:t>
            </w:r>
          </w:p>
        </w:tc>
        <w:tc>
          <w:tcPr>
            <w:tcW w:w="1275" w:type="dxa"/>
          </w:tcPr>
          <w:p w:rsidR="008C51D3" w:rsidRDefault="008C51D3" w:rsidP="008C51D3">
            <w:pPr>
              <w:jc w:val="center"/>
              <w:rPr>
                <w:rFonts w:cs="Times New Roman"/>
                <w:bCs/>
                <w:color w:val="000000" w:themeColor="text1"/>
                <w:sz w:val="20"/>
                <w:szCs w:val="20"/>
              </w:rPr>
            </w:pPr>
            <w:r w:rsidRPr="008C09A4">
              <w:rPr>
                <w:rFonts w:cs="Times New Roman"/>
                <w:bCs/>
                <w:color w:val="000000" w:themeColor="text1"/>
                <w:sz w:val="20"/>
                <w:szCs w:val="20"/>
              </w:rPr>
              <w:t xml:space="preserve">IeM, </w:t>
            </w:r>
          </w:p>
          <w:p w:rsidR="008C51D3" w:rsidRPr="008C09A4" w:rsidRDefault="008C51D3" w:rsidP="008C51D3">
            <w:pPr>
              <w:jc w:val="center"/>
              <w:rPr>
                <w:rFonts w:cs="Times New Roman"/>
                <w:bCs/>
                <w:color w:val="000000" w:themeColor="text1"/>
                <w:sz w:val="20"/>
                <w:szCs w:val="20"/>
              </w:rPr>
            </w:pPr>
          </w:p>
        </w:tc>
        <w:tc>
          <w:tcPr>
            <w:tcW w:w="1134" w:type="dxa"/>
          </w:tcPr>
          <w:p w:rsidR="008C51D3" w:rsidRDefault="008C51D3" w:rsidP="008C51D3">
            <w:pPr>
              <w:spacing w:line="220" w:lineRule="exact"/>
              <w:jc w:val="center"/>
              <w:rPr>
                <w:rFonts w:cs="Times New Roman"/>
                <w:bCs/>
                <w:color w:val="000000" w:themeColor="text1"/>
                <w:sz w:val="20"/>
                <w:szCs w:val="20"/>
              </w:rPr>
            </w:pPr>
            <w:r w:rsidRPr="008C09A4">
              <w:rPr>
                <w:rFonts w:cs="Times New Roman"/>
                <w:bCs/>
                <w:color w:val="000000" w:themeColor="text1"/>
                <w:sz w:val="20"/>
                <w:szCs w:val="20"/>
              </w:rPr>
              <w:t xml:space="preserve">VID, </w:t>
            </w:r>
          </w:p>
          <w:p w:rsidR="008C51D3" w:rsidRDefault="008C51D3" w:rsidP="008C51D3">
            <w:pPr>
              <w:spacing w:line="220" w:lineRule="exact"/>
              <w:jc w:val="center"/>
              <w:rPr>
                <w:rFonts w:cs="Times New Roman"/>
                <w:bCs/>
                <w:color w:val="000000" w:themeColor="text1"/>
                <w:sz w:val="20"/>
                <w:szCs w:val="20"/>
              </w:rPr>
            </w:pPr>
            <w:r w:rsidRPr="008C09A4">
              <w:rPr>
                <w:rFonts w:cs="Times New Roman"/>
                <w:bCs/>
                <w:color w:val="000000" w:themeColor="text1"/>
                <w:sz w:val="20"/>
                <w:szCs w:val="20"/>
              </w:rPr>
              <w:t xml:space="preserve">VDI, </w:t>
            </w:r>
          </w:p>
          <w:p w:rsidR="008C51D3" w:rsidRDefault="008C51D3" w:rsidP="008C51D3">
            <w:pPr>
              <w:spacing w:line="220" w:lineRule="exact"/>
              <w:jc w:val="center"/>
              <w:rPr>
                <w:rFonts w:cs="Times New Roman"/>
                <w:bCs/>
                <w:color w:val="000000" w:themeColor="text1"/>
                <w:sz w:val="20"/>
                <w:szCs w:val="20"/>
              </w:rPr>
            </w:pPr>
            <w:r>
              <w:rPr>
                <w:rFonts w:cs="Times New Roman"/>
                <w:bCs/>
                <w:color w:val="000000" w:themeColor="text1"/>
                <w:sz w:val="20"/>
                <w:szCs w:val="20"/>
              </w:rPr>
              <w:t>DNKA</w:t>
            </w:r>
            <w:r w:rsidRPr="008C09A4">
              <w:rPr>
                <w:rFonts w:cs="Times New Roman"/>
                <w:bCs/>
                <w:color w:val="000000" w:themeColor="text1"/>
                <w:sz w:val="20"/>
                <w:szCs w:val="20"/>
              </w:rPr>
              <w:t xml:space="preserve">, </w:t>
            </w:r>
            <w:r>
              <w:rPr>
                <w:rFonts w:cs="Times New Roman"/>
                <w:bCs/>
                <w:color w:val="000000" w:themeColor="text1"/>
                <w:sz w:val="20"/>
                <w:szCs w:val="20"/>
              </w:rPr>
              <w:t>LDBA</w:t>
            </w:r>
            <w:r w:rsidRPr="008C09A4">
              <w:rPr>
                <w:rFonts w:cs="Times New Roman"/>
                <w:bCs/>
                <w:color w:val="000000" w:themeColor="text1"/>
                <w:sz w:val="20"/>
                <w:szCs w:val="20"/>
              </w:rPr>
              <w:t xml:space="preserve">, </w:t>
            </w:r>
            <w:r>
              <w:rPr>
                <w:rFonts w:cs="Times New Roman"/>
                <w:bCs/>
                <w:color w:val="000000" w:themeColor="text1"/>
                <w:sz w:val="20"/>
                <w:szCs w:val="20"/>
              </w:rPr>
              <w:t>DPA</w:t>
            </w:r>
            <w:r w:rsidRPr="008C09A4">
              <w:rPr>
                <w:rFonts w:cs="Times New Roman"/>
                <w:bCs/>
                <w:color w:val="000000" w:themeColor="text1"/>
                <w:sz w:val="20"/>
                <w:szCs w:val="20"/>
              </w:rPr>
              <w:t xml:space="preserve">, </w:t>
            </w:r>
          </w:p>
          <w:p w:rsidR="008C51D3" w:rsidRDefault="008C51D3" w:rsidP="008C51D3">
            <w:pPr>
              <w:spacing w:line="220" w:lineRule="exact"/>
              <w:jc w:val="center"/>
              <w:rPr>
                <w:rFonts w:cs="Times New Roman"/>
                <w:bCs/>
                <w:color w:val="000000" w:themeColor="text1"/>
                <w:sz w:val="20"/>
                <w:szCs w:val="20"/>
              </w:rPr>
            </w:pPr>
            <w:r w:rsidRPr="008C09A4">
              <w:rPr>
                <w:rFonts w:cs="Times New Roman"/>
                <w:bCs/>
                <w:color w:val="000000" w:themeColor="text1"/>
                <w:sz w:val="20"/>
                <w:szCs w:val="20"/>
              </w:rPr>
              <w:t xml:space="preserve">EM, </w:t>
            </w:r>
          </w:p>
          <w:p w:rsidR="008C51D3" w:rsidRDefault="008C51D3" w:rsidP="008C51D3">
            <w:pPr>
              <w:spacing w:line="220" w:lineRule="exact"/>
              <w:jc w:val="center"/>
              <w:rPr>
                <w:rFonts w:cs="Times New Roman"/>
                <w:bCs/>
                <w:color w:val="000000" w:themeColor="text1"/>
                <w:sz w:val="20"/>
                <w:szCs w:val="20"/>
              </w:rPr>
            </w:pPr>
            <w:r w:rsidRPr="008C09A4">
              <w:rPr>
                <w:rFonts w:cs="Times New Roman"/>
                <w:bCs/>
                <w:color w:val="000000" w:themeColor="text1"/>
                <w:sz w:val="20"/>
                <w:szCs w:val="20"/>
              </w:rPr>
              <w:t>KP</w:t>
            </w:r>
            <w:r>
              <w:rPr>
                <w:rFonts w:cs="Times New Roman"/>
                <w:bCs/>
                <w:color w:val="000000" w:themeColor="text1"/>
                <w:sz w:val="20"/>
                <w:szCs w:val="20"/>
              </w:rPr>
              <w:t>,</w:t>
            </w:r>
          </w:p>
          <w:p w:rsidR="008C51D3" w:rsidRPr="008C09A4" w:rsidRDefault="008C51D3" w:rsidP="008C51D3">
            <w:pPr>
              <w:spacing w:line="220" w:lineRule="exact"/>
              <w:jc w:val="center"/>
              <w:rPr>
                <w:rFonts w:cs="Times New Roman"/>
                <w:bCs/>
                <w:color w:val="000000" w:themeColor="text1"/>
                <w:sz w:val="20"/>
                <w:szCs w:val="20"/>
              </w:rPr>
            </w:pPr>
            <w:r w:rsidRPr="008C09A4">
              <w:rPr>
                <w:rFonts w:cs="Times New Roman"/>
                <w:bCs/>
                <w:color w:val="000000" w:themeColor="text1"/>
                <w:sz w:val="20"/>
                <w:szCs w:val="20"/>
              </w:rPr>
              <w:t>VP</w:t>
            </w:r>
          </w:p>
        </w:tc>
        <w:tc>
          <w:tcPr>
            <w:tcW w:w="1276" w:type="dxa"/>
          </w:tcPr>
          <w:p w:rsidR="008C51D3" w:rsidRPr="008C09A4" w:rsidRDefault="008C51D3" w:rsidP="008C51D3">
            <w:pPr>
              <w:jc w:val="center"/>
              <w:rPr>
                <w:rFonts w:cs="Times New Roman"/>
                <w:bCs/>
                <w:color w:val="000000" w:themeColor="text1"/>
                <w:sz w:val="20"/>
                <w:szCs w:val="20"/>
              </w:rPr>
            </w:pPr>
            <w:r w:rsidRPr="008C09A4">
              <w:rPr>
                <w:rFonts w:cs="Times New Roman"/>
                <w:bCs/>
                <w:color w:val="000000" w:themeColor="text1"/>
                <w:sz w:val="20"/>
                <w:szCs w:val="20"/>
              </w:rPr>
              <w:t>3</w:t>
            </w:r>
            <w:r>
              <w:rPr>
                <w:rFonts w:cs="Times New Roman"/>
                <w:bCs/>
                <w:color w:val="000000" w:themeColor="text1"/>
                <w:sz w:val="20"/>
                <w:szCs w:val="20"/>
              </w:rPr>
              <w:t>1</w:t>
            </w:r>
            <w:r w:rsidRPr="008C09A4">
              <w:rPr>
                <w:rFonts w:cs="Times New Roman"/>
                <w:bCs/>
                <w:color w:val="000000" w:themeColor="text1"/>
                <w:sz w:val="20"/>
                <w:szCs w:val="20"/>
              </w:rPr>
              <w:t>.</w:t>
            </w:r>
            <w:r>
              <w:rPr>
                <w:rFonts w:cs="Times New Roman"/>
                <w:bCs/>
                <w:color w:val="000000" w:themeColor="text1"/>
                <w:sz w:val="20"/>
                <w:szCs w:val="20"/>
              </w:rPr>
              <w:t>03.</w:t>
            </w:r>
            <w:r w:rsidRPr="008C09A4">
              <w:rPr>
                <w:rFonts w:cs="Times New Roman"/>
                <w:bCs/>
                <w:color w:val="000000" w:themeColor="text1"/>
                <w:sz w:val="20"/>
                <w:szCs w:val="20"/>
              </w:rPr>
              <w:t>202</w:t>
            </w:r>
            <w:r>
              <w:rPr>
                <w:rFonts w:cs="Times New Roman"/>
                <w:bCs/>
                <w:color w:val="000000" w:themeColor="text1"/>
                <w:sz w:val="20"/>
                <w:szCs w:val="20"/>
              </w:rPr>
              <w:t>2</w:t>
            </w:r>
            <w:r w:rsidRPr="008C09A4">
              <w:rPr>
                <w:rFonts w:cs="Times New Roman"/>
                <w:bCs/>
                <w:color w:val="000000" w:themeColor="text1"/>
                <w:sz w:val="20"/>
                <w:szCs w:val="20"/>
              </w:rPr>
              <w:t>.</w:t>
            </w:r>
          </w:p>
        </w:tc>
      </w:tr>
      <w:tr w:rsidR="008C51D3" w:rsidRPr="008C09A4" w:rsidTr="00DA5BE6">
        <w:trPr>
          <w:trHeight w:val="543"/>
        </w:trPr>
        <w:tc>
          <w:tcPr>
            <w:tcW w:w="568" w:type="dxa"/>
          </w:tcPr>
          <w:p w:rsidR="008C51D3" w:rsidRPr="008C09A4" w:rsidRDefault="008C51D3" w:rsidP="008C51D3">
            <w:pPr>
              <w:ind w:right="-21"/>
              <w:rPr>
                <w:rFonts w:cs="Times New Roman"/>
                <w:bCs/>
                <w:sz w:val="20"/>
                <w:szCs w:val="20"/>
              </w:rPr>
            </w:pPr>
            <w:r w:rsidRPr="008C09A4">
              <w:rPr>
                <w:rFonts w:cs="Times New Roman"/>
                <w:bCs/>
                <w:sz w:val="20"/>
                <w:szCs w:val="20"/>
              </w:rPr>
              <w:t>5.</w:t>
            </w:r>
            <w:r w:rsidR="00341F3D">
              <w:rPr>
                <w:rFonts w:cs="Times New Roman"/>
                <w:bCs/>
                <w:sz w:val="20"/>
                <w:szCs w:val="20"/>
              </w:rPr>
              <w:t>5</w:t>
            </w:r>
            <w:r w:rsidRPr="008C09A4">
              <w:rPr>
                <w:rFonts w:cs="Times New Roman"/>
                <w:bCs/>
                <w:sz w:val="20"/>
                <w:szCs w:val="20"/>
              </w:rPr>
              <w:t>.</w:t>
            </w:r>
          </w:p>
        </w:tc>
        <w:tc>
          <w:tcPr>
            <w:tcW w:w="2268" w:type="dxa"/>
          </w:tcPr>
          <w:p w:rsidR="008C51D3" w:rsidRPr="008C09A4" w:rsidRDefault="008C51D3" w:rsidP="008C51D3">
            <w:pPr>
              <w:jc w:val="both"/>
              <w:rPr>
                <w:rFonts w:cs="Times New Roman"/>
                <w:color w:val="000000"/>
                <w:sz w:val="20"/>
                <w:szCs w:val="20"/>
              </w:rPr>
            </w:pPr>
            <w:r w:rsidRPr="008C09A4">
              <w:rPr>
                <w:rFonts w:cs="Times New Roman"/>
                <w:color w:val="000000"/>
                <w:sz w:val="20"/>
                <w:szCs w:val="20"/>
              </w:rPr>
              <w:t>Noteikt pienākumu kredītiestādēm un maksājumu pakalpojumu sniedzējiem sniegt informāciju VID par juridisko personu kontu apgrozījumu.</w:t>
            </w:r>
          </w:p>
        </w:tc>
        <w:tc>
          <w:tcPr>
            <w:tcW w:w="3544" w:type="dxa"/>
          </w:tcPr>
          <w:p w:rsidR="008C51D3" w:rsidRPr="00AA365C" w:rsidRDefault="008C51D3" w:rsidP="008C51D3">
            <w:pPr>
              <w:jc w:val="both"/>
              <w:rPr>
                <w:rFonts w:cs="Times New Roman"/>
                <w:color w:val="000000" w:themeColor="text1"/>
                <w:sz w:val="20"/>
                <w:szCs w:val="20"/>
              </w:rPr>
            </w:pPr>
            <w:r w:rsidRPr="00AA365C">
              <w:rPr>
                <w:rFonts w:cs="Times New Roman"/>
                <w:color w:val="000000" w:themeColor="text1"/>
                <w:sz w:val="20"/>
                <w:szCs w:val="20"/>
              </w:rPr>
              <w:t>Lai veicinātu labprātīgu nodokļu nomaksu (pilnveidojot VID iespējas veikt juridisko personu nodokļu nomaksas uzraudzību), noteikt pienākumu kredītiestādei un maksājumu pakalpojumu sniedzējiem regulāri līdz noteiktam datumam sniegt</w:t>
            </w:r>
            <w:r w:rsidRPr="00AA365C" w:rsidDel="00BD4B3E">
              <w:rPr>
                <w:rFonts w:cs="Times New Roman"/>
                <w:color w:val="000000" w:themeColor="text1"/>
                <w:sz w:val="20"/>
                <w:szCs w:val="20"/>
              </w:rPr>
              <w:t xml:space="preserve"> </w:t>
            </w:r>
            <w:r w:rsidRPr="00AA365C">
              <w:rPr>
                <w:rFonts w:cs="Times New Roman"/>
                <w:color w:val="000000" w:themeColor="text1"/>
                <w:sz w:val="20"/>
                <w:szCs w:val="20"/>
              </w:rPr>
              <w:t>VID informāciju par klienta – juridiskās personas – iepriekšējā mēneša konta apgrozījumu.</w:t>
            </w:r>
          </w:p>
        </w:tc>
        <w:tc>
          <w:tcPr>
            <w:tcW w:w="2551" w:type="dxa"/>
          </w:tcPr>
          <w:p w:rsidR="008C51D3" w:rsidRPr="008C09A4" w:rsidRDefault="008C51D3" w:rsidP="008C51D3">
            <w:pPr>
              <w:jc w:val="both"/>
              <w:rPr>
                <w:rFonts w:cs="Times New Roman"/>
                <w:color w:val="000000"/>
                <w:sz w:val="20"/>
                <w:szCs w:val="20"/>
              </w:rPr>
            </w:pPr>
            <w:r w:rsidRPr="008C09A4">
              <w:rPr>
                <w:rFonts w:cs="Times New Roman"/>
                <w:color w:val="000000"/>
                <w:sz w:val="20"/>
                <w:szCs w:val="20"/>
              </w:rPr>
              <w:t>Izvērtēt iespējas noteikt, ka kredītiestādes un maksājumu pakalpojumu sniedzēji sniedz VID informāciju par juridiskās personas iepriekšējā ceturkšņa konta apgrozījumu, kas pārsniedz vienu ceturto daļu no vērtības, kas noteikta kā pienākums reģistrēties kā PVN maksātājam</w:t>
            </w:r>
            <w:r>
              <w:rPr>
                <w:rFonts w:cs="Times New Roman"/>
                <w:color w:val="000000"/>
                <w:sz w:val="20"/>
                <w:szCs w:val="20"/>
              </w:rPr>
              <w:t>,</w:t>
            </w:r>
            <w:r w:rsidRPr="008C09A4">
              <w:rPr>
                <w:rFonts w:cs="Times New Roman"/>
                <w:color w:val="000000"/>
                <w:sz w:val="20"/>
                <w:szCs w:val="20"/>
              </w:rPr>
              <w:t xml:space="preserve"> t.i. 10</w:t>
            </w:r>
            <w:r>
              <w:rPr>
                <w:rFonts w:cs="Times New Roman"/>
                <w:color w:val="000000"/>
                <w:sz w:val="20"/>
                <w:szCs w:val="20"/>
              </w:rPr>
              <w:t> </w:t>
            </w:r>
            <w:r w:rsidRPr="008C09A4">
              <w:rPr>
                <w:rFonts w:cs="Times New Roman"/>
                <w:color w:val="000000"/>
                <w:sz w:val="20"/>
                <w:szCs w:val="20"/>
              </w:rPr>
              <w:t xml:space="preserve">tūkst. </w:t>
            </w:r>
            <w:r w:rsidRPr="008C09A4">
              <w:rPr>
                <w:rFonts w:cs="Times New Roman"/>
                <w:i/>
                <w:iCs/>
                <w:color w:val="000000"/>
                <w:sz w:val="20"/>
                <w:szCs w:val="20"/>
              </w:rPr>
              <w:t>euro</w:t>
            </w:r>
            <w:r w:rsidRPr="008C09A4">
              <w:rPr>
                <w:rFonts w:cs="Times New Roman"/>
                <w:color w:val="000000"/>
                <w:sz w:val="20"/>
                <w:szCs w:val="20"/>
              </w:rPr>
              <w:t xml:space="preserve">. </w:t>
            </w:r>
          </w:p>
        </w:tc>
        <w:tc>
          <w:tcPr>
            <w:tcW w:w="1985" w:type="dxa"/>
          </w:tcPr>
          <w:p w:rsidR="008C51D3" w:rsidRPr="008C09A4" w:rsidRDefault="008C51D3" w:rsidP="008C51D3">
            <w:pPr>
              <w:rPr>
                <w:rFonts w:cs="Times New Roman"/>
                <w:sz w:val="20"/>
                <w:szCs w:val="20"/>
              </w:rPr>
            </w:pPr>
            <w:r w:rsidRPr="008C09A4">
              <w:rPr>
                <w:rFonts w:cs="Times New Roman"/>
                <w:sz w:val="20"/>
                <w:szCs w:val="20"/>
              </w:rPr>
              <w:t>Izvērtētas iespējas un iesniegti priekšlikumi iespējamiem grozījumiem normatīvajos aktos.</w:t>
            </w:r>
          </w:p>
        </w:tc>
        <w:tc>
          <w:tcPr>
            <w:tcW w:w="1275" w:type="dxa"/>
          </w:tcPr>
          <w:p w:rsidR="008C51D3" w:rsidRPr="00DD1C2E" w:rsidRDefault="008C51D3" w:rsidP="008C51D3">
            <w:pPr>
              <w:jc w:val="center"/>
              <w:rPr>
                <w:rFonts w:cs="Times New Roman"/>
                <w:bCs/>
                <w:sz w:val="20"/>
                <w:szCs w:val="20"/>
              </w:rPr>
            </w:pPr>
            <w:r w:rsidRPr="00DD1C2E">
              <w:rPr>
                <w:rFonts w:cs="Times New Roman"/>
                <w:bCs/>
                <w:sz w:val="20"/>
                <w:szCs w:val="20"/>
              </w:rPr>
              <w:t xml:space="preserve">VID, </w:t>
            </w:r>
          </w:p>
          <w:p w:rsidR="008C51D3" w:rsidRDefault="008C51D3" w:rsidP="008C51D3">
            <w:pPr>
              <w:jc w:val="center"/>
              <w:rPr>
                <w:rFonts w:cs="Times New Roman"/>
                <w:bCs/>
                <w:sz w:val="20"/>
                <w:szCs w:val="20"/>
              </w:rPr>
            </w:pPr>
            <w:r w:rsidRPr="00DD1C2E">
              <w:rPr>
                <w:rFonts w:cs="Times New Roman"/>
                <w:bCs/>
                <w:sz w:val="20"/>
                <w:szCs w:val="20"/>
              </w:rPr>
              <w:t>FM</w:t>
            </w:r>
            <w:r w:rsidRPr="008C09A4">
              <w:rPr>
                <w:rFonts w:cs="Times New Roman"/>
                <w:bCs/>
                <w:sz w:val="20"/>
                <w:szCs w:val="20"/>
              </w:rPr>
              <w:t xml:space="preserve"> </w:t>
            </w:r>
          </w:p>
          <w:p w:rsidR="008C51D3" w:rsidRPr="008C09A4" w:rsidRDefault="008C51D3" w:rsidP="008C51D3">
            <w:pPr>
              <w:jc w:val="center"/>
              <w:rPr>
                <w:rFonts w:cs="Times New Roman"/>
                <w:bCs/>
                <w:sz w:val="20"/>
                <w:szCs w:val="20"/>
              </w:rPr>
            </w:pPr>
          </w:p>
        </w:tc>
        <w:tc>
          <w:tcPr>
            <w:tcW w:w="1134" w:type="dxa"/>
          </w:tcPr>
          <w:p w:rsidR="008C51D3" w:rsidRDefault="008C51D3" w:rsidP="008C51D3">
            <w:pPr>
              <w:jc w:val="center"/>
              <w:rPr>
                <w:rFonts w:cs="Times New Roman"/>
                <w:bCs/>
                <w:sz w:val="20"/>
                <w:szCs w:val="20"/>
              </w:rPr>
            </w:pPr>
            <w:r w:rsidRPr="008C09A4">
              <w:rPr>
                <w:rFonts w:cs="Times New Roman"/>
                <w:bCs/>
                <w:sz w:val="20"/>
                <w:szCs w:val="20"/>
              </w:rPr>
              <w:t xml:space="preserve">FKTK, </w:t>
            </w:r>
          </w:p>
          <w:p w:rsidR="008C51D3" w:rsidRPr="008C09A4" w:rsidRDefault="008C51D3" w:rsidP="008C51D3">
            <w:pPr>
              <w:jc w:val="center"/>
              <w:rPr>
                <w:rFonts w:cs="Times New Roman"/>
                <w:bCs/>
                <w:sz w:val="20"/>
                <w:szCs w:val="20"/>
              </w:rPr>
            </w:pPr>
            <w:r w:rsidRPr="008C09A4">
              <w:rPr>
                <w:rFonts w:cs="Times New Roman"/>
                <w:bCs/>
                <w:sz w:val="20"/>
                <w:szCs w:val="20"/>
              </w:rPr>
              <w:t>LB</w:t>
            </w:r>
          </w:p>
        </w:tc>
        <w:tc>
          <w:tcPr>
            <w:tcW w:w="1276" w:type="dxa"/>
          </w:tcPr>
          <w:p w:rsidR="008C51D3" w:rsidRPr="008C09A4" w:rsidRDefault="008C51D3" w:rsidP="008C51D3">
            <w:pPr>
              <w:jc w:val="center"/>
              <w:rPr>
                <w:rFonts w:cs="Times New Roman"/>
                <w:bCs/>
                <w:sz w:val="20"/>
                <w:szCs w:val="20"/>
              </w:rPr>
            </w:pPr>
            <w:r w:rsidRPr="008C09A4">
              <w:rPr>
                <w:rFonts w:cs="Times New Roman"/>
                <w:bCs/>
                <w:sz w:val="20"/>
                <w:szCs w:val="20"/>
              </w:rPr>
              <w:t>3</w:t>
            </w:r>
            <w:r>
              <w:rPr>
                <w:rFonts w:cs="Times New Roman"/>
                <w:bCs/>
                <w:sz w:val="20"/>
                <w:szCs w:val="20"/>
              </w:rPr>
              <w:t>0</w:t>
            </w:r>
            <w:r w:rsidRPr="008C09A4">
              <w:rPr>
                <w:rFonts w:cs="Times New Roman"/>
                <w:bCs/>
                <w:sz w:val="20"/>
                <w:szCs w:val="20"/>
              </w:rPr>
              <w:t>.12.2022.</w:t>
            </w:r>
          </w:p>
        </w:tc>
      </w:tr>
      <w:tr w:rsidR="008C51D3" w:rsidRPr="00BC7C30" w:rsidTr="00DA5BE6">
        <w:trPr>
          <w:trHeight w:val="1975"/>
        </w:trPr>
        <w:tc>
          <w:tcPr>
            <w:tcW w:w="568" w:type="dxa"/>
            <w:vMerge w:val="restart"/>
          </w:tcPr>
          <w:p w:rsidR="008C51D3" w:rsidRPr="00BC7C30" w:rsidRDefault="008C51D3" w:rsidP="008C51D3">
            <w:pPr>
              <w:ind w:right="-21"/>
              <w:rPr>
                <w:rFonts w:eastAsia="Calibri" w:cs="Times New Roman"/>
                <w:bCs/>
                <w:sz w:val="20"/>
                <w:szCs w:val="20"/>
              </w:rPr>
            </w:pPr>
            <w:r w:rsidRPr="00BC7C30">
              <w:rPr>
                <w:rFonts w:eastAsia="Calibri" w:cs="Times New Roman"/>
                <w:bCs/>
                <w:sz w:val="20"/>
                <w:szCs w:val="20"/>
              </w:rPr>
              <w:t>5.</w:t>
            </w:r>
            <w:r w:rsidR="00341F3D">
              <w:rPr>
                <w:rFonts w:eastAsia="Calibri" w:cs="Times New Roman"/>
                <w:bCs/>
                <w:sz w:val="20"/>
                <w:szCs w:val="20"/>
              </w:rPr>
              <w:t>6</w:t>
            </w:r>
            <w:r>
              <w:rPr>
                <w:rFonts w:eastAsia="Calibri" w:cs="Times New Roman"/>
                <w:bCs/>
                <w:sz w:val="20"/>
                <w:szCs w:val="20"/>
              </w:rPr>
              <w:t>.</w:t>
            </w:r>
          </w:p>
        </w:tc>
        <w:tc>
          <w:tcPr>
            <w:tcW w:w="2268" w:type="dxa"/>
            <w:vMerge w:val="restart"/>
          </w:tcPr>
          <w:p w:rsidR="008C51D3" w:rsidRPr="00BC7C30" w:rsidRDefault="008C51D3" w:rsidP="008C51D3">
            <w:pPr>
              <w:jc w:val="both"/>
              <w:rPr>
                <w:rFonts w:eastAsia="Calibri" w:cs="Times New Roman"/>
                <w:bCs/>
                <w:color w:val="000000"/>
                <w:sz w:val="20"/>
                <w:szCs w:val="20"/>
              </w:rPr>
            </w:pPr>
            <w:r w:rsidRPr="00BC7C30">
              <w:rPr>
                <w:rFonts w:eastAsia="Calibri" w:cs="Times New Roman"/>
                <w:bCs/>
                <w:sz w:val="20"/>
                <w:szCs w:val="20"/>
              </w:rPr>
              <w:t>Noteikt būvkomersantiem  pienākumu veikt darba spēka nodokļu uzskaiti objektu līmenī un ieviest nodokļu samaksas kontroles mehānismu</w:t>
            </w:r>
            <w:r>
              <w:rPr>
                <w:rFonts w:eastAsia="Calibri" w:cs="Times New Roman"/>
                <w:bCs/>
                <w:sz w:val="20"/>
                <w:szCs w:val="20"/>
              </w:rPr>
              <w:t>.</w:t>
            </w:r>
          </w:p>
        </w:tc>
        <w:tc>
          <w:tcPr>
            <w:tcW w:w="3544" w:type="dxa"/>
            <w:vMerge w:val="restart"/>
            <w:shd w:val="clear" w:color="auto" w:fill="auto"/>
          </w:tcPr>
          <w:p w:rsidR="008C51D3" w:rsidRPr="000B0D02" w:rsidRDefault="008C51D3" w:rsidP="008C51D3">
            <w:pPr>
              <w:jc w:val="both"/>
              <w:rPr>
                <w:rFonts w:eastAsia="Calibri" w:cs="Times New Roman"/>
                <w:bCs/>
                <w:sz w:val="20"/>
                <w:szCs w:val="20"/>
              </w:rPr>
            </w:pPr>
            <w:r w:rsidRPr="000B0D02">
              <w:rPr>
                <w:rFonts w:eastAsia="Calibri" w:cs="Times New Roman"/>
                <w:bCs/>
                <w:sz w:val="20"/>
                <w:szCs w:val="20"/>
              </w:rPr>
              <w:t xml:space="preserve">Būvkomersantam organizējot grāmatvedību objektu griezumā, darba spēka nodokļu administrēšanai tiks iegūtu savstarpēji salīdzināmi dati par katra objekta plānotājiem, aprēķinātiem un nomaksātiem nodokļiem. Tas ļaus identificēt objektus ar augstu ēnu ekonomikas risku, veikt jēgpilnas un uz objektīviem datiem balstītas pārbaudes būvkomersantiem. </w:t>
            </w:r>
          </w:p>
          <w:p w:rsidR="008C51D3" w:rsidRPr="000B0D02" w:rsidRDefault="008C51D3" w:rsidP="008C51D3">
            <w:pPr>
              <w:jc w:val="both"/>
              <w:rPr>
                <w:rFonts w:eastAsia="Calibri" w:cs="Times New Roman"/>
                <w:bCs/>
                <w:sz w:val="20"/>
                <w:szCs w:val="20"/>
              </w:rPr>
            </w:pPr>
            <w:r w:rsidRPr="000B0D02">
              <w:rPr>
                <w:rFonts w:eastAsia="Calibri" w:cs="Times New Roman"/>
                <w:bCs/>
                <w:sz w:val="20"/>
                <w:szCs w:val="20"/>
              </w:rPr>
              <w:t>Grāmatvedības kārtošana objektu griezumā kopsakarā ar ieviesto elektronisko darba laika uzskaiti ļaus iegūt objektīvu un aktuālu informāciju par nodarbināto faktiski nostrādāto darba laiku, lai pārliecinātos par aprēķināto un samaksāto nodokļu korektumu.</w:t>
            </w:r>
          </w:p>
        </w:tc>
        <w:tc>
          <w:tcPr>
            <w:tcW w:w="2551" w:type="dxa"/>
          </w:tcPr>
          <w:p w:rsidR="008C51D3" w:rsidRPr="00BC7C30" w:rsidRDefault="008C51D3" w:rsidP="008C51D3">
            <w:pPr>
              <w:tabs>
                <w:tab w:val="left" w:pos="186"/>
              </w:tabs>
              <w:jc w:val="both"/>
              <w:rPr>
                <w:rFonts w:eastAsia="Calibri" w:cs="Times New Roman"/>
                <w:bCs/>
                <w:color w:val="000000"/>
                <w:sz w:val="20"/>
                <w:szCs w:val="20"/>
              </w:rPr>
            </w:pPr>
            <w:r w:rsidRPr="00BC7C30">
              <w:rPr>
                <w:rFonts w:eastAsia="Calibri" w:cs="Times New Roman"/>
                <w:sz w:val="20"/>
                <w:szCs w:val="20"/>
              </w:rPr>
              <w:t>1.</w:t>
            </w:r>
            <w:r>
              <w:rPr>
                <w:rFonts w:eastAsia="Calibri" w:cs="Times New Roman"/>
                <w:sz w:val="20"/>
                <w:szCs w:val="20"/>
              </w:rPr>
              <w:t xml:space="preserve"> </w:t>
            </w:r>
            <w:r w:rsidRPr="00BC7C30">
              <w:rPr>
                <w:rFonts w:eastAsia="Calibri" w:cs="Times New Roman"/>
                <w:sz w:val="20"/>
                <w:szCs w:val="20"/>
              </w:rPr>
              <w:t xml:space="preserve">Izstrādāts priekšlikums (konceptuāls risinājums) būvkomersantu aprēķināto darba spēka nodokļu uzskaitei būvniecības ieceres (objekta) griezumā ar mērķi radīt efektīvu mehānismu darba spēka nodokļu nomaksas disciplīnas uzraudzībai un “aplokšņu algu” riska mazināšanai. </w:t>
            </w:r>
          </w:p>
        </w:tc>
        <w:tc>
          <w:tcPr>
            <w:tcW w:w="1985" w:type="dxa"/>
          </w:tcPr>
          <w:p w:rsidR="008C51D3" w:rsidRPr="00BC7C30" w:rsidRDefault="008C51D3" w:rsidP="008C51D3">
            <w:pPr>
              <w:jc w:val="both"/>
              <w:rPr>
                <w:rFonts w:eastAsia="Calibri" w:cs="Times New Roman"/>
                <w:sz w:val="20"/>
                <w:szCs w:val="20"/>
              </w:rPr>
            </w:pPr>
            <w:r w:rsidRPr="00BC7C30">
              <w:rPr>
                <w:rFonts w:eastAsia="Calibri" w:cs="Times New Roman"/>
                <w:sz w:val="20"/>
                <w:szCs w:val="20"/>
              </w:rPr>
              <w:t>Informatīvais ziņojums, kas paredz konceptuālu risinājumu efektīvai būvkomersanta aprēķināto darba spēka nodokļu uzskaitei objekta līmenī un šāda pienākuma efektīvu uzraudzību.</w:t>
            </w:r>
          </w:p>
        </w:tc>
        <w:tc>
          <w:tcPr>
            <w:tcW w:w="1275" w:type="dxa"/>
          </w:tcPr>
          <w:p w:rsidR="008C51D3" w:rsidRPr="00BC7C30" w:rsidRDefault="008C51D3" w:rsidP="008C51D3">
            <w:pPr>
              <w:jc w:val="center"/>
              <w:rPr>
                <w:rFonts w:eastAsia="Calibri" w:cs="Times New Roman"/>
                <w:bCs/>
                <w:sz w:val="20"/>
                <w:szCs w:val="20"/>
              </w:rPr>
            </w:pPr>
            <w:r w:rsidRPr="00BC7C30">
              <w:rPr>
                <w:rFonts w:eastAsia="Calibri" w:cs="Times New Roman"/>
                <w:sz w:val="20"/>
                <w:szCs w:val="20"/>
              </w:rPr>
              <w:t>FM</w:t>
            </w:r>
          </w:p>
        </w:tc>
        <w:tc>
          <w:tcPr>
            <w:tcW w:w="1134" w:type="dxa"/>
          </w:tcPr>
          <w:p w:rsidR="008C51D3" w:rsidRPr="00BC7C30" w:rsidRDefault="008C51D3" w:rsidP="008C51D3">
            <w:pPr>
              <w:jc w:val="center"/>
              <w:rPr>
                <w:rFonts w:eastAsia="Calibri" w:cs="Times New Roman"/>
                <w:bCs/>
                <w:sz w:val="20"/>
                <w:szCs w:val="20"/>
              </w:rPr>
            </w:pPr>
            <w:r w:rsidRPr="00BC7C30">
              <w:rPr>
                <w:rFonts w:eastAsia="Calibri" w:cs="Times New Roman"/>
                <w:sz w:val="20"/>
                <w:szCs w:val="20"/>
              </w:rPr>
              <w:t>EM</w:t>
            </w:r>
          </w:p>
        </w:tc>
        <w:tc>
          <w:tcPr>
            <w:tcW w:w="1276" w:type="dxa"/>
          </w:tcPr>
          <w:p w:rsidR="008C51D3" w:rsidRPr="00BC7C30" w:rsidRDefault="008C51D3" w:rsidP="008C51D3">
            <w:pPr>
              <w:jc w:val="center"/>
              <w:rPr>
                <w:rFonts w:eastAsia="Calibri" w:cs="Times New Roman"/>
                <w:bCs/>
                <w:sz w:val="20"/>
                <w:szCs w:val="20"/>
              </w:rPr>
            </w:pPr>
            <w:r w:rsidRPr="00BC7C30">
              <w:rPr>
                <w:rFonts w:eastAsia="Calibri" w:cs="Times New Roman"/>
                <w:bCs/>
                <w:sz w:val="20"/>
                <w:szCs w:val="20"/>
              </w:rPr>
              <w:t>01.03.2022.</w:t>
            </w:r>
          </w:p>
        </w:tc>
      </w:tr>
      <w:tr w:rsidR="008C51D3" w:rsidRPr="00BC7C30" w:rsidTr="00DA5BE6">
        <w:trPr>
          <w:trHeight w:val="543"/>
        </w:trPr>
        <w:tc>
          <w:tcPr>
            <w:tcW w:w="568" w:type="dxa"/>
            <w:vMerge/>
          </w:tcPr>
          <w:p w:rsidR="008C51D3" w:rsidRPr="00BC7C30" w:rsidRDefault="008C51D3" w:rsidP="008C51D3">
            <w:pPr>
              <w:ind w:right="-21"/>
              <w:rPr>
                <w:rFonts w:eastAsia="Calibri" w:cs="Times New Roman"/>
                <w:bCs/>
                <w:sz w:val="20"/>
                <w:szCs w:val="20"/>
              </w:rPr>
            </w:pPr>
          </w:p>
        </w:tc>
        <w:tc>
          <w:tcPr>
            <w:tcW w:w="2268" w:type="dxa"/>
            <w:vMerge/>
          </w:tcPr>
          <w:p w:rsidR="008C51D3" w:rsidRPr="00BC7C30" w:rsidRDefault="008C51D3" w:rsidP="008C51D3">
            <w:pPr>
              <w:jc w:val="both"/>
              <w:rPr>
                <w:rFonts w:eastAsia="Calibri" w:cs="Times New Roman"/>
                <w:color w:val="000000"/>
                <w:sz w:val="20"/>
                <w:szCs w:val="20"/>
              </w:rPr>
            </w:pPr>
          </w:p>
        </w:tc>
        <w:tc>
          <w:tcPr>
            <w:tcW w:w="3544" w:type="dxa"/>
            <w:vMerge/>
            <w:shd w:val="clear" w:color="auto" w:fill="auto"/>
          </w:tcPr>
          <w:p w:rsidR="008C51D3" w:rsidRPr="000B0D02" w:rsidRDefault="008C51D3" w:rsidP="008C51D3">
            <w:pPr>
              <w:jc w:val="both"/>
              <w:rPr>
                <w:rFonts w:eastAsia="Calibri" w:cs="Times New Roman"/>
                <w:sz w:val="20"/>
                <w:szCs w:val="20"/>
              </w:rPr>
            </w:pPr>
          </w:p>
        </w:tc>
        <w:tc>
          <w:tcPr>
            <w:tcW w:w="2551" w:type="dxa"/>
          </w:tcPr>
          <w:p w:rsidR="008C51D3" w:rsidRPr="00BC7C30" w:rsidRDefault="008C51D3" w:rsidP="00AB62C1">
            <w:pPr>
              <w:tabs>
                <w:tab w:val="left" w:pos="226"/>
              </w:tabs>
              <w:jc w:val="both"/>
              <w:rPr>
                <w:rFonts w:eastAsia="Calibri" w:cs="Times New Roman"/>
                <w:color w:val="000000"/>
                <w:sz w:val="20"/>
                <w:szCs w:val="20"/>
              </w:rPr>
            </w:pPr>
            <w:r w:rsidRPr="00BC7C30">
              <w:rPr>
                <w:rFonts w:eastAsia="Calibri" w:cs="Times New Roman"/>
                <w:sz w:val="20"/>
                <w:szCs w:val="20"/>
              </w:rPr>
              <w:t>2.</w:t>
            </w:r>
            <w:r w:rsidR="00AB62C1">
              <w:rPr>
                <w:rFonts w:eastAsia="Calibri" w:cs="Times New Roman"/>
                <w:sz w:val="20"/>
                <w:szCs w:val="20"/>
              </w:rPr>
              <w:t xml:space="preserve"> </w:t>
            </w:r>
            <w:r w:rsidRPr="00DD1C2E">
              <w:rPr>
                <w:rFonts w:eastAsia="Calibri" w:cs="Times New Roman"/>
                <w:sz w:val="20"/>
                <w:szCs w:val="20"/>
              </w:rPr>
              <w:t>Pēc 5.9.</w:t>
            </w:r>
            <w:r w:rsidR="00AB62C1">
              <w:rPr>
                <w:rFonts w:eastAsia="Calibri" w:cs="Times New Roman"/>
                <w:sz w:val="20"/>
                <w:szCs w:val="20"/>
              </w:rPr>
              <w:t> </w:t>
            </w:r>
            <w:r w:rsidR="00244F5F">
              <w:rPr>
                <w:rFonts w:eastAsia="Calibri" w:cs="Times New Roman"/>
                <w:sz w:val="20"/>
                <w:szCs w:val="20"/>
              </w:rPr>
              <w:t>pasāk</w:t>
            </w:r>
            <w:r w:rsidRPr="00DD1C2E">
              <w:rPr>
                <w:rFonts w:eastAsia="Calibri" w:cs="Times New Roman"/>
                <w:sz w:val="20"/>
                <w:szCs w:val="20"/>
              </w:rPr>
              <w:t>uma 1.</w:t>
            </w:r>
            <w:r w:rsidR="0081170B">
              <w:rPr>
                <w:rFonts w:eastAsia="Calibri" w:cs="Times New Roman"/>
                <w:sz w:val="20"/>
                <w:szCs w:val="20"/>
              </w:rPr>
              <w:t> </w:t>
            </w:r>
            <w:r w:rsidRPr="00DD1C2E">
              <w:rPr>
                <w:rFonts w:eastAsia="Calibri" w:cs="Times New Roman"/>
                <w:sz w:val="20"/>
                <w:szCs w:val="20"/>
              </w:rPr>
              <w:t>rezultātā paredzētā konceptuālā risinājuma atbalstīšan</w:t>
            </w:r>
            <w:r w:rsidRPr="00BC7C30">
              <w:rPr>
                <w:rFonts w:eastAsia="Calibri" w:cs="Times New Roman"/>
                <w:sz w:val="20"/>
                <w:szCs w:val="20"/>
              </w:rPr>
              <w:t xml:space="preserve">as MK izstrādāt atbilstošu normatīvo regulējumu. </w:t>
            </w:r>
          </w:p>
        </w:tc>
        <w:tc>
          <w:tcPr>
            <w:tcW w:w="1985" w:type="dxa"/>
          </w:tcPr>
          <w:p w:rsidR="008C51D3" w:rsidRPr="00BC7C30" w:rsidRDefault="008C51D3" w:rsidP="008C51D3">
            <w:pPr>
              <w:rPr>
                <w:rFonts w:eastAsia="Calibri" w:cs="Times New Roman"/>
                <w:sz w:val="20"/>
                <w:szCs w:val="20"/>
              </w:rPr>
            </w:pPr>
            <w:r w:rsidRPr="00BC7C30">
              <w:rPr>
                <w:rFonts w:eastAsia="Calibri" w:cs="Times New Roman"/>
                <w:sz w:val="20"/>
                <w:szCs w:val="20"/>
              </w:rPr>
              <w:t>Izstrādāti grozījumi normatīvajos aktos, paredzot jēgpilna risinājuma ieviešanu.</w:t>
            </w:r>
          </w:p>
        </w:tc>
        <w:tc>
          <w:tcPr>
            <w:tcW w:w="1275" w:type="dxa"/>
          </w:tcPr>
          <w:p w:rsidR="008C51D3" w:rsidRPr="00BC7C30" w:rsidRDefault="008C51D3" w:rsidP="008C51D3">
            <w:pPr>
              <w:jc w:val="center"/>
              <w:rPr>
                <w:rFonts w:eastAsia="Calibri" w:cs="Times New Roman"/>
                <w:bCs/>
                <w:sz w:val="20"/>
                <w:szCs w:val="20"/>
              </w:rPr>
            </w:pPr>
            <w:r w:rsidRPr="00BC7C30">
              <w:rPr>
                <w:rFonts w:eastAsia="Calibri" w:cs="Times New Roman"/>
                <w:sz w:val="20"/>
                <w:szCs w:val="20"/>
              </w:rPr>
              <w:t>FM</w:t>
            </w:r>
          </w:p>
        </w:tc>
        <w:tc>
          <w:tcPr>
            <w:tcW w:w="1134" w:type="dxa"/>
          </w:tcPr>
          <w:p w:rsidR="008C51D3" w:rsidRPr="00BC7C30" w:rsidRDefault="008C51D3" w:rsidP="008C51D3">
            <w:pPr>
              <w:jc w:val="center"/>
              <w:rPr>
                <w:rFonts w:eastAsia="Calibri" w:cs="Times New Roman"/>
                <w:bCs/>
                <w:sz w:val="20"/>
                <w:szCs w:val="20"/>
              </w:rPr>
            </w:pPr>
            <w:r w:rsidRPr="00BC7C30">
              <w:rPr>
                <w:rFonts w:eastAsia="Calibri" w:cs="Times New Roman"/>
                <w:sz w:val="20"/>
                <w:szCs w:val="20"/>
              </w:rPr>
              <w:t xml:space="preserve">EM </w:t>
            </w:r>
          </w:p>
        </w:tc>
        <w:tc>
          <w:tcPr>
            <w:tcW w:w="1276" w:type="dxa"/>
          </w:tcPr>
          <w:p w:rsidR="008C51D3" w:rsidRPr="00BC7C30" w:rsidRDefault="008C51D3" w:rsidP="008C51D3">
            <w:pPr>
              <w:jc w:val="center"/>
              <w:rPr>
                <w:rFonts w:eastAsia="Calibri" w:cs="Times New Roman"/>
                <w:bCs/>
                <w:sz w:val="20"/>
                <w:szCs w:val="20"/>
              </w:rPr>
            </w:pPr>
            <w:r>
              <w:rPr>
                <w:rFonts w:eastAsia="Calibri" w:cs="Times New Roman"/>
                <w:bCs/>
                <w:sz w:val="20"/>
                <w:szCs w:val="20"/>
              </w:rPr>
              <w:t>30</w:t>
            </w:r>
            <w:r w:rsidRPr="00BC7C30">
              <w:rPr>
                <w:rFonts w:eastAsia="Calibri" w:cs="Times New Roman"/>
                <w:bCs/>
                <w:sz w:val="20"/>
                <w:szCs w:val="20"/>
              </w:rPr>
              <w:t>.</w:t>
            </w:r>
            <w:r>
              <w:rPr>
                <w:rFonts w:eastAsia="Calibri" w:cs="Times New Roman"/>
                <w:bCs/>
                <w:sz w:val="20"/>
                <w:szCs w:val="20"/>
              </w:rPr>
              <w:t>12</w:t>
            </w:r>
            <w:r w:rsidRPr="00BC7C30">
              <w:rPr>
                <w:rFonts w:eastAsia="Calibri" w:cs="Times New Roman"/>
                <w:bCs/>
                <w:sz w:val="20"/>
                <w:szCs w:val="20"/>
              </w:rPr>
              <w:t>.202</w:t>
            </w:r>
            <w:r>
              <w:rPr>
                <w:rFonts w:eastAsia="Calibri" w:cs="Times New Roman"/>
                <w:bCs/>
                <w:sz w:val="20"/>
                <w:szCs w:val="20"/>
              </w:rPr>
              <w:t>2</w:t>
            </w:r>
            <w:r w:rsidRPr="00BC7C30">
              <w:rPr>
                <w:rFonts w:eastAsia="Calibri" w:cs="Times New Roman"/>
                <w:bCs/>
                <w:sz w:val="20"/>
                <w:szCs w:val="20"/>
              </w:rPr>
              <w:t>.</w:t>
            </w:r>
          </w:p>
        </w:tc>
      </w:tr>
      <w:tr w:rsidR="008C51D3" w:rsidRPr="00BC7C30" w:rsidTr="00DA5BE6">
        <w:trPr>
          <w:trHeight w:val="543"/>
        </w:trPr>
        <w:tc>
          <w:tcPr>
            <w:tcW w:w="568" w:type="dxa"/>
            <w:vMerge w:val="restart"/>
          </w:tcPr>
          <w:p w:rsidR="008C51D3" w:rsidRPr="00BC7C30" w:rsidRDefault="008C51D3" w:rsidP="008C51D3">
            <w:pPr>
              <w:ind w:right="-21"/>
              <w:rPr>
                <w:rFonts w:eastAsia="Calibri" w:cs="Times New Roman"/>
                <w:bCs/>
                <w:sz w:val="20"/>
                <w:szCs w:val="20"/>
              </w:rPr>
            </w:pPr>
            <w:r w:rsidRPr="00BC7C30">
              <w:rPr>
                <w:rFonts w:eastAsia="Calibri" w:cs="Times New Roman"/>
                <w:bCs/>
                <w:sz w:val="20"/>
                <w:szCs w:val="20"/>
              </w:rPr>
              <w:t>5.</w:t>
            </w:r>
            <w:r w:rsidR="00341F3D">
              <w:rPr>
                <w:rFonts w:eastAsia="Calibri" w:cs="Times New Roman"/>
                <w:bCs/>
                <w:sz w:val="20"/>
                <w:szCs w:val="20"/>
              </w:rPr>
              <w:t>7</w:t>
            </w:r>
            <w:r w:rsidRPr="00BC7C30">
              <w:rPr>
                <w:rFonts w:eastAsia="Calibri" w:cs="Times New Roman"/>
                <w:bCs/>
                <w:sz w:val="20"/>
                <w:szCs w:val="20"/>
              </w:rPr>
              <w:t>.</w:t>
            </w:r>
          </w:p>
        </w:tc>
        <w:tc>
          <w:tcPr>
            <w:tcW w:w="2268" w:type="dxa"/>
            <w:vMerge w:val="restart"/>
            <w:shd w:val="clear" w:color="auto" w:fill="auto"/>
          </w:tcPr>
          <w:p w:rsidR="008C51D3" w:rsidRPr="00BC7C30" w:rsidRDefault="008C51D3" w:rsidP="008C51D3">
            <w:pPr>
              <w:jc w:val="both"/>
              <w:rPr>
                <w:rFonts w:eastAsia="Calibri" w:cs="Times New Roman"/>
                <w:bCs/>
                <w:color w:val="000000"/>
                <w:sz w:val="20"/>
                <w:szCs w:val="20"/>
              </w:rPr>
            </w:pPr>
            <w:r w:rsidRPr="00BC7C30">
              <w:rPr>
                <w:rFonts w:eastAsia="Calibri" w:cs="Times New Roman"/>
                <w:bCs/>
                <w:sz w:val="20"/>
                <w:szCs w:val="20"/>
              </w:rPr>
              <w:t>Veicināt caurspīdīgu savstarpējo norēķināšanos publiskajos būvdarbu līgumos</w:t>
            </w:r>
            <w:r>
              <w:rPr>
                <w:rFonts w:eastAsia="Calibri" w:cs="Times New Roman"/>
                <w:bCs/>
                <w:sz w:val="20"/>
                <w:szCs w:val="20"/>
              </w:rPr>
              <w:t>.</w:t>
            </w:r>
          </w:p>
        </w:tc>
        <w:tc>
          <w:tcPr>
            <w:tcW w:w="3544" w:type="dxa"/>
            <w:vMerge w:val="restart"/>
            <w:shd w:val="clear" w:color="auto" w:fill="auto"/>
          </w:tcPr>
          <w:p w:rsidR="008C51D3" w:rsidRPr="000B0D02" w:rsidRDefault="008C51D3" w:rsidP="008C51D3">
            <w:pPr>
              <w:jc w:val="both"/>
              <w:rPr>
                <w:rFonts w:eastAsia="Calibri" w:cs="Times New Roman"/>
                <w:bCs/>
                <w:sz w:val="20"/>
                <w:szCs w:val="20"/>
              </w:rPr>
            </w:pPr>
            <w:r w:rsidRPr="000B0D02">
              <w:rPr>
                <w:rFonts w:eastAsia="Calibri" w:cs="Times New Roman"/>
                <w:bCs/>
                <w:sz w:val="20"/>
                <w:szCs w:val="20"/>
              </w:rPr>
              <w:t xml:space="preserve">Būvdarbu pakalpojuma sniegšanai ir raksturīgas apakšuzņēmēju ķēdes, t.i. galvenais būvdarbu veicējs pamatā nodrošina būvdarbu vadības funkciju, būvdarbu veikšanu nododot apakšuzņēmējiem, kas daļu no darbiem nodod saviem apakšuzņēmējiem. Šādi izveidojas vairāku līmeņu plašas apakšuzņēmēju ķēdes. </w:t>
            </w:r>
          </w:p>
          <w:p w:rsidR="008C51D3" w:rsidRPr="000B0D02" w:rsidRDefault="008C51D3" w:rsidP="008C51D3">
            <w:pPr>
              <w:jc w:val="both"/>
              <w:rPr>
                <w:rFonts w:eastAsia="Calibri" w:cs="Times New Roman"/>
                <w:bCs/>
                <w:sz w:val="20"/>
                <w:szCs w:val="20"/>
              </w:rPr>
            </w:pPr>
            <w:r w:rsidRPr="000B0D02">
              <w:rPr>
                <w:rFonts w:eastAsia="Calibri" w:cs="Times New Roman"/>
                <w:bCs/>
                <w:sz w:val="20"/>
                <w:szCs w:val="20"/>
              </w:rPr>
              <w:t xml:space="preserve">Viena no raksturīgākām apakšuzņēmēju ķēžu problēmām, ir samaksas par veiktajiem būvdarbiem būtiska kavēšana vai nepamatota atteikšana zemākā līmeņa apakšuzņēmējam, t.i. tam, kas pamata veic būvdarbus paša spēkiem ar saviem darbiniekiem. Rezultātā būvkomersantam veidojas naudas plūsmas problēmas, tas nespēj laicīgi izpildīt savas saistības pret darbiniekiem un valsti (darba algas un nodokļu parādi), kas noved pie tā maksātnespējas. </w:t>
            </w:r>
          </w:p>
          <w:p w:rsidR="008C51D3" w:rsidRPr="000B0D02" w:rsidRDefault="008C51D3" w:rsidP="008C51D3">
            <w:pPr>
              <w:jc w:val="both"/>
              <w:rPr>
                <w:rFonts w:eastAsia="Calibri" w:cs="Times New Roman"/>
                <w:bCs/>
                <w:sz w:val="20"/>
                <w:szCs w:val="20"/>
              </w:rPr>
            </w:pPr>
            <w:r w:rsidRPr="000B0D02">
              <w:rPr>
                <w:rFonts w:eastAsia="Calibri" w:cs="Times New Roman"/>
                <w:bCs/>
                <w:sz w:val="20"/>
                <w:szCs w:val="20"/>
              </w:rPr>
              <w:t xml:space="preserve">Būvniecības nozares eksperti ir norādījuši, ka naudas līdzekļi, kas akumulējas nenorēķināšanas rezultātā, tiek atgriezti atpakaļ nozarē skaidrās naudas veidā caur “fiktīvajiem” pakalpojumu līgumiem. </w:t>
            </w:r>
          </w:p>
          <w:p w:rsidR="008C51D3" w:rsidRPr="000B0D02" w:rsidRDefault="008C51D3" w:rsidP="008C51D3">
            <w:pPr>
              <w:jc w:val="both"/>
              <w:rPr>
                <w:rFonts w:eastAsia="Calibri" w:cs="Times New Roman"/>
                <w:bCs/>
                <w:sz w:val="20"/>
                <w:szCs w:val="20"/>
              </w:rPr>
            </w:pPr>
            <w:r w:rsidRPr="000B0D02">
              <w:rPr>
                <w:rFonts w:eastAsia="Calibri" w:cs="Times New Roman"/>
                <w:bCs/>
                <w:sz w:val="20"/>
                <w:szCs w:val="20"/>
              </w:rPr>
              <w:t xml:space="preserve">Datu par norēķināšanos būvdarbu līgumu ietvaros ļaus identificēt apakšuzņēmēju ķēdē esošus būvkomersantus, kas, nenorēķinoties ar apakšuzņēmējiem, akumulē pie sevis finanšu resursus. VID būs iespēja veikt jēgpilnu uzraudzību attiecībā uz akumulētās naudas turpmāko “likteni”. </w:t>
            </w:r>
          </w:p>
        </w:tc>
        <w:tc>
          <w:tcPr>
            <w:tcW w:w="2551" w:type="dxa"/>
          </w:tcPr>
          <w:p w:rsidR="008C51D3" w:rsidRPr="00BC7C30" w:rsidRDefault="008C51D3" w:rsidP="008C51D3">
            <w:pPr>
              <w:jc w:val="both"/>
              <w:rPr>
                <w:rFonts w:eastAsia="Calibri" w:cs="Times New Roman"/>
                <w:bCs/>
                <w:color w:val="000000"/>
                <w:sz w:val="20"/>
                <w:szCs w:val="20"/>
              </w:rPr>
            </w:pPr>
            <w:r w:rsidRPr="00BC7C30">
              <w:rPr>
                <w:rFonts w:eastAsia="Calibri" w:cs="Times New Roman"/>
                <w:sz w:val="20"/>
                <w:szCs w:val="20"/>
              </w:rPr>
              <w:t>1.</w:t>
            </w:r>
            <w:r w:rsidRPr="00BC7C30">
              <w:rPr>
                <w:rFonts w:eastAsia="Calibri" w:cs="Times New Roman"/>
              </w:rPr>
              <w:t xml:space="preserve"> </w:t>
            </w:r>
            <w:r w:rsidRPr="00BC7C30">
              <w:rPr>
                <w:rFonts w:eastAsia="Calibri" w:cs="Times New Roman"/>
                <w:sz w:val="20"/>
                <w:szCs w:val="20"/>
              </w:rPr>
              <w:t xml:space="preserve">Noteikt pienākumu galvenajam būvdarbu veicējam un apakšuzņēmējam iesniegt iekļaušanai vienotajā elektroniskās darba laika uzskaites datubāzē informāciju par visiem ar saviem apakšuzņēmējiem iepriekšējā mēnesī noslēgtajiem būvdarbu līgumiem bez līguma summas ierobežojuma (pašlaik šāds pienākums, ja līguma summa ir 15 000 </w:t>
            </w:r>
            <w:r w:rsidRPr="00BC7C30">
              <w:rPr>
                <w:rFonts w:eastAsia="Calibri" w:cs="Times New Roman"/>
                <w:i/>
                <w:iCs/>
                <w:sz w:val="20"/>
                <w:szCs w:val="20"/>
              </w:rPr>
              <w:t>euro</w:t>
            </w:r>
            <w:r w:rsidRPr="00BC7C30">
              <w:rPr>
                <w:rFonts w:eastAsia="Calibri" w:cs="Times New Roman"/>
                <w:sz w:val="20"/>
                <w:szCs w:val="20"/>
              </w:rPr>
              <w:t xml:space="preserve"> vai vairāk).</w:t>
            </w:r>
          </w:p>
        </w:tc>
        <w:tc>
          <w:tcPr>
            <w:tcW w:w="1985" w:type="dxa"/>
          </w:tcPr>
          <w:p w:rsidR="008C51D3" w:rsidRPr="00BC7C30" w:rsidRDefault="008C51D3" w:rsidP="008C51D3">
            <w:pPr>
              <w:rPr>
                <w:rFonts w:eastAsia="Calibri" w:cs="Times New Roman"/>
                <w:bCs/>
                <w:sz w:val="20"/>
                <w:szCs w:val="20"/>
              </w:rPr>
            </w:pPr>
            <w:r w:rsidRPr="00BC7C30">
              <w:rPr>
                <w:rFonts w:eastAsia="Calibri" w:cs="Times New Roman"/>
                <w:sz w:val="20"/>
                <w:szCs w:val="20"/>
              </w:rPr>
              <w:t>Veikti grozījumi likumā “Par nodokļiem un nodevām”</w:t>
            </w:r>
            <w:r>
              <w:rPr>
                <w:rFonts w:eastAsia="Calibri" w:cs="Times New Roman"/>
                <w:sz w:val="20"/>
                <w:szCs w:val="20"/>
              </w:rPr>
              <w:t>.</w:t>
            </w:r>
          </w:p>
        </w:tc>
        <w:tc>
          <w:tcPr>
            <w:tcW w:w="1275" w:type="dxa"/>
          </w:tcPr>
          <w:p w:rsidR="008C51D3" w:rsidRPr="00BC7C30" w:rsidRDefault="008C51D3" w:rsidP="008C51D3">
            <w:pPr>
              <w:jc w:val="center"/>
              <w:rPr>
                <w:rFonts w:eastAsia="Calibri" w:cs="Times New Roman"/>
                <w:bCs/>
                <w:sz w:val="20"/>
                <w:szCs w:val="20"/>
              </w:rPr>
            </w:pPr>
            <w:r w:rsidRPr="00BC7C30">
              <w:rPr>
                <w:rFonts w:eastAsia="Calibri" w:cs="Times New Roman"/>
                <w:sz w:val="20"/>
                <w:szCs w:val="20"/>
              </w:rPr>
              <w:t>FM</w:t>
            </w:r>
          </w:p>
        </w:tc>
        <w:tc>
          <w:tcPr>
            <w:tcW w:w="1134" w:type="dxa"/>
          </w:tcPr>
          <w:p w:rsidR="008C51D3" w:rsidRPr="00BC7C30" w:rsidRDefault="008C51D3" w:rsidP="008C51D3">
            <w:pPr>
              <w:jc w:val="center"/>
              <w:rPr>
                <w:rFonts w:eastAsia="Calibri" w:cs="Times New Roman"/>
                <w:bCs/>
                <w:sz w:val="20"/>
                <w:szCs w:val="20"/>
              </w:rPr>
            </w:pPr>
            <w:r w:rsidRPr="00BC7C30">
              <w:rPr>
                <w:rFonts w:eastAsia="Calibri" w:cs="Times New Roman"/>
                <w:sz w:val="20"/>
                <w:szCs w:val="20"/>
              </w:rPr>
              <w:t>EM</w:t>
            </w:r>
          </w:p>
        </w:tc>
        <w:tc>
          <w:tcPr>
            <w:tcW w:w="1276" w:type="dxa"/>
          </w:tcPr>
          <w:p w:rsidR="008C51D3" w:rsidRPr="00BC7C30" w:rsidRDefault="008C51D3" w:rsidP="008C51D3">
            <w:pPr>
              <w:jc w:val="center"/>
              <w:rPr>
                <w:rFonts w:eastAsia="Calibri" w:cs="Times New Roman"/>
                <w:bCs/>
                <w:sz w:val="20"/>
                <w:szCs w:val="20"/>
              </w:rPr>
            </w:pPr>
            <w:r w:rsidRPr="00BC7C30">
              <w:rPr>
                <w:rFonts w:eastAsia="Calibri" w:cs="Times New Roman"/>
                <w:bCs/>
                <w:sz w:val="20"/>
                <w:szCs w:val="20"/>
              </w:rPr>
              <w:t>01.07.2022.</w:t>
            </w:r>
          </w:p>
        </w:tc>
      </w:tr>
      <w:tr w:rsidR="008C51D3" w:rsidRPr="00BC7C30" w:rsidTr="00DA5BE6">
        <w:trPr>
          <w:trHeight w:val="543"/>
        </w:trPr>
        <w:tc>
          <w:tcPr>
            <w:tcW w:w="568" w:type="dxa"/>
            <w:vMerge/>
          </w:tcPr>
          <w:p w:rsidR="008C51D3" w:rsidRPr="00BC7C30" w:rsidRDefault="008C51D3" w:rsidP="008C51D3">
            <w:pPr>
              <w:ind w:right="-21"/>
              <w:rPr>
                <w:rFonts w:eastAsia="Calibri" w:cs="Times New Roman"/>
                <w:bCs/>
                <w:sz w:val="20"/>
                <w:szCs w:val="20"/>
              </w:rPr>
            </w:pPr>
          </w:p>
        </w:tc>
        <w:tc>
          <w:tcPr>
            <w:tcW w:w="2268" w:type="dxa"/>
            <w:vMerge/>
            <w:shd w:val="clear" w:color="auto" w:fill="auto"/>
          </w:tcPr>
          <w:p w:rsidR="008C51D3" w:rsidRPr="00BC7C30" w:rsidRDefault="008C51D3" w:rsidP="008C51D3">
            <w:pPr>
              <w:jc w:val="both"/>
              <w:rPr>
                <w:rFonts w:eastAsia="Calibri" w:cs="Times New Roman"/>
                <w:color w:val="000000"/>
                <w:sz w:val="20"/>
                <w:szCs w:val="20"/>
              </w:rPr>
            </w:pPr>
          </w:p>
        </w:tc>
        <w:tc>
          <w:tcPr>
            <w:tcW w:w="3544" w:type="dxa"/>
            <w:vMerge/>
            <w:shd w:val="clear" w:color="auto" w:fill="auto"/>
          </w:tcPr>
          <w:p w:rsidR="008C51D3" w:rsidRPr="008718C3" w:rsidRDefault="008C51D3" w:rsidP="008C51D3">
            <w:pPr>
              <w:jc w:val="both"/>
              <w:rPr>
                <w:rFonts w:eastAsia="Calibri" w:cs="Times New Roman"/>
                <w:color w:val="006600"/>
                <w:sz w:val="20"/>
                <w:szCs w:val="20"/>
              </w:rPr>
            </w:pPr>
          </w:p>
        </w:tc>
        <w:tc>
          <w:tcPr>
            <w:tcW w:w="2551" w:type="dxa"/>
            <w:vMerge w:val="restart"/>
          </w:tcPr>
          <w:p w:rsidR="008C51D3" w:rsidRPr="00BC7C30" w:rsidRDefault="008C51D3" w:rsidP="008C51D3">
            <w:pPr>
              <w:jc w:val="both"/>
              <w:rPr>
                <w:rFonts w:eastAsia="Calibri" w:cs="Times New Roman"/>
                <w:color w:val="000000"/>
                <w:sz w:val="20"/>
                <w:szCs w:val="20"/>
              </w:rPr>
            </w:pPr>
            <w:r w:rsidRPr="00BC7C30">
              <w:rPr>
                <w:rFonts w:eastAsia="Calibri" w:cs="Times New Roman"/>
                <w:sz w:val="20"/>
                <w:szCs w:val="20"/>
              </w:rPr>
              <w:t xml:space="preserve">2. Noteikt pienākumu apakšuzņēmēju ķēdēs sniegt informāciju vienotajā elektroniskās darba laika uzskaites sistēmā par </w:t>
            </w:r>
            <w:proofErr w:type="spellStart"/>
            <w:r w:rsidRPr="00BC7C30">
              <w:rPr>
                <w:rFonts w:eastAsia="Calibri" w:cs="Times New Roman"/>
                <w:sz w:val="20"/>
                <w:szCs w:val="20"/>
              </w:rPr>
              <w:t>līgumtiesisko</w:t>
            </w:r>
            <w:proofErr w:type="spellEnd"/>
            <w:r w:rsidRPr="00BC7C30">
              <w:rPr>
                <w:rFonts w:eastAsia="Calibri" w:cs="Times New Roman"/>
                <w:sz w:val="20"/>
                <w:szCs w:val="20"/>
              </w:rPr>
              <w:t xml:space="preserve"> saistību izpildi (norēķināšanās par izpildītajiem darbiem)</w:t>
            </w:r>
            <w:r>
              <w:rPr>
                <w:rFonts w:eastAsia="Calibri" w:cs="Times New Roman"/>
                <w:sz w:val="20"/>
                <w:szCs w:val="20"/>
              </w:rPr>
              <w:t>.</w:t>
            </w:r>
          </w:p>
        </w:tc>
        <w:tc>
          <w:tcPr>
            <w:tcW w:w="1985" w:type="dxa"/>
          </w:tcPr>
          <w:p w:rsidR="008C51D3" w:rsidRPr="00BC7C30" w:rsidRDefault="008C51D3" w:rsidP="008C51D3">
            <w:pPr>
              <w:jc w:val="both"/>
              <w:rPr>
                <w:rFonts w:eastAsia="Calibri" w:cs="Times New Roman"/>
                <w:sz w:val="20"/>
                <w:szCs w:val="20"/>
              </w:rPr>
            </w:pPr>
            <w:r w:rsidRPr="00BC7C30">
              <w:rPr>
                <w:rFonts w:eastAsia="Calibri" w:cs="Times New Roman"/>
                <w:sz w:val="20"/>
                <w:szCs w:val="20"/>
              </w:rPr>
              <w:t xml:space="preserve">1. Izstrādāti grozījumi likumā “Par nodokļiem un nodevām”, kas paredz pienākumu apakšuzņēmēju ķēdēs sniegt informāciju par veikto samaksu par izpildītajiem darbiem. </w:t>
            </w:r>
          </w:p>
        </w:tc>
        <w:tc>
          <w:tcPr>
            <w:tcW w:w="1275" w:type="dxa"/>
          </w:tcPr>
          <w:p w:rsidR="008C51D3" w:rsidRPr="00BC7C30" w:rsidRDefault="008C51D3" w:rsidP="008C51D3">
            <w:pPr>
              <w:jc w:val="center"/>
              <w:rPr>
                <w:rFonts w:eastAsia="Calibri" w:cs="Times New Roman"/>
                <w:bCs/>
                <w:sz w:val="20"/>
                <w:szCs w:val="20"/>
              </w:rPr>
            </w:pPr>
            <w:r w:rsidRPr="00BC7C30">
              <w:rPr>
                <w:rFonts w:eastAsia="Calibri" w:cs="Times New Roman"/>
                <w:sz w:val="20"/>
                <w:szCs w:val="20"/>
              </w:rPr>
              <w:t>EM</w:t>
            </w:r>
          </w:p>
        </w:tc>
        <w:tc>
          <w:tcPr>
            <w:tcW w:w="1134" w:type="dxa"/>
          </w:tcPr>
          <w:p w:rsidR="008C51D3" w:rsidRPr="00BC7C30" w:rsidRDefault="008C51D3" w:rsidP="008C51D3">
            <w:pPr>
              <w:jc w:val="center"/>
              <w:rPr>
                <w:rFonts w:eastAsia="Calibri" w:cs="Times New Roman"/>
                <w:sz w:val="20"/>
                <w:szCs w:val="20"/>
              </w:rPr>
            </w:pPr>
            <w:r w:rsidRPr="00BC7C30">
              <w:rPr>
                <w:rFonts w:eastAsia="Calibri" w:cs="Times New Roman"/>
                <w:sz w:val="20"/>
                <w:szCs w:val="20"/>
              </w:rPr>
              <w:t>FM</w:t>
            </w:r>
          </w:p>
          <w:p w:rsidR="008C51D3" w:rsidRPr="00BC7C30" w:rsidRDefault="008C51D3" w:rsidP="008C51D3">
            <w:pPr>
              <w:jc w:val="center"/>
              <w:rPr>
                <w:rFonts w:eastAsia="Calibri" w:cs="Times New Roman"/>
                <w:bCs/>
                <w:sz w:val="20"/>
                <w:szCs w:val="20"/>
              </w:rPr>
            </w:pPr>
          </w:p>
        </w:tc>
        <w:tc>
          <w:tcPr>
            <w:tcW w:w="1276" w:type="dxa"/>
          </w:tcPr>
          <w:p w:rsidR="008C51D3" w:rsidRPr="00BC7C30" w:rsidRDefault="008C51D3" w:rsidP="008C51D3">
            <w:pPr>
              <w:jc w:val="center"/>
              <w:rPr>
                <w:rFonts w:eastAsia="Calibri" w:cs="Times New Roman"/>
                <w:bCs/>
                <w:sz w:val="20"/>
                <w:szCs w:val="20"/>
              </w:rPr>
            </w:pPr>
            <w:r w:rsidRPr="00BC7C30">
              <w:rPr>
                <w:rFonts w:eastAsia="Calibri" w:cs="Times New Roman"/>
                <w:bCs/>
                <w:sz w:val="20"/>
                <w:szCs w:val="20"/>
              </w:rPr>
              <w:t>01.07.2022.</w:t>
            </w:r>
          </w:p>
        </w:tc>
      </w:tr>
      <w:tr w:rsidR="008C51D3" w:rsidRPr="00BC7C30" w:rsidTr="00DA5BE6">
        <w:trPr>
          <w:trHeight w:val="543"/>
        </w:trPr>
        <w:tc>
          <w:tcPr>
            <w:tcW w:w="568" w:type="dxa"/>
            <w:vMerge/>
          </w:tcPr>
          <w:p w:rsidR="008C51D3" w:rsidRPr="00BC7C30" w:rsidRDefault="008C51D3" w:rsidP="008C51D3">
            <w:pPr>
              <w:ind w:right="-21"/>
              <w:rPr>
                <w:rFonts w:eastAsia="Calibri" w:cs="Times New Roman"/>
                <w:bCs/>
                <w:sz w:val="20"/>
                <w:szCs w:val="20"/>
              </w:rPr>
            </w:pPr>
          </w:p>
        </w:tc>
        <w:tc>
          <w:tcPr>
            <w:tcW w:w="2268" w:type="dxa"/>
            <w:vMerge/>
            <w:shd w:val="clear" w:color="auto" w:fill="auto"/>
          </w:tcPr>
          <w:p w:rsidR="008C51D3" w:rsidRPr="00BC7C30" w:rsidRDefault="008C51D3" w:rsidP="008C51D3">
            <w:pPr>
              <w:jc w:val="both"/>
              <w:rPr>
                <w:rFonts w:eastAsia="Calibri" w:cs="Times New Roman"/>
                <w:color w:val="000000"/>
                <w:sz w:val="20"/>
                <w:szCs w:val="20"/>
              </w:rPr>
            </w:pPr>
          </w:p>
        </w:tc>
        <w:tc>
          <w:tcPr>
            <w:tcW w:w="3544" w:type="dxa"/>
            <w:vMerge/>
            <w:shd w:val="clear" w:color="auto" w:fill="auto"/>
          </w:tcPr>
          <w:p w:rsidR="008C51D3" w:rsidRPr="008718C3" w:rsidRDefault="008C51D3" w:rsidP="008C51D3">
            <w:pPr>
              <w:jc w:val="both"/>
              <w:rPr>
                <w:rFonts w:eastAsia="Calibri" w:cs="Times New Roman"/>
                <w:color w:val="006600"/>
                <w:sz w:val="20"/>
                <w:szCs w:val="20"/>
              </w:rPr>
            </w:pPr>
          </w:p>
        </w:tc>
        <w:tc>
          <w:tcPr>
            <w:tcW w:w="2551" w:type="dxa"/>
            <w:vMerge/>
          </w:tcPr>
          <w:p w:rsidR="008C51D3" w:rsidRPr="00BC7C30" w:rsidRDefault="008C51D3" w:rsidP="008C51D3">
            <w:pPr>
              <w:jc w:val="both"/>
              <w:rPr>
                <w:rFonts w:eastAsia="Calibri" w:cs="Times New Roman"/>
                <w:color w:val="000000"/>
                <w:sz w:val="20"/>
                <w:szCs w:val="20"/>
              </w:rPr>
            </w:pPr>
          </w:p>
        </w:tc>
        <w:tc>
          <w:tcPr>
            <w:tcW w:w="1985" w:type="dxa"/>
          </w:tcPr>
          <w:p w:rsidR="008C51D3" w:rsidRPr="003656D7" w:rsidRDefault="008C51D3" w:rsidP="008C51D3">
            <w:pPr>
              <w:jc w:val="both"/>
              <w:rPr>
                <w:rFonts w:eastAsia="Calibri" w:cs="Times New Roman"/>
                <w:spacing w:val="-4"/>
                <w:sz w:val="20"/>
                <w:szCs w:val="20"/>
              </w:rPr>
            </w:pPr>
            <w:r w:rsidRPr="003656D7">
              <w:rPr>
                <w:rFonts w:eastAsia="Calibri" w:cs="Times New Roman"/>
                <w:spacing w:val="-4"/>
                <w:sz w:val="20"/>
                <w:szCs w:val="20"/>
              </w:rPr>
              <w:t>2. Izstrādāta vienotās elektroniskās darba laika uzskaites datubāzes (VEDLUDB) funkcionalitāte informācijas par veiktajiem maksājumiem iesniegšanai un uzturēšanai.</w:t>
            </w:r>
          </w:p>
        </w:tc>
        <w:tc>
          <w:tcPr>
            <w:tcW w:w="1275" w:type="dxa"/>
          </w:tcPr>
          <w:p w:rsidR="008C51D3" w:rsidRPr="00BC7C30" w:rsidRDefault="008C51D3" w:rsidP="008C51D3">
            <w:pPr>
              <w:jc w:val="center"/>
              <w:rPr>
                <w:rFonts w:eastAsia="Calibri" w:cs="Times New Roman"/>
                <w:bCs/>
                <w:sz w:val="20"/>
                <w:szCs w:val="20"/>
              </w:rPr>
            </w:pPr>
            <w:r w:rsidRPr="00BC7C30">
              <w:rPr>
                <w:rFonts w:eastAsia="Calibri" w:cs="Times New Roman"/>
                <w:sz w:val="20"/>
                <w:szCs w:val="20"/>
              </w:rPr>
              <w:t>BVKB</w:t>
            </w:r>
          </w:p>
        </w:tc>
        <w:tc>
          <w:tcPr>
            <w:tcW w:w="1134" w:type="dxa"/>
          </w:tcPr>
          <w:p w:rsidR="008C51D3" w:rsidRPr="00BC7C30" w:rsidRDefault="008C51D3" w:rsidP="008C51D3">
            <w:pPr>
              <w:jc w:val="center"/>
              <w:rPr>
                <w:rFonts w:eastAsia="Calibri" w:cs="Times New Roman"/>
                <w:sz w:val="20"/>
                <w:szCs w:val="20"/>
              </w:rPr>
            </w:pPr>
            <w:r w:rsidRPr="00BC7C30">
              <w:rPr>
                <w:rFonts w:eastAsia="Calibri" w:cs="Times New Roman"/>
                <w:sz w:val="20"/>
                <w:szCs w:val="20"/>
              </w:rPr>
              <w:t>EM,</w:t>
            </w:r>
          </w:p>
          <w:p w:rsidR="008C51D3" w:rsidRPr="00BC7C30" w:rsidRDefault="008C51D3" w:rsidP="008C51D3">
            <w:pPr>
              <w:jc w:val="center"/>
              <w:rPr>
                <w:rFonts w:eastAsia="Calibri" w:cs="Times New Roman"/>
                <w:bCs/>
                <w:sz w:val="20"/>
                <w:szCs w:val="20"/>
              </w:rPr>
            </w:pPr>
            <w:r w:rsidRPr="00BC7C30">
              <w:rPr>
                <w:rFonts w:eastAsia="Calibri" w:cs="Times New Roman"/>
                <w:sz w:val="20"/>
                <w:szCs w:val="20"/>
              </w:rPr>
              <w:t>FM</w:t>
            </w:r>
          </w:p>
        </w:tc>
        <w:tc>
          <w:tcPr>
            <w:tcW w:w="1276" w:type="dxa"/>
          </w:tcPr>
          <w:p w:rsidR="008C51D3" w:rsidRPr="00BC7C30" w:rsidRDefault="008C51D3" w:rsidP="008C51D3">
            <w:pPr>
              <w:jc w:val="center"/>
              <w:rPr>
                <w:rFonts w:eastAsia="Calibri" w:cs="Times New Roman"/>
                <w:bCs/>
                <w:sz w:val="20"/>
                <w:szCs w:val="20"/>
              </w:rPr>
            </w:pPr>
            <w:r>
              <w:rPr>
                <w:rFonts w:eastAsia="Calibri" w:cs="Times New Roman"/>
                <w:bCs/>
                <w:sz w:val="20"/>
                <w:szCs w:val="20"/>
              </w:rPr>
              <w:t>30</w:t>
            </w:r>
            <w:r w:rsidRPr="00BC7C30">
              <w:rPr>
                <w:rFonts w:eastAsia="Calibri" w:cs="Times New Roman"/>
                <w:bCs/>
                <w:sz w:val="20"/>
                <w:szCs w:val="20"/>
              </w:rPr>
              <w:t>.</w:t>
            </w:r>
            <w:r>
              <w:rPr>
                <w:rFonts w:eastAsia="Calibri" w:cs="Times New Roman"/>
                <w:bCs/>
                <w:sz w:val="20"/>
                <w:szCs w:val="20"/>
              </w:rPr>
              <w:t>12</w:t>
            </w:r>
            <w:r w:rsidRPr="00BC7C30">
              <w:rPr>
                <w:rFonts w:eastAsia="Calibri" w:cs="Times New Roman"/>
                <w:bCs/>
                <w:sz w:val="20"/>
                <w:szCs w:val="20"/>
              </w:rPr>
              <w:t>.202</w:t>
            </w:r>
            <w:r>
              <w:rPr>
                <w:rFonts w:eastAsia="Calibri" w:cs="Times New Roman"/>
                <w:bCs/>
                <w:sz w:val="20"/>
                <w:szCs w:val="20"/>
              </w:rPr>
              <w:t>2</w:t>
            </w:r>
            <w:r w:rsidRPr="00BC7C30">
              <w:rPr>
                <w:rFonts w:eastAsia="Calibri" w:cs="Times New Roman"/>
                <w:bCs/>
                <w:sz w:val="20"/>
                <w:szCs w:val="20"/>
              </w:rPr>
              <w:t>.</w:t>
            </w:r>
          </w:p>
        </w:tc>
      </w:tr>
      <w:tr w:rsidR="008C51D3" w:rsidRPr="00BC7C30" w:rsidTr="00DA5BE6">
        <w:trPr>
          <w:trHeight w:val="543"/>
        </w:trPr>
        <w:tc>
          <w:tcPr>
            <w:tcW w:w="568" w:type="dxa"/>
          </w:tcPr>
          <w:p w:rsidR="008C51D3" w:rsidRPr="00BC7C30" w:rsidRDefault="008C51D3" w:rsidP="008C51D3">
            <w:pPr>
              <w:ind w:right="-21"/>
              <w:rPr>
                <w:rFonts w:eastAsia="Calibri" w:cs="Times New Roman"/>
                <w:bCs/>
                <w:sz w:val="20"/>
                <w:szCs w:val="20"/>
              </w:rPr>
            </w:pPr>
            <w:r w:rsidRPr="00BC7C30">
              <w:rPr>
                <w:rFonts w:eastAsia="Calibri" w:cs="Times New Roman"/>
                <w:bCs/>
                <w:sz w:val="20"/>
                <w:szCs w:val="20"/>
              </w:rPr>
              <w:t>5.</w:t>
            </w:r>
            <w:r w:rsidR="00341F3D">
              <w:rPr>
                <w:rFonts w:eastAsia="Calibri" w:cs="Times New Roman"/>
                <w:bCs/>
                <w:sz w:val="20"/>
                <w:szCs w:val="20"/>
              </w:rPr>
              <w:t>8</w:t>
            </w:r>
            <w:r w:rsidRPr="00BC7C30">
              <w:rPr>
                <w:rFonts w:eastAsia="Calibri" w:cs="Times New Roman"/>
                <w:bCs/>
                <w:sz w:val="20"/>
                <w:szCs w:val="20"/>
              </w:rPr>
              <w:t>.</w:t>
            </w:r>
          </w:p>
        </w:tc>
        <w:tc>
          <w:tcPr>
            <w:tcW w:w="2268" w:type="dxa"/>
          </w:tcPr>
          <w:p w:rsidR="008C51D3" w:rsidRPr="00BC7C30" w:rsidRDefault="008C51D3" w:rsidP="008C51D3">
            <w:pPr>
              <w:jc w:val="both"/>
              <w:rPr>
                <w:rFonts w:eastAsia="Calibri" w:cs="Times New Roman"/>
                <w:color w:val="000000"/>
                <w:sz w:val="20"/>
                <w:szCs w:val="20"/>
              </w:rPr>
            </w:pPr>
            <w:r w:rsidRPr="00BC7C30">
              <w:rPr>
                <w:rFonts w:eastAsia="Calibri" w:cs="Times New Roman"/>
                <w:sz w:val="20"/>
                <w:szCs w:val="22"/>
              </w:rPr>
              <w:t>Izvērtēt solidārās atbildības ieviešanu būvniecības nozarē</w:t>
            </w:r>
            <w:r>
              <w:rPr>
                <w:rFonts w:eastAsia="Calibri" w:cs="Times New Roman"/>
                <w:sz w:val="20"/>
                <w:szCs w:val="22"/>
              </w:rPr>
              <w:t>.</w:t>
            </w:r>
          </w:p>
        </w:tc>
        <w:tc>
          <w:tcPr>
            <w:tcW w:w="3544" w:type="dxa"/>
            <w:shd w:val="clear" w:color="auto" w:fill="auto"/>
          </w:tcPr>
          <w:p w:rsidR="008C51D3" w:rsidRPr="000B0D02" w:rsidRDefault="008C51D3" w:rsidP="008C51D3">
            <w:pPr>
              <w:jc w:val="both"/>
              <w:rPr>
                <w:rFonts w:eastAsia="Calibri" w:cs="Times New Roman"/>
                <w:sz w:val="20"/>
                <w:szCs w:val="20"/>
              </w:rPr>
            </w:pPr>
            <w:r w:rsidRPr="000B0D02">
              <w:rPr>
                <w:rFonts w:eastAsia="Calibri" w:cs="Times New Roman"/>
                <w:sz w:val="20"/>
                <w:szCs w:val="20"/>
              </w:rPr>
              <w:t xml:space="preserve">Solidārā atbildība ir Skandināvijas valstu labā prakse nodokļu iekasēšanas veicināšanā, kā arī darbinieku sociālās aizsardzības stiprināšanā. </w:t>
            </w:r>
          </w:p>
          <w:p w:rsidR="008C51D3" w:rsidRPr="000B0D02" w:rsidRDefault="008C51D3" w:rsidP="008C51D3">
            <w:pPr>
              <w:jc w:val="both"/>
              <w:rPr>
                <w:rFonts w:eastAsia="Calibri" w:cs="Times New Roman"/>
                <w:sz w:val="20"/>
                <w:szCs w:val="20"/>
              </w:rPr>
            </w:pPr>
            <w:r w:rsidRPr="000B0D02">
              <w:rPr>
                <w:rFonts w:eastAsia="Calibri" w:cs="Times New Roman"/>
                <w:sz w:val="20"/>
                <w:szCs w:val="20"/>
              </w:rPr>
              <w:t xml:space="preserve">Solidārā atbildība nozīmē nodokļus administrējošās institūcijas un/vai darbinieka tiesības par nesamaksātiem nodokļiem vai nesamaksāto darba algu vērsties pie apakšuzņēmēju ķēdē nākamā vai ikviena augstāk esošā būvkomersanta vai pasūtītāja, Solidārās atbildības tvērums katrā valstī ir atšķirīgs, tas ir noteikts, ņemot vērā attiecīgajā valstī pastāvošās problēmas. Atsevišķās valstīs solidārā atbildība attiecas tikai uz kavēto nodokļu nomaksu vai tikai uz tiesībām piedzīt neizmaksāto darba algu. Citās valstīs solidārai atbildībai ir plašs tvērums. </w:t>
            </w:r>
          </w:p>
          <w:p w:rsidR="008C51D3" w:rsidRPr="000B0D02" w:rsidRDefault="008C51D3" w:rsidP="008C51D3">
            <w:pPr>
              <w:jc w:val="both"/>
              <w:rPr>
                <w:rFonts w:eastAsia="Calibri" w:cs="Times New Roman"/>
                <w:sz w:val="20"/>
                <w:szCs w:val="20"/>
              </w:rPr>
            </w:pPr>
            <w:r w:rsidRPr="000B0D02">
              <w:rPr>
                <w:rFonts w:eastAsia="Calibri" w:cs="Times New Roman"/>
                <w:sz w:val="20"/>
                <w:szCs w:val="20"/>
              </w:rPr>
              <w:t xml:space="preserve">Solidārās atbildības regulējums bija iestrādāts likumā “Par nodokļiem un nodevām” un  paredzēja VID tiesības vērsties ar prasību par kavēto nodokļu nomaksu pie apakšuzņēmēju ķēdē augstāk esošajiem būvdarbu veicējiem. Taču regulējums tika aizvietots ar elektroniskās darba laika uzskaites sistēmas ieviešanu, kas ļauj iegūt objektīvus un ticamus datus par konkrētā objekta būvniecībā nodarbinātajiem un darba laiku objektā. Šādu datu esamību ne tikai ļauj VID efektīvi administrēt darba spēka nodokļus, bet ir priekšnosacījums solidārās atbildības ieviešanai. </w:t>
            </w:r>
          </w:p>
          <w:p w:rsidR="008C51D3" w:rsidRPr="000B0D02" w:rsidRDefault="008C51D3" w:rsidP="008C51D3">
            <w:pPr>
              <w:jc w:val="both"/>
              <w:rPr>
                <w:rFonts w:eastAsia="Calibri" w:cs="Times New Roman"/>
                <w:sz w:val="20"/>
                <w:szCs w:val="20"/>
              </w:rPr>
            </w:pPr>
            <w:r w:rsidRPr="000B0D02">
              <w:rPr>
                <w:rFonts w:eastAsia="Calibri" w:cs="Times New Roman"/>
                <w:sz w:val="20"/>
                <w:szCs w:val="20"/>
              </w:rPr>
              <w:t xml:space="preserve">Tāpat nozarē ir noslēgta </w:t>
            </w:r>
            <w:proofErr w:type="spellStart"/>
            <w:r w:rsidRPr="000B0D02">
              <w:rPr>
                <w:rFonts w:eastAsia="Calibri" w:cs="Times New Roman"/>
                <w:sz w:val="20"/>
                <w:szCs w:val="20"/>
              </w:rPr>
              <w:t>vispārsaistošā</w:t>
            </w:r>
            <w:proofErr w:type="spellEnd"/>
            <w:r w:rsidRPr="000B0D02">
              <w:rPr>
                <w:rFonts w:eastAsia="Calibri" w:cs="Times New Roman"/>
                <w:sz w:val="20"/>
                <w:szCs w:val="20"/>
              </w:rPr>
              <w:t xml:space="preserve"> </w:t>
            </w:r>
            <w:proofErr w:type="spellStart"/>
            <w:r w:rsidRPr="000B0D02">
              <w:rPr>
                <w:rFonts w:eastAsia="Calibri" w:cs="Times New Roman"/>
                <w:sz w:val="20"/>
                <w:szCs w:val="20"/>
              </w:rPr>
              <w:t>ģenerālvienošanās</w:t>
            </w:r>
            <w:proofErr w:type="spellEnd"/>
            <w:r w:rsidRPr="000B0D02">
              <w:rPr>
                <w:rFonts w:eastAsia="Calibri" w:cs="Times New Roman"/>
                <w:sz w:val="20"/>
                <w:szCs w:val="20"/>
              </w:rPr>
              <w:t>, kas nosaka minimālo atalgojuma līmeni būvniecības profesijās.</w:t>
            </w:r>
          </w:p>
          <w:p w:rsidR="008C51D3" w:rsidRPr="000B0D02" w:rsidRDefault="008C51D3" w:rsidP="008C51D3">
            <w:pPr>
              <w:jc w:val="both"/>
              <w:rPr>
                <w:rFonts w:eastAsia="Calibri" w:cs="Times New Roman"/>
                <w:sz w:val="20"/>
                <w:szCs w:val="20"/>
              </w:rPr>
            </w:pPr>
            <w:r w:rsidRPr="000B0D02">
              <w:rPr>
                <w:rFonts w:eastAsia="Calibri" w:cs="Times New Roman"/>
                <w:sz w:val="20"/>
                <w:szCs w:val="20"/>
              </w:rPr>
              <w:t xml:space="preserve">Šobrīd ir izveidoti priekšnosacījumi solidārās atbildības ieviešanai un būtu jāvērtē solidārās atbildības ieviešanas ietekme uz nozari kopumā un ēnu ekonomikas mazināšanu, kā arī vērtēt solidārās atbildības iespējamo tvērumu. </w:t>
            </w:r>
          </w:p>
        </w:tc>
        <w:tc>
          <w:tcPr>
            <w:tcW w:w="2551" w:type="dxa"/>
          </w:tcPr>
          <w:p w:rsidR="008C51D3" w:rsidRPr="00BC7C30" w:rsidRDefault="008C51D3" w:rsidP="008C51D3">
            <w:pPr>
              <w:jc w:val="both"/>
              <w:rPr>
                <w:rFonts w:eastAsia="Calibri" w:cs="Times New Roman"/>
                <w:color w:val="000000"/>
                <w:sz w:val="20"/>
                <w:szCs w:val="20"/>
              </w:rPr>
            </w:pPr>
            <w:r w:rsidRPr="00BC7C30">
              <w:rPr>
                <w:rFonts w:eastAsia="Calibri" w:cs="Times New Roman"/>
                <w:sz w:val="20"/>
                <w:szCs w:val="20"/>
              </w:rPr>
              <w:t xml:space="preserve">Sadarbībā ar Latvijas Būvniecības padomi izvērtēt nepieciešamību ieviest būvniecības nozarē solidāro atbildību attiecībā uz darba spēka nodokļu nomaksu apakšuzņēmēju ķēdēs. </w:t>
            </w:r>
          </w:p>
        </w:tc>
        <w:tc>
          <w:tcPr>
            <w:tcW w:w="1985" w:type="dxa"/>
          </w:tcPr>
          <w:p w:rsidR="008C51D3" w:rsidRPr="00BC7C30" w:rsidRDefault="008C51D3" w:rsidP="008C51D3">
            <w:pPr>
              <w:rPr>
                <w:rFonts w:eastAsia="Calibri" w:cs="Times New Roman"/>
                <w:sz w:val="20"/>
                <w:szCs w:val="20"/>
              </w:rPr>
            </w:pPr>
            <w:r w:rsidRPr="00BC7C30">
              <w:rPr>
                <w:rFonts w:eastAsia="Calibri" w:cs="Times New Roman"/>
                <w:sz w:val="20"/>
                <w:szCs w:val="20"/>
              </w:rPr>
              <w:t>Informatīvais ziņojums par nepieciešamību ieviest solidāro atbildību būvniecības nozarē attiecība uz nodokļu nomaksu apakšuzņēmēju ķēdēs.</w:t>
            </w:r>
          </w:p>
        </w:tc>
        <w:tc>
          <w:tcPr>
            <w:tcW w:w="1275" w:type="dxa"/>
          </w:tcPr>
          <w:p w:rsidR="008C51D3" w:rsidRPr="00BC7C30" w:rsidRDefault="008C51D3" w:rsidP="008C51D3">
            <w:pPr>
              <w:jc w:val="center"/>
              <w:rPr>
                <w:rFonts w:eastAsia="Calibri" w:cs="Times New Roman"/>
                <w:bCs/>
                <w:sz w:val="20"/>
                <w:szCs w:val="20"/>
              </w:rPr>
            </w:pPr>
            <w:r w:rsidRPr="00BC7C30">
              <w:rPr>
                <w:rFonts w:eastAsia="Calibri" w:cs="Times New Roman"/>
                <w:sz w:val="20"/>
                <w:szCs w:val="20"/>
              </w:rPr>
              <w:t>EM</w:t>
            </w:r>
          </w:p>
        </w:tc>
        <w:tc>
          <w:tcPr>
            <w:tcW w:w="1134" w:type="dxa"/>
          </w:tcPr>
          <w:p w:rsidR="008C51D3" w:rsidRPr="00BC7C30" w:rsidRDefault="008C51D3" w:rsidP="008C51D3">
            <w:pPr>
              <w:jc w:val="center"/>
              <w:rPr>
                <w:rFonts w:eastAsia="Calibri" w:cs="Times New Roman"/>
                <w:sz w:val="20"/>
                <w:szCs w:val="20"/>
              </w:rPr>
            </w:pPr>
            <w:r w:rsidRPr="00BC7C30">
              <w:rPr>
                <w:rFonts w:eastAsia="Calibri" w:cs="Times New Roman"/>
                <w:sz w:val="20"/>
                <w:szCs w:val="20"/>
              </w:rPr>
              <w:t>FM</w:t>
            </w:r>
            <w:r>
              <w:rPr>
                <w:rFonts w:eastAsia="Calibri" w:cs="Times New Roman"/>
                <w:sz w:val="20"/>
                <w:szCs w:val="20"/>
              </w:rPr>
              <w:t>,</w:t>
            </w:r>
          </w:p>
          <w:p w:rsidR="008C51D3" w:rsidRPr="00BC7C30" w:rsidRDefault="008C51D3" w:rsidP="008C51D3">
            <w:pPr>
              <w:jc w:val="center"/>
              <w:rPr>
                <w:rFonts w:eastAsia="Calibri" w:cs="Times New Roman"/>
                <w:bCs/>
                <w:sz w:val="20"/>
                <w:szCs w:val="20"/>
              </w:rPr>
            </w:pPr>
            <w:r w:rsidRPr="00BC7C30">
              <w:rPr>
                <w:rFonts w:eastAsia="Calibri" w:cs="Times New Roman"/>
                <w:sz w:val="20"/>
                <w:szCs w:val="20"/>
              </w:rPr>
              <w:t>VID</w:t>
            </w:r>
          </w:p>
        </w:tc>
        <w:tc>
          <w:tcPr>
            <w:tcW w:w="1276" w:type="dxa"/>
          </w:tcPr>
          <w:p w:rsidR="008C51D3" w:rsidRPr="00BC7C30" w:rsidRDefault="008C51D3" w:rsidP="008C51D3">
            <w:pPr>
              <w:jc w:val="center"/>
              <w:rPr>
                <w:rFonts w:eastAsia="Calibri" w:cs="Times New Roman"/>
                <w:bCs/>
                <w:sz w:val="20"/>
                <w:szCs w:val="20"/>
              </w:rPr>
            </w:pPr>
            <w:r>
              <w:rPr>
                <w:rFonts w:eastAsia="Calibri" w:cs="Times New Roman"/>
                <w:bCs/>
                <w:sz w:val="20"/>
                <w:szCs w:val="20"/>
              </w:rPr>
              <w:t>30</w:t>
            </w:r>
            <w:r w:rsidRPr="00BC7C30">
              <w:rPr>
                <w:rFonts w:eastAsia="Calibri" w:cs="Times New Roman"/>
                <w:bCs/>
                <w:sz w:val="20"/>
                <w:szCs w:val="20"/>
              </w:rPr>
              <w:t>.</w:t>
            </w:r>
            <w:r>
              <w:rPr>
                <w:rFonts w:eastAsia="Calibri" w:cs="Times New Roman"/>
                <w:bCs/>
                <w:sz w:val="20"/>
                <w:szCs w:val="20"/>
              </w:rPr>
              <w:t>12</w:t>
            </w:r>
            <w:r w:rsidRPr="00BC7C30">
              <w:rPr>
                <w:rFonts w:eastAsia="Calibri" w:cs="Times New Roman"/>
                <w:bCs/>
                <w:sz w:val="20"/>
                <w:szCs w:val="20"/>
              </w:rPr>
              <w:t>.202</w:t>
            </w:r>
            <w:r>
              <w:rPr>
                <w:rFonts w:eastAsia="Calibri" w:cs="Times New Roman"/>
                <w:bCs/>
                <w:sz w:val="20"/>
                <w:szCs w:val="20"/>
              </w:rPr>
              <w:t>2</w:t>
            </w:r>
            <w:r w:rsidRPr="00BC7C30">
              <w:rPr>
                <w:rFonts w:eastAsia="Calibri" w:cs="Times New Roman"/>
                <w:bCs/>
                <w:sz w:val="20"/>
                <w:szCs w:val="20"/>
              </w:rPr>
              <w:t>.</w:t>
            </w:r>
          </w:p>
        </w:tc>
      </w:tr>
      <w:tr w:rsidR="008C51D3" w:rsidRPr="00BC7C30" w:rsidTr="00DA5BE6">
        <w:trPr>
          <w:trHeight w:val="543"/>
        </w:trPr>
        <w:tc>
          <w:tcPr>
            <w:tcW w:w="568" w:type="dxa"/>
            <w:vMerge w:val="restart"/>
          </w:tcPr>
          <w:p w:rsidR="008C51D3" w:rsidRPr="00BC7C30" w:rsidRDefault="008C51D3" w:rsidP="008C51D3">
            <w:pPr>
              <w:ind w:right="-21"/>
              <w:rPr>
                <w:rFonts w:eastAsia="Calibri" w:cs="Times New Roman"/>
                <w:bCs/>
                <w:sz w:val="20"/>
                <w:szCs w:val="20"/>
              </w:rPr>
            </w:pPr>
            <w:r w:rsidRPr="00BC7C30">
              <w:rPr>
                <w:rFonts w:eastAsia="Calibri" w:cs="Times New Roman"/>
                <w:bCs/>
                <w:sz w:val="20"/>
                <w:szCs w:val="20"/>
              </w:rPr>
              <w:t>5.</w:t>
            </w:r>
            <w:r w:rsidR="00341F3D">
              <w:rPr>
                <w:rFonts w:eastAsia="Calibri" w:cs="Times New Roman"/>
                <w:bCs/>
                <w:sz w:val="20"/>
                <w:szCs w:val="20"/>
              </w:rPr>
              <w:t>9</w:t>
            </w:r>
            <w:r w:rsidRPr="00BC7C30">
              <w:rPr>
                <w:rFonts w:eastAsia="Calibri" w:cs="Times New Roman"/>
                <w:bCs/>
                <w:sz w:val="20"/>
                <w:szCs w:val="20"/>
              </w:rPr>
              <w:t>.</w:t>
            </w:r>
          </w:p>
        </w:tc>
        <w:tc>
          <w:tcPr>
            <w:tcW w:w="2268" w:type="dxa"/>
            <w:vMerge w:val="restart"/>
          </w:tcPr>
          <w:p w:rsidR="008C51D3" w:rsidRPr="00BC7C30" w:rsidRDefault="008C51D3" w:rsidP="008C51D3">
            <w:pPr>
              <w:jc w:val="both"/>
              <w:rPr>
                <w:rFonts w:eastAsia="Calibri" w:cs="Times New Roman"/>
                <w:color w:val="000000"/>
                <w:sz w:val="20"/>
                <w:szCs w:val="20"/>
              </w:rPr>
            </w:pPr>
            <w:r w:rsidRPr="00BC7C30">
              <w:rPr>
                <w:rFonts w:eastAsia="Calibri" w:cs="Times New Roman"/>
                <w:sz w:val="20"/>
                <w:szCs w:val="22"/>
              </w:rPr>
              <w:t>Būvniecības nozarē noteikt pienākumu kārtot uzņēmumu grāmatvedību elektroniskā formātā (izrakstīt strukturētus e-rēķinus)</w:t>
            </w:r>
            <w:r>
              <w:rPr>
                <w:rFonts w:eastAsia="Calibri" w:cs="Times New Roman"/>
                <w:sz w:val="20"/>
                <w:szCs w:val="22"/>
              </w:rPr>
              <w:t>.</w:t>
            </w:r>
          </w:p>
        </w:tc>
        <w:tc>
          <w:tcPr>
            <w:tcW w:w="3544" w:type="dxa"/>
            <w:vMerge w:val="restart"/>
          </w:tcPr>
          <w:p w:rsidR="008C51D3" w:rsidRPr="000B0D02" w:rsidRDefault="008C51D3" w:rsidP="008C51D3">
            <w:pPr>
              <w:jc w:val="both"/>
              <w:rPr>
                <w:rFonts w:eastAsia="Calibri" w:cs="Times New Roman"/>
                <w:sz w:val="20"/>
                <w:szCs w:val="20"/>
              </w:rPr>
            </w:pPr>
            <w:r w:rsidRPr="000B0D02">
              <w:rPr>
                <w:rFonts w:eastAsia="Calibri" w:cs="Times New Roman"/>
                <w:sz w:val="20"/>
                <w:szCs w:val="20"/>
              </w:rPr>
              <w:t>Ņemot vērā būvniecības nozarē pastāvošo augstu ēnu ekonomikas īpatsvaru un augstus riskus norēķinu kārtībā nepieciešams kā vienā no pirmajām nozarēm ieviest pienākumu kārtot uzņēmuma grāmatvedību elektroniskā formātā, paredzot informācijas apmaiņu ar VID par izrakstītajiem e-rēķiniem.</w:t>
            </w:r>
          </w:p>
        </w:tc>
        <w:tc>
          <w:tcPr>
            <w:tcW w:w="2551" w:type="dxa"/>
          </w:tcPr>
          <w:p w:rsidR="008C51D3" w:rsidRPr="00D23551" w:rsidRDefault="008C51D3" w:rsidP="008C51D3">
            <w:pPr>
              <w:jc w:val="both"/>
              <w:rPr>
                <w:rFonts w:eastAsia="Calibri" w:cs="Times New Roman"/>
                <w:sz w:val="20"/>
                <w:szCs w:val="20"/>
              </w:rPr>
            </w:pPr>
            <w:r w:rsidRPr="00BC7C30">
              <w:rPr>
                <w:rFonts w:eastAsia="Calibri" w:cs="Times New Roman"/>
                <w:sz w:val="20"/>
                <w:szCs w:val="20"/>
              </w:rPr>
              <w:t>1.</w:t>
            </w:r>
            <w:r w:rsidRPr="00BC7C30">
              <w:rPr>
                <w:rFonts w:eastAsia="Calibri" w:cs="Times New Roman"/>
              </w:rPr>
              <w:t xml:space="preserve"> </w:t>
            </w:r>
            <w:r w:rsidRPr="00BC7C30">
              <w:rPr>
                <w:rFonts w:eastAsia="Calibri" w:cs="Times New Roman"/>
                <w:sz w:val="20"/>
                <w:szCs w:val="20"/>
              </w:rPr>
              <w:t>Būvniecības nozarē noteikt pienākumu kārtot uzņēmuma grāmatvedību elektroniskā formātā, izrakstīt strukturētus e-rēķinus</w:t>
            </w:r>
            <w:r>
              <w:rPr>
                <w:rFonts w:eastAsia="Calibri" w:cs="Times New Roman"/>
                <w:sz w:val="20"/>
                <w:szCs w:val="20"/>
              </w:rPr>
              <w:t>.</w:t>
            </w:r>
          </w:p>
        </w:tc>
        <w:tc>
          <w:tcPr>
            <w:tcW w:w="1985" w:type="dxa"/>
          </w:tcPr>
          <w:p w:rsidR="008C51D3" w:rsidRPr="00BC7C30" w:rsidRDefault="008C51D3" w:rsidP="008C51D3">
            <w:pPr>
              <w:rPr>
                <w:rFonts w:eastAsia="Calibri" w:cs="Times New Roman"/>
                <w:sz w:val="20"/>
                <w:szCs w:val="20"/>
              </w:rPr>
            </w:pPr>
            <w:r w:rsidRPr="00BC7C30">
              <w:rPr>
                <w:rFonts w:eastAsia="Calibri" w:cs="Times New Roman"/>
              </w:rPr>
              <w:t>V</w:t>
            </w:r>
            <w:r w:rsidRPr="00BC7C30">
              <w:rPr>
                <w:rFonts w:eastAsia="Calibri" w:cs="Times New Roman"/>
                <w:sz w:val="20"/>
                <w:szCs w:val="20"/>
              </w:rPr>
              <w:t>eikti grozījumi normatīvajos aktos</w:t>
            </w:r>
            <w:r>
              <w:rPr>
                <w:rFonts w:eastAsia="Calibri" w:cs="Times New Roman"/>
                <w:sz w:val="20"/>
                <w:szCs w:val="20"/>
              </w:rPr>
              <w:t>.</w:t>
            </w:r>
          </w:p>
        </w:tc>
        <w:tc>
          <w:tcPr>
            <w:tcW w:w="1275" w:type="dxa"/>
          </w:tcPr>
          <w:p w:rsidR="008C51D3" w:rsidRPr="00BC7C30" w:rsidRDefault="008C51D3" w:rsidP="008C51D3">
            <w:pPr>
              <w:jc w:val="center"/>
              <w:rPr>
                <w:rFonts w:eastAsia="Calibri" w:cs="Times New Roman"/>
                <w:bCs/>
                <w:sz w:val="20"/>
                <w:szCs w:val="20"/>
              </w:rPr>
            </w:pPr>
            <w:r w:rsidRPr="00BC7C30">
              <w:rPr>
                <w:rFonts w:eastAsia="Calibri" w:cs="Times New Roman"/>
                <w:sz w:val="20"/>
                <w:szCs w:val="20"/>
              </w:rPr>
              <w:t>FM</w:t>
            </w:r>
          </w:p>
        </w:tc>
        <w:tc>
          <w:tcPr>
            <w:tcW w:w="1134" w:type="dxa"/>
          </w:tcPr>
          <w:p w:rsidR="008C51D3" w:rsidRPr="00BC7C30" w:rsidRDefault="008C51D3" w:rsidP="008C51D3">
            <w:pPr>
              <w:jc w:val="center"/>
              <w:rPr>
                <w:rFonts w:eastAsia="Calibri" w:cs="Times New Roman"/>
                <w:bCs/>
                <w:sz w:val="20"/>
                <w:szCs w:val="20"/>
              </w:rPr>
            </w:pPr>
            <w:r w:rsidRPr="00BC7C30">
              <w:rPr>
                <w:rFonts w:eastAsia="Calibri" w:cs="Times New Roman"/>
                <w:sz w:val="20"/>
                <w:szCs w:val="20"/>
              </w:rPr>
              <w:t>EM</w:t>
            </w:r>
          </w:p>
        </w:tc>
        <w:tc>
          <w:tcPr>
            <w:tcW w:w="1276" w:type="dxa"/>
          </w:tcPr>
          <w:p w:rsidR="008C51D3" w:rsidRPr="00BC7C30" w:rsidRDefault="008C51D3" w:rsidP="008C51D3">
            <w:pPr>
              <w:jc w:val="center"/>
              <w:rPr>
                <w:rFonts w:eastAsia="Calibri" w:cs="Times New Roman"/>
                <w:bCs/>
                <w:sz w:val="20"/>
                <w:szCs w:val="20"/>
              </w:rPr>
            </w:pPr>
            <w:r w:rsidRPr="00BC7C30">
              <w:rPr>
                <w:rFonts w:eastAsia="Calibri" w:cs="Times New Roman"/>
                <w:bCs/>
                <w:sz w:val="20"/>
                <w:szCs w:val="20"/>
              </w:rPr>
              <w:t>01.07.2022.</w:t>
            </w:r>
          </w:p>
        </w:tc>
      </w:tr>
      <w:tr w:rsidR="008C51D3" w:rsidRPr="00BC7C30" w:rsidTr="00DA5BE6">
        <w:trPr>
          <w:trHeight w:val="543"/>
        </w:trPr>
        <w:tc>
          <w:tcPr>
            <w:tcW w:w="568" w:type="dxa"/>
            <w:vMerge/>
          </w:tcPr>
          <w:p w:rsidR="008C51D3" w:rsidRPr="00BC7C30" w:rsidRDefault="008C51D3" w:rsidP="008C51D3">
            <w:pPr>
              <w:ind w:right="-21"/>
              <w:rPr>
                <w:rFonts w:eastAsia="Calibri" w:cs="Times New Roman"/>
                <w:bCs/>
                <w:sz w:val="20"/>
                <w:szCs w:val="20"/>
              </w:rPr>
            </w:pPr>
          </w:p>
        </w:tc>
        <w:tc>
          <w:tcPr>
            <w:tcW w:w="2268" w:type="dxa"/>
            <w:vMerge/>
          </w:tcPr>
          <w:p w:rsidR="008C51D3" w:rsidRPr="00BC7C30" w:rsidRDefault="008C51D3" w:rsidP="008C51D3">
            <w:pPr>
              <w:jc w:val="both"/>
              <w:rPr>
                <w:rFonts w:eastAsia="Calibri" w:cs="Times New Roman"/>
                <w:color w:val="000000"/>
                <w:sz w:val="20"/>
                <w:szCs w:val="20"/>
              </w:rPr>
            </w:pPr>
          </w:p>
        </w:tc>
        <w:tc>
          <w:tcPr>
            <w:tcW w:w="3544" w:type="dxa"/>
            <w:vMerge/>
          </w:tcPr>
          <w:p w:rsidR="008C51D3" w:rsidRPr="00BC7C30" w:rsidRDefault="008C51D3" w:rsidP="008C51D3">
            <w:pPr>
              <w:jc w:val="both"/>
              <w:rPr>
                <w:rFonts w:eastAsia="Calibri" w:cs="Times New Roman"/>
                <w:color w:val="000000"/>
                <w:sz w:val="20"/>
                <w:szCs w:val="20"/>
              </w:rPr>
            </w:pPr>
          </w:p>
        </w:tc>
        <w:tc>
          <w:tcPr>
            <w:tcW w:w="2551" w:type="dxa"/>
          </w:tcPr>
          <w:p w:rsidR="008C51D3" w:rsidRPr="00C070E6" w:rsidRDefault="008C51D3" w:rsidP="008C51D3">
            <w:pPr>
              <w:pStyle w:val="ListParagraph"/>
              <w:numPr>
                <w:ilvl w:val="0"/>
                <w:numId w:val="11"/>
              </w:numPr>
              <w:tabs>
                <w:tab w:val="left" w:pos="227"/>
              </w:tabs>
              <w:ind w:left="0" w:firstLine="0"/>
              <w:jc w:val="both"/>
              <w:rPr>
                <w:rFonts w:ascii="Times New Roman" w:eastAsia="Calibri" w:hAnsi="Times New Roman" w:cs="Times New Roman"/>
                <w:sz w:val="20"/>
                <w:szCs w:val="20"/>
              </w:rPr>
            </w:pPr>
            <w:r w:rsidRPr="00C070E6">
              <w:rPr>
                <w:rFonts w:ascii="Times New Roman" w:eastAsia="Calibri" w:hAnsi="Times New Roman" w:cs="Times New Roman"/>
                <w:sz w:val="20"/>
                <w:szCs w:val="20"/>
              </w:rPr>
              <w:t>Nodrošināt VID tiešsaistes piekļuvi grāmatvedības reģistriem (lai pārliecinātos par e-rēķina esamību un samaksas veikšanas faktu).</w:t>
            </w:r>
          </w:p>
        </w:tc>
        <w:tc>
          <w:tcPr>
            <w:tcW w:w="1985" w:type="dxa"/>
          </w:tcPr>
          <w:p w:rsidR="008C51D3" w:rsidRPr="00BC7C30" w:rsidRDefault="008C51D3" w:rsidP="008C51D3">
            <w:pPr>
              <w:rPr>
                <w:rFonts w:eastAsia="Calibri" w:cs="Times New Roman"/>
                <w:sz w:val="20"/>
                <w:szCs w:val="20"/>
              </w:rPr>
            </w:pPr>
            <w:r w:rsidRPr="005F7608">
              <w:rPr>
                <w:rFonts w:cs="Times New Roman"/>
                <w:sz w:val="20"/>
                <w:szCs w:val="20"/>
              </w:rPr>
              <w:t>VID izstrādāta funkcionalitāte informācijas apmaiņai ar uzņēmumu grāmatvedības sistēmām.</w:t>
            </w:r>
          </w:p>
        </w:tc>
        <w:tc>
          <w:tcPr>
            <w:tcW w:w="1275" w:type="dxa"/>
          </w:tcPr>
          <w:p w:rsidR="008C51D3" w:rsidRPr="00BC7C30" w:rsidRDefault="008C51D3" w:rsidP="008C51D3">
            <w:pPr>
              <w:jc w:val="center"/>
              <w:rPr>
                <w:rFonts w:eastAsia="Calibri" w:cs="Times New Roman"/>
                <w:bCs/>
                <w:sz w:val="20"/>
                <w:szCs w:val="20"/>
              </w:rPr>
            </w:pPr>
            <w:r w:rsidRPr="00BC7C30">
              <w:rPr>
                <w:rFonts w:eastAsia="Calibri" w:cs="Times New Roman"/>
                <w:sz w:val="20"/>
                <w:szCs w:val="20"/>
              </w:rPr>
              <w:t>VID</w:t>
            </w:r>
          </w:p>
        </w:tc>
        <w:tc>
          <w:tcPr>
            <w:tcW w:w="1134" w:type="dxa"/>
          </w:tcPr>
          <w:p w:rsidR="008C51D3" w:rsidRPr="00BC7C30" w:rsidRDefault="008C51D3" w:rsidP="008C51D3">
            <w:pPr>
              <w:jc w:val="center"/>
              <w:rPr>
                <w:rFonts w:eastAsia="Calibri" w:cs="Times New Roman"/>
                <w:bCs/>
                <w:sz w:val="20"/>
                <w:szCs w:val="20"/>
              </w:rPr>
            </w:pPr>
            <w:r>
              <w:rPr>
                <w:rFonts w:eastAsia="Calibri" w:cs="Times New Roman"/>
                <w:bCs/>
                <w:sz w:val="20"/>
                <w:szCs w:val="20"/>
              </w:rPr>
              <w:t>-</w:t>
            </w:r>
          </w:p>
        </w:tc>
        <w:tc>
          <w:tcPr>
            <w:tcW w:w="1276" w:type="dxa"/>
          </w:tcPr>
          <w:p w:rsidR="008C51D3" w:rsidRPr="00BC7C30" w:rsidRDefault="008C51D3" w:rsidP="008C51D3">
            <w:pPr>
              <w:jc w:val="center"/>
              <w:rPr>
                <w:rFonts w:eastAsia="Calibri" w:cs="Times New Roman"/>
                <w:bCs/>
                <w:sz w:val="20"/>
                <w:szCs w:val="20"/>
              </w:rPr>
            </w:pPr>
            <w:r>
              <w:rPr>
                <w:rFonts w:eastAsia="Calibri" w:cs="Times New Roman"/>
                <w:bCs/>
                <w:sz w:val="20"/>
                <w:szCs w:val="20"/>
              </w:rPr>
              <w:t>3</w:t>
            </w:r>
            <w:r w:rsidRPr="00BC7C30">
              <w:rPr>
                <w:rFonts w:eastAsia="Calibri" w:cs="Times New Roman"/>
                <w:bCs/>
                <w:sz w:val="20"/>
                <w:szCs w:val="20"/>
              </w:rPr>
              <w:t>0.1</w:t>
            </w:r>
            <w:r>
              <w:rPr>
                <w:rFonts w:eastAsia="Calibri" w:cs="Times New Roman"/>
                <w:bCs/>
                <w:sz w:val="20"/>
                <w:szCs w:val="20"/>
              </w:rPr>
              <w:t>2</w:t>
            </w:r>
            <w:r w:rsidRPr="00BC7C30">
              <w:rPr>
                <w:rFonts w:eastAsia="Calibri" w:cs="Times New Roman"/>
                <w:bCs/>
                <w:sz w:val="20"/>
                <w:szCs w:val="20"/>
              </w:rPr>
              <w:t>.202</w:t>
            </w:r>
            <w:r>
              <w:rPr>
                <w:rFonts w:eastAsia="Calibri" w:cs="Times New Roman"/>
                <w:bCs/>
                <w:sz w:val="20"/>
                <w:szCs w:val="20"/>
              </w:rPr>
              <w:t>2</w:t>
            </w:r>
            <w:r w:rsidRPr="00BC7C30">
              <w:rPr>
                <w:rFonts w:eastAsia="Calibri" w:cs="Times New Roman"/>
                <w:bCs/>
                <w:sz w:val="20"/>
                <w:szCs w:val="20"/>
              </w:rPr>
              <w:t xml:space="preserve">. </w:t>
            </w:r>
          </w:p>
        </w:tc>
      </w:tr>
      <w:tr w:rsidR="008C51D3" w:rsidRPr="00BC7C30" w:rsidTr="00DA5BE6">
        <w:trPr>
          <w:trHeight w:val="543"/>
        </w:trPr>
        <w:tc>
          <w:tcPr>
            <w:tcW w:w="568" w:type="dxa"/>
          </w:tcPr>
          <w:p w:rsidR="008C51D3" w:rsidRPr="00DD1C2E" w:rsidRDefault="008C51D3" w:rsidP="008C51D3">
            <w:pPr>
              <w:ind w:right="-21"/>
              <w:rPr>
                <w:rFonts w:eastAsia="Calibri" w:cs="Times New Roman"/>
                <w:bCs/>
                <w:sz w:val="20"/>
                <w:szCs w:val="20"/>
              </w:rPr>
            </w:pPr>
            <w:r w:rsidRPr="00DD1C2E">
              <w:rPr>
                <w:rFonts w:eastAsia="Calibri" w:cs="Times New Roman"/>
                <w:bCs/>
                <w:sz w:val="20"/>
                <w:szCs w:val="20"/>
              </w:rPr>
              <w:t>5.</w:t>
            </w:r>
            <w:r w:rsidR="00341F3D">
              <w:rPr>
                <w:rFonts w:eastAsia="Calibri" w:cs="Times New Roman"/>
                <w:bCs/>
                <w:sz w:val="20"/>
                <w:szCs w:val="20"/>
              </w:rPr>
              <w:t>10</w:t>
            </w:r>
            <w:r>
              <w:rPr>
                <w:rFonts w:eastAsia="Calibri" w:cs="Times New Roman"/>
                <w:bCs/>
                <w:sz w:val="20"/>
                <w:szCs w:val="20"/>
              </w:rPr>
              <w:t>.</w:t>
            </w:r>
          </w:p>
        </w:tc>
        <w:tc>
          <w:tcPr>
            <w:tcW w:w="2268" w:type="dxa"/>
          </w:tcPr>
          <w:p w:rsidR="008C51D3" w:rsidRPr="00DD1C2E" w:rsidRDefault="008C51D3" w:rsidP="008C51D3">
            <w:pPr>
              <w:jc w:val="both"/>
              <w:rPr>
                <w:rFonts w:eastAsia="Calibri" w:cs="Times New Roman"/>
                <w:color w:val="000000" w:themeColor="text1"/>
                <w:sz w:val="20"/>
                <w:szCs w:val="20"/>
              </w:rPr>
            </w:pPr>
            <w:r w:rsidRPr="00DD1C2E">
              <w:rPr>
                <w:rFonts w:eastAsia="Calibri" w:cs="Times New Roman"/>
                <w:color w:val="000000" w:themeColor="text1"/>
                <w:sz w:val="20"/>
                <w:szCs w:val="20"/>
              </w:rPr>
              <w:t>Izvērtēt iespēju paplašināt VID publiskojamo datu datubāzi.</w:t>
            </w:r>
          </w:p>
        </w:tc>
        <w:tc>
          <w:tcPr>
            <w:tcW w:w="3544" w:type="dxa"/>
          </w:tcPr>
          <w:p w:rsidR="008C51D3" w:rsidRPr="00DD1C2E" w:rsidRDefault="008C51D3" w:rsidP="008C51D3">
            <w:pPr>
              <w:jc w:val="both"/>
              <w:rPr>
                <w:rFonts w:eastAsia="Calibri" w:cs="Times New Roman"/>
                <w:color w:val="000000" w:themeColor="text1"/>
                <w:sz w:val="20"/>
                <w:szCs w:val="20"/>
              </w:rPr>
            </w:pPr>
            <w:r w:rsidRPr="00DD1C2E">
              <w:rPr>
                <w:rFonts w:eastAsia="Calibri" w:cs="Times New Roman"/>
                <w:color w:val="000000" w:themeColor="text1"/>
                <w:sz w:val="20"/>
                <w:szCs w:val="20"/>
              </w:rPr>
              <w:t>Izvērtēt iespēju VID publiskot datus par visu saimnieciskās darbības veicēju – privātpersonu un sabiedrību – nodokļu maksājumiem, atsevišķi izdalot algas nodokļu maksājumus, darbinieku skaitu un apgrozījumu četras reizes gadā.</w:t>
            </w:r>
          </w:p>
        </w:tc>
        <w:tc>
          <w:tcPr>
            <w:tcW w:w="2551" w:type="dxa"/>
          </w:tcPr>
          <w:p w:rsidR="008C51D3" w:rsidRPr="00DD1C2E" w:rsidRDefault="008C51D3" w:rsidP="008C51D3">
            <w:pPr>
              <w:jc w:val="both"/>
              <w:rPr>
                <w:rFonts w:eastAsia="Calibri" w:cs="Times New Roman"/>
                <w:color w:val="000000" w:themeColor="text1"/>
                <w:sz w:val="20"/>
                <w:szCs w:val="20"/>
              </w:rPr>
            </w:pPr>
            <w:r w:rsidRPr="00DD1C2E">
              <w:rPr>
                <w:rFonts w:eastAsia="Calibri" w:cs="Times New Roman"/>
                <w:color w:val="000000" w:themeColor="text1"/>
                <w:sz w:val="20"/>
                <w:szCs w:val="20"/>
              </w:rPr>
              <w:t>Veikts izvērtējums par iespēju publiskot datus par nodokļu maksātāju veiktajiem nodokļu maksājumiem, atsevišķi izdalot algas nodokļu maksājumus, darbinieku skaitu un apgrozījumu četras reizes gadā.</w:t>
            </w:r>
          </w:p>
        </w:tc>
        <w:tc>
          <w:tcPr>
            <w:tcW w:w="1985" w:type="dxa"/>
          </w:tcPr>
          <w:p w:rsidR="008C51D3" w:rsidRPr="00DD1C2E" w:rsidRDefault="008C51D3" w:rsidP="008C51D3">
            <w:pPr>
              <w:rPr>
                <w:rFonts w:eastAsia="Calibri" w:cs="Times New Roman"/>
                <w:color w:val="000000" w:themeColor="text1"/>
                <w:sz w:val="20"/>
                <w:szCs w:val="20"/>
              </w:rPr>
            </w:pPr>
            <w:r w:rsidRPr="00DD1C2E">
              <w:rPr>
                <w:rFonts w:eastAsia="Calibri" w:cs="Times New Roman"/>
                <w:color w:val="000000" w:themeColor="text1"/>
                <w:sz w:val="20"/>
                <w:szCs w:val="20"/>
              </w:rPr>
              <w:t>Veikts izvērtējums par publiskojamo datu datubāzes paplašināšanu un sagatavoti grozījumi likumā “Par nodokļiem un nodevām”.</w:t>
            </w:r>
          </w:p>
        </w:tc>
        <w:tc>
          <w:tcPr>
            <w:tcW w:w="1275" w:type="dxa"/>
          </w:tcPr>
          <w:p w:rsidR="008C51D3" w:rsidRPr="00DD1C2E" w:rsidRDefault="008C51D3" w:rsidP="008C51D3">
            <w:pPr>
              <w:jc w:val="center"/>
              <w:rPr>
                <w:rFonts w:eastAsia="Calibri" w:cs="Times New Roman"/>
                <w:color w:val="000000" w:themeColor="text1"/>
                <w:sz w:val="20"/>
                <w:szCs w:val="20"/>
              </w:rPr>
            </w:pPr>
            <w:r w:rsidRPr="00DD1C2E">
              <w:rPr>
                <w:rFonts w:eastAsia="Calibri" w:cs="Times New Roman"/>
                <w:bCs/>
                <w:color w:val="000000" w:themeColor="text1"/>
                <w:sz w:val="20"/>
                <w:szCs w:val="20"/>
              </w:rPr>
              <w:t xml:space="preserve">FM </w:t>
            </w:r>
          </w:p>
        </w:tc>
        <w:tc>
          <w:tcPr>
            <w:tcW w:w="1134" w:type="dxa"/>
          </w:tcPr>
          <w:p w:rsidR="008C51D3" w:rsidRPr="00DD1C2E" w:rsidRDefault="008C51D3" w:rsidP="008C51D3">
            <w:pPr>
              <w:jc w:val="center"/>
              <w:rPr>
                <w:rFonts w:eastAsia="Calibri" w:cs="Times New Roman"/>
                <w:bCs/>
                <w:color w:val="000000" w:themeColor="text1"/>
                <w:sz w:val="20"/>
                <w:szCs w:val="20"/>
              </w:rPr>
            </w:pPr>
            <w:r w:rsidRPr="00DD1C2E">
              <w:rPr>
                <w:rFonts w:eastAsia="Calibri" w:cs="Times New Roman"/>
                <w:bCs/>
                <w:color w:val="000000" w:themeColor="text1"/>
                <w:sz w:val="20"/>
                <w:szCs w:val="20"/>
              </w:rPr>
              <w:t>VID</w:t>
            </w:r>
          </w:p>
        </w:tc>
        <w:tc>
          <w:tcPr>
            <w:tcW w:w="1276" w:type="dxa"/>
          </w:tcPr>
          <w:p w:rsidR="008C51D3" w:rsidRPr="00D07F3E" w:rsidRDefault="008C51D3" w:rsidP="008C51D3">
            <w:pPr>
              <w:jc w:val="center"/>
              <w:rPr>
                <w:rFonts w:eastAsia="Calibri" w:cs="Times New Roman"/>
                <w:bCs/>
                <w:color w:val="000000" w:themeColor="text1"/>
                <w:sz w:val="20"/>
                <w:szCs w:val="20"/>
              </w:rPr>
            </w:pPr>
            <w:r w:rsidRPr="00DD1C2E">
              <w:rPr>
                <w:rFonts w:eastAsia="Calibri" w:cs="Times New Roman"/>
                <w:bCs/>
                <w:color w:val="000000" w:themeColor="text1"/>
                <w:sz w:val="20"/>
                <w:szCs w:val="20"/>
              </w:rPr>
              <w:t>30.12.2022.</w:t>
            </w:r>
          </w:p>
        </w:tc>
      </w:tr>
      <w:tr w:rsidR="008C51D3" w:rsidRPr="00DC0E01" w:rsidTr="00DA5BE6">
        <w:trPr>
          <w:trHeight w:val="543"/>
        </w:trPr>
        <w:tc>
          <w:tcPr>
            <w:tcW w:w="568" w:type="dxa"/>
          </w:tcPr>
          <w:p w:rsidR="008C51D3" w:rsidRPr="00FC1571" w:rsidRDefault="008C51D3" w:rsidP="008C51D3">
            <w:pPr>
              <w:ind w:right="-21"/>
              <w:rPr>
                <w:rFonts w:eastAsia="Calibri" w:cs="Times New Roman"/>
                <w:bCs/>
                <w:sz w:val="20"/>
                <w:szCs w:val="20"/>
              </w:rPr>
            </w:pPr>
            <w:r w:rsidRPr="00FC1571">
              <w:rPr>
                <w:rFonts w:eastAsia="Calibri" w:cs="Times New Roman"/>
                <w:bCs/>
                <w:sz w:val="20"/>
                <w:szCs w:val="20"/>
              </w:rPr>
              <w:t>5.1</w:t>
            </w:r>
            <w:r w:rsidR="00341F3D">
              <w:rPr>
                <w:rFonts w:eastAsia="Calibri" w:cs="Times New Roman"/>
                <w:bCs/>
                <w:sz w:val="20"/>
                <w:szCs w:val="20"/>
              </w:rPr>
              <w:t>1</w:t>
            </w:r>
            <w:r w:rsidRPr="00FC1571">
              <w:rPr>
                <w:rFonts w:eastAsia="Calibri" w:cs="Times New Roman"/>
                <w:bCs/>
                <w:sz w:val="20"/>
                <w:szCs w:val="20"/>
              </w:rPr>
              <w:t>.</w:t>
            </w:r>
          </w:p>
        </w:tc>
        <w:tc>
          <w:tcPr>
            <w:tcW w:w="2268" w:type="dxa"/>
          </w:tcPr>
          <w:p w:rsidR="008C51D3" w:rsidRPr="00FC1571" w:rsidRDefault="008C51D3" w:rsidP="008C51D3">
            <w:pPr>
              <w:jc w:val="both"/>
              <w:rPr>
                <w:rFonts w:eastAsia="Calibri" w:cs="Times New Roman"/>
                <w:color w:val="000000" w:themeColor="text1"/>
                <w:sz w:val="20"/>
                <w:szCs w:val="20"/>
              </w:rPr>
            </w:pPr>
            <w:r w:rsidRPr="00FC1571">
              <w:rPr>
                <w:rFonts w:eastAsia="Calibri" w:cs="Times New Roman"/>
                <w:color w:val="000000" w:themeColor="text1"/>
                <w:sz w:val="20"/>
                <w:szCs w:val="20"/>
              </w:rPr>
              <w:t>Mazās uzņēmējdarbības grāmatvedības kārtošanas vienkāršošanas process</w:t>
            </w:r>
          </w:p>
        </w:tc>
        <w:tc>
          <w:tcPr>
            <w:tcW w:w="3544" w:type="dxa"/>
          </w:tcPr>
          <w:p w:rsidR="008C51D3" w:rsidRPr="00FC1571" w:rsidRDefault="008C51D3" w:rsidP="008C51D3">
            <w:pPr>
              <w:shd w:val="clear" w:color="auto" w:fill="FFFFFF"/>
              <w:jc w:val="both"/>
              <w:rPr>
                <w:rFonts w:eastAsia="Times New Roman" w:cs="Times New Roman"/>
                <w:color w:val="000000"/>
                <w:sz w:val="20"/>
                <w:szCs w:val="20"/>
                <w:lang w:eastAsia="lv-LV"/>
              </w:rPr>
            </w:pPr>
            <w:r w:rsidRPr="00FC1571">
              <w:rPr>
                <w:rFonts w:eastAsia="Times New Roman" w:cs="Times New Roman"/>
                <w:color w:val="000000"/>
                <w:sz w:val="20"/>
                <w:szCs w:val="20"/>
                <w:lang w:eastAsia="lv-LV"/>
              </w:rPr>
              <w:t xml:space="preserve">Vienkāršota grāmatvedības kārtošana mazajai uzņēmējdarbībai, ļauj saimnieciskās darbības veicējiem ietaupīt laika resursus un atvieglot saistību izpildi, tādejādi motivējot saimnieciskās darbības veicējus mazināt ēnu ekonomiku savā saimnieciskajā darbībā. Primāri šādu risinājumu nepieciešams izstrādāt saimnieciskās darbības veicējiem, kuriem ir salīdzinoši mazs darījumu apgrozījums, piemēram, tas nepārsniedz 40 000 </w:t>
            </w:r>
            <w:r w:rsidRPr="00FC1571">
              <w:rPr>
                <w:rFonts w:eastAsia="Times New Roman" w:cs="Times New Roman"/>
                <w:i/>
                <w:iCs/>
                <w:color w:val="000000"/>
                <w:sz w:val="20"/>
                <w:szCs w:val="20"/>
                <w:lang w:eastAsia="lv-LV"/>
              </w:rPr>
              <w:t>euro</w:t>
            </w:r>
            <w:r w:rsidRPr="00FC1571">
              <w:rPr>
                <w:rFonts w:eastAsia="Times New Roman" w:cs="Times New Roman"/>
                <w:color w:val="000000"/>
                <w:sz w:val="20"/>
                <w:szCs w:val="20"/>
                <w:lang w:eastAsia="lv-LV"/>
              </w:rPr>
              <w:t xml:space="preserve">, kas ir PVN reģistrācijas slieksnis. </w:t>
            </w:r>
          </w:p>
        </w:tc>
        <w:tc>
          <w:tcPr>
            <w:tcW w:w="2551" w:type="dxa"/>
          </w:tcPr>
          <w:p w:rsidR="008C51D3" w:rsidRPr="00FC1571" w:rsidRDefault="008C51D3" w:rsidP="008C51D3">
            <w:pPr>
              <w:jc w:val="both"/>
              <w:rPr>
                <w:rFonts w:eastAsia="Calibri" w:cs="Times New Roman"/>
                <w:color w:val="000000" w:themeColor="text1"/>
                <w:sz w:val="20"/>
                <w:szCs w:val="20"/>
              </w:rPr>
            </w:pPr>
            <w:r w:rsidRPr="00FC1571">
              <w:rPr>
                <w:rFonts w:eastAsia="Times New Roman" w:cs="Times New Roman"/>
                <w:color w:val="000000"/>
                <w:sz w:val="20"/>
                <w:szCs w:val="20"/>
                <w:lang w:eastAsia="lv-LV"/>
              </w:rPr>
              <w:t>Izvērtēt iespējamos risinājumus mazās uzņēmējdarbības grāmatvedības kārtošanas vienkāršošanas procesā.</w:t>
            </w:r>
          </w:p>
        </w:tc>
        <w:tc>
          <w:tcPr>
            <w:tcW w:w="1985" w:type="dxa"/>
          </w:tcPr>
          <w:p w:rsidR="008C51D3" w:rsidRPr="00FC1571" w:rsidRDefault="008C51D3" w:rsidP="008C51D3">
            <w:pPr>
              <w:rPr>
                <w:rFonts w:eastAsia="Calibri" w:cs="Times New Roman"/>
                <w:color w:val="000000" w:themeColor="text1"/>
                <w:sz w:val="20"/>
                <w:szCs w:val="20"/>
              </w:rPr>
            </w:pPr>
            <w:r w:rsidRPr="00FC1571">
              <w:rPr>
                <w:rFonts w:eastAsia="Times New Roman" w:cs="Times New Roman"/>
                <w:color w:val="000000"/>
                <w:sz w:val="20"/>
                <w:szCs w:val="20"/>
                <w:lang w:eastAsia="lv-LV"/>
              </w:rPr>
              <w:t>Veikts izvērtējums par turpmāk nepieciešamo rīcību mazās uzņēmējdarbības grāmatvedības kārtošanas vienkāršošanas procesā.</w:t>
            </w:r>
          </w:p>
        </w:tc>
        <w:tc>
          <w:tcPr>
            <w:tcW w:w="1275" w:type="dxa"/>
          </w:tcPr>
          <w:p w:rsidR="008C51D3" w:rsidRPr="00FC1571" w:rsidRDefault="008C51D3" w:rsidP="008C51D3">
            <w:pPr>
              <w:jc w:val="center"/>
              <w:rPr>
                <w:rFonts w:eastAsia="Times New Roman" w:cs="Times New Roman"/>
                <w:color w:val="000000"/>
                <w:sz w:val="20"/>
                <w:szCs w:val="20"/>
                <w:lang w:eastAsia="lv-LV"/>
              </w:rPr>
            </w:pPr>
            <w:r w:rsidRPr="00FC1571">
              <w:rPr>
                <w:rFonts w:eastAsia="Times New Roman" w:cs="Times New Roman"/>
                <w:color w:val="000000"/>
                <w:sz w:val="20"/>
                <w:szCs w:val="20"/>
                <w:lang w:eastAsia="lv-LV"/>
              </w:rPr>
              <w:t xml:space="preserve">EM, </w:t>
            </w:r>
          </w:p>
          <w:p w:rsidR="008C51D3" w:rsidRPr="00FC1571" w:rsidRDefault="008C51D3" w:rsidP="008C51D3">
            <w:pPr>
              <w:jc w:val="center"/>
              <w:rPr>
                <w:rFonts w:eastAsia="Times New Roman" w:cs="Times New Roman"/>
                <w:color w:val="000000"/>
                <w:sz w:val="20"/>
                <w:szCs w:val="20"/>
                <w:lang w:eastAsia="lv-LV"/>
              </w:rPr>
            </w:pPr>
            <w:r w:rsidRPr="00FC1571">
              <w:rPr>
                <w:rFonts w:eastAsia="Times New Roman" w:cs="Times New Roman"/>
                <w:color w:val="000000"/>
                <w:sz w:val="20"/>
                <w:szCs w:val="20"/>
                <w:lang w:eastAsia="lv-LV"/>
              </w:rPr>
              <w:t xml:space="preserve">FM, </w:t>
            </w:r>
          </w:p>
          <w:p w:rsidR="008C51D3" w:rsidRPr="00FC1571" w:rsidRDefault="008C51D3" w:rsidP="008C51D3">
            <w:pPr>
              <w:jc w:val="center"/>
              <w:rPr>
                <w:rFonts w:eastAsia="Calibri" w:cs="Times New Roman"/>
                <w:bCs/>
                <w:color w:val="000000" w:themeColor="text1"/>
                <w:sz w:val="20"/>
                <w:szCs w:val="20"/>
              </w:rPr>
            </w:pPr>
            <w:r w:rsidRPr="00FC1571">
              <w:rPr>
                <w:rFonts w:eastAsia="Times New Roman" w:cs="Times New Roman"/>
                <w:color w:val="000000"/>
                <w:sz w:val="20"/>
                <w:szCs w:val="20"/>
                <w:lang w:eastAsia="lv-LV"/>
              </w:rPr>
              <w:t>VID</w:t>
            </w:r>
          </w:p>
        </w:tc>
        <w:tc>
          <w:tcPr>
            <w:tcW w:w="1134" w:type="dxa"/>
          </w:tcPr>
          <w:p w:rsidR="008C51D3" w:rsidRPr="00FC1571" w:rsidRDefault="008C51D3" w:rsidP="008C51D3">
            <w:pPr>
              <w:jc w:val="center"/>
              <w:rPr>
                <w:rFonts w:eastAsia="Calibri" w:cs="Times New Roman"/>
                <w:bCs/>
                <w:color w:val="000000" w:themeColor="text1"/>
                <w:sz w:val="20"/>
                <w:szCs w:val="20"/>
              </w:rPr>
            </w:pPr>
            <w:r w:rsidRPr="00FC1571">
              <w:rPr>
                <w:rFonts w:eastAsia="Times New Roman" w:cs="Times New Roman"/>
                <w:color w:val="000000"/>
                <w:sz w:val="20"/>
                <w:szCs w:val="20"/>
                <w:lang w:eastAsia="lv-LV"/>
              </w:rPr>
              <w:t>-</w:t>
            </w:r>
          </w:p>
        </w:tc>
        <w:tc>
          <w:tcPr>
            <w:tcW w:w="1276" w:type="dxa"/>
          </w:tcPr>
          <w:p w:rsidR="008C51D3" w:rsidRPr="00DC0E01" w:rsidRDefault="008C51D3" w:rsidP="008C51D3">
            <w:pPr>
              <w:jc w:val="center"/>
              <w:rPr>
                <w:rFonts w:eastAsia="Calibri" w:cs="Times New Roman"/>
                <w:bCs/>
                <w:color w:val="000000" w:themeColor="text1"/>
                <w:sz w:val="20"/>
                <w:szCs w:val="20"/>
              </w:rPr>
            </w:pPr>
            <w:r w:rsidRPr="00FC1571">
              <w:rPr>
                <w:rFonts w:eastAsia="Times New Roman" w:cs="Times New Roman"/>
                <w:color w:val="000000"/>
                <w:sz w:val="20"/>
                <w:szCs w:val="20"/>
                <w:lang w:eastAsia="lv-LV"/>
              </w:rPr>
              <w:t>30.12.2022.</w:t>
            </w:r>
          </w:p>
        </w:tc>
      </w:tr>
    </w:tbl>
    <w:p w:rsidR="00BC7C30" w:rsidRDefault="00BC7C30" w:rsidP="00BC7C30">
      <w:pPr>
        <w:rPr>
          <w:rFonts w:eastAsia="Calibri" w:cs="Times New Roman"/>
        </w:rPr>
      </w:pPr>
    </w:p>
    <w:p w:rsidR="005F384B" w:rsidRDefault="005F384B" w:rsidP="00BC7C30">
      <w:pPr>
        <w:rPr>
          <w:rFonts w:eastAsia="Calibri" w:cs="Times New Roman"/>
        </w:rPr>
      </w:pPr>
    </w:p>
    <w:p w:rsidR="005F384B" w:rsidRPr="006A4493" w:rsidRDefault="005F384B" w:rsidP="00BC7C30">
      <w:pPr>
        <w:rPr>
          <w:rFonts w:eastAsia="Calibri" w:cs="Times New Roman"/>
        </w:rPr>
      </w:pPr>
    </w:p>
    <w:p w:rsidR="00EA59F7" w:rsidRPr="006A4493" w:rsidRDefault="00EA59F7">
      <w:pPr>
        <w:rPr>
          <w:rFonts w:cs="Times New Roman"/>
        </w:rPr>
      </w:pPr>
    </w:p>
    <w:bookmarkEnd w:id="42"/>
    <w:p w:rsidR="006A4493" w:rsidRDefault="006A4493" w:rsidP="003656D7">
      <w:pPr>
        <w:tabs>
          <w:tab w:val="left" w:pos="851"/>
        </w:tabs>
        <w:suppressAutoHyphens/>
        <w:jc w:val="both"/>
        <w:rPr>
          <w:rFonts w:eastAsia="Calibri" w:cs="Times New Roman"/>
        </w:rPr>
      </w:pPr>
    </w:p>
    <w:p w:rsidR="005F384B" w:rsidRPr="006A4493" w:rsidRDefault="005F384B" w:rsidP="003656D7">
      <w:pPr>
        <w:tabs>
          <w:tab w:val="left" w:pos="851"/>
        </w:tabs>
        <w:suppressAutoHyphens/>
        <w:jc w:val="both"/>
        <w:rPr>
          <w:rFonts w:eastAsia="Calibri"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E561B" w:rsidRPr="003B466B" w:rsidTr="0035722D">
        <w:tc>
          <w:tcPr>
            <w:tcW w:w="9061" w:type="dxa"/>
          </w:tcPr>
          <w:p w:rsidR="003E561B" w:rsidRPr="003B466B" w:rsidRDefault="003E561B" w:rsidP="0035722D">
            <w:pPr>
              <w:rPr>
                <w:rFonts w:eastAsia="Times New Roman"/>
                <w:sz w:val="16"/>
                <w:szCs w:val="10"/>
                <w:lang w:eastAsia="en-GB"/>
              </w:rPr>
            </w:pPr>
          </w:p>
          <w:tbl>
            <w:tblPr>
              <w:tblStyle w:val="TableGrid"/>
              <w:tblW w:w="9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410"/>
              <w:gridCol w:w="3577"/>
            </w:tblGrid>
            <w:tr w:rsidR="003E561B" w:rsidRPr="003B466B" w:rsidTr="0035722D">
              <w:tc>
                <w:tcPr>
                  <w:tcW w:w="3119" w:type="dxa"/>
                </w:tcPr>
                <w:p w:rsidR="003E561B" w:rsidRPr="003B466B" w:rsidRDefault="003E561B" w:rsidP="0035722D">
                  <w:pPr>
                    <w:overflowPunct w:val="0"/>
                    <w:autoSpaceDE w:val="0"/>
                    <w:autoSpaceDN w:val="0"/>
                    <w:adjustRightInd w:val="0"/>
                    <w:spacing w:before="20"/>
                    <w:textAlignment w:val="baseline"/>
                    <w:rPr>
                      <w:rFonts w:eastAsia="Times New Roman"/>
                      <w:sz w:val="28"/>
                      <w:szCs w:val="28"/>
                      <w:lang w:eastAsia="zh-CN"/>
                    </w:rPr>
                  </w:pPr>
                  <w:r w:rsidRPr="003B466B">
                    <w:rPr>
                      <w:rFonts w:eastAsia="Times New Roman"/>
                      <w:sz w:val="28"/>
                      <w:szCs w:val="28"/>
                      <w:lang w:eastAsia="zh-CN"/>
                    </w:rPr>
                    <w:t>Finanšu ministrs</w:t>
                  </w:r>
                </w:p>
              </w:tc>
              <w:tc>
                <w:tcPr>
                  <w:tcW w:w="2410" w:type="dxa"/>
                </w:tcPr>
                <w:p w:rsidR="003E561B" w:rsidRPr="003B466B" w:rsidRDefault="003E561B" w:rsidP="0035722D">
                  <w:pPr>
                    <w:overflowPunct w:val="0"/>
                    <w:autoSpaceDE w:val="0"/>
                    <w:autoSpaceDN w:val="0"/>
                    <w:adjustRightInd w:val="0"/>
                    <w:spacing w:before="20"/>
                    <w:jc w:val="center"/>
                    <w:textAlignment w:val="baseline"/>
                    <w:rPr>
                      <w:rFonts w:eastAsia="Times New Roman"/>
                      <w:sz w:val="28"/>
                      <w:szCs w:val="20"/>
                      <w:lang w:eastAsia="zh-CN"/>
                    </w:rPr>
                  </w:pPr>
                  <w:r w:rsidRPr="003B466B">
                    <w:rPr>
                      <w:rFonts w:eastAsia="Times New Roman"/>
                      <w:szCs w:val="18"/>
                      <w:lang w:eastAsia="zh-CN"/>
                    </w:rPr>
                    <w:t>(paraksts**)</w:t>
                  </w:r>
                </w:p>
              </w:tc>
              <w:tc>
                <w:tcPr>
                  <w:tcW w:w="3577" w:type="dxa"/>
                </w:tcPr>
                <w:p w:rsidR="003E561B" w:rsidRPr="003B466B" w:rsidRDefault="003E561B" w:rsidP="0035722D">
                  <w:pPr>
                    <w:overflowPunct w:val="0"/>
                    <w:autoSpaceDE w:val="0"/>
                    <w:autoSpaceDN w:val="0"/>
                    <w:adjustRightInd w:val="0"/>
                    <w:spacing w:before="20"/>
                    <w:textAlignment w:val="baseline"/>
                    <w:rPr>
                      <w:rFonts w:eastAsia="Times New Roman"/>
                      <w:sz w:val="28"/>
                      <w:szCs w:val="28"/>
                      <w:lang w:eastAsia="en-GB"/>
                    </w:rPr>
                  </w:pPr>
                  <w:r w:rsidRPr="003B466B">
                    <w:rPr>
                      <w:rFonts w:eastAsia="Times New Roman"/>
                      <w:noProof/>
                      <w:sz w:val="28"/>
                      <w:szCs w:val="28"/>
                      <w:lang w:eastAsia="en-GB"/>
                    </w:rPr>
                    <w:t>J. Reirs</w:t>
                  </w:r>
                </w:p>
              </w:tc>
            </w:tr>
          </w:tbl>
          <w:p w:rsidR="003E561B" w:rsidRPr="003B466B" w:rsidRDefault="003E561B" w:rsidP="0035722D">
            <w:pPr>
              <w:rPr>
                <w:rFonts w:eastAsia="Times New Roman"/>
                <w:szCs w:val="18"/>
                <w:lang w:eastAsia="en-GB"/>
              </w:rPr>
            </w:pPr>
          </w:p>
          <w:p w:rsidR="003E561B" w:rsidRPr="003B466B" w:rsidRDefault="003E561B" w:rsidP="0035722D">
            <w:pPr>
              <w:rPr>
                <w:rFonts w:eastAsia="Times New Roman"/>
                <w:szCs w:val="18"/>
                <w:lang w:eastAsia="en-GB"/>
              </w:rPr>
            </w:pPr>
          </w:p>
          <w:p w:rsidR="003E561B" w:rsidRPr="003B466B" w:rsidRDefault="003E561B" w:rsidP="0035722D">
            <w:pPr>
              <w:rPr>
                <w:rFonts w:eastAsia="Times New Roman"/>
                <w:sz w:val="28"/>
                <w:szCs w:val="20"/>
                <w:lang w:eastAsia="en-GB"/>
              </w:rPr>
            </w:pPr>
            <w:r w:rsidRPr="003B466B">
              <w:rPr>
                <w:rFonts w:eastAsia="Times New Roman"/>
                <w:lang w:eastAsia="zh-CN"/>
              </w:rPr>
              <w:t>** Dokuments ir parakstīts ar TAP portāla elektroniskās parakstīšanas rīku</w:t>
            </w:r>
          </w:p>
        </w:tc>
      </w:tr>
    </w:tbl>
    <w:p w:rsidR="00A648EB" w:rsidRPr="00C8639B" w:rsidRDefault="00A648EB" w:rsidP="003E561B">
      <w:pPr>
        <w:tabs>
          <w:tab w:val="left" w:pos="851"/>
        </w:tabs>
        <w:suppressAutoHyphens/>
        <w:ind w:left="851"/>
        <w:jc w:val="both"/>
        <w:rPr>
          <w:rFonts w:eastAsia="Calibri" w:cs="Times New Roman"/>
          <w:i/>
          <w:iCs/>
        </w:rPr>
      </w:pPr>
    </w:p>
    <w:sectPr w:rsidR="00A648EB" w:rsidRPr="00C8639B" w:rsidSect="004B42D1">
      <w:pgSz w:w="16838" w:h="11906" w:orient="landscape"/>
      <w:pgMar w:top="1134" w:right="1134" w:bottom="567" w:left="1560" w:header="567"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3FC0" w:rsidRDefault="00273FC0" w:rsidP="009C5DAB">
      <w:r>
        <w:separator/>
      </w:r>
    </w:p>
  </w:endnote>
  <w:endnote w:type="continuationSeparator" w:id="0">
    <w:p w:rsidR="00273FC0" w:rsidRDefault="00273FC0" w:rsidP="009C5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EUAlbertina">
    <w:altName w:val="Times New Roman"/>
    <w:panose1 w:val="00000000000000000000"/>
    <w:charset w:val="EE"/>
    <w:family w:val="roman"/>
    <w:notTrueType/>
    <w:pitch w:val="default"/>
    <w:sig w:usb0="00000001" w:usb1="00000000" w:usb2="00000000" w:usb3="00000000" w:csb0="00000003" w:csb1="00000000"/>
  </w:font>
  <w:font w:name="Times New Roman,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283579"/>
      <w:docPartObj>
        <w:docPartGallery w:val="Page Numbers (Bottom of Page)"/>
        <w:docPartUnique/>
      </w:docPartObj>
    </w:sdtPr>
    <w:sdtEndPr>
      <w:rPr>
        <w:noProof/>
      </w:rPr>
    </w:sdtEndPr>
    <w:sdtContent>
      <w:p w:rsidR="00660A87" w:rsidRDefault="00660A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9573F" w:rsidRDefault="00F957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0733" w:rsidRDefault="00800733">
    <w:pPr>
      <w:pStyle w:val="Footer"/>
      <w:jc w:val="center"/>
    </w:pPr>
  </w:p>
  <w:p w:rsidR="00E92BF8" w:rsidRDefault="00E9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3FC0" w:rsidRDefault="00273FC0" w:rsidP="009C5DAB">
      <w:r>
        <w:separator/>
      </w:r>
    </w:p>
  </w:footnote>
  <w:footnote w:type="continuationSeparator" w:id="0">
    <w:p w:rsidR="00273FC0" w:rsidRDefault="00273FC0" w:rsidP="009C5DAB">
      <w:r>
        <w:continuationSeparator/>
      </w:r>
    </w:p>
  </w:footnote>
  <w:footnote w:id="1">
    <w:p w:rsidR="000D12AF" w:rsidRPr="004C150D" w:rsidRDefault="000D12AF" w:rsidP="007C51B6">
      <w:pPr>
        <w:pStyle w:val="FootnoteText"/>
        <w:rPr>
          <w:rFonts w:ascii="Times New Roman" w:hAnsi="Times New Roman" w:cs="Times New Roman"/>
        </w:rPr>
      </w:pPr>
      <w:r w:rsidRPr="004C150D">
        <w:rPr>
          <w:rStyle w:val="FootnoteReference"/>
        </w:rPr>
        <w:footnoteRef/>
      </w:r>
      <w:r w:rsidRPr="004C150D">
        <w:t xml:space="preserve"> </w:t>
      </w:r>
      <w:r w:rsidRPr="004C150D">
        <w:rPr>
          <w:rFonts w:ascii="Times New Roman" w:hAnsi="Times New Roman" w:cs="Times New Roman"/>
        </w:rPr>
        <w:t xml:space="preserve">Lincas Universitātes profesora </w:t>
      </w:r>
      <w:r>
        <w:t xml:space="preserve">Dr. </w:t>
      </w:r>
      <w:r w:rsidRPr="004C150D">
        <w:rPr>
          <w:rFonts w:ascii="Times New Roman" w:hAnsi="Times New Roman" w:cs="Times New Roman"/>
        </w:rPr>
        <w:t>F. Šneidera pētījums ”Latest developments of the Shadow economy in</w:t>
      </w:r>
      <w:r>
        <w:rPr>
          <w:rFonts w:ascii="Times New Roman" w:hAnsi="Times New Roman" w:cs="Times New Roman"/>
        </w:rPr>
        <w:t xml:space="preserve"> the Baltic countries: What are the major causes and what could be done?</w:t>
      </w:r>
      <w:r w:rsidRPr="004C150D">
        <w:rPr>
          <w:rFonts w:ascii="Times New Roman" w:hAnsi="Times New Roman" w:cs="Times New Roman"/>
        </w:rPr>
        <w:t xml:space="preserve">”, </w:t>
      </w:r>
      <w:r>
        <w:rPr>
          <w:rFonts w:ascii="Times New Roman" w:hAnsi="Times New Roman" w:cs="Times New Roman"/>
        </w:rPr>
        <w:t>September</w:t>
      </w:r>
      <w:r w:rsidRPr="004C150D">
        <w:rPr>
          <w:rFonts w:ascii="Times New Roman" w:hAnsi="Times New Roman" w:cs="Times New Roman"/>
        </w:rPr>
        <w:t xml:space="preserve"> 2019</w:t>
      </w:r>
      <w:r>
        <w:rPr>
          <w:rFonts w:ascii="Times New Roman" w:hAnsi="Times New Roman" w:cs="Times New Roman"/>
        </w:rPr>
        <w:t xml:space="preserve">, </w:t>
      </w:r>
      <w:r w:rsidRPr="004C150D">
        <w:rPr>
          <w:rFonts w:ascii="Times New Roman" w:hAnsi="Times New Roman" w:cs="Times New Roman"/>
        </w:rPr>
        <w:t xml:space="preserve"> </w:t>
      </w:r>
      <w:r w:rsidRPr="007477AB">
        <w:rPr>
          <w:rFonts w:ascii="Times New Roman" w:hAnsi="Times New Roman" w:cs="Times New Roman"/>
          <w:color w:val="0000FF"/>
          <w:u w:val="single"/>
        </w:rPr>
        <w:t>https://www.llri.lt/wp-content/uploads/2019/09/Shadow-Economy_Baltic_Countries_September_finalLONGPDF.pdf</w:t>
      </w:r>
    </w:p>
  </w:footnote>
  <w:footnote w:id="2">
    <w:p w:rsidR="000D12AF" w:rsidRPr="00EA11FB" w:rsidRDefault="000D12AF" w:rsidP="007E6A46">
      <w:pPr>
        <w:rPr>
          <w:rFonts w:cs="Times New Roman"/>
          <w:color w:val="0000FF"/>
          <w:sz w:val="20"/>
          <w:szCs w:val="20"/>
          <w:u w:val="single"/>
        </w:rPr>
      </w:pPr>
      <w:r w:rsidRPr="004C150D">
        <w:rPr>
          <w:rStyle w:val="FootnoteReference"/>
          <w:sz w:val="20"/>
          <w:szCs w:val="20"/>
        </w:rPr>
        <w:footnoteRef/>
      </w:r>
      <w:r w:rsidRPr="004C150D">
        <w:rPr>
          <w:sz w:val="20"/>
          <w:szCs w:val="20"/>
        </w:rPr>
        <w:t xml:space="preserve"> </w:t>
      </w:r>
      <w:r w:rsidRPr="00EA11FB">
        <w:rPr>
          <w:rFonts w:eastAsia="Calibri" w:cs="Times New Roman"/>
          <w:sz w:val="20"/>
          <w:szCs w:val="20"/>
        </w:rPr>
        <w:t>Pētījums ”Ēnu ekonomikas indekss Baltijas valstīs 2009.-20</w:t>
      </w:r>
      <w:r>
        <w:rPr>
          <w:rFonts w:eastAsia="Calibri" w:cs="Times New Roman"/>
          <w:sz w:val="20"/>
          <w:szCs w:val="20"/>
        </w:rPr>
        <w:t>20</w:t>
      </w:r>
      <w:r w:rsidRPr="00EA11FB">
        <w:rPr>
          <w:rFonts w:eastAsia="Calibri" w:cs="Times New Roman"/>
          <w:sz w:val="20"/>
          <w:szCs w:val="20"/>
        </w:rPr>
        <w:t xml:space="preserve">. gadā”, SSE Riga Ilgtspējīga biznesa centrs, A. Sauka, T. Putniņš. </w:t>
      </w:r>
      <w:hyperlink r:id="rId1" w:history="1">
        <w:r w:rsidRPr="00EA11FB">
          <w:rPr>
            <w:rStyle w:val="Hyperlink"/>
            <w:color w:val="0000FF"/>
            <w:sz w:val="20"/>
            <w:szCs w:val="20"/>
          </w:rPr>
          <w:t>https://www.sseriga.edu/sites/default/files/2021-06/SSERiga_Enu_ekonomikas_indekss_2009-2020_1.pdf</w:t>
        </w:r>
      </w:hyperlink>
      <w:r w:rsidRPr="00EA11FB">
        <w:rPr>
          <w:color w:val="0000FF"/>
        </w:rPr>
        <w:t xml:space="preserve"> </w:t>
      </w:r>
    </w:p>
  </w:footnote>
  <w:footnote w:id="3">
    <w:p w:rsidR="000D12AF" w:rsidRPr="00EF6C1B" w:rsidRDefault="000D12AF" w:rsidP="00AF72CC">
      <w:pPr>
        <w:pStyle w:val="Default"/>
        <w:rPr>
          <w:rFonts w:ascii="Times New Roman" w:hAnsi="Times New Roman"/>
          <w:sz w:val="20"/>
          <w:szCs w:val="20"/>
        </w:rPr>
      </w:pPr>
      <w:r w:rsidRPr="00EF6C1B">
        <w:rPr>
          <w:rStyle w:val="FootnoteReference"/>
          <w:rFonts w:ascii="Times New Roman" w:hAnsi="Times New Roman"/>
          <w:sz w:val="20"/>
          <w:szCs w:val="20"/>
        </w:rPr>
        <w:footnoteRef/>
      </w:r>
      <w:r w:rsidRPr="00EF6C1B">
        <w:rPr>
          <w:rFonts w:ascii="Times New Roman" w:hAnsi="Times New Roman"/>
          <w:sz w:val="20"/>
          <w:szCs w:val="20"/>
        </w:rPr>
        <w:t xml:space="preserve"> </w:t>
      </w:r>
      <w:r>
        <w:rPr>
          <w:rFonts w:ascii="Times New Roman" w:hAnsi="Times New Roman"/>
          <w:sz w:val="20"/>
          <w:szCs w:val="20"/>
        </w:rPr>
        <w:t>Nac</w:t>
      </w:r>
      <w:r>
        <w:rPr>
          <w:rFonts w:ascii="Times New Roman" w:hAnsi="Times New Roman"/>
          <w:bCs/>
          <w:sz w:val="20"/>
          <w:szCs w:val="20"/>
        </w:rPr>
        <w:t>ionālais NILLTPF</w:t>
      </w:r>
      <w:r w:rsidRPr="00EF6C1B">
        <w:rPr>
          <w:rFonts w:ascii="Times New Roman" w:hAnsi="Times New Roman"/>
          <w:bCs/>
          <w:sz w:val="20"/>
          <w:szCs w:val="20"/>
        </w:rPr>
        <w:t xml:space="preserve"> risku novērtēšanas ziņojums par 2017. – 2019.</w:t>
      </w:r>
      <w:r w:rsidR="003656D7">
        <w:rPr>
          <w:rFonts w:ascii="Times New Roman" w:hAnsi="Times New Roman"/>
          <w:bCs/>
          <w:sz w:val="20"/>
          <w:szCs w:val="20"/>
        </w:rPr>
        <w:t> </w:t>
      </w:r>
      <w:r w:rsidRPr="00EF6C1B">
        <w:rPr>
          <w:rFonts w:ascii="Times New Roman" w:hAnsi="Times New Roman"/>
          <w:bCs/>
          <w:sz w:val="20"/>
          <w:szCs w:val="20"/>
        </w:rPr>
        <w:t>gadu</w:t>
      </w:r>
      <w:r>
        <w:rPr>
          <w:rFonts w:ascii="Times New Roman" w:hAnsi="Times New Roman"/>
          <w:bCs/>
          <w:sz w:val="20"/>
          <w:szCs w:val="20"/>
        </w:rPr>
        <w:t>;</w:t>
      </w:r>
    </w:p>
  </w:footnote>
  <w:footnote w:id="4">
    <w:p w:rsidR="000D12AF" w:rsidRDefault="000D12AF" w:rsidP="00C673ED">
      <w:pPr>
        <w:pStyle w:val="FootnoteText"/>
      </w:pPr>
      <w:r w:rsidRPr="004C150D">
        <w:rPr>
          <w:rStyle w:val="FootnoteReference"/>
        </w:rPr>
        <w:footnoteRef/>
      </w:r>
      <w:r w:rsidRPr="004C150D">
        <w:t xml:space="preserve"> </w:t>
      </w:r>
      <w:r w:rsidRPr="004C150D">
        <w:rPr>
          <w:rFonts w:ascii="Times New Roman" w:eastAsiaTheme="minorHAnsi" w:hAnsi="Times New Roman" w:cs="Times New Roman"/>
        </w:rPr>
        <w:t>Nodokļu plaisu 2019.</w:t>
      </w:r>
      <w:r w:rsidR="003656D7">
        <w:rPr>
          <w:rFonts w:ascii="Times New Roman" w:eastAsiaTheme="minorHAnsi" w:hAnsi="Times New Roman" w:cs="Times New Roman"/>
        </w:rPr>
        <w:t> </w:t>
      </w:r>
      <w:r w:rsidRPr="004C150D">
        <w:rPr>
          <w:rFonts w:ascii="Times New Roman" w:eastAsiaTheme="minorHAnsi" w:hAnsi="Times New Roman" w:cs="Times New Roman"/>
        </w:rPr>
        <w:t xml:space="preserve">gada novērtējums, VID </w:t>
      </w:r>
      <w:hyperlink r:id="rId2" w:history="1">
        <w:r w:rsidRPr="004C150D">
          <w:rPr>
            <w:rFonts w:ascii="Times New Roman" w:eastAsiaTheme="minorHAnsi" w:hAnsi="Times New Roman" w:cs="Times New Roman"/>
            <w:color w:val="0000FF"/>
            <w:u w:val="single"/>
          </w:rPr>
          <w:t>https://www.vid.gov.lv/lv/par-2019-gadu</w:t>
        </w:r>
      </w:hyperlink>
    </w:p>
    <w:p w:rsidR="000D12AF" w:rsidRPr="00015116" w:rsidRDefault="000D12AF">
      <w:pPr>
        <w:pStyle w:val="Footnote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0A87" w:rsidRDefault="00660A87">
    <w:pPr>
      <w:pStyle w:val="Header"/>
      <w:jc w:val="center"/>
    </w:pPr>
  </w:p>
  <w:p w:rsidR="00660A87" w:rsidRDefault="00660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1E7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FE34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A0EF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3EA6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2AF0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D0AD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0825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5EE2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8A3A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5A79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16239"/>
    <w:multiLevelType w:val="hybridMultilevel"/>
    <w:tmpl w:val="E672433A"/>
    <w:lvl w:ilvl="0" w:tplc="BB1824E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0B9918D7"/>
    <w:multiLevelType w:val="hybridMultilevel"/>
    <w:tmpl w:val="D3F62FB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1525667C"/>
    <w:multiLevelType w:val="hybridMultilevel"/>
    <w:tmpl w:val="F54E618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180DC4"/>
    <w:multiLevelType w:val="hybridMultilevel"/>
    <w:tmpl w:val="5AB2E1A8"/>
    <w:lvl w:ilvl="0" w:tplc="F1EEE324">
      <w:start w:val="2"/>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843B01"/>
    <w:multiLevelType w:val="hybridMultilevel"/>
    <w:tmpl w:val="D0A4C56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23786E12"/>
    <w:multiLevelType w:val="hybridMultilevel"/>
    <w:tmpl w:val="7D0A8AF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7C3214"/>
    <w:multiLevelType w:val="hybridMultilevel"/>
    <w:tmpl w:val="7BAE4D18"/>
    <w:lvl w:ilvl="0" w:tplc="D8CA7B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2D135C24"/>
    <w:multiLevelType w:val="multilevel"/>
    <w:tmpl w:val="15547C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8E015F2"/>
    <w:multiLevelType w:val="hybridMultilevel"/>
    <w:tmpl w:val="4F2230CC"/>
    <w:lvl w:ilvl="0" w:tplc="04260001">
      <w:start w:val="1"/>
      <w:numFmt w:val="bullet"/>
      <w:lvlText w:val=""/>
      <w:lvlJc w:val="left"/>
      <w:pPr>
        <w:ind w:left="810" w:hanging="360"/>
      </w:pPr>
      <w:rPr>
        <w:rFonts w:ascii="Symbol" w:hAnsi="Symbol" w:hint="default"/>
      </w:rPr>
    </w:lvl>
    <w:lvl w:ilvl="1" w:tplc="04260003" w:tentative="1">
      <w:start w:val="1"/>
      <w:numFmt w:val="bullet"/>
      <w:lvlText w:val="o"/>
      <w:lvlJc w:val="left"/>
      <w:pPr>
        <w:ind w:left="1530" w:hanging="360"/>
      </w:pPr>
      <w:rPr>
        <w:rFonts w:ascii="Courier New" w:hAnsi="Courier New" w:cs="Courier New" w:hint="default"/>
      </w:rPr>
    </w:lvl>
    <w:lvl w:ilvl="2" w:tplc="04260005" w:tentative="1">
      <w:start w:val="1"/>
      <w:numFmt w:val="bullet"/>
      <w:lvlText w:val=""/>
      <w:lvlJc w:val="left"/>
      <w:pPr>
        <w:ind w:left="2250" w:hanging="360"/>
      </w:pPr>
      <w:rPr>
        <w:rFonts w:ascii="Wingdings" w:hAnsi="Wingdings" w:hint="default"/>
      </w:rPr>
    </w:lvl>
    <w:lvl w:ilvl="3" w:tplc="04260001" w:tentative="1">
      <w:start w:val="1"/>
      <w:numFmt w:val="bullet"/>
      <w:lvlText w:val=""/>
      <w:lvlJc w:val="left"/>
      <w:pPr>
        <w:ind w:left="2970" w:hanging="360"/>
      </w:pPr>
      <w:rPr>
        <w:rFonts w:ascii="Symbol" w:hAnsi="Symbol" w:hint="default"/>
      </w:rPr>
    </w:lvl>
    <w:lvl w:ilvl="4" w:tplc="04260003" w:tentative="1">
      <w:start w:val="1"/>
      <w:numFmt w:val="bullet"/>
      <w:lvlText w:val="o"/>
      <w:lvlJc w:val="left"/>
      <w:pPr>
        <w:ind w:left="3690" w:hanging="360"/>
      </w:pPr>
      <w:rPr>
        <w:rFonts w:ascii="Courier New" w:hAnsi="Courier New" w:cs="Courier New" w:hint="default"/>
      </w:rPr>
    </w:lvl>
    <w:lvl w:ilvl="5" w:tplc="04260005" w:tentative="1">
      <w:start w:val="1"/>
      <w:numFmt w:val="bullet"/>
      <w:lvlText w:val=""/>
      <w:lvlJc w:val="left"/>
      <w:pPr>
        <w:ind w:left="4410" w:hanging="360"/>
      </w:pPr>
      <w:rPr>
        <w:rFonts w:ascii="Wingdings" w:hAnsi="Wingdings" w:hint="default"/>
      </w:rPr>
    </w:lvl>
    <w:lvl w:ilvl="6" w:tplc="04260001" w:tentative="1">
      <w:start w:val="1"/>
      <w:numFmt w:val="bullet"/>
      <w:lvlText w:val=""/>
      <w:lvlJc w:val="left"/>
      <w:pPr>
        <w:ind w:left="5130" w:hanging="360"/>
      </w:pPr>
      <w:rPr>
        <w:rFonts w:ascii="Symbol" w:hAnsi="Symbol" w:hint="default"/>
      </w:rPr>
    </w:lvl>
    <w:lvl w:ilvl="7" w:tplc="04260003" w:tentative="1">
      <w:start w:val="1"/>
      <w:numFmt w:val="bullet"/>
      <w:lvlText w:val="o"/>
      <w:lvlJc w:val="left"/>
      <w:pPr>
        <w:ind w:left="5850" w:hanging="360"/>
      </w:pPr>
      <w:rPr>
        <w:rFonts w:ascii="Courier New" w:hAnsi="Courier New" w:cs="Courier New" w:hint="default"/>
      </w:rPr>
    </w:lvl>
    <w:lvl w:ilvl="8" w:tplc="04260005" w:tentative="1">
      <w:start w:val="1"/>
      <w:numFmt w:val="bullet"/>
      <w:lvlText w:val=""/>
      <w:lvlJc w:val="left"/>
      <w:pPr>
        <w:ind w:left="6570" w:hanging="360"/>
      </w:pPr>
      <w:rPr>
        <w:rFonts w:ascii="Wingdings" w:hAnsi="Wingdings" w:hint="default"/>
      </w:rPr>
    </w:lvl>
  </w:abstractNum>
  <w:abstractNum w:abstractNumId="19" w15:restartNumberingAfterBreak="0">
    <w:nsid w:val="3C2108F0"/>
    <w:multiLevelType w:val="hybridMultilevel"/>
    <w:tmpl w:val="D8B2A2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D3D03B0"/>
    <w:multiLevelType w:val="hybridMultilevel"/>
    <w:tmpl w:val="C1DCD032"/>
    <w:lvl w:ilvl="0" w:tplc="BAB8B510">
      <w:start w:val="1"/>
      <w:numFmt w:val="decimal"/>
      <w:lvlText w:val="%1)"/>
      <w:lvlJc w:val="left"/>
      <w:pPr>
        <w:ind w:left="2268" w:firstLine="0"/>
      </w:pPr>
      <w:rPr>
        <w:rFonts w:hint="default"/>
      </w:rPr>
    </w:lvl>
    <w:lvl w:ilvl="1" w:tplc="04260019" w:tentative="1">
      <w:start w:val="1"/>
      <w:numFmt w:val="lowerLetter"/>
      <w:lvlText w:val="%2."/>
      <w:lvlJc w:val="left"/>
      <w:pPr>
        <w:ind w:left="3348" w:hanging="360"/>
      </w:pPr>
    </w:lvl>
    <w:lvl w:ilvl="2" w:tplc="0426001B" w:tentative="1">
      <w:start w:val="1"/>
      <w:numFmt w:val="lowerRoman"/>
      <w:lvlText w:val="%3."/>
      <w:lvlJc w:val="right"/>
      <w:pPr>
        <w:ind w:left="4068" w:hanging="180"/>
      </w:pPr>
    </w:lvl>
    <w:lvl w:ilvl="3" w:tplc="0426000F" w:tentative="1">
      <w:start w:val="1"/>
      <w:numFmt w:val="decimal"/>
      <w:lvlText w:val="%4."/>
      <w:lvlJc w:val="left"/>
      <w:pPr>
        <w:ind w:left="4788" w:hanging="360"/>
      </w:pPr>
    </w:lvl>
    <w:lvl w:ilvl="4" w:tplc="04260019" w:tentative="1">
      <w:start w:val="1"/>
      <w:numFmt w:val="lowerLetter"/>
      <w:lvlText w:val="%5."/>
      <w:lvlJc w:val="left"/>
      <w:pPr>
        <w:ind w:left="5508" w:hanging="360"/>
      </w:pPr>
    </w:lvl>
    <w:lvl w:ilvl="5" w:tplc="0426001B" w:tentative="1">
      <w:start w:val="1"/>
      <w:numFmt w:val="lowerRoman"/>
      <w:lvlText w:val="%6."/>
      <w:lvlJc w:val="right"/>
      <w:pPr>
        <w:ind w:left="6228" w:hanging="180"/>
      </w:pPr>
    </w:lvl>
    <w:lvl w:ilvl="6" w:tplc="0426000F" w:tentative="1">
      <w:start w:val="1"/>
      <w:numFmt w:val="decimal"/>
      <w:lvlText w:val="%7."/>
      <w:lvlJc w:val="left"/>
      <w:pPr>
        <w:ind w:left="6948" w:hanging="360"/>
      </w:pPr>
    </w:lvl>
    <w:lvl w:ilvl="7" w:tplc="04260019" w:tentative="1">
      <w:start w:val="1"/>
      <w:numFmt w:val="lowerLetter"/>
      <w:lvlText w:val="%8."/>
      <w:lvlJc w:val="left"/>
      <w:pPr>
        <w:ind w:left="7668" w:hanging="360"/>
      </w:pPr>
    </w:lvl>
    <w:lvl w:ilvl="8" w:tplc="0426001B" w:tentative="1">
      <w:start w:val="1"/>
      <w:numFmt w:val="lowerRoman"/>
      <w:lvlText w:val="%9."/>
      <w:lvlJc w:val="right"/>
      <w:pPr>
        <w:ind w:left="8388" w:hanging="180"/>
      </w:pPr>
    </w:lvl>
  </w:abstractNum>
  <w:abstractNum w:abstractNumId="21" w15:restartNumberingAfterBreak="0">
    <w:nsid w:val="3D6912E0"/>
    <w:multiLevelType w:val="hybridMultilevel"/>
    <w:tmpl w:val="97C60D04"/>
    <w:lvl w:ilvl="0" w:tplc="4FC6F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F1137B3"/>
    <w:multiLevelType w:val="hybridMultilevel"/>
    <w:tmpl w:val="D1C4E2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1">
    <w:nsid w:val="429043FE"/>
    <w:multiLevelType w:val="hybridMultilevel"/>
    <w:tmpl w:val="F206921C"/>
    <w:lvl w:ilvl="0" w:tplc="DD467096">
      <w:start w:val="1"/>
      <w:numFmt w:val="decimal"/>
      <w:lvlText w:val="%1."/>
      <w:lvlJc w:val="left"/>
      <w:pPr>
        <w:ind w:left="720" w:hanging="360"/>
      </w:pPr>
      <w:rPr>
        <w:rFonts w:hint="default"/>
      </w:rPr>
    </w:lvl>
    <w:lvl w:ilvl="1" w:tplc="C1AEAAE4" w:tentative="1">
      <w:start w:val="1"/>
      <w:numFmt w:val="lowerLetter"/>
      <w:lvlText w:val="%2."/>
      <w:lvlJc w:val="left"/>
      <w:pPr>
        <w:ind w:left="1440" w:hanging="360"/>
      </w:pPr>
    </w:lvl>
    <w:lvl w:ilvl="2" w:tplc="79563540" w:tentative="1">
      <w:start w:val="1"/>
      <w:numFmt w:val="lowerRoman"/>
      <w:lvlText w:val="%3."/>
      <w:lvlJc w:val="right"/>
      <w:pPr>
        <w:ind w:left="2160" w:hanging="180"/>
      </w:pPr>
    </w:lvl>
    <w:lvl w:ilvl="3" w:tplc="597C60AA" w:tentative="1">
      <w:start w:val="1"/>
      <w:numFmt w:val="decimal"/>
      <w:lvlText w:val="%4."/>
      <w:lvlJc w:val="left"/>
      <w:pPr>
        <w:ind w:left="2880" w:hanging="360"/>
      </w:pPr>
    </w:lvl>
    <w:lvl w:ilvl="4" w:tplc="CA826B7C" w:tentative="1">
      <w:start w:val="1"/>
      <w:numFmt w:val="lowerLetter"/>
      <w:lvlText w:val="%5."/>
      <w:lvlJc w:val="left"/>
      <w:pPr>
        <w:ind w:left="3600" w:hanging="360"/>
      </w:pPr>
    </w:lvl>
    <w:lvl w:ilvl="5" w:tplc="EA0AFE42" w:tentative="1">
      <w:start w:val="1"/>
      <w:numFmt w:val="lowerRoman"/>
      <w:lvlText w:val="%6."/>
      <w:lvlJc w:val="right"/>
      <w:pPr>
        <w:ind w:left="4320" w:hanging="180"/>
      </w:pPr>
    </w:lvl>
    <w:lvl w:ilvl="6" w:tplc="ECF88FFA" w:tentative="1">
      <w:start w:val="1"/>
      <w:numFmt w:val="decimal"/>
      <w:lvlText w:val="%7."/>
      <w:lvlJc w:val="left"/>
      <w:pPr>
        <w:ind w:left="5040" w:hanging="360"/>
      </w:pPr>
    </w:lvl>
    <w:lvl w:ilvl="7" w:tplc="E5A6D106" w:tentative="1">
      <w:start w:val="1"/>
      <w:numFmt w:val="lowerLetter"/>
      <w:lvlText w:val="%8."/>
      <w:lvlJc w:val="left"/>
      <w:pPr>
        <w:ind w:left="5760" w:hanging="360"/>
      </w:pPr>
    </w:lvl>
    <w:lvl w:ilvl="8" w:tplc="7D0809C8" w:tentative="1">
      <w:start w:val="1"/>
      <w:numFmt w:val="lowerRoman"/>
      <w:lvlText w:val="%9."/>
      <w:lvlJc w:val="right"/>
      <w:pPr>
        <w:ind w:left="6480" w:hanging="180"/>
      </w:pPr>
    </w:lvl>
  </w:abstractNum>
  <w:abstractNum w:abstractNumId="24" w15:restartNumberingAfterBreak="0">
    <w:nsid w:val="44802DC8"/>
    <w:multiLevelType w:val="hybridMultilevel"/>
    <w:tmpl w:val="F8380C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62C55D1"/>
    <w:multiLevelType w:val="hybridMultilevel"/>
    <w:tmpl w:val="445016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8285F54"/>
    <w:multiLevelType w:val="multilevel"/>
    <w:tmpl w:val="D7BE53D8"/>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4B930F2D"/>
    <w:multiLevelType w:val="hybridMultilevel"/>
    <w:tmpl w:val="CDD86EF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4BA83EAA"/>
    <w:multiLevelType w:val="hybridMultilevel"/>
    <w:tmpl w:val="CDD86EF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4EED22B3"/>
    <w:multiLevelType w:val="hybridMultilevel"/>
    <w:tmpl w:val="8E5274E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50982B01"/>
    <w:multiLevelType w:val="hybridMultilevel"/>
    <w:tmpl w:val="799E0262"/>
    <w:lvl w:ilvl="0" w:tplc="BFCEB6DA">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5FA4670F"/>
    <w:multiLevelType w:val="hybridMultilevel"/>
    <w:tmpl w:val="F85C6CF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5A12163"/>
    <w:multiLevelType w:val="hybridMultilevel"/>
    <w:tmpl w:val="3BB01E3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164550E"/>
    <w:multiLevelType w:val="hybridMultilevel"/>
    <w:tmpl w:val="A09CF5F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60F6DA4"/>
    <w:multiLevelType w:val="multilevel"/>
    <w:tmpl w:val="03147F88"/>
    <w:lvl w:ilvl="0">
      <w:start w:val="1"/>
      <w:numFmt w:val="decimal"/>
      <w:lvlText w:val="%1."/>
      <w:lvlJc w:val="left"/>
      <w:pPr>
        <w:ind w:left="1290" w:hanging="360"/>
      </w:pPr>
    </w:lvl>
    <w:lvl w:ilvl="1">
      <w:start w:val="5"/>
      <w:numFmt w:val="decimal"/>
      <w:isLgl/>
      <w:lvlText w:val="%1.%2."/>
      <w:lvlJc w:val="left"/>
      <w:pPr>
        <w:ind w:left="1290" w:hanging="36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1650" w:hanging="72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010" w:hanging="1080"/>
      </w:pPr>
      <w:rPr>
        <w:rFonts w:hint="default"/>
      </w:rPr>
    </w:lvl>
    <w:lvl w:ilvl="6">
      <w:start w:val="1"/>
      <w:numFmt w:val="decimal"/>
      <w:isLgl/>
      <w:lvlText w:val="%1.%2.%3.%4.%5.%6.%7."/>
      <w:lvlJc w:val="left"/>
      <w:pPr>
        <w:ind w:left="2370" w:hanging="1440"/>
      </w:pPr>
      <w:rPr>
        <w:rFonts w:hint="default"/>
      </w:rPr>
    </w:lvl>
    <w:lvl w:ilvl="7">
      <w:start w:val="1"/>
      <w:numFmt w:val="decimal"/>
      <w:isLgl/>
      <w:lvlText w:val="%1.%2.%3.%4.%5.%6.%7.%8."/>
      <w:lvlJc w:val="left"/>
      <w:pPr>
        <w:ind w:left="2370" w:hanging="1440"/>
      </w:pPr>
      <w:rPr>
        <w:rFonts w:hint="default"/>
      </w:rPr>
    </w:lvl>
    <w:lvl w:ilvl="8">
      <w:start w:val="1"/>
      <w:numFmt w:val="decimal"/>
      <w:isLgl/>
      <w:lvlText w:val="%1.%2.%3.%4.%5.%6.%7.%8.%9."/>
      <w:lvlJc w:val="left"/>
      <w:pPr>
        <w:ind w:left="2730" w:hanging="1800"/>
      </w:pPr>
      <w:rPr>
        <w:rFonts w:hint="default"/>
      </w:rPr>
    </w:lvl>
  </w:abstractNum>
  <w:abstractNum w:abstractNumId="35" w15:restartNumberingAfterBreak="0">
    <w:nsid w:val="7DC260C2"/>
    <w:multiLevelType w:val="hybridMultilevel"/>
    <w:tmpl w:val="79F29F42"/>
    <w:lvl w:ilvl="0" w:tplc="96A483B6">
      <w:start w:val="1"/>
      <w:numFmt w:val="decimal"/>
      <w:lvlText w:val="%1."/>
      <w:lvlJc w:val="left"/>
      <w:pPr>
        <w:ind w:left="930" w:hanging="360"/>
      </w:pPr>
      <w:rPr>
        <w:rFonts w:hint="default"/>
      </w:rPr>
    </w:lvl>
    <w:lvl w:ilvl="1" w:tplc="04260019" w:tentative="1">
      <w:start w:val="1"/>
      <w:numFmt w:val="lowerLetter"/>
      <w:lvlText w:val="%2."/>
      <w:lvlJc w:val="left"/>
      <w:pPr>
        <w:ind w:left="1650" w:hanging="360"/>
      </w:pPr>
    </w:lvl>
    <w:lvl w:ilvl="2" w:tplc="0426001B" w:tentative="1">
      <w:start w:val="1"/>
      <w:numFmt w:val="lowerRoman"/>
      <w:lvlText w:val="%3."/>
      <w:lvlJc w:val="right"/>
      <w:pPr>
        <w:ind w:left="2370" w:hanging="180"/>
      </w:pPr>
    </w:lvl>
    <w:lvl w:ilvl="3" w:tplc="0426000F" w:tentative="1">
      <w:start w:val="1"/>
      <w:numFmt w:val="decimal"/>
      <w:lvlText w:val="%4."/>
      <w:lvlJc w:val="left"/>
      <w:pPr>
        <w:ind w:left="3090" w:hanging="360"/>
      </w:pPr>
    </w:lvl>
    <w:lvl w:ilvl="4" w:tplc="04260019" w:tentative="1">
      <w:start w:val="1"/>
      <w:numFmt w:val="lowerLetter"/>
      <w:lvlText w:val="%5."/>
      <w:lvlJc w:val="left"/>
      <w:pPr>
        <w:ind w:left="3810" w:hanging="360"/>
      </w:pPr>
    </w:lvl>
    <w:lvl w:ilvl="5" w:tplc="0426001B" w:tentative="1">
      <w:start w:val="1"/>
      <w:numFmt w:val="lowerRoman"/>
      <w:lvlText w:val="%6."/>
      <w:lvlJc w:val="right"/>
      <w:pPr>
        <w:ind w:left="4530" w:hanging="180"/>
      </w:pPr>
    </w:lvl>
    <w:lvl w:ilvl="6" w:tplc="0426000F" w:tentative="1">
      <w:start w:val="1"/>
      <w:numFmt w:val="decimal"/>
      <w:lvlText w:val="%7."/>
      <w:lvlJc w:val="left"/>
      <w:pPr>
        <w:ind w:left="5250" w:hanging="360"/>
      </w:pPr>
    </w:lvl>
    <w:lvl w:ilvl="7" w:tplc="04260019" w:tentative="1">
      <w:start w:val="1"/>
      <w:numFmt w:val="lowerLetter"/>
      <w:lvlText w:val="%8."/>
      <w:lvlJc w:val="left"/>
      <w:pPr>
        <w:ind w:left="5970" w:hanging="360"/>
      </w:pPr>
    </w:lvl>
    <w:lvl w:ilvl="8" w:tplc="0426001B" w:tentative="1">
      <w:start w:val="1"/>
      <w:numFmt w:val="lowerRoman"/>
      <w:lvlText w:val="%9."/>
      <w:lvlJc w:val="right"/>
      <w:pPr>
        <w:ind w:left="6690" w:hanging="180"/>
      </w:pPr>
    </w:lvl>
  </w:abstractNum>
  <w:abstractNum w:abstractNumId="36" w15:restartNumberingAfterBreak="0">
    <w:nsid w:val="7DF90AD7"/>
    <w:multiLevelType w:val="hybridMultilevel"/>
    <w:tmpl w:val="1316773E"/>
    <w:lvl w:ilvl="0" w:tplc="0426000F">
      <w:start w:val="1"/>
      <w:numFmt w:val="decimal"/>
      <w:lvlText w:val="%1."/>
      <w:lvlJc w:val="left"/>
      <w:pPr>
        <w:ind w:left="360" w:hanging="360"/>
      </w:pPr>
    </w:lvl>
    <w:lvl w:ilvl="1" w:tplc="04260019" w:tentative="1">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num w:numId="1" w16cid:durableId="988636131">
    <w:abstractNumId w:val="17"/>
  </w:num>
  <w:num w:numId="2" w16cid:durableId="602344910">
    <w:abstractNumId w:val="33"/>
  </w:num>
  <w:num w:numId="3" w16cid:durableId="1125152330">
    <w:abstractNumId w:val="12"/>
  </w:num>
  <w:num w:numId="4" w16cid:durableId="492568956">
    <w:abstractNumId w:val="31"/>
  </w:num>
  <w:num w:numId="5" w16cid:durableId="6077838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9676799">
    <w:abstractNumId w:val="27"/>
  </w:num>
  <w:num w:numId="7" w16cid:durableId="341123685">
    <w:abstractNumId w:val="28"/>
  </w:num>
  <w:num w:numId="8" w16cid:durableId="1778601915">
    <w:abstractNumId w:val="34"/>
  </w:num>
  <w:num w:numId="9" w16cid:durableId="1032540388">
    <w:abstractNumId w:val="20"/>
  </w:num>
  <w:num w:numId="10" w16cid:durableId="530260454">
    <w:abstractNumId w:val="11"/>
  </w:num>
  <w:num w:numId="11" w16cid:durableId="1672760870">
    <w:abstractNumId w:val="36"/>
  </w:num>
  <w:num w:numId="12" w16cid:durableId="70347505">
    <w:abstractNumId w:val="19"/>
  </w:num>
  <w:num w:numId="13" w16cid:durableId="1634603795">
    <w:abstractNumId w:val="10"/>
  </w:num>
  <w:num w:numId="14" w16cid:durableId="1825048761">
    <w:abstractNumId w:val="15"/>
  </w:num>
  <w:num w:numId="15" w16cid:durableId="533808228">
    <w:abstractNumId w:val="35"/>
  </w:num>
  <w:num w:numId="16" w16cid:durableId="12917156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3781251">
    <w:abstractNumId w:val="16"/>
  </w:num>
  <w:num w:numId="18" w16cid:durableId="359554348">
    <w:abstractNumId w:val="25"/>
  </w:num>
  <w:num w:numId="19" w16cid:durableId="1100759032">
    <w:abstractNumId w:val="24"/>
  </w:num>
  <w:num w:numId="20" w16cid:durableId="1770084462">
    <w:abstractNumId w:val="13"/>
  </w:num>
  <w:num w:numId="21" w16cid:durableId="574555714">
    <w:abstractNumId w:val="9"/>
  </w:num>
  <w:num w:numId="22" w16cid:durableId="1815490259">
    <w:abstractNumId w:val="7"/>
  </w:num>
  <w:num w:numId="23" w16cid:durableId="1328705499">
    <w:abstractNumId w:val="6"/>
  </w:num>
  <w:num w:numId="24" w16cid:durableId="80832322">
    <w:abstractNumId w:val="5"/>
  </w:num>
  <w:num w:numId="25" w16cid:durableId="1039624149">
    <w:abstractNumId w:val="4"/>
  </w:num>
  <w:num w:numId="26" w16cid:durableId="1724325432">
    <w:abstractNumId w:val="8"/>
  </w:num>
  <w:num w:numId="27" w16cid:durableId="1617902434">
    <w:abstractNumId w:val="3"/>
  </w:num>
  <w:num w:numId="28" w16cid:durableId="879897184">
    <w:abstractNumId w:val="2"/>
  </w:num>
  <w:num w:numId="29" w16cid:durableId="1675261026">
    <w:abstractNumId w:val="1"/>
  </w:num>
  <w:num w:numId="30" w16cid:durableId="1741782697">
    <w:abstractNumId w:val="0"/>
  </w:num>
  <w:num w:numId="31" w16cid:durableId="147596203">
    <w:abstractNumId w:val="18"/>
  </w:num>
  <w:num w:numId="32" w16cid:durableId="1698699323">
    <w:abstractNumId w:val="23"/>
  </w:num>
  <w:num w:numId="33" w16cid:durableId="1091924544">
    <w:abstractNumId w:val="14"/>
  </w:num>
  <w:num w:numId="34" w16cid:durableId="1120955113">
    <w:abstractNumId w:val="21"/>
  </w:num>
  <w:num w:numId="35" w16cid:durableId="224072531">
    <w:abstractNumId w:val="32"/>
  </w:num>
  <w:num w:numId="36" w16cid:durableId="315964168">
    <w:abstractNumId w:val="22"/>
  </w:num>
  <w:num w:numId="37" w16cid:durableId="787969487">
    <w:abstractNumId w:val="30"/>
  </w:num>
  <w:num w:numId="38" w16cid:durableId="40175725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9F6"/>
    <w:rsid w:val="00001111"/>
    <w:rsid w:val="0000195F"/>
    <w:rsid w:val="0000470F"/>
    <w:rsid w:val="00006382"/>
    <w:rsid w:val="000128C5"/>
    <w:rsid w:val="00012A2D"/>
    <w:rsid w:val="00013045"/>
    <w:rsid w:val="00014379"/>
    <w:rsid w:val="00014AE7"/>
    <w:rsid w:val="00015116"/>
    <w:rsid w:val="00015A1E"/>
    <w:rsid w:val="00016BD0"/>
    <w:rsid w:val="00017D3B"/>
    <w:rsid w:val="00017DCB"/>
    <w:rsid w:val="0002236F"/>
    <w:rsid w:val="000224C1"/>
    <w:rsid w:val="0002441F"/>
    <w:rsid w:val="00024A8D"/>
    <w:rsid w:val="00026FC1"/>
    <w:rsid w:val="000308C3"/>
    <w:rsid w:val="00032769"/>
    <w:rsid w:val="000351D4"/>
    <w:rsid w:val="00035B25"/>
    <w:rsid w:val="000367F3"/>
    <w:rsid w:val="00040240"/>
    <w:rsid w:val="0004150B"/>
    <w:rsid w:val="000418DA"/>
    <w:rsid w:val="00041E13"/>
    <w:rsid w:val="00044206"/>
    <w:rsid w:val="000457C7"/>
    <w:rsid w:val="00051AF8"/>
    <w:rsid w:val="0005656D"/>
    <w:rsid w:val="00056950"/>
    <w:rsid w:val="00060486"/>
    <w:rsid w:val="00060957"/>
    <w:rsid w:val="00064617"/>
    <w:rsid w:val="00065AB2"/>
    <w:rsid w:val="000669E5"/>
    <w:rsid w:val="00070674"/>
    <w:rsid w:val="000752A4"/>
    <w:rsid w:val="000766AE"/>
    <w:rsid w:val="000809C2"/>
    <w:rsid w:val="00081B2F"/>
    <w:rsid w:val="00082F27"/>
    <w:rsid w:val="0008648C"/>
    <w:rsid w:val="00087D43"/>
    <w:rsid w:val="00094817"/>
    <w:rsid w:val="00095A09"/>
    <w:rsid w:val="000A018D"/>
    <w:rsid w:val="000A1B42"/>
    <w:rsid w:val="000A2DE2"/>
    <w:rsid w:val="000A3ED2"/>
    <w:rsid w:val="000A50D4"/>
    <w:rsid w:val="000A53D8"/>
    <w:rsid w:val="000A7E9B"/>
    <w:rsid w:val="000B0D02"/>
    <w:rsid w:val="000B255D"/>
    <w:rsid w:val="000B4800"/>
    <w:rsid w:val="000C0CFB"/>
    <w:rsid w:val="000C335B"/>
    <w:rsid w:val="000C35ED"/>
    <w:rsid w:val="000C4028"/>
    <w:rsid w:val="000C65B5"/>
    <w:rsid w:val="000D044F"/>
    <w:rsid w:val="000D0628"/>
    <w:rsid w:val="000D0A29"/>
    <w:rsid w:val="000D0F54"/>
    <w:rsid w:val="000D12AF"/>
    <w:rsid w:val="000D1413"/>
    <w:rsid w:val="000D4424"/>
    <w:rsid w:val="000D4623"/>
    <w:rsid w:val="000E135A"/>
    <w:rsid w:val="000E1922"/>
    <w:rsid w:val="000E2103"/>
    <w:rsid w:val="000E4DEE"/>
    <w:rsid w:val="000E5AF5"/>
    <w:rsid w:val="000E72F8"/>
    <w:rsid w:val="000F079B"/>
    <w:rsid w:val="000F15AD"/>
    <w:rsid w:val="000F2134"/>
    <w:rsid w:val="000F5816"/>
    <w:rsid w:val="000F6EB0"/>
    <w:rsid w:val="000F7CCC"/>
    <w:rsid w:val="00100466"/>
    <w:rsid w:val="001018FC"/>
    <w:rsid w:val="001068F1"/>
    <w:rsid w:val="00106FAD"/>
    <w:rsid w:val="00110742"/>
    <w:rsid w:val="00110A93"/>
    <w:rsid w:val="001146CC"/>
    <w:rsid w:val="001205DF"/>
    <w:rsid w:val="00121DAE"/>
    <w:rsid w:val="00122F52"/>
    <w:rsid w:val="001244B3"/>
    <w:rsid w:val="0012465D"/>
    <w:rsid w:val="00125327"/>
    <w:rsid w:val="00125637"/>
    <w:rsid w:val="001260F5"/>
    <w:rsid w:val="001261CA"/>
    <w:rsid w:val="00130467"/>
    <w:rsid w:val="00131C8A"/>
    <w:rsid w:val="001323B0"/>
    <w:rsid w:val="00133F1A"/>
    <w:rsid w:val="0013432E"/>
    <w:rsid w:val="001364B5"/>
    <w:rsid w:val="001407D3"/>
    <w:rsid w:val="00140AA6"/>
    <w:rsid w:val="00141AC0"/>
    <w:rsid w:val="0014257B"/>
    <w:rsid w:val="0014392E"/>
    <w:rsid w:val="00143EFF"/>
    <w:rsid w:val="001440EE"/>
    <w:rsid w:val="00146310"/>
    <w:rsid w:val="0015111A"/>
    <w:rsid w:val="00151CCF"/>
    <w:rsid w:val="0015644F"/>
    <w:rsid w:val="001610BA"/>
    <w:rsid w:val="001616C6"/>
    <w:rsid w:val="001626C3"/>
    <w:rsid w:val="00165EF5"/>
    <w:rsid w:val="00170389"/>
    <w:rsid w:val="00171990"/>
    <w:rsid w:val="00171B94"/>
    <w:rsid w:val="00171F21"/>
    <w:rsid w:val="001743C5"/>
    <w:rsid w:val="00177FFC"/>
    <w:rsid w:val="00181F11"/>
    <w:rsid w:val="001828B6"/>
    <w:rsid w:val="001833C6"/>
    <w:rsid w:val="00183DD5"/>
    <w:rsid w:val="00183F98"/>
    <w:rsid w:val="0018425D"/>
    <w:rsid w:val="0019024A"/>
    <w:rsid w:val="001916A1"/>
    <w:rsid w:val="00194739"/>
    <w:rsid w:val="00194D97"/>
    <w:rsid w:val="0019662C"/>
    <w:rsid w:val="001A0AD1"/>
    <w:rsid w:val="001A227A"/>
    <w:rsid w:val="001A2E40"/>
    <w:rsid w:val="001A31EC"/>
    <w:rsid w:val="001A32EC"/>
    <w:rsid w:val="001A4A9A"/>
    <w:rsid w:val="001A59CD"/>
    <w:rsid w:val="001A6C14"/>
    <w:rsid w:val="001A77E0"/>
    <w:rsid w:val="001B0354"/>
    <w:rsid w:val="001B0D8F"/>
    <w:rsid w:val="001B2B92"/>
    <w:rsid w:val="001B2F9B"/>
    <w:rsid w:val="001B7AE2"/>
    <w:rsid w:val="001C1A34"/>
    <w:rsid w:val="001C4900"/>
    <w:rsid w:val="001C55EE"/>
    <w:rsid w:val="001C64AE"/>
    <w:rsid w:val="001C6684"/>
    <w:rsid w:val="001C7F4E"/>
    <w:rsid w:val="001D1188"/>
    <w:rsid w:val="001D1DE6"/>
    <w:rsid w:val="001D2630"/>
    <w:rsid w:val="001D64D4"/>
    <w:rsid w:val="001E11C2"/>
    <w:rsid w:val="001E306C"/>
    <w:rsid w:val="001E30CF"/>
    <w:rsid w:val="001E3240"/>
    <w:rsid w:val="001E4F8A"/>
    <w:rsid w:val="001E52E0"/>
    <w:rsid w:val="001E73B5"/>
    <w:rsid w:val="001E7AA9"/>
    <w:rsid w:val="001F2282"/>
    <w:rsid w:val="001F4602"/>
    <w:rsid w:val="001F53F6"/>
    <w:rsid w:val="001F5D35"/>
    <w:rsid w:val="001F720D"/>
    <w:rsid w:val="00201A66"/>
    <w:rsid w:val="002055E8"/>
    <w:rsid w:val="00206CA5"/>
    <w:rsid w:val="00207762"/>
    <w:rsid w:val="00211786"/>
    <w:rsid w:val="002142FC"/>
    <w:rsid w:val="0022160F"/>
    <w:rsid w:val="00222279"/>
    <w:rsid w:val="002224F5"/>
    <w:rsid w:val="0022281F"/>
    <w:rsid w:val="00223A29"/>
    <w:rsid w:val="00226979"/>
    <w:rsid w:val="0023024E"/>
    <w:rsid w:val="0023063A"/>
    <w:rsid w:val="00230B22"/>
    <w:rsid w:val="0023414D"/>
    <w:rsid w:val="00234D58"/>
    <w:rsid w:val="00235704"/>
    <w:rsid w:val="00236899"/>
    <w:rsid w:val="00237088"/>
    <w:rsid w:val="00237168"/>
    <w:rsid w:val="00240B07"/>
    <w:rsid w:val="00244ECA"/>
    <w:rsid w:val="00244F5F"/>
    <w:rsid w:val="00247DCC"/>
    <w:rsid w:val="00250B3B"/>
    <w:rsid w:val="00251C83"/>
    <w:rsid w:val="002548F1"/>
    <w:rsid w:val="00256E1C"/>
    <w:rsid w:val="0025709F"/>
    <w:rsid w:val="002570BD"/>
    <w:rsid w:val="002572F0"/>
    <w:rsid w:val="00257763"/>
    <w:rsid w:val="00260DEA"/>
    <w:rsid w:val="002610D0"/>
    <w:rsid w:val="00261AD4"/>
    <w:rsid w:val="00261F3B"/>
    <w:rsid w:val="00265889"/>
    <w:rsid w:val="0027028E"/>
    <w:rsid w:val="002727F3"/>
    <w:rsid w:val="00272A12"/>
    <w:rsid w:val="002736F2"/>
    <w:rsid w:val="00273FC0"/>
    <w:rsid w:val="00280B92"/>
    <w:rsid w:val="0028130F"/>
    <w:rsid w:val="00283982"/>
    <w:rsid w:val="00287767"/>
    <w:rsid w:val="00290135"/>
    <w:rsid w:val="00291207"/>
    <w:rsid w:val="0029489B"/>
    <w:rsid w:val="002959CA"/>
    <w:rsid w:val="00296236"/>
    <w:rsid w:val="002979C2"/>
    <w:rsid w:val="002A1168"/>
    <w:rsid w:val="002A152C"/>
    <w:rsid w:val="002A2B61"/>
    <w:rsid w:val="002A2BFD"/>
    <w:rsid w:val="002A44C4"/>
    <w:rsid w:val="002B058E"/>
    <w:rsid w:val="002B0F01"/>
    <w:rsid w:val="002B2003"/>
    <w:rsid w:val="002B4537"/>
    <w:rsid w:val="002B4A7B"/>
    <w:rsid w:val="002C0F8B"/>
    <w:rsid w:val="002C2A26"/>
    <w:rsid w:val="002C34C6"/>
    <w:rsid w:val="002C359C"/>
    <w:rsid w:val="002C4CF8"/>
    <w:rsid w:val="002C59F6"/>
    <w:rsid w:val="002C6452"/>
    <w:rsid w:val="002C6CB9"/>
    <w:rsid w:val="002C75A6"/>
    <w:rsid w:val="002D58A0"/>
    <w:rsid w:val="002D5BDA"/>
    <w:rsid w:val="002D6CB2"/>
    <w:rsid w:val="002E0631"/>
    <w:rsid w:val="002E0BEE"/>
    <w:rsid w:val="002E222E"/>
    <w:rsid w:val="002E2661"/>
    <w:rsid w:val="002E3C74"/>
    <w:rsid w:val="002E3D46"/>
    <w:rsid w:val="002E51A0"/>
    <w:rsid w:val="002E51DA"/>
    <w:rsid w:val="002F0873"/>
    <w:rsid w:val="002F3D3B"/>
    <w:rsid w:val="002F461C"/>
    <w:rsid w:val="002F46CA"/>
    <w:rsid w:val="002F578F"/>
    <w:rsid w:val="003015D3"/>
    <w:rsid w:val="00302BEE"/>
    <w:rsid w:val="00303E3B"/>
    <w:rsid w:val="0031708F"/>
    <w:rsid w:val="003172A0"/>
    <w:rsid w:val="0032049C"/>
    <w:rsid w:val="00320C2E"/>
    <w:rsid w:val="00320C73"/>
    <w:rsid w:val="0032631B"/>
    <w:rsid w:val="003306B0"/>
    <w:rsid w:val="00331A93"/>
    <w:rsid w:val="00336530"/>
    <w:rsid w:val="00341F3D"/>
    <w:rsid w:val="00342DC4"/>
    <w:rsid w:val="00343AD9"/>
    <w:rsid w:val="003441B8"/>
    <w:rsid w:val="003502C4"/>
    <w:rsid w:val="00352A9D"/>
    <w:rsid w:val="00352BC2"/>
    <w:rsid w:val="00352F22"/>
    <w:rsid w:val="0035303E"/>
    <w:rsid w:val="0035407C"/>
    <w:rsid w:val="003545C3"/>
    <w:rsid w:val="0035796F"/>
    <w:rsid w:val="0036022E"/>
    <w:rsid w:val="00364D05"/>
    <w:rsid w:val="003656D7"/>
    <w:rsid w:val="003673BE"/>
    <w:rsid w:val="00367898"/>
    <w:rsid w:val="00371EED"/>
    <w:rsid w:val="00372F49"/>
    <w:rsid w:val="0037309C"/>
    <w:rsid w:val="003730F2"/>
    <w:rsid w:val="003741E7"/>
    <w:rsid w:val="00375EC9"/>
    <w:rsid w:val="00380B50"/>
    <w:rsid w:val="00382E89"/>
    <w:rsid w:val="00383F12"/>
    <w:rsid w:val="003850F1"/>
    <w:rsid w:val="00386B58"/>
    <w:rsid w:val="00390100"/>
    <w:rsid w:val="00391815"/>
    <w:rsid w:val="0039384C"/>
    <w:rsid w:val="00394783"/>
    <w:rsid w:val="00396958"/>
    <w:rsid w:val="003A04E4"/>
    <w:rsid w:val="003A41E0"/>
    <w:rsid w:val="003A5DDA"/>
    <w:rsid w:val="003A6462"/>
    <w:rsid w:val="003A740B"/>
    <w:rsid w:val="003B0ACC"/>
    <w:rsid w:val="003B5A2D"/>
    <w:rsid w:val="003B63E9"/>
    <w:rsid w:val="003C05DB"/>
    <w:rsid w:val="003C1C9E"/>
    <w:rsid w:val="003C3004"/>
    <w:rsid w:val="003C3159"/>
    <w:rsid w:val="003C6BB2"/>
    <w:rsid w:val="003D44E0"/>
    <w:rsid w:val="003D4A57"/>
    <w:rsid w:val="003D5C5A"/>
    <w:rsid w:val="003E158E"/>
    <w:rsid w:val="003E18DC"/>
    <w:rsid w:val="003E1AD3"/>
    <w:rsid w:val="003E1C39"/>
    <w:rsid w:val="003E2187"/>
    <w:rsid w:val="003E3707"/>
    <w:rsid w:val="003E561B"/>
    <w:rsid w:val="003F005E"/>
    <w:rsid w:val="003F059F"/>
    <w:rsid w:val="003F2454"/>
    <w:rsid w:val="003F4DFA"/>
    <w:rsid w:val="003F7020"/>
    <w:rsid w:val="003F7C8C"/>
    <w:rsid w:val="00401E3E"/>
    <w:rsid w:val="00411462"/>
    <w:rsid w:val="0041313F"/>
    <w:rsid w:val="004142CB"/>
    <w:rsid w:val="00414A46"/>
    <w:rsid w:val="00416602"/>
    <w:rsid w:val="00416E9A"/>
    <w:rsid w:val="00423B14"/>
    <w:rsid w:val="00425D6B"/>
    <w:rsid w:val="004274BE"/>
    <w:rsid w:val="00431B93"/>
    <w:rsid w:val="00432028"/>
    <w:rsid w:val="0043572A"/>
    <w:rsid w:val="00435D8D"/>
    <w:rsid w:val="00437C4B"/>
    <w:rsid w:val="00437FD1"/>
    <w:rsid w:val="00440560"/>
    <w:rsid w:val="004415EA"/>
    <w:rsid w:val="004445C9"/>
    <w:rsid w:val="0044482C"/>
    <w:rsid w:val="00445B81"/>
    <w:rsid w:val="004512AE"/>
    <w:rsid w:val="00453606"/>
    <w:rsid w:val="00455A81"/>
    <w:rsid w:val="00455FC7"/>
    <w:rsid w:val="00456122"/>
    <w:rsid w:val="0045631B"/>
    <w:rsid w:val="00456FD4"/>
    <w:rsid w:val="00457DC5"/>
    <w:rsid w:val="00461A9D"/>
    <w:rsid w:val="00462658"/>
    <w:rsid w:val="00464E0A"/>
    <w:rsid w:val="00467CDA"/>
    <w:rsid w:val="0047066D"/>
    <w:rsid w:val="00473745"/>
    <w:rsid w:val="00477C5E"/>
    <w:rsid w:val="0048153B"/>
    <w:rsid w:val="004836F8"/>
    <w:rsid w:val="0048426E"/>
    <w:rsid w:val="00485335"/>
    <w:rsid w:val="00486BDE"/>
    <w:rsid w:val="00490CFA"/>
    <w:rsid w:val="00491B7B"/>
    <w:rsid w:val="004934FB"/>
    <w:rsid w:val="0049397C"/>
    <w:rsid w:val="00493C7A"/>
    <w:rsid w:val="0049732C"/>
    <w:rsid w:val="004A0663"/>
    <w:rsid w:val="004A4D42"/>
    <w:rsid w:val="004A6BD5"/>
    <w:rsid w:val="004B0589"/>
    <w:rsid w:val="004B42D1"/>
    <w:rsid w:val="004B4EA3"/>
    <w:rsid w:val="004B580F"/>
    <w:rsid w:val="004C150D"/>
    <w:rsid w:val="004C27AF"/>
    <w:rsid w:val="004C5017"/>
    <w:rsid w:val="004C7AC1"/>
    <w:rsid w:val="004D08E5"/>
    <w:rsid w:val="004D1F38"/>
    <w:rsid w:val="004E2A5F"/>
    <w:rsid w:val="004E6BFB"/>
    <w:rsid w:val="004F0E7F"/>
    <w:rsid w:val="004F3D2C"/>
    <w:rsid w:val="004F3DCC"/>
    <w:rsid w:val="004F4586"/>
    <w:rsid w:val="00505306"/>
    <w:rsid w:val="005103C7"/>
    <w:rsid w:val="00510478"/>
    <w:rsid w:val="00511C7D"/>
    <w:rsid w:val="0051681A"/>
    <w:rsid w:val="00516F11"/>
    <w:rsid w:val="0052001C"/>
    <w:rsid w:val="00520C24"/>
    <w:rsid w:val="005233F7"/>
    <w:rsid w:val="00523B1F"/>
    <w:rsid w:val="00523DF7"/>
    <w:rsid w:val="0052408C"/>
    <w:rsid w:val="0052651D"/>
    <w:rsid w:val="0052655C"/>
    <w:rsid w:val="00533439"/>
    <w:rsid w:val="00535092"/>
    <w:rsid w:val="00535AA6"/>
    <w:rsid w:val="00535E8D"/>
    <w:rsid w:val="00537B7C"/>
    <w:rsid w:val="00537D45"/>
    <w:rsid w:val="00537D58"/>
    <w:rsid w:val="00544012"/>
    <w:rsid w:val="00550160"/>
    <w:rsid w:val="00551F4A"/>
    <w:rsid w:val="00552338"/>
    <w:rsid w:val="00552454"/>
    <w:rsid w:val="00553563"/>
    <w:rsid w:val="005552A5"/>
    <w:rsid w:val="00556039"/>
    <w:rsid w:val="00562E9D"/>
    <w:rsid w:val="005640B9"/>
    <w:rsid w:val="00564E67"/>
    <w:rsid w:val="005665D5"/>
    <w:rsid w:val="005673DA"/>
    <w:rsid w:val="00570FF7"/>
    <w:rsid w:val="00573C31"/>
    <w:rsid w:val="00574873"/>
    <w:rsid w:val="005776C5"/>
    <w:rsid w:val="005844EE"/>
    <w:rsid w:val="00584503"/>
    <w:rsid w:val="0058470E"/>
    <w:rsid w:val="005856C6"/>
    <w:rsid w:val="00585B0D"/>
    <w:rsid w:val="00587D64"/>
    <w:rsid w:val="00592B4E"/>
    <w:rsid w:val="00592C72"/>
    <w:rsid w:val="00593453"/>
    <w:rsid w:val="0059359D"/>
    <w:rsid w:val="00593EB2"/>
    <w:rsid w:val="00594DD4"/>
    <w:rsid w:val="00594FD1"/>
    <w:rsid w:val="00595DA4"/>
    <w:rsid w:val="00595FEB"/>
    <w:rsid w:val="005962AB"/>
    <w:rsid w:val="005964A5"/>
    <w:rsid w:val="005A3535"/>
    <w:rsid w:val="005A58A0"/>
    <w:rsid w:val="005A708D"/>
    <w:rsid w:val="005A78DC"/>
    <w:rsid w:val="005B0033"/>
    <w:rsid w:val="005B08BF"/>
    <w:rsid w:val="005B35C3"/>
    <w:rsid w:val="005B6456"/>
    <w:rsid w:val="005B6743"/>
    <w:rsid w:val="005C0C6F"/>
    <w:rsid w:val="005C0F74"/>
    <w:rsid w:val="005C363B"/>
    <w:rsid w:val="005C54B4"/>
    <w:rsid w:val="005C5D3F"/>
    <w:rsid w:val="005D026B"/>
    <w:rsid w:val="005D1CA1"/>
    <w:rsid w:val="005D49B0"/>
    <w:rsid w:val="005D522B"/>
    <w:rsid w:val="005D534D"/>
    <w:rsid w:val="005D5AA3"/>
    <w:rsid w:val="005E010D"/>
    <w:rsid w:val="005E37EF"/>
    <w:rsid w:val="005E3B0B"/>
    <w:rsid w:val="005E3F6C"/>
    <w:rsid w:val="005E5355"/>
    <w:rsid w:val="005E7999"/>
    <w:rsid w:val="005E7C16"/>
    <w:rsid w:val="005F168D"/>
    <w:rsid w:val="005F290D"/>
    <w:rsid w:val="005F384B"/>
    <w:rsid w:val="005F7061"/>
    <w:rsid w:val="005F7AB8"/>
    <w:rsid w:val="006047BE"/>
    <w:rsid w:val="00607891"/>
    <w:rsid w:val="00607D83"/>
    <w:rsid w:val="00613144"/>
    <w:rsid w:val="00613353"/>
    <w:rsid w:val="0061466E"/>
    <w:rsid w:val="00617504"/>
    <w:rsid w:val="00621071"/>
    <w:rsid w:val="00621617"/>
    <w:rsid w:val="0062382D"/>
    <w:rsid w:val="006239A9"/>
    <w:rsid w:val="00624E44"/>
    <w:rsid w:val="0063012C"/>
    <w:rsid w:val="00630574"/>
    <w:rsid w:val="00630A4A"/>
    <w:rsid w:val="0063125C"/>
    <w:rsid w:val="00632724"/>
    <w:rsid w:val="00634B4E"/>
    <w:rsid w:val="00635285"/>
    <w:rsid w:val="00637018"/>
    <w:rsid w:val="00640B2F"/>
    <w:rsid w:val="0064102B"/>
    <w:rsid w:val="006424D4"/>
    <w:rsid w:val="00645137"/>
    <w:rsid w:val="006468B0"/>
    <w:rsid w:val="00647000"/>
    <w:rsid w:val="0064768B"/>
    <w:rsid w:val="00647CFA"/>
    <w:rsid w:val="00650FD5"/>
    <w:rsid w:val="006516AA"/>
    <w:rsid w:val="00652157"/>
    <w:rsid w:val="00656A24"/>
    <w:rsid w:val="00657009"/>
    <w:rsid w:val="00660A87"/>
    <w:rsid w:val="00660FDC"/>
    <w:rsid w:val="006618E5"/>
    <w:rsid w:val="00665112"/>
    <w:rsid w:val="00665F74"/>
    <w:rsid w:val="0066641B"/>
    <w:rsid w:val="006718F6"/>
    <w:rsid w:val="0067324C"/>
    <w:rsid w:val="00674C2F"/>
    <w:rsid w:val="00677EA1"/>
    <w:rsid w:val="00680000"/>
    <w:rsid w:val="00681EDD"/>
    <w:rsid w:val="0068203A"/>
    <w:rsid w:val="006828F3"/>
    <w:rsid w:val="006838A2"/>
    <w:rsid w:val="00684222"/>
    <w:rsid w:val="0068490E"/>
    <w:rsid w:val="006849BC"/>
    <w:rsid w:val="00685545"/>
    <w:rsid w:val="00685864"/>
    <w:rsid w:val="00687F8D"/>
    <w:rsid w:val="00690E7F"/>
    <w:rsid w:val="006921D6"/>
    <w:rsid w:val="006A00E6"/>
    <w:rsid w:val="006A19D3"/>
    <w:rsid w:val="006A3EE5"/>
    <w:rsid w:val="006A4493"/>
    <w:rsid w:val="006A66A6"/>
    <w:rsid w:val="006A74B1"/>
    <w:rsid w:val="006A77C4"/>
    <w:rsid w:val="006A78E6"/>
    <w:rsid w:val="006A7DFB"/>
    <w:rsid w:val="006B2ACC"/>
    <w:rsid w:val="006B32E9"/>
    <w:rsid w:val="006B39ED"/>
    <w:rsid w:val="006B3CCC"/>
    <w:rsid w:val="006B6927"/>
    <w:rsid w:val="006C04A0"/>
    <w:rsid w:val="006C0C0F"/>
    <w:rsid w:val="006C13AB"/>
    <w:rsid w:val="006C16CD"/>
    <w:rsid w:val="006C418E"/>
    <w:rsid w:val="006C5F6A"/>
    <w:rsid w:val="006C762B"/>
    <w:rsid w:val="006D0162"/>
    <w:rsid w:val="006D0B5E"/>
    <w:rsid w:val="006D1F4D"/>
    <w:rsid w:val="006D5DA4"/>
    <w:rsid w:val="006E1C75"/>
    <w:rsid w:val="006E251D"/>
    <w:rsid w:val="006E2F20"/>
    <w:rsid w:val="006E3A1B"/>
    <w:rsid w:val="006E4248"/>
    <w:rsid w:val="006E5530"/>
    <w:rsid w:val="006E55CA"/>
    <w:rsid w:val="006E596C"/>
    <w:rsid w:val="006F0985"/>
    <w:rsid w:val="006F1FEF"/>
    <w:rsid w:val="006F2E8F"/>
    <w:rsid w:val="006F4DD6"/>
    <w:rsid w:val="006F67DA"/>
    <w:rsid w:val="0070060B"/>
    <w:rsid w:val="00702E21"/>
    <w:rsid w:val="0070469C"/>
    <w:rsid w:val="007052E7"/>
    <w:rsid w:val="00705D61"/>
    <w:rsid w:val="00706342"/>
    <w:rsid w:val="007104AF"/>
    <w:rsid w:val="00712062"/>
    <w:rsid w:val="00712712"/>
    <w:rsid w:val="00712862"/>
    <w:rsid w:val="0071363C"/>
    <w:rsid w:val="00713A23"/>
    <w:rsid w:val="00713F64"/>
    <w:rsid w:val="00714E13"/>
    <w:rsid w:val="00716210"/>
    <w:rsid w:val="007163F6"/>
    <w:rsid w:val="007164EE"/>
    <w:rsid w:val="00716BA8"/>
    <w:rsid w:val="007205EB"/>
    <w:rsid w:val="00721FFD"/>
    <w:rsid w:val="00722395"/>
    <w:rsid w:val="00723E29"/>
    <w:rsid w:val="007242EC"/>
    <w:rsid w:val="007243DB"/>
    <w:rsid w:val="00725038"/>
    <w:rsid w:val="00725413"/>
    <w:rsid w:val="0072793A"/>
    <w:rsid w:val="00727D3D"/>
    <w:rsid w:val="00734369"/>
    <w:rsid w:val="007346DD"/>
    <w:rsid w:val="00734F77"/>
    <w:rsid w:val="007376E8"/>
    <w:rsid w:val="00737FCE"/>
    <w:rsid w:val="00740A91"/>
    <w:rsid w:val="007413B6"/>
    <w:rsid w:val="00743DF0"/>
    <w:rsid w:val="00746684"/>
    <w:rsid w:val="00746930"/>
    <w:rsid w:val="007477AB"/>
    <w:rsid w:val="00755752"/>
    <w:rsid w:val="0076015F"/>
    <w:rsid w:val="00761B2A"/>
    <w:rsid w:val="007635CA"/>
    <w:rsid w:val="00763650"/>
    <w:rsid w:val="00765395"/>
    <w:rsid w:val="00771C2A"/>
    <w:rsid w:val="00772DC0"/>
    <w:rsid w:val="00775080"/>
    <w:rsid w:val="00775B5F"/>
    <w:rsid w:val="00775E49"/>
    <w:rsid w:val="00777379"/>
    <w:rsid w:val="007829B0"/>
    <w:rsid w:val="00783DE6"/>
    <w:rsid w:val="007862A8"/>
    <w:rsid w:val="00787BC4"/>
    <w:rsid w:val="00787F99"/>
    <w:rsid w:val="00790A83"/>
    <w:rsid w:val="00792849"/>
    <w:rsid w:val="0079422F"/>
    <w:rsid w:val="007951E6"/>
    <w:rsid w:val="00796F11"/>
    <w:rsid w:val="0079745B"/>
    <w:rsid w:val="0079753C"/>
    <w:rsid w:val="007A1A0C"/>
    <w:rsid w:val="007A4DD2"/>
    <w:rsid w:val="007A5C6B"/>
    <w:rsid w:val="007A71B5"/>
    <w:rsid w:val="007A78AA"/>
    <w:rsid w:val="007B04D6"/>
    <w:rsid w:val="007B48CA"/>
    <w:rsid w:val="007B7CB3"/>
    <w:rsid w:val="007B7F5F"/>
    <w:rsid w:val="007C3F14"/>
    <w:rsid w:val="007C4BED"/>
    <w:rsid w:val="007C51B6"/>
    <w:rsid w:val="007C57F1"/>
    <w:rsid w:val="007C5910"/>
    <w:rsid w:val="007C67B6"/>
    <w:rsid w:val="007C7D5B"/>
    <w:rsid w:val="007D035B"/>
    <w:rsid w:val="007D5CB3"/>
    <w:rsid w:val="007E3242"/>
    <w:rsid w:val="007E3EF5"/>
    <w:rsid w:val="007E4A2E"/>
    <w:rsid w:val="007E67EB"/>
    <w:rsid w:val="007E6A46"/>
    <w:rsid w:val="007F2218"/>
    <w:rsid w:val="007F3240"/>
    <w:rsid w:val="007F38A0"/>
    <w:rsid w:val="007F7C2E"/>
    <w:rsid w:val="00800733"/>
    <w:rsid w:val="00801263"/>
    <w:rsid w:val="0080145B"/>
    <w:rsid w:val="008016C3"/>
    <w:rsid w:val="00801D9E"/>
    <w:rsid w:val="00801DFA"/>
    <w:rsid w:val="00804193"/>
    <w:rsid w:val="00806EF2"/>
    <w:rsid w:val="00807612"/>
    <w:rsid w:val="008078B3"/>
    <w:rsid w:val="00810069"/>
    <w:rsid w:val="008106C6"/>
    <w:rsid w:val="0081170B"/>
    <w:rsid w:val="0081259F"/>
    <w:rsid w:val="00813564"/>
    <w:rsid w:val="00813688"/>
    <w:rsid w:val="00813AC1"/>
    <w:rsid w:val="00814CEA"/>
    <w:rsid w:val="008175EA"/>
    <w:rsid w:val="00826668"/>
    <w:rsid w:val="0082739D"/>
    <w:rsid w:val="00830277"/>
    <w:rsid w:val="00830439"/>
    <w:rsid w:val="00830B90"/>
    <w:rsid w:val="00831E36"/>
    <w:rsid w:val="008328DD"/>
    <w:rsid w:val="008329E4"/>
    <w:rsid w:val="00832F49"/>
    <w:rsid w:val="008341A3"/>
    <w:rsid w:val="00836CF1"/>
    <w:rsid w:val="00843A52"/>
    <w:rsid w:val="008455A7"/>
    <w:rsid w:val="00846791"/>
    <w:rsid w:val="00852CFF"/>
    <w:rsid w:val="00853A16"/>
    <w:rsid w:val="00856633"/>
    <w:rsid w:val="00856E4F"/>
    <w:rsid w:val="00862291"/>
    <w:rsid w:val="0086370A"/>
    <w:rsid w:val="00863B3C"/>
    <w:rsid w:val="00864134"/>
    <w:rsid w:val="0086616D"/>
    <w:rsid w:val="00867234"/>
    <w:rsid w:val="008701E2"/>
    <w:rsid w:val="008708E6"/>
    <w:rsid w:val="008718C3"/>
    <w:rsid w:val="00875829"/>
    <w:rsid w:val="00876446"/>
    <w:rsid w:val="00876C52"/>
    <w:rsid w:val="00877C5A"/>
    <w:rsid w:val="00880036"/>
    <w:rsid w:val="008806D4"/>
    <w:rsid w:val="00880ED1"/>
    <w:rsid w:val="00882A49"/>
    <w:rsid w:val="00882ED8"/>
    <w:rsid w:val="00886A20"/>
    <w:rsid w:val="00886A26"/>
    <w:rsid w:val="00886C60"/>
    <w:rsid w:val="00887F69"/>
    <w:rsid w:val="00890316"/>
    <w:rsid w:val="00891A6D"/>
    <w:rsid w:val="00891AB7"/>
    <w:rsid w:val="008928C8"/>
    <w:rsid w:val="008936D4"/>
    <w:rsid w:val="00894ABB"/>
    <w:rsid w:val="008954CF"/>
    <w:rsid w:val="00897184"/>
    <w:rsid w:val="00897CC5"/>
    <w:rsid w:val="008A038D"/>
    <w:rsid w:val="008A075C"/>
    <w:rsid w:val="008A14E1"/>
    <w:rsid w:val="008A4DE6"/>
    <w:rsid w:val="008A56A1"/>
    <w:rsid w:val="008B3107"/>
    <w:rsid w:val="008B53F4"/>
    <w:rsid w:val="008B573D"/>
    <w:rsid w:val="008B64DA"/>
    <w:rsid w:val="008C09A4"/>
    <w:rsid w:val="008C51D3"/>
    <w:rsid w:val="008C6B4D"/>
    <w:rsid w:val="008C7D89"/>
    <w:rsid w:val="008D7627"/>
    <w:rsid w:val="008E0FEF"/>
    <w:rsid w:val="008E279D"/>
    <w:rsid w:val="008E56D0"/>
    <w:rsid w:val="008E5D7E"/>
    <w:rsid w:val="008F194F"/>
    <w:rsid w:val="008F2539"/>
    <w:rsid w:val="008F7B5F"/>
    <w:rsid w:val="009001BE"/>
    <w:rsid w:val="009010FB"/>
    <w:rsid w:val="00904732"/>
    <w:rsid w:val="00904DC2"/>
    <w:rsid w:val="009066FC"/>
    <w:rsid w:val="009079FF"/>
    <w:rsid w:val="00913EF5"/>
    <w:rsid w:val="0091424E"/>
    <w:rsid w:val="0091564F"/>
    <w:rsid w:val="00916321"/>
    <w:rsid w:val="00916744"/>
    <w:rsid w:val="009217DE"/>
    <w:rsid w:val="00922265"/>
    <w:rsid w:val="00924FEE"/>
    <w:rsid w:val="00930269"/>
    <w:rsid w:val="0093744E"/>
    <w:rsid w:val="00943EE0"/>
    <w:rsid w:val="00944A5F"/>
    <w:rsid w:val="00944FF0"/>
    <w:rsid w:val="00945DFB"/>
    <w:rsid w:val="00946741"/>
    <w:rsid w:val="00947337"/>
    <w:rsid w:val="00947675"/>
    <w:rsid w:val="00953824"/>
    <w:rsid w:val="00955C50"/>
    <w:rsid w:val="0095671B"/>
    <w:rsid w:val="0095774F"/>
    <w:rsid w:val="009623D8"/>
    <w:rsid w:val="00962D74"/>
    <w:rsid w:val="00962F9D"/>
    <w:rsid w:val="00963D61"/>
    <w:rsid w:val="00964D20"/>
    <w:rsid w:val="00966E90"/>
    <w:rsid w:val="009711F7"/>
    <w:rsid w:val="00973DF0"/>
    <w:rsid w:val="00974906"/>
    <w:rsid w:val="00981D5F"/>
    <w:rsid w:val="00981F1D"/>
    <w:rsid w:val="00983442"/>
    <w:rsid w:val="00984195"/>
    <w:rsid w:val="00991073"/>
    <w:rsid w:val="009A4434"/>
    <w:rsid w:val="009A5762"/>
    <w:rsid w:val="009A5C33"/>
    <w:rsid w:val="009A66DD"/>
    <w:rsid w:val="009B15B6"/>
    <w:rsid w:val="009B2A1C"/>
    <w:rsid w:val="009B3574"/>
    <w:rsid w:val="009B6279"/>
    <w:rsid w:val="009B6A2F"/>
    <w:rsid w:val="009C21DC"/>
    <w:rsid w:val="009C2F57"/>
    <w:rsid w:val="009C359A"/>
    <w:rsid w:val="009C43AB"/>
    <w:rsid w:val="009C516C"/>
    <w:rsid w:val="009C5816"/>
    <w:rsid w:val="009C5DAB"/>
    <w:rsid w:val="009C733F"/>
    <w:rsid w:val="009D266F"/>
    <w:rsid w:val="009D4A1B"/>
    <w:rsid w:val="009D70E5"/>
    <w:rsid w:val="009E0422"/>
    <w:rsid w:val="009E0521"/>
    <w:rsid w:val="009E054A"/>
    <w:rsid w:val="009E3B35"/>
    <w:rsid w:val="009E6A7F"/>
    <w:rsid w:val="009E6A8A"/>
    <w:rsid w:val="009E7C60"/>
    <w:rsid w:val="009F081C"/>
    <w:rsid w:val="009F084B"/>
    <w:rsid w:val="009F1144"/>
    <w:rsid w:val="009F1C0A"/>
    <w:rsid w:val="009F7E9E"/>
    <w:rsid w:val="009F7F9A"/>
    <w:rsid w:val="00A01723"/>
    <w:rsid w:val="00A04007"/>
    <w:rsid w:val="00A0661B"/>
    <w:rsid w:val="00A104FB"/>
    <w:rsid w:val="00A11A3E"/>
    <w:rsid w:val="00A11C6F"/>
    <w:rsid w:val="00A14087"/>
    <w:rsid w:val="00A1693E"/>
    <w:rsid w:val="00A1760D"/>
    <w:rsid w:val="00A17A0B"/>
    <w:rsid w:val="00A248F9"/>
    <w:rsid w:val="00A26974"/>
    <w:rsid w:val="00A30E9A"/>
    <w:rsid w:val="00A31249"/>
    <w:rsid w:val="00A3127C"/>
    <w:rsid w:val="00A314F1"/>
    <w:rsid w:val="00A3181C"/>
    <w:rsid w:val="00A327FD"/>
    <w:rsid w:val="00A3370A"/>
    <w:rsid w:val="00A34F89"/>
    <w:rsid w:val="00A37826"/>
    <w:rsid w:val="00A41242"/>
    <w:rsid w:val="00A414C8"/>
    <w:rsid w:val="00A43B59"/>
    <w:rsid w:val="00A454F9"/>
    <w:rsid w:val="00A45A7B"/>
    <w:rsid w:val="00A5127B"/>
    <w:rsid w:val="00A53B1D"/>
    <w:rsid w:val="00A544C4"/>
    <w:rsid w:val="00A5566C"/>
    <w:rsid w:val="00A5577D"/>
    <w:rsid w:val="00A564EB"/>
    <w:rsid w:val="00A56C5F"/>
    <w:rsid w:val="00A57026"/>
    <w:rsid w:val="00A5738D"/>
    <w:rsid w:val="00A6094E"/>
    <w:rsid w:val="00A60DE5"/>
    <w:rsid w:val="00A648EB"/>
    <w:rsid w:val="00A65564"/>
    <w:rsid w:val="00A669EA"/>
    <w:rsid w:val="00A72263"/>
    <w:rsid w:val="00A76534"/>
    <w:rsid w:val="00A83700"/>
    <w:rsid w:val="00A83BFB"/>
    <w:rsid w:val="00A84CCC"/>
    <w:rsid w:val="00A860E5"/>
    <w:rsid w:val="00A9525B"/>
    <w:rsid w:val="00A9695B"/>
    <w:rsid w:val="00A96ED1"/>
    <w:rsid w:val="00AA352E"/>
    <w:rsid w:val="00AA365C"/>
    <w:rsid w:val="00AA5C54"/>
    <w:rsid w:val="00AA769D"/>
    <w:rsid w:val="00AB0618"/>
    <w:rsid w:val="00AB1164"/>
    <w:rsid w:val="00AB1E74"/>
    <w:rsid w:val="00AB4560"/>
    <w:rsid w:val="00AB53E1"/>
    <w:rsid w:val="00AB5701"/>
    <w:rsid w:val="00AB60AF"/>
    <w:rsid w:val="00AB62C1"/>
    <w:rsid w:val="00AC1E72"/>
    <w:rsid w:val="00AC5F3F"/>
    <w:rsid w:val="00AC7DD8"/>
    <w:rsid w:val="00AD0001"/>
    <w:rsid w:val="00AD2414"/>
    <w:rsid w:val="00AD5E4D"/>
    <w:rsid w:val="00AD7434"/>
    <w:rsid w:val="00AE142F"/>
    <w:rsid w:val="00AE147F"/>
    <w:rsid w:val="00AE287E"/>
    <w:rsid w:val="00AE2F02"/>
    <w:rsid w:val="00AF023E"/>
    <w:rsid w:val="00AF336F"/>
    <w:rsid w:val="00AF6296"/>
    <w:rsid w:val="00AF72CC"/>
    <w:rsid w:val="00B00190"/>
    <w:rsid w:val="00B0384F"/>
    <w:rsid w:val="00B10C20"/>
    <w:rsid w:val="00B10CBD"/>
    <w:rsid w:val="00B111C4"/>
    <w:rsid w:val="00B12351"/>
    <w:rsid w:val="00B1598B"/>
    <w:rsid w:val="00B1614A"/>
    <w:rsid w:val="00B20C51"/>
    <w:rsid w:val="00B213DE"/>
    <w:rsid w:val="00B21B85"/>
    <w:rsid w:val="00B22013"/>
    <w:rsid w:val="00B22345"/>
    <w:rsid w:val="00B250CB"/>
    <w:rsid w:val="00B257E7"/>
    <w:rsid w:val="00B262C2"/>
    <w:rsid w:val="00B263C7"/>
    <w:rsid w:val="00B27AE4"/>
    <w:rsid w:val="00B30638"/>
    <w:rsid w:val="00B30D35"/>
    <w:rsid w:val="00B314D1"/>
    <w:rsid w:val="00B345D2"/>
    <w:rsid w:val="00B3555D"/>
    <w:rsid w:val="00B355D0"/>
    <w:rsid w:val="00B35BF0"/>
    <w:rsid w:val="00B42713"/>
    <w:rsid w:val="00B4328A"/>
    <w:rsid w:val="00B45DDC"/>
    <w:rsid w:val="00B52591"/>
    <w:rsid w:val="00B52AA8"/>
    <w:rsid w:val="00B551CD"/>
    <w:rsid w:val="00B55384"/>
    <w:rsid w:val="00B55885"/>
    <w:rsid w:val="00B57DE6"/>
    <w:rsid w:val="00B60D94"/>
    <w:rsid w:val="00B61C7B"/>
    <w:rsid w:val="00B64E83"/>
    <w:rsid w:val="00B71F5A"/>
    <w:rsid w:val="00B72CFA"/>
    <w:rsid w:val="00B7316A"/>
    <w:rsid w:val="00B74742"/>
    <w:rsid w:val="00B75FDD"/>
    <w:rsid w:val="00B77504"/>
    <w:rsid w:val="00B77FA3"/>
    <w:rsid w:val="00B81301"/>
    <w:rsid w:val="00B82A44"/>
    <w:rsid w:val="00B84380"/>
    <w:rsid w:val="00B85A59"/>
    <w:rsid w:val="00B86015"/>
    <w:rsid w:val="00B86E81"/>
    <w:rsid w:val="00B86EF5"/>
    <w:rsid w:val="00B87A48"/>
    <w:rsid w:val="00B87ADF"/>
    <w:rsid w:val="00B90222"/>
    <w:rsid w:val="00B90453"/>
    <w:rsid w:val="00B917CA"/>
    <w:rsid w:val="00B9384C"/>
    <w:rsid w:val="00B939BF"/>
    <w:rsid w:val="00B94C3C"/>
    <w:rsid w:val="00B94CB4"/>
    <w:rsid w:val="00B954D7"/>
    <w:rsid w:val="00B970D4"/>
    <w:rsid w:val="00B97547"/>
    <w:rsid w:val="00B97FFE"/>
    <w:rsid w:val="00BA0708"/>
    <w:rsid w:val="00BA0780"/>
    <w:rsid w:val="00BA18FA"/>
    <w:rsid w:val="00BA1A6C"/>
    <w:rsid w:val="00BA2BA6"/>
    <w:rsid w:val="00BA6E6C"/>
    <w:rsid w:val="00BA7554"/>
    <w:rsid w:val="00BA7F33"/>
    <w:rsid w:val="00BB13D8"/>
    <w:rsid w:val="00BB59DC"/>
    <w:rsid w:val="00BC38EB"/>
    <w:rsid w:val="00BC4378"/>
    <w:rsid w:val="00BC7C30"/>
    <w:rsid w:val="00BD1150"/>
    <w:rsid w:val="00BD1D22"/>
    <w:rsid w:val="00BD25DE"/>
    <w:rsid w:val="00BD3365"/>
    <w:rsid w:val="00BD4B3E"/>
    <w:rsid w:val="00BD538A"/>
    <w:rsid w:val="00BD56C9"/>
    <w:rsid w:val="00BD612B"/>
    <w:rsid w:val="00BD7162"/>
    <w:rsid w:val="00BE1CA2"/>
    <w:rsid w:val="00BE20DF"/>
    <w:rsid w:val="00BE3080"/>
    <w:rsid w:val="00BE3EF3"/>
    <w:rsid w:val="00BE430A"/>
    <w:rsid w:val="00BE5565"/>
    <w:rsid w:val="00BE5AD5"/>
    <w:rsid w:val="00BE6AC3"/>
    <w:rsid w:val="00BE7FD3"/>
    <w:rsid w:val="00BF40AF"/>
    <w:rsid w:val="00BF49AE"/>
    <w:rsid w:val="00BF5EBC"/>
    <w:rsid w:val="00BF7EBD"/>
    <w:rsid w:val="00C0137C"/>
    <w:rsid w:val="00C03F73"/>
    <w:rsid w:val="00C040CF"/>
    <w:rsid w:val="00C0476C"/>
    <w:rsid w:val="00C0628A"/>
    <w:rsid w:val="00C0669D"/>
    <w:rsid w:val="00C070E6"/>
    <w:rsid w:val="00C07BFB"/>
    <w:rsid w:val="00C07FDE"/>
    <w:rsid w:val="00C111A2"/>
    <w:rsid w:val="00C13FC0"/>
    <w:rsid w:val="00C17C7C"/>
    <w:rsid w:val="00C17EF5"/>
    <w:rsid w:val="00C20909"/>
    <w:rsid w:val="00C21757"/>
    <w:rsid w:val="00C2266E"/>
    <w:rsid w:val="00C23DA0"/>
    <w:rsid w:val="00C31C9B"/>
    <w:rsid w:val="00C32FE9"/>
    <w:rsid w:val="00C33E0F"/>
    <w:rsid w:val="00C35736"/>
    <w:rsid w:val="00C3777C"/>
    <w:rsid w:val="00C37836"/>
    <w:rsid w:val="00C406FC"/>
    <w:rsid w:val="00C427C2"/>
    <w:rsid w:val="00C42B2B"/>
    <w:rsid w:val="00C5273E"/>
    <w:rsid w:val="00C53C6F"/>
    <w:rsid w:val="00C540A2"/>
    <w:rsid w:val="00C5624F"/>
    <w:rsid w:val="00C56471"/>
    <w:rsid w:val="00C60103"/>
    <w:rsid w:val="00C61135"/>
    <w:rsid w:val="00C61CEA"/>
    <w:rsid w:val="00C653B8"/>
    <w:rsid w:val="00C6564C"/>
    <w:rsid w:val="00C673ED"/>
    <w:rsid w:val="00C678FA"/>
    <w:rsid w:val="00C719F4"/>
    <w:rsid w:val="00C73014"/>
    <w:rsid w:val="00C73F87"/>
    <w:rsid w:val="00C766FF"/>
    <w:rsid w:val="00C80BB0"/>
    <w:rsid w:val="00C82963"/>
    <w:rsid w:val="00C8370A"/>
    <w:rsid w:val="00C860E6"/>
    <w:rsid w:val="00C8639B"/>
    <w:rsid w:val="00C90B6D"/>
    <w:rsid w:val="00C91F76"/>
    <w:rsid w:val="00C927BF"/>
    <w:rsid w:val="00C9373E"/>
    <w:rsid w:val="00C95534"/>
    <w:rsid w:val="00C95E63"/>
    <w:rsid w:val="00C96DC7"/>
    <w:rsid w:val="00CA0A8A"/>
    <w:rsid w:val="00CA1A6A"/>
    <w:rsid w:val="00CA45BD"/>
    <w:rsid w:val="00CA5601"/>
    <w:rsid w:val="00CA6A26"/>
    <w:rsid w:val="00CA6EB2"/>
    <w:rsid w:val="00CA705E"/>
    <w:rsid w:val="00CA7106"/>
    <w:rsid w:val="00CA7D87"/>
    <w:rsid w:val="00CB159D"/>
    <w:rsid w:val="00CB1722"/>
    <w:rsid w:val="00CB2DAE"/>
    <w:rsid w:val="00CB31EA"/>
    <w:rsid w:val="00CB3CD1"/>
    <w:rsid w:val="00CB4B1B"/>
    <w:rsid w:val="00CB57AF"/>
    <w:rsid w:val="00CC0210"/>
    <w:rsid w:val="00CC1CB9"/>
    <w:rsid w:val="00CC408B"/>
    <w:rsid w:val="00CC477D"/>
    <w:rsid w:val="00CC63CE"/>
    <w:rsid w:val="00CC6B3D"/>
    <w:rsid w:val="00CD09A2"/>
    <w:rsid w:val="00CD38A5"/>
    <w:rsid w:val="00CD38C5"/>
    <w:rsid w:val="00CD3A17"/>
    <w:rsid w:val="00CD3BB2"/>
    <w:rsid w:val="00CD7922"/>
    <w:rsid w:val="00CF0418"/>
    <w:rsid w:val="00CF545D"/>
    <w:rsid w:val="00CF5839"/>
    <w:rsid w:val="00D002C5"/>
    <w:rsid w:val="00D013BA"/>
    <w:rsid w:val="00D019D5"/>
    <w:rsid w:val="00D02CE4"/>
    <w:rsid w:val="00D02D45"/>
    <w:rsid w:val="00D03CF6"/>
    <w:rsid w:val="00D04C8A"/>
    <w:rsid w:val="00D07F3E"/>
    <w:rsid w:val="00D158F8"/>
    <w:rsid w:val="00D15B33"/>
    <w:rsid w:val="00D15F05"/>
    <w:rsid w:val="00D17688"/>
    <w:rsid w:val="00D17D33"/>
    <w:rsid w:val="00D207A4"/>
    <w:rsid w:val="00D23551"/>
    <w:rsid w:val="00D23BC7"/>
    <w:rsid w:val="00D23E4B"/>
    <w:rsid w:val="00D2477A"/>
    <w:rsid w:val="00D24C47"/>
    <w:rsid w:val="00D24C7E"/>
    <w:rsid w:val="00D25290"/>
    <w:rsid w:val="00D25B7D"/>
    <w:rsid w:val="00D318BB"/>
    <w:rsid w:val="00D31E60"/>
    <w:rsid w:val="00D349EE"/>
    <w:rsid w:val="00D35B4B"/>
    <w:rsid w:val="00D36DB0"/>
    <w:rsid w:val="00D4232E"/>
    <w:rsid w:val="00D449CF"/>
    <w:rsid w:val="00D471C1"/>
    <w:rsid w:val="00D56FA2"/>
    <w:rsid w:val="00D607C3"/>
    <w:rsid w:val="00D6182E"/>
    <w:rsid w:val="00D619C9"/>
    <w:rsid w:val="00D62CAE"/>
    <w:rsid w:val="00D630E5"/>
    <w:rsid w:val="00D63DF9"/>
    <w:rsid w:val="00D644D1"/>
    <w:rsid w:val="00D65545"/>
    <w:rsid w:val="00D672C5"/>
    <w:rsid w:val="00D70C17"/>
    <w:rsid w:val="00D73658"/>
    <w:rsid w:val="00D7636C"/>
    <w:rsid w:val="00D81675"/>
    <w:rsid w:val="00D847EE"/>
    <w:rsid w:val="00D8765A"/>
    <w:rsid w:val="00D87E27"/>
    <w:rsid w:val="00D913D2"/>
    <w:rsid w:val="00D92392"/>
    <w:rsid w:val="00D92B18"/>
    <w:rsid w:val="00DA1738"/>
    <w:rsid w:val="00DA28E1"/>
    <w:rsid w:val="00DA3B86"/>
    <w:rsid w:val="00DA4865"/>
    <w:rsid w:val="00DA4C99"/>
    <w:rsid w:val="00DA4DCF"/>
    <w:rsid w:val="00DA5BE6"/>
    <w:rsid w:val="00DA6781"/>
    <w:rsid w:val="00DB3893"/>
    <w:rsid w:val="00DB3FD5"/>
    <w:rsid w:val="00DB597B"/>
    <w:rsid w:val="00DB5BE2"/>
    <w:rsid w:val="00DC0E01"/>
    <w:rsid w:val="00DC3006"/>
    <w:rsid w:val="00DC406C"/>
    <w:rsid w:val="00DC5E0A"/>
    <w:rsid w:val="00DC5E52"/>
    <w:rsid w:val="00DC5FCB"/>
    <w:rsid w:val="00DC74BE"/>
    <w:rsid w:val="00DD1C2E"/>
    <w:rsid w:val="00DD1E4C"/>
    <w:rsid w:val="00DD1F7C"/>
    <w:rsid w:val="00DD669A"/>
    <w:rsid w:val="00DE2966"/>
    <w:rsid w:val="00DE3204"/>
    <w:rsid w:val="00DE4B4A"/>
    <w:rsid w:val="00DE61D8"/>
    <w:rsid w:val="00DE6DB7"/>
    <w:rsid w:val="00DE72FE"/>
    <w:rsid w:val="00DE7BCC"/>
    <w:rsid w:val="00DF0559"/>
    <w:rsid w:val="00DF0594"/>
    <w:rsid w:val="00DF2A60"/>
    <w:rsid w:val="00DF40F2"/>
    <w:rsid w:val="00DF5CFD"/>
    <w:rsid w:val="00DF6EC7"/>
    <w:rsid w:val="00DF6FDD"/>
    <w:rsid w:val="00DF70FE"/>
    <w:rsid w:val="00DF7366"/>
    <w:rsid w:val="00DF74B1"/>
    <w:rsid w:val="00DF7E2E"/>
    <w:rsid w:val="00E01BEA"/>
    <w:rsid w:val="00E03169"/>
    <w:rsid w:val="00E07D92"/>
    <w:rsid w:val="00E07FAF"/>
    <w:rsid w:val="00E10BA2"/>
    <w:rsid w:val="00E1201E"/>
    <w:rsid w:val="00E12E69"/>
    <w:rsid w:val="00E12E99"/>
    <w:rsid w:val="00E12F00"/>
    <w:rsid w:val="00E15657"/>
    <w:rsid w:val="00E16DE0"/>
    <w:rsid w:val="00E220FA"/>
    <w:rsid w:val="00E23BF5"/>
    <w:rsid w:val="00E23DB0"/>
    <w:rsid w:val="00E242EE"/>
    <w:rsid w:val="00E25281"/>
    <w:rsid w:val="00E30657"/>
    <w:rsid w:val="00E30911"/>
    <w:rsid w:val="00E315BA"/>
    <w:rsid w:val="00E32628"/>
    <w:rsid w:val="00E37ADE"/>
    <w:rsid w:val="00E410BF"/>
    <w:rsid w:val="00E413BF"/>
    <w:rsid w:val="00E42414"/>
    <w:rsid w:val="00E44DA8"/>
    <w:rsid w:val="00E452C4"/>
    <w:rsid w:val="00E45615"/>
    <w:rsid w:val="00E53755"/>
    <w:rsid w:val="00E537D2"/>
    <w:rsid w:val="00E53ED3"/>
    <w:rsid w:val="00E54A03"/>
    <w:rsid w:val="00E55462"/>
    <w:rsid w:val="00E55E5C"/>
    <w:rsid w:val="00E56628"/>
    <w:rsid w:val="00E62ECF"/>
    <w:rsid w:val="00E653F5"/>
    <w:rsid w:val="00E66527"/>
    <w:rsid w:val="00E67D7D"/>
    <w:rsid w:val="00E74606"/>
    <w:rsid w:val="00E81587"/>
    <w:rsid w:val="00E81937"/>
    <w:rsid w:val="00E82D40"/>
    <w:rsid w:val="00E84230"/>
    <w:rsid w:val="00E848CA"/>
    <w:rsid w:val="00E85677"/>
    <w:rsid w:val="00E85E4A"/>
    <w:rsid w:val="00E905D0"/>
    <w:rsid w:val="00E90E21"/>
    <w:rsid w:val="00E92BF8"/>
    <w:rsid w:val="00E94390"/>
    <w:rsid w:val="00E96154"/>
    <w:rsid w:val="00E96D9D"/>
    <w:rsid w:val="00E97109"/>
    <w:rsid w:val="00EA0667"/>
    <w:rsid w:val="00EA11FB"/>
    <w:rsid w:val="00EA2602"/>
    <w:rsid w:val="00EA5012"/>
    <w:rsid w:val="00EA59F7"/>
    <w:rsid w:val="00EA7783"/>
    <w:rsid w:val="00EB2F3F"/>
    <w:rsid w:val="00EB5E5F"/>
    <w:rsid w:val="00EB5F6D"/>
    <w:rsid w:val="00EB5FE2"/>
    <w:rsid w:val="00EC0434"/>
    <w:rsid w:val="00EC1633"/>
    <w:rsid w:val="00EC196D"/>
    <w:rsid w:val="00EC4864"/>
    <w:rsid w:val="00EC6E22"/>
    <w:rsid w:val="00EC74F1"/>
    <w:rsid w:val="00ED07E4"/>
    <w:rsid w:val="00ED0ECE"/>
    <w:rsid w:val="00ED1C72"/>
    <w:rsid w:val="00ED2667"/>
    <w:rsid w:val="00ED2E79"/>
    <w:rsid w:val="00ED2FDC"/>
    <w:rsid w:val="00ED4B96"/>
    <w:rsid w:val="00ED742E"/>
    <w:rsid w:val="00EE03A3"/>
    <w:rsid w:val="00EE057F"/>
    <w:rsid w:val="00EE313B"/>
    <w:rsid w:val="00EE793C"/>
    <w:rsid w:val="00EF0580"/>
    <w:rsid w:val="00EF1E7D"/>
    <w:rsid w:val="00EF20D6"/>
    <w:rsid w:val="00EF5411"/>
    <w:rsid w:val="00EF56B2"/>
    <w:rsid w:val="00EF58CD"/>
    <w:rsid w:val="00EF5EB3"/>
    <w:rsid w:val="00F03309"/>
    <w:rsid w:val="00F040D3"/>
    <w:rsid w:val="00F07C23"/>
    <w:rsid w:val="00F15FA2"/>
    <w:rsid w:val="00F165F4"/>
    <w:rsid w:val="00F17A1E"/>
    <w:rsid w:val="00F24AB5"/>
    <w:rsid w:val="00F24C67"/>
    <w:rsid w:val="00F2633A"/>
    <w:rsid w:val="00F3068B"/>
    <w:rsid w:val="00F32F1D"/>
    <w:rsid w:val="00F3316A"/>
    <w:rsid w:val="00F366B1"/>
    <w:rsid w:val="00F372B6"/>
    <w:rsid w:val="00F404F2"/>
    <w:rsid w:val="00F456A9"/>
    <w:rsid w:val="00F46D9D"/>
    <w:rsid w:val="00F46E27"/>
    <w:rsid w:val="00F52EC9"/>
    <w:rsid w:val="00F56B50"/>
    <w:rsid w:val="00F572C9"/>
    <w:rsid w:val="00F60522"/>
    <w:rsid w:val="00F6058C"/>
    <w:rsid w:val="00F60942"/>
    <w:rsid w:val="00F62646"/>
    <w:rsid w:val="00F63474"/>
    <w:rsid w:val="00F714EC"/>
    <w:rsid w:val="00F73D77"/>
    <w:rsid w:val="00F755D0"/>
    <w:rsid w:val="00F759E4"/>
    <w:rsid w:val="00F75CED"/>
    <w:rsid w:val="00F7768C"/>
    <w:rsid w:val="00F80E7F"/>
    <w:rsid w:val="00F81D92"/>
    <w:rsid w:val="00F83101"/>
    <w:rsid w:val="00F840A2"/>
    <w:rsid w:val="00F86A6C"/>
    <w:rsid w:val="00F87896"/>
    <w:rsid w:val="00F90001"/>
    <w:rsid w:val="00F90AE5"/>
    <w:rsid w:val="00F90DBB"/>
    <w:rsid w:val="00F930F5"/>
    <w:rsid w:val="00F9529A"/>
    <w:rsid w:val="00F9573F"/>
    <w:rsid w:val="00F961D9"/>
    <w:rsid w:val="00FA1068"/>
    <w:rsid w:val="00FA587D"/>
    <w:rsid w:val="00FA636C"/>
    <w:rsid w:val="00FA6A85"/>
    <w:rsid w:val="00FB2472"/>
    <w:rsid w:val="00FB47E6"/>
    <w:rsid w:val="00FB4994"/>
    <w:rsid w:val="00FB53AF"/>
    <w:rsid w:val="00FB631A"/>
    <w:rsid w:val="00FC14EE"/>
    <w:rsid w:val="00FC1571"/>
    <w:rsid w:val="00FC1A63"/>
    <w:rsid w:val="00FC37ED"/>
    <w:rsid w:val="00FC4109"/>
    <w:rsid w:val="00FC413F"/>
    <w:rsid w:val="00FC4674"/>
    <w:rsid w:val="00FC6F70"/>
    <w:rsid w:val="00FD1C92"/>
    <w:rsid w:val="00FD26AD"/>
    <w:rsid w:val="00FD2D8D"/>
    <w:rsid w:val="00FD39A0"/>
    <w:rsid w:val="00FD4685"/>
    <w:rsid w:val="00FE17F5"/>
    <w:rsid w:val="00FE1FAE"/>
    <w:rsid w:val="00FE2527"/>
    <w:rsid w:val="00FF0EA2"/>
    <w:rsid w:val="00FF185B"/>
    <w:rsid w:val="00FF74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456BA"/>
  <w15:chartTrackingRefBased/>
  <w15:docId w15:val="{78CD49F3-5EBB-4697-BD47-D4BB878F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27C"/>
  </w:style>
  <w:style w:type="paragraph" w:styleId="Heading1">
    <w:name w:val="heading 1"/>
    <w:basedOn w:val="Normal"/>
    <w:link w:val="Heading1Char"/>
    <w:uiPriority w:val="9"/>
    <w:qFormat/>
    <w:rsid w:val="00F404F2"/>
    <w:pPr>
      <w:spacing w:beforeAutospacing="1" w:afterAutospacing="1"/>
      <w:outlineLvl w:val="0"/>
    </w:pPr>
    <w:rPr>
      <w:rFonts w:eastAsia="Times New Roman" w:cs="Times New Roman"/>
      <w:b/>
      <w:bCs/>
      <w:kern w:val="36"/>
      <w:sz w:val="28"/>
      <w:szCs w:val="48"/>
      <w:lang w:val="en-GB" w:eastAsia="en-GB"/>
    </w:rPr>
  </w:style>
  <w:style w:type="paragraph" w:styleId="Heading2">
    <w:name w:val="heading 2"/>
    <w:basedOn w:val="Normal"/>
    <w:next w:val="Normal"/>
    <w:link w:val="Heading2Char"/>
    <w:uiPriority w:val="9"/>
    <w:unhideWhenUsed/>
    <w:qFormat/>
    <w:rsid w:val="006A19D3"/>
    <w:pPr>
      <w:keepNext/>
      <w:keepLines/>
      <w:spacing w:before="40"/>
      <w:jc w:val="center"/>
      <w:outlineLvl w:val="1"/>
    </w:pPr>
    <w:rPr>
      <w:rFonts w:eastAsiaTheme="majorEastAsia" w:cs="Times New Roman"/>
      <w:bCs/>
      <w:sz w:val="26"/>
      <w:szCs w:val="26"/>
    </w:rPr>
  </w:style>
  <w:style w:type="paragraph" w:styleId="Heading3">
    <w:name w:val="heading 3"/>
    <w:basedOn w:val="Normal"/>
    <w:next w:val="Normal"/>
    <w:link w:val="Heading3Char"/>
    <w:uiPriority w:val="9"/>
    <w:semiHidden/>
    <w:unhideWhenUsed/>
    <w:qFormat/>
    <w:rsid w:val="00A5702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4F2"/>
    <w:rPr>
      <w:rFonts w:eastAsia="Times New Roman" w:cs="Times New Roman"/>
      <w:b/>
      <w:bCs/>
      <w:kern w:val="36"/>
      <w:sz w:val="28"/>
      <w:szCs w:val="48"/>
      <w:lang w:val="en-GB" w:eastAsia="en-GB"/>
    </w:rPr>
  </w:style>
  <w:style w:type="table" w:styleId="TableGrid">
    <w:name w:val="Table Grid"/>
    <w:basedOn w:val="TableNormal"/>
    <w:uiPriority w:val="59"/>
    <w:qFormat/>
    <w:rsid w:val="00125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127C"/>
    <w:rPr>
      <w:noProof w:val="0"/>
      <w:sz w:val="16"/>
      <w:szCs w:val="16"/>
      <w:lang w:val="lv-LV"/>
    </w:rPr>
  </w:style>
  <w:style w:type="paragraph" w:styleId="CommentText">
    <w:name w:val="annotation text"/>
    <w:basedOn w:val="Normal"/>
    <w:link w:val="CommentTextChar"/>
    <w:uiPriority w:val="99"/>
    <w:unhideWhenUsed/>
    <w:rsid w:val="00A3127C"/>
    <w:pPr>
      <w:spacing w:after="160"/>
    </w:pPr>
    <w:rPr>
      <w:rFonts w:asciiTheme="minorHAnsi" w:hAnsiTheme="minorHAnsi"/>
      <w:sz w:val="20"/>
      <w:szCs w:val="20"/>
    </w:rPr>
  </w:style>
  <w:style w:type="character" w:customStyle="1" w:styleId="CommentTextChar">
    <w:name w:val="Comment Text Char"/>
    <w:basedOn w:val="DefaultParagraphFont"/>
    <w:link w:val="CommentText"/>
    <w:uiPriority w:val="99"/>
    <w:rsid w:val="00A3127C"/>
    <w:rPr>
      <w:rFonts w:asciiTheme="minorHAnsi" w:hAnsiTheme="minorHAnsi"/>
      <w:sz w:val="20"/>
      <w:szCs w:val="20"/>
    </w:rPr>
  </w:style>
  <w:style w:type="character" w:styleId="Hyperlink">
    <w:name w:val="Hyperlink"/>
    <w:basedOn w:val="DefaultParagraphFont"/>
    <w:uiPriority w:val="99"/>
    <w:unhideWhenUsed/>
    <w:rsid w:val="00125327"/>
    <w:rPr>
      <w:color w:val="0563C1" w:themeColor="hyperlink"/>
      <w:u w:val="single"/>
    </w:rPr>
  </w:style>
  <w:style w:type="paragraph" w:styleId="ListParagraph">
    <w:name w:val="List Paragraph"/>
    <w:aliases w:val="2,Bullet 1,Bullet Points,Dot pt,F5 List Paragraph,IFCL - List Paragraph,Indicator Text,List Paragraph Char Char Char,List Paragraph1,List Paragraph12,MAIN CONTENT,No Spacing1,Numbered Para 1,OBC Bullet,Strip,Colorful List - Accent 11,Bull"/>
    <w:basedOn w:val="Normal"/>
    <w:link w:val="ListParagraphChar"/>
    <w:uiPriority w:val="34"/>
    <w:qFormat/>
    <w:rsid w:val="00125327"/>
    <w:pPr>
      <w:spacing w:after="160" w:line="259" w:lineRule="auto"/>
      <w:ind w:left="720"/>
      <w:contextualSpacing/>
    </w:pPr>
    <w:rPr>
      <w:rFonts w:asciiTheme="minorHAnsi" w:hAnsiTheme="minorHAnsi"/>
      <w:sz w:val="22"/>
    </w:rPr>
  </w:style>
  <w:style w:type="paragraph" w:styleId="BalloonText">
    <w:name w:val="Balloon Text"/>
    <w:basedOn w:val="Normal"/>
    <w:link w:val="BalloonTextChar"/>
    <w:uiPriority w:val="99"/>
    <w:semiHidden/>
    <w:unhideWhenUsed/>
    <w:rsid w:val="001253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32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3127C"/>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A3127C"/>
    <w:rPr>
      <w:rFonts w:asciiTheme="minorHAnsi" w:hAnsiTheme="minorHAnsi"/>
      <w:b/>
      <w:bCs/>
      <w:sz w:val="20"/>
      <w:szCs w:val="20"/>
    </w:rPr>
  </w:style>
  <w:style w:type="character" w:customStyle="1" w:styleId="Heading3Char">
    <w:name w:val="Heading 3 Char"/>
    <w:basedOn w:val="DefaultParagraphFont"/>
    <w:link w:val="Heading3"/>
    <w:uiPriority w:val="9"/>
    <w:semiHidden/>
    <w:rsid w:val="00A57026"/>
    <w:rPr>
      <w:rFonts w:asciiTheme="majorHAnsi" w:eastAsiaTheme="majorEastAsia" w:hAnsiTheme="majorHAnsi" w:cstheme="majorBidi"/>
      <w:color w:val="1F4D78" w:themeColor="accent1" w:themeShade="7F"/>
      <w:szCs w:val="24"/>
    </w:rPr>
  </w:style>
  <w:style w:type="paragraph" w:styleId="Header">
    <w:name w:val="header"/>
    <w:basedOn w:val="Normal"/>
    <w:link w:val="HeaderChar"/>
    <w:uiPriority w:val="99"/>
    <w:unhideWhenUsed/>
    <w:rsid w:val="009C5DAB"/>
    <w:pPr>
      <w:tabs>
        <w:tab w:val="center" w:pos="4153"/>
        <w:tab w:val="right" w:pos="8306"/>
      </w:tabs>
    </w:pPr>
  </w:style>
  <w:style w:type="character" w:customStyle="1" w:styleId="HeaderChar">
    <w:name w:val="Header Char"/>
    <w:basedOn w:val="DefaultParagraphFont"/>
    <w:link w:val="Header"/>
    <w:uiPriority w:val="99"/>
    <w:rsid w:val="009C5DAB"/>
  </w:style>
  <w:style w:type="paragraph" w:styleId="Footer">
    <w:name w:val="footer"/>
    <w:basedOn w:val="Normal"/>
    <w:link w:val="FooterChar"/>
    <w:uiPriority w:val="99"/>
    <w:unhideWhenUsed/>
    <w:rsid w:val="009C5DAB"/>
    <w:pPr>
      <w:tabs>
        <w:tab w:val="center" w:pos="4153"/>
        <w:tab w:val="right" w:pos="8306"/>
      </w:tabs>
    </w:pPr>
  </w:style>
  <w:style w:type="character" w:customStyle="1" w:styleId="FooterChar">
    <w:name w:val="Footer Char"/>
    <w:basedOn w:val="DefaultParagraphFont"/>
    <w:link w:val="Footer"/>
    <w:uiPriority w:val="99"/>
    <w:rsid w:val="009C5DAB"/>
  </w:style>
  <w:style w:type="character" w:styleId="FootnoteReference">
    <w:name w:val="footnote reference"/>
    <w:aliases w:val="Footnote Refernece"/>
    <w:basedOn w:val="DefaultParagraphFont"/>
    <w:uiPriority w:val="99"/>
    <w:unhideWhenUsed/>
    <w:rsid w:val="002E0BEE"/>
    <w:rPr>
      <w:vertAlign w:val="superscript"/>
    </w:rPr>
  </w:style>
  <w:style w:type="paragraph" w:customStyle="1" w:styleId="tv213">
    <w:name w:val="tv213"/>
    <w:basedOn w:val="Normal"/>
    <w:rsid w:val="002E0BEE"/>
    <w:pPr>
      <w:spacing w:before="100" w:beforeAutospacing="1" w:after="100" w:afterAutospacing="1"/>
    </w:pPr>
    <w:rPr>
      <w:rFonts w:eastAsia="Times New Roman" w:cs="Times New Roman"/>
      <w:lang w:eastAsia="lv-LV"/>
    </w:rPr>
  </w:style>
  <w:style w:type="paragraph" w:styleId="FootnoteText">
    <w:name w:val="footnote text"/>
    <w:basedOn w:val="Normal"/>
    <w:link w:val="FootnoteTextChar"/>
    <w:uiPriority w:val="99"/>
    <w:unhideWhenUsed/>
    <w:rsid w:val="002E0BEE"/>
    <w:rPr>
      <w:rFonts w:ascii="Calibri" w:eastAsia="Times New Roman" w:hAnsi="Calibri" w:cs="Calibri"/>
      <w:sz w:val="20"/>
      <w:szCs w:val="20"/>
    </w:rPr>
  </w:style>
  <w:style w:type="character" w:customStyle="1" w:styleId="FootnoteTextChar">
    <w:name w:val="Footnote Text Char"/>
    <w:basedOn w:val="DefaultParagraphFont"/>
    <w:link w:val="FootnoteText"/>
    <w:uiPriority w:val="99"/>
    <w:rsid w:val="002E0BEE"/>
    <w:rPr>
      <w:rFonts w:ascii="Calibri" w:eastAsia="Times New Roman" w:hAnsi="Calibri" w:cs="Calibri"/>
      <w:sz w:val="20"/>
      <w:szCs w:val="20"/>
    </w:rPr>
  </w:style>
  <w:style w:type="character" w:customStyle="1" w:styleId="ListParagraphChar">
    <w:name w:val="List Paragraph Char"/>
    <w:aliases w:val="2 Char,Bullet 1 Char,Bullet Points Char,Dot pt Char,F5 List Paragraph Char,IFCL - List Paragraph Char,Indicator Text Char,List Paragraph Char Char Char Char,List Paragraph1 Char,List Paragraph12 Char,MAIN CONTENT Char,OBC Bullet Char"/>
    <w:link w:val="ListParagraph"/>
    <w:uiPriority w:val="34"/>
    <w:qFormat/>
    <w:locked/>
    <w:rsid w:val="00291207"/>
    <w:rPr>
      <w:rFonts w:asciiTheme="minorHAnsi" w:hAnsiTheme="minorHAnsi"/>
      <w:sz w:val="22"/>
    </w:rPr>
  </w:style>
  <w:style w:type="character" w:customStyle="1" w:styleId="Vresatsauce">
    <w:name w:val="Vēres atsauce"/>
    <w:aliases w:val="Footnote Reference Number"/>
    <w:basedOn w:val="DefaultParagraphFont"/>
    <w:rsid w:val="002D5BDA"/>
    <w:rPr>
      <w:vertAlign w:val="superscript"/>
    </w:rPr>
  </w:style>
  <w:style w:type="paragraph" w:customStyle="1" w:styleId="Default">
    <w:name w:val="Default"/>
    <w:basedOn w:val="Normal"/>
    <w:rsid w:val="005B08BF"/>
    <w:pPr>
      <w:autoSpaceDE w:val="0"/>
      <w:autoSpaceDN w:val="0"/>
    </w:pPr>
    <w:rPr>
      <w:rFonts w:ascii="EUAlbertina" w:hAnsi="EUAlbertina" w:cs="Times New Roman"/>
      <w:color w:val="000000"/>
    </w:rPr>
  </w:style>
  <w:style w:type="paragraph" w:customStyle="1" w:styleId="tvhtml">
    <w:name w:val="tv_html"/>
    <w:basedOn w:val="Normal"/>
    <w:rsid w:val="00CA0A8A"/>
    <w:pPr>
      <w:spacing w:before="100" w:beforeAutospacing="1" w:after="100" w:afterAutospacing="1"/>
    </w:pPr>
    <w:rPr>
      <w:rFonts w:eastAsia="Times New Roman" w:cs="Times New Roman"/>
      <w:lang w:eastAsia="lv-LV"/>
    </w:rPr>
  </w:style>
  <w:style w:type="character" w:customStyle="1" w:styleId="tvhtml1">
    <w:name w:val="tv_html1"/>
    <w:basedOn w:val="DefaultParagraphFont"/>
    <w:rsid w:val="00CA0A8A"/>
  </w:style>
  <w:style w:type="character" w:styleId="Strong">
    <w:name w:val="Strong"/>
    <w:basedOn w:val="DefaultParagraphFont"/>
    <w:uiPriority w:val="22"/>
    <w:qFormat/>
    <w:rsid w:val="00AF72CC"/>
    <w:rPr>
      <w:b/>
      <w:bCs/>
    </w:rPr>
  </w:style>
  <w:style w:type="character" w:styleId="Emphasis">
    <w:name w:val="Emphasis"/>
    <w:basedOn w:val="DefaultParagraphFont"/>
    <w:uiPriority w:val="20"/>
    <w:qFormat/>
    <w:rsid w:val="00AF72CC"/>
    <w:rPr>
      <w:i/>
      <w:iCs/>
    </w:rPr>
  </w:style>
  <w:style w:type="paragraph" w:customStyle="1" w:styleId="xmsonormal">
    <w:name w:val="x_msonormal"/>
    <w:basedOn w:val="Normal"/>
    <w:rsid w:val="00F03309"/>
    <w:pPr>
      <w:spacing w:before="100" w:beforeAutospacing="1" w:after="100" w:afterAutospacing="1"/>
    </w:pPr>
    <w:rPr>
      <w:rFonts w:eastAsia="Times New Roman" w:cs="Times New Roman"/>
      <w:lang w:eastAsia="lv-LV"/>
    </w:rPr>
  </w:style>
  <w:style w:type="character" w:styleId="FollowedHyperlink">
    <w:name w:val="FollowedHyperlink"/>
    <w:basedOn w:val="DefaultParagraphFont"/>
    <w:uiPriority w:val="99"/>
    <w:semiHidden/>
    <w:unhideWhenUsed/>
    <w:rsid w:val="003A41E0"/>
    <w:rPr>
      <w:color w:val="954F72" w:themeColor="followedHyperlink"/>
      <w:u w:val="single"/>
    </w:rPr>
  </w:style>
  <w:style w:type="paragraph" w:styleId="Revision">
    <w:name w:val="Revision"/>
    <w:hidden/>
    <w:uiPriority w:val="99"/>
    <w:semiHidden/>
    <w:rsid w:val="00B87ADF"/>
  </w:style>
  <w:style w:type="character" w:customStyle="1" w:styleId="UnresolvedMention1">
    <w:name w:val="Unresolved Mention1"/>
    <w:basedOn w:val="DefaultParagraphFont"/>
    <w:uiPriority w:val="99"/>
    <w:semiHidden/>
    <w:unhideWhenUsed/>
    <w:rsid w:val="00017DCB"/>
    <w:rPr>
      <w:color w:val="605E5C"/>
      <w:shd w:val="clear" w:color="auto" w:fill="E1DFDD"/>
    </w:rPr>
  </w:style>
  <w:style w:type="paragraph" w:styleId="NormalWeb">
    <w:name w:val="Normal (Web)"/>
    <w:basedOn w:val="Normal"/>
    <w:uiPriority w:val="99"/>
    <w:unhideWhenUsed/>
    <w:rsid w:val="00B27AE4"/>
    <w:pPr>
      <w:spacing w:before="100" w:beforeAutospacing="1" w:after="100" w:afterAutospacing="1"/>
    </w:pPr>
    <w:rPr>
      <w:rFonts w:eastAsia="Times New Roman" w:cs="Times New Roman"/>
      <w:lang w:eastAsia="lv-LV"/>
    </w:rPr>
  </w:style>
  <w:style w:type="paragraph" w:customStyle="1" w:styleId="xmsonormal0">
    <w:name w:val="xmsonormal"/>
    <w:basedOn w:val="Normal"/>
    <w:uiPriority w:val="99"/>
    <w:rsid w:val="00637018"/>
    <w:rPr>
      <w:rFonts w:cs="Times New Roman"/>
      <w:lang w:eastAsia="lv-LV"/>
    </w:rPr>
  </w:style>
  <w:style w:type="character" w:customStyle="1" w:styleId="UnresolvedMention2">
    <w:name w:val="Unresolved Mention2"/>
    <w:basedOn w:val="DefaultParagraphFont"/>
    <w:uiPriority w:val="99"/>
    <w:semiHidden/>
    <w:unhideWhenUsed/>
    <w:rsid w:val="00EA11FB"/>
    <w:rPr>
      <w:color w:val="605E5C"/>
      <w:shd w:val="clear" w:color="auto" w:fill="E1DFDD"/>
    </w:rPr>
  </w:style>
  <w:style w:type="character" w:styleId="UnresolvedMention">
    <w:name w:val="Unresolved Mention"/>
    <w:basedOn w:val="DefaultParagraphFont"/>
    <w:uiPriority w:val="99"/>
    <w:semiHidden/>
    <w:unhideWhenUsed/>
    <w:rsid w:val="006618E5"/>
    <w:rPr>
      <w:color w:val="605E5C"/>
      <w:shd w:val="clear" w:color="auto" w:fill="E1DFDD"/>
    </w:rPr>
  </w:style>
  <w:style w:type="paragraph" w:styleId="NoSpacing">
    <w:name w:val="No Spacing"/>
    <w:uiPriority w:val="1"/>
    <w:qFormat/>
    <w:rsid w:val="007A78AA"/>
    <w:rPr>
      <w:rFonts w:asciiTheme="minorHAnsi" w:hAnsiTheme="minorHAnsi"/>
      <w:color w:val="44546A" w:themeColor="text2"/>
      <w:sz w:val="20"/>
      <w:szCs w:val="20"/>
      <w:lang w:val="en-US"/>
    </w:rPr>
  </w:style>
  <w:style w:type="table" w:customStyle="1" w:styleId="TableGrid1">
    <w:name w:val="Table Grid1"/>
    <w:basedOn w:val="TableNormal"/>
    <w:next w:val="TableGrid"/>
    <w:uiPriority w:val="39"/>
    <w:rsid w:val="001610B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36530"/>
    <w:pPr>
      <w:keepNext/>
      <w:keepLines/>
      <w:spacing w:before="240" w:beforeAutospacing="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336530"/>
    <w:pPr>
      <w:spacing w:after="100"/>
    </w:pPr>
  </w:style>
  <w:style w:type="character" w:customStyle="1" w:styleId="Heading2Char">
    <w:name w:val="Heading 2 Char"/>
    <w:basedOn w:val="DefaultParagraphFont"/>
    <w:link w:val="Heading2"/>
    <w:uiPriority w:val="9"/>
    <w:rsid w:val="006A19D3"/>
    <w:rPr>
      <w:rFonts w:eastAsiaTheme="majorEastAsia" w:cs="Times New Roman"/>
      <w:bCs/>
      <w:sz w:val="26"/>
      <w:szCs w:val="26"/>
    </w:rPr>
  </w:style>
  <w:style w:type="paragraph" w:styleId="TOC2">
    <w:name w:val="toc 2"/>
    <w:basedOn w:val="Normal"/>
    <w:next w:val="Normal"/>
    <w:autoRedefine/>
    <w:uiPriority w:val="39"/>
    <w:unhideWhenUsed/>
    <w:rsid w:val="00336530"/>
    <w:pPr>
      <w:spacing w:after="100"/>
      <w:ind w:left="240"/>
    </w:pPr>
  </w:style>
  <w:style w:type="table" w:customStyle="1" w:styleId="TableGrid2">
    <w:name w:val="Table Grid2"/>
    <w:basedOn w:val="TableNormal"/>
    <w:next w:val="TableGrid"/>
    <w:uiPriority w:val="39"/>
    <w:rsid w:val="00D07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3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ceholderparagraph">
    <w:name w:val="placeholder_paragraph"/>
    <w:qFormat/>
    <w:rPr>
      <w:rFonts w:cs="Times New Roman"/>
      <w:sz w:val="28"/>
    </w:rPr>
  </w:style>
  <w:style w:type="paragraph" w:customStyle="1" w:styleId="placeholderparagraph0">
    <w:name w:val="placeholder_paragraph"/>
    <w:qFormat/>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4150">
      <w:bodyDiv w:val="1"/>
      <w:marLeft w:val="0"/>
      <w:marRight w:val="0"/>
      <w:marTop w:val="0"/>
      <w:marBottom w:val="0"/>
      <w:divBdr>
        <w:top w:val="none" w:sz="0" w:space="0" w:color="auto"/>
        <w:left w:val="none" w:sz="0" w:space="0" w:color="auto"/>
        <w:bottom w:val="none" w:sz="0" w:space="0" w:color="auto"/>
        <w:right w:val="none" w:sz="0" w:space="0" w:color="auto"/>
      </w:divBdr>
    </w:div>
    <w:div w:id="116414101">
      <w:bodyDiv w:val="1"/>
      <w:marLeft w:val="0"/>
      <w:marRight w:val="0"/>
      <w:marTop w:val="0"/>
      <w:marBottom w:val="0"/>
      <w:divBdr>
        <w:top w:val="none" w:sz="0" w:space="0" w:color="auto"/>
        <w:left w:val="none" w:sz="0" w:space="0" w:color="auto"/>
        <w:bottom w:val="none" w:sz="0" w:space="0" w:color="auto"/>
        <w:right w:val="none" w:sz="0" w:space="0" w:color="auto"/>
      </w:divBdr>
    </w:div>
    <w:div w:id="213582405">
      <w:bodyDiv w:val="1"/>
      <w:marLeft w:val="0"/>
      <w:marRight w:val="0"/>
      <w:marTop w:val="0"/>
      <w:marBottom w:val="0"/>
      <w:divBdr>
        <w:top w:val="none" w:sz="0" w:space="0" w:color="auto"/>
        <w:left w:val="none" w:sz="0" w:space="0" w:color="auto"/>
        <w:bottom w:val="none" w:sz="0" w:space="0" w:color="auto"/>
        <w:right w:val="none" w:sz="0" w:space="0" w:color="auto"/>
      </w:divBdr>
    </w:div>
    <w:div w:id="218790756">
      <w:bodyDiv w:val="1"/>
      <w:marLeft w:val="0"/>
      <w:marRight w:val="0"/>
      <w:marTop w:val="0"/>
      <w:marBottom w:val="0"/>
      <w:divBdr>
        <w:top w:val="none" w:sz="0" w:space="0" w:color="auto"/>
        <w:left w:val="none" w:sz="0" w:space="0" w:color="auto"/>
        <w:bottom w:val="none" w:sz="0" w:space="0" w:color="auto"/>
        <w:right w:val="none" w:sz="0" w:space="0" w:color="auto"/>
      </w:divBdr>
    </w:div>
    <w:div w:id="276836886">
      <w:bodyDiv w:val="1"/>
      <w:marLeft w:val="0"/>
      <w:marRight w:val="0"/>
      <w:marTop w:val="0"/>
      <w:marBottom w:val="0"/>
      <w:divBdr>
        <w:top w:val="none" w:sz="0" w:space="0" w:color="auto"/>
        <w:left w:val="none" w:sz="0" w:space="0" w:color="auto"/>
        <w:bottom w:val="none" w:sz="0" w:space="0" w:color="auto"/>
        <w:right w:val="none" w:sz="0" w:space="0" w:color="auto"/>
      </w:divBdr>
    </w:div>
    <w:div w:id="290743826">
      <w:bodyDiv w:val="1"/>
      <w:marLeft w:val="0"/>
      <w:marRight w:val="0"/>
      <w:marTop w:val="0"/>
      <w:marBottom w:val="0"/>
      <w:divBdr>
        <w:top w:val="none" w:sz="0" w:space="0" w:color="auto"/>
        <w:left w:val="none" w:sz="0" w:space="0" w:color="auto"/>
        <w:bottom w:val="none" w:sz="0" w:space="0" w:color="auto"/>
        <w:right w:val="none" w:sz="0" w:space="0" w:color="auto"/>
      </w:divBdr>
    </w:div>
    <w:div w:id="292175684">
      <w:bodyDiv w:val="1"/>
      <w:marLeft w:val="0"/>
      <w:marRight w:val="0"/>
      <w:marTop w:val="0"/>
      <w:marBottom w:val="0"/>
      <w:divBdr>
        <w:top w:val="none" w:sz="0" w:space="0" w:color="auto"/>
        <w:left w:val="none" w:sz="0" w:space="0" w:color="auto"/>
        <w:bottom w:val="none" w:sz="0" w:space="0" w:color="auto"/>
        <w:right w:val="none" w:sz="0" w:space="0" w:color="auto"/>
      </w:divBdr>
    </w:div>
    <w:div w:id="327296560">
      <w:bodyDiv w:val="1"/>
      <w:marLeft w:val="0"/>
      <w:marRight w:val="0"/>
      <w:marTop w:val="0"/>
      <w:marBottom w:val="0"/>
      <w:divBdr>
        <w:top w:val="none" w:sz="0" w:space="0" w:color="auto"/>
        <w:left w:val="none" w:sz="0" w:space="0" w:color="auto"/>
        <w:bottom w:val="none" w:sz="0" w:space="0" w:color="auto"/>
        <w:right w:val="none" w:sz="0" w:space="0" w:color="auto"/>
      </w:divBdr>
    </w:div>
    <w:div w:id="571934466">
      <w:bodyDiv w:val="1"/>
      <w:marLeft w:val="0"/>
      <w:marRight w:val="0"/>
      <w:marTop w:val="0"/>
      <w:marBottom w:val="0"/>
      <w:divBdr>
        <w:top w:val="none" w:sz="0" w:space="0" w:color="auto"/>
        <w:left w:val="none" w:sz="0" w:space="0" w:color="auto"/>
        <w:bottom w:val="none" w:sz="0" w:space="0" w:color="auto"/>
        <w:right w:val="none" w:sz="0" w:space="0" w:color="auto"/>
      </w:divBdr>
    </w:div>
    <w:div w:id="576864962">
      <w:bodyDiv w:val="1"/>
      <w:marLeft w:val="0"/>
      <w:marRight w:val="0"/>
      <w:marTop w:val="0"/>
      <w:marBottom w:val="0"/>
      <w:divBdr>
        <w:top w:val="none" w:sz="0" w:space="0" w:color="auto"/>
        <w:left w:val="none" w:sz="0" w:space="0" w:color="auto"/>
        <w:bottom w:val="none" w:sz="0" w:space="0" w:color="auto"/>
        <w:right w:val="none" w:sz="0" w:space="0" w:color="auto"/>
      </w:divBdr>
    </w:div>
    <w:div w:id="593441531">
      <w:bodyDiv w:val="1"/>
      <w:marLeft w:val="0"/>
      <w:marRight w:val="0"/>
      <w:marTop w:val="0"/>
      <w:marBottom w:val="0"/>
      <w:divBdr>
        <w:top w:val="none" w:sz="0" w:space="0" w:color="auto"/>
        <w:left w:val="none" w:sz="0" w:space="0" w:color="auto"/>
        <w:bottom w:val="none" w:sz="0" w:space="0" w:color="auto"/>
        <w:right w:val="none" w:sz="0" w:space="0" w:color="auto"/>
      </w:divBdr>
    </w:div>
    <w:div w:id="644969683">
      <w:bodyDiv w:val="1"/>
      <w:marLeft w:val="0"/>
      <w:marRight w:val="0"/>
      <w:marTop w:val="0"/>
      <w:marBottom w:val="0"/>
      <w:divBdr>
        <w:top w:val="none" w:sz="0" w:space="0" w:color="auto"/>
        <w:left w:val="none" w:sz="0" w:space="0" w:color="auto"/>
        <w:bottom w:val="none" w:sz="0" w:space="0" w:color="auto"/>
        <w:right w:val="none" w:sz="0" w:space="0" w:color="auto"/>
      </w:divBdr>
    </w:div>
    <w:div w:id="794132362">
      <w:bodyDiv w:val="1"/>
      <w:marLeft w:val="0"/>
      <w:marRight w:val="0"/>
      <w:marTop w:val="0"/>
      <w:marBottom w:val="0"/>
      <w:divBdr>
        <w:top w:val="none" w:sz="0" w:space="0" w:color="auto"/>
        <w:left w:val="none" w:sz="0" w:space="0" w:color="auto"/>
        <w:bottom w:val="none" w:sz="0" w:space="0" w:color="auto"/>
        <w:right w:val="none" w:sz="0" w:space="0" w:color="auto"/>
      </w:divBdr>
    </w:div>
    <w:div w:id="854729568">
      <w:bodyDiv w:val="1"/>
      <w:marLeft w:val="0"/>
      <w:marRight w:val="0"/>
      <w:marTop w:val="0"/>
      <w:marBottom w:val="0"/>
      <w:divBdr>
        <w:top w:val="none" w:sz="0" w:space="0" w:color="auto"/>
        <w:left w:val="none" w:sz="0" w:space="0" w:color="auto"/>
        <w:bottom w:val="none" w:sz="0" w:space="0" w:color="auto"/>
        <w:right w:val="none" w:sz="0" w:space="0" w:color="auto"/>
      </w:divBdr>
    </w:div>
    <w:div w:id="870917724">
      <w:bodyDiv w:val="1"/>
      <w:marLeft w:val="0"/>
      <w:marRight w:val="0"/>
      <w:marTop w:val="0"/>
      <w:marBottom w:val="0"/>
      <w:divBdr>
        <w:top w:val="none" w:sz="0" w:space="0" w:color="auto"/>
        <w:left w:val="none" w:sz="0" w:space="0" w:color="auto"/>
        <w:bottom w:val="none" w:sz="0" w:space="0" w:color="auto"/>
        <w:right w:val="none" w:sz="0" w:space="0" w:color="auto"/>
      </w:divBdr>
    </w:div>
    <w:div w:id="946355754">
      <w:bodyDiv w:val="1"/>
      <w:marLeft w:val="0"/>
      <w:marRight w:val="0"/>
      <w:marTop w:val="0"/>
      <w:marBottom w:val="0"/>
      <w:divBdr>
        <w:top w:val="none" w:sz="0" w:space="0" w:color="auto"/>
        <w:left w:val="none" w:sz="0" w:space="0" w:color="auto"/>
        <w:bottom w:val="none" w:sz="0" w:space="0" w:color="auto"/>
        <w:right w:val="none" w:sz="0" w:space="0" w:color="auto"/>
      </w:divBdr>
    </w:div>
    <w:div w:id="981499257">
      <w:bodyDiv w:val="1"/>
      <w:marLeft w:val="0"/>
      <w:marRight w:val="0"/>
      <w:marTop w:val="0"/>
      <w:marBottom w:val="0"/>
      <w:divBdr>
        <w:top w:val="none" w:sz="0" w:space="0" w:color="auto"/>
        <w:left w:val="none" w:sz="0" w:space="0" w:color="auto"/>
        <w:bottom w:val="none" w:sz="0" w:space="0" w:color="auto"/>
        <w:right w:val="none" w:sz="0" w:space="0" w:color="auto"/>
      </w:divBdr>
    </w:div>
    <w:div w:id="1112626268">
      <w:bodyDiv w:val="1"/>
      <w:marLeft w:val="0"/>
      <w:marRight w:val="0"/>
      <w:marTop w:val="0"/>
      <w:marBottom w:val="0"/>
      <w:divBdr>
        <w:top w:val="none" w:sz="0" w:space="0" w:color="auto"/>
        <w:left w:val="none" w:sz="0" w:space="0" w:color="auto"/>
        <w:bottom w:val="none" w:sz="0" w:space="0" w:color="auto"/>
        <w:right w:val="none" w:sz="0" w:space="0" w:color="auto"/>
      </w:divBdr>
    </w:div>
    <w:div w:id="1362969975">
      <w:bodyDiv w:val="1"/>
      <w:marLeft w:val="0"/>
      <w:marRight w:val="0"/>
      <w:marTop w:val="0"/>
      <w:marBottom w:val="0"/>
      <w:divBdr>
        <w:top w:val="none" w:sz="0" w:space="0" w:color="auto"/>
        <w:left w:val="none" w:sz="0" w:space="0" w:color="auto"/>
        <w:bottom w:val="none" w:sz="0" w:space="0" w:color="auto"/>
        <w:right w:val="none" w:sz="0" w:space="0" w:color="auto"/>
      </w:divBdr>
    </w:div>
    <w:div w:id="1391995012">
      <w:bodyDiv w:val="1"/>
      <w:marLeft w:val="0"/>
      <w:marRight w:val="0"/>
      <w:marTop w:val="0"/>
      <w:marBottom w:val="0"/>
      <w:divBdr>
        <w:top w:val="none" w:sz="0" w:space="0" w:color="auto"/>
        <w:left w:val="none" w:sz="0" w:space="0" w:color="auto"/>
        <w:bottom w:val="none" w:sz="0" w:space="0" w:color="auto"/>
        <w:right w:val="none" w:sz="0" w:space="0" w:color="auto"/>
      </w:divBdr>
    </w:div>
    <w:div w:id="1412770209">
      <w:bodyDiv w:val="1"/>
      <w:marLeft w:val="0"/>
      <w:marRight w:val="0"/>
      <w:marTop w:val="0"/>
      <w:marBottom w:val="0"/>
      <w:divBdr>
        <w:top w:val="none" w:sz="0" w:space="0" w:color="auto"/>
        <w:left w:val="none" w:sz="0" w:space="0" w:color="auto"/>
        <w:bottom w:val="none" w:sz="0" w:space="0" w:color="auto"/>
        <w:right w:val="none" w:sz="0" w:space="0" w:color="auto"/>
      </w:divBdr>
    </w:div>
    <w:div w:id="1435176674">
      <w:bodyDiv w:val="1"/>
      <w:marLeft w:val="0"/>
      <w:marRight w:val="0"/>
      <w:marTop w:val="0"/>
      <w:marBottom w:val="0"/>
      <w:divBdr>
        <w:top w:val="none" w:sz="0" w:space="0" w:color="auto"/>
        <w:left w:val="none" w:sz="0" w:space="0" w:color="auto"/>
        <w:bottom w:val="none" w:sz="0" w:space="0" w:color="auto"/>
        <w:right w:val="none" w:sz="0" w:space="0" w:color="auto"/>
      </w:divBdr>
      <w:divsChild>
        <w:div w:id="974876299">
          <w:marLeft w:val="0"/>
          <w:marRight w:val="0"/>
          <w:marTop w:val="0"/>
          <w:marBottom w:val="0"/>
          <w:divBdr>
            <w:top w:val="none" w:sz="0" w:space="0" w:color="auto"/>
            <w:left w:val="none" w:sz="0" w:space="0" w:color="auto"/>
            <w:bottom w:val="none" w:sz="0" w:space="0" w:color="auto"/>
            <w:right w:val="none" w:sz="0" w:space="0" w:color="auto"/>
          </w:divBdr>
        </w:div>
        <w:div w:id="1994292035">
          <w:marLeft w:val="0"/>
          <w:marRight w:val="0"/>
          <w:marTop w:val="0"/>
          <w:marBottom w:val="0"/>
          <w:divBdr>
            <w:top w:val="none" w:sz="0" w:space="0" w:color="auto"/>
            <w:left w:val="none" w:sz="0" w:space="0" w:color="auto"/>
            <w:bottom w:val="none" w:sz="0" w:space="0" w:color="auto"/>
            <w:right w:val="none" w:sz="0" w:space="0" w:color="auto"/>
          </w:divBdr>
        </w:div>
      </w:divsChild>
    </w:div>
    <w:div w:id="1472479183">
      <w:bodyDiv w:val="1"/>
      <w:marLeft w:val="0"/>
      <w:marRight w:val="0"/>
      <w:marTop w:val="0"/>
      <w:marBottom w:val="0"/>
      <w:divBdr>
        <w:top w:val="none" w:sz="0" w:space="0" w:color="auto"/>
        <w:left w:val="none" w:sz="0" w:space="0" w:color="auto"/>
        <w:bottom w:val="none" w:sz="0" w:space="0" w:color="auto"/>
        <w:right w:val="none" w:sz="0" w:space="0" w:color="auto"/>
      </w:divBdr>
    </w:div>
    <w:div w:id="1513909230">
      <w:bodyDiv w:val="1"/>
      <w:marLeft w:val="0"/>
      <w:marRight w:val="0"/>
      <w:marTop w:val="0"/>
      <w:marBottom w:val="0"/>
      <w:divBdr>
        <w:top w:val="none" w:sz="0" w:space="0" w:color="auto"/>
        <w:left w:val="none" w:sz="0" w:space="0" w:color="auto"/>
        <w:bottom w:val="none" w:sz="0" w:space="0" w:color="auto"/>
        <w:right w:val="none" w:sz="0" w:space="0" w:color="auto"/>
      </w:divBdr>
    </w:div>
    <w:div w:id="1546408520">
      <w:bodyDiv w:val="1"/>
      <w:marLeft w:val="0"/>
      <w:marRight w:val="0"/>
      <w:marTop w:val="0"/>
      <w:marBottom w:val="0"/>
      <w:divBdr>
        <w:top w:val="none" w:sz="0" w:space="0" w:color="auto"/>
        <w:left w:val="none" w:sz="0" w:space="0" w:color="auto"/>
        <w:bottom w:val="none" w:sz="0" w:space="0" w:color="auto"/>
        <w:right w:val="none" w:sz="0" w:space="0" w:color="auto"/>
      </w:divBdr>
    </w:div>
    <w:div w:id="1551260640">
      <w:bodyDiv w:val="1"/>
      <w:marLeft w:val="0"/>
      <w:marRight w:val="0"/>
      <w:marTop w:val="0"/>
      <w:marBottom w:val="0"/>
      <w:divBdr>
        <w:top w:val="none" w:sz="0" w:space="0" w:color="auto"/>
        <w:left w:val="none" w:sz="0" w:space="0" w:color="auto"/>
        <w:bottom w:val="none" w:sz="0" w:space="0" w:color="auto"/>
        <w:right w:val="none" w:sz="0" w:space="0" w:color="auto"/>
      </w:divBdr>
    </w:div>
    <w:div w:id="1674406266">
      <w:bodyDiv w:val="1"/>
      <w:marLeft w:val="0"/>
      <w:marRight w:val="0"/>
      <w:marTop w:val="0"/>
      <w:marBottom w:val="0"/>
      <w:divBdr>
        <w:top w:val="none" w:sz="0" w:space="0" w:color="auto"/>
        <w:left w:val="none" w:sz="0" w:space="0" w:color="auto"/>
        <w:bottom w:val="none" w:sz="0" w:space="0" w:color="auto"/>
        <w:right w:val="none" w:sz="0" w:space="0" w:color="auto"/>
      </w:divBdr>
    </w:div>
    <w:div w:id="1800144457">
      <w:bodyDiv w:val="1"/>
      <w:marLeft w:val="0"/>
      <w:marRight w:val="0"/>
      <w:marTop w:val="0"/>
      <w:marBottom w:val="0"/>
      <w:divBdr>
        <w:top w:val="none" w:sz="0" w:space="0" w:color="auto"/>
        <w:left w:val="none" w:sz="0" w:space="0" w:color="auto"/>
        <w:bottom w:val="none" w:sz="0" w:space="0" w:color="auto"/>
        <w:right w:val="none" w:sz="0" w:space="0" w:color="auto"/>
      </w:divBdr>
    </w:div>
    <w:div w:id="2021539918">
      <w:bodyDiv w:val="1"/>
      <w:marLeft w:val="0"/>
      <w:marRight w:val="0"/>
      <w:marTop w:val="0"/>
      <w:marBottom w:val="0"/>
      <w:divBdr>
        <w:top w:val="none" w:sz="0" w:space="0" w:color="auto"/>
        <w:left w:val="none" w:sz="0" w:space="0" w:color="auto"/>
        <w:bottom w:val="none" w:sz="0" w:space="0" w:color="auto"/>
        <w:right w:val="none" w:sz="0" w:space="0" w:color="auto"/>
      </w:divBdr>
    </w:div>
    <w:div w:id="207893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m.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ap.mk.gov.lv/lv/mk/tap/?pid=405045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live-work-travel-eu/health/coronavirus-response/recovery-plan-europe_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vid.gov.lv/lv/par-2019-gadu" TargetMode="External"/><Relationship Id="rId1" Type="http://schemas.openxmlformats.org/officeDocument/2006/relationships/hyperlink" Target="https://www.sseriga.edu/sites/default/files/2021-06/SSERiga_Enu_ekonomikas_indekss_2009-2020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DC289-7B98-4F3D-97BE-18F63055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49267</Words>
  <Characters>28083</Characters>
  <Application>Microsoft Office Word</Application>
  <DocSecurity>0</DocSecurity>
  <Lines>234</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Irēna Zvirgzde</dc:creator>
  <cp:keywords/>
  <dc:description/>
  <cp:lastModifiedBy>Anna Mileika</cp:lastModifiedBy>
  <cp:revision>1</cp:revision>
  <dcterms:created xsi:type="dcterms:W3CDTF">2022-04-26T13:15:00Z</dcterms:created>
  <dcterms:modified xsi:type="dcterms:W3CDTF">2022-04-26T13:15:00Z</dcterms:modified>
</cp:coreProperties>
</file>