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6080" w14:textId="6A022290" w:rsidR="009F682D" w:rsidRPr="00945C57" w:rsidRDefault="00945C57">
      <w:pPr>
        <w:pStyle w:val="Heading10"/>
        <w:keepNext/>
        <w:keepLines/>
        <w:shd w:val="clear" w:color="auto" w:fill="auto"/>
        <w:spacing w:after="296" w:line="280" w:lineRule="exact"/>
        <w:ind w:right="20"/>
      </w:pPr>
      <w:bookmarkStart w:id="0" w:name="bookmark0"/>
      <w:bookmarkStart w:id="1" w:name="_Hlk82086587"/>
      <w:r w:rsidRPr="00945C57">
        <w:t>Jautājumi</w:t>
      </w:r>
      <w:r w:rsidR="006D0FBD" w:rsidRPr="00945C57">
        <w:t xml:space="preserve"> un atbildes </w:t>
      </w:r>
      <w:r w:rsidR="006D0FBD" w:rsidRPr="00945C57">
        <w:rPr>
          <w:lang w:eastAsia="en-US" w:bidi="en-US"/>
        </w:rPr>
        <w:t xml:space="preserve">par </w:t>
      </w:r>
      <w:proofErr w:type="spellStart"/>
      <w:r w:rsidR="006D0FBD" w:rsidRPr="00945C57">
        <w:rPr>
          <w:rStyle w:val="Heading1ItalicSpacing0pt"/>
          <w:b/>
          <w:bCs/>
          <w:lang w:val="lv-LV" w:eastAsia="lv-LV" w:bidi="lv-LV"/>
        </w:rPr>
        <w:t>de</w:t>
      </w:r>
      <w:proofErr w:type="spellEnd"/>
      <w:r w:rsidR="006D0FBD" w:rsidRPr="00945C57">
        <w:rPr>
          <w:rStyle w:val="Heading1ItalicSpacing0pt"/>
          <w:b/>
          <w:bCs/>
          <w:lang w:val="lv-LV" w:eastAsia="lv-LV" w:bidi="lv-LV"/>
        </w:rPr>
        <w:t xml:space="preserve"> </w:t>
      </w:r>
      <w:proofErr w:type="spellStart"/>
      <w:r w:rsidR="006D0FBD" w:rsidRPr="00945C57">
        <w:rPr>
          <w:rStyle w:val="Heading1ItalicSpacing0pt"/>
          <w:b/>
          <w:bCs/>
          <w:lang w:val="lv-LV"/>
        </w:rPr>
        <w:t>minimis</w:t>
      </w:r>
      <w:proofErr w:type="spellEnd"/>
      <w:r w:rsidR="006D0FBD" w:rsidRPr="00945C57">
        <w:rPr>
          <w:lang w:eastAsia="en-US" w:bidi="en-US"/>
        </w:rPr>
        <w:t xml:space="preserve"> </w:t>
      </w:r>
      <w:r w:rsidR="006D0FBD" w:rsidRPr="00945C57">
        <w:t>atbalstu</w:t>
      </w:r>
      <w:bookmarkEnd w:id="0"/>
    </w:p>
    <w:p w14:paraId="4D2BBD68" w14:textId="77777777" w:rsidR="009F682D" w:rsidRPr="00945C57" w:rsidRDefault="006D0FBD" w:rsidP="00945C57">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line="220" w:lineRule="exact"/>
        <w:ind w:left="20"/>
      </w:pPr>
      <w:r w:rsidRPr="00945C57">
        <w:t>1.jautājums</w:t>
      </w:r>
    </w:p>
    <w:p w14:paraId="220E0D62" w14:textId="77777777" w:rsidR="009F682D" w:rsidRPr="00945C57" w:rsidRDefault="006D0FBD" w:rsidP="00945C57">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265" w:line="220" w:lineRule="exact"/>
        <w:ind w:left="20" w:firstLine="0"/>
      </w:pPr>
      <w:r w:rsidRPr="00945C57">
        <w:t>Vai nodokļu atvieglojumi ir valsts atbalsts?</w:t>
      </w:r>
    </w:p>
    <w:p w14:paraId="102430D6" w14:textId="77777777" w:rsidR="009F682D" w:rsidRPr="00945C57" w:rsidRDefault="006D0FBD">
      <w:pPr>
        <w:pStyle w:val="Bodytext20"/>
        <w:shd w:val="clear" w:color="auto" w:fill="auto"/>
        <w:spacing w:before="0" w:line="274" w:lineRule="exact"/>
        <w:ind w:left="20"/>
      </w:pPr>
      <w:r w:rsidRPr="00945C57">
        <w:t>1.atbilde</w:t>
      </w:r>
    </w:p>
    <w:p w14:paraId="5772391D" w14:textId="77777777" w:rsidR="009F682D" w:rsidRPr="00945C57" w:rsidRDefault="006D0FBD">
      <w:pPr>
        <w:pStyle w:val="BodyText4"/>
        <w:shd w:val="clear" w:color="auto" w:fill="auto"/>
        <w:spacing w:after="0" w:line="274" w:lineRule="exact"/>
        <w:ind w:left="20" w:right="20" w:firstLine="560"/>
      </w:pPr>
      <w:r w:rsidRPr="00945C57">
        <w:t>Komercdarbības atbalsta kontroles likuma 5.pants nosaka komercdarbības atbalstu raksturojošās pazīmes, lai atbalstu komercdarbības veicināšanai uzskatītu par komercdarbības atbalstu:</w:t>
      </w:r>
    </w:p>
    <w:p w14:paraId="5405F04A" w14:textId="77777777" w:rsidR="009F682D" w:rsidRPr="00945C57" w:rsidRDefault="006D0FBD">
      <w:pPr>
        <w:pStyle w:val="BodyText4"/>
        <w:numPr>
          <w:ilvl w:val="0"/>
          <w:numId w:val="1"/>
        </w:numPr>
        <w:shd w:val="clear" w:color="auto" w:fill="auto"/>
        <w:spacing w:after="0" w:line="293" w:lineRule="exact"/>
        <w:ind w:left="880" w:right="20" w:hanging="280"/>
      </w:pPr>
      <w:r w:rsidRPr="00945C57">
        <w:t xml:space="preserve"> atbalsts tieši vai pastarpināti tiek sniegts no </w:t>
      </w:r>
      <w:r w:rsidRPr="00945C57">
        <w:rPr>
          <w:rStyle w:val="BodyText1"/>
        </w:rPr>
        <w:t>publiskiem resursiem</w:t>
      </w:r>
      <w:r w:rsidRPr="00FD1A88">
        <w:rPr>
          <w:rStyle w:val="BodyText1"/>
          <w:u w:val="none"/>
        </w:rPr>
        <w:t xml:space="preserve"> (v</w:t>
      </w:r>
      <w:r w:rsidRPr="00FD1A88">
        <w:t>alsts</w:t>
      </w:r>
      <w:r w:rsidRPr="00945C57">
        <w:t>, pašvaldības vai Eiropas Savienības līdzekļi). Piemēram, nodokļa likmju un nodokļa atvieglojumu noteikšana samazinās pašvaldības budžeta ienākumus;</w:t>
      </w:r>
    </w:p>
    <w:p w14:paraId="02E03029" w14:textId="2AA97F6B" w:rsidR="009F682D" w:rsidRPr="00945C57" w:rsidRDefault="006D0FBD">
      <w:pPr>
        <w:pStyle w:val="BodyText4"/>
        <w:numPr>
          <w:ilvl w:val="0"/>
          <w:numId w:val="1"/>
        </w:numPr>
        <w:shd w:val="clear" w:color="auto" w:fill="auto"/>
        <w:spacing w:after="0" w:line="274" w:lineRule="exact"/>
        <w:ind w:left="880" w:right="20" w:hanging="280"/>
      </w:pPr>
      <w:r w:rsidRPr="00945C57">
        <w:t xml:space="preserve"> atbalstu saņēmušais saimnieciskās darbības veicējs iegūst ekonomiskas priekšrocības, kādas t</w:t>
      </w:r>
      <w:r w:rsidR="00945C57">
        <w:t>as</w:t>
      </w:r>
      <w:r w:rsidRPr="00945C57">
        <w:t xml:space="preserve"> nevarētu iegūt normālos komercdarbības veikšanas apstākļos </w:t>
      </w:r>
      <w:r w:rsidRPr="00945C57">
        <w:rPr>
          <w:rStyle w:val="BodyText1"/>
        </w:rPr>
        <w:t>(</w:t>
      </w:r>
      <w:r w:rsidRPr="00FD1A88">
        <w:rPr>
          <w:rStyle w:val="BodyText1"/>
        </w:rPr>
        <w:t>ekonomiska</w:t>
      </w:r>
      <w:r w:rsidRPr="00FD1A88">
        <w:rPr>
          <w:u w:val="single"/>
        </w:rPr>
        <w:t xml:space="preserve"> </w:t>
      </w:r>
      <w:r w:rsidRPr="00FD1A88">
        <w:rPr>
          <w:rStyle w:val="BodyText1"/>
        </w:rPr>
        <w:t>priekšrocība</w:t>
      </w:r>
      <w:r w:rsidRPr="00945C57">
        <w:rPr>
          <w:rStyle w:val="BodyText1"/>
        </w:rPr>
        <w:t>);</w:t>
      </w:r>
    </w:p>
    <w:p w14:paraId="6DA4503C" w14:textId="77777777" w:rsidR="009F682D" w:rsidRPr="00945C57" w:rsidRDefault="006D0FBD">
      <w:pPr>
        <w:pStyle w:val="BodyText4"/>
        <w:numPr>
          <w:ilvl w:val="0"/>
          <w:numId w:val="1"/>
        </w:numPr>
        <w:shd w:val="clear" w:color="auto" w:fill="auto"/>
        <w:spacing w:after="0" w:line="274" w:lineRule="exact"/>
        <w:ind w:left="880" w:right="20" w:hanging="280"/>
      </w:pPr>
      <w:r w:rsidRPr="00945C57">
        <w:t xml:space="preserve"> atbalsts neattiecas uz visiem saimnieciskās darbības veicējiem vienādi. Atbalsts ir paredzēts saimnieciskās darbības veicējiem atkarībā no to lieluma, darbības nozares vai atrašanās vietas, kā arī citiem diferencējošiem kritērijiem vai arī atbalsts ir paredzēts tikai konkrētam saimnieciskās darbības veicējam </w:t>
      </w:r>
      <w:r w:rsidRPr="00945C57">
        <w:rPr>
          <w:rStyle w:val="BodyText1"/>
        </w:rPr>
        <w:t>(selektivitāte).</w:t>
      </w:r>
    </w:p>
    <w:p w14:paraId="53A7089B" w14:textId="77777777" w:rsidR="009F682D" w:rsidRPr="00945C57" w:rsidRDefault="006D0FBD">
      <w:pPr>
        <w:pStyle w:val="BodyText4"/>
        <w:numPr>
          <w:ilvl w:val="0"/>
          <w:numId w:val="1"/>
        </w:numPr>
        <w:shd w:val="clear" w:color="auto" w:fill="auto"/>
        <w:spacing w:after="0" w:line="274" w:lineRule="exact"/>
        <w:ind w:left="880" w:right="20" w:hanging="280"/>
      </w:pPr>
      <w:r w:rsidRPr="00945C57">
        <w:t xml:space="preserve"> atbalsts ietekmē dalībvalstu savstarpējo konkurenci un tirdzniecību Kopienas iekšējā tirgū </w:t>
      </w:r>
      <w:r w:rsidRPr="00945C57">
        <w:rPr>
          <w:rStyle w:val="BodyText1"/>
        </w:rPr>
        <w:t>(ietekme uz konkurenci un tirdzniecību)</w:t>
      </w:r>
      <w:r w:rsidRPr="00945C57">
        <w:t>. Šajā saistībā pietiek, ja var pierādīt, ka finansējuma saņēmējs ir iesaistīts saimnieciskā darbībā (ekonomisku aktivitāšu īstenošanā) un ka tas darbojas tirgū, kur notiek dalībvalstu savstarpējā tirdzniecība. Šajā kontekstā saņēmēja raksturojums nav svarīgs (saimnieciskās darbībās var iesaistīties arī bezpeļņas organizācija).</w:t>
      </w:r>
    </w:p>
    <w:p w14:paraId="4A0207FC" w14:textId="77777777" w:rsidR="009F682D" w:rsidRPr="00945C57" w:rsidRDefault="006D0FBD">
      <w:pPr>
        <w:pStyle w:val="Bodytext20"/>
        <w:shd w:val="clear" w:color="auto" w:fill="auto"/>
        <w:spacing w:before="0" w:line="293" w:lineRule="exact"/>
        <w:ind w:left="20" w:right="20" w:firstLine="560"/>
      </w:pPr>
      <w:r w:rsidRPr="00945C57">
        <w:rPr>
          <w:rStyle w:val="Bodytext2NotBold"/>
        </w:rPr>
        <w:t xml:space="preserve">Ja izpildās visi iepriekš minētie kritēriji, </w:t>
      </w:r>
      <w:r w:rsidRPr="00945C57">
        <w:t>nodokļa atvieglojumu noteikšana saimnieciskās darbības veicējiem klasificējas kā valsts atbalsts, un pašvaldībai ir jāievēro valsts atbalsta normas.</w:t>
      </w:r>
    </w:p>
    <w:p w14:paraId="4AF93B0B" w14:textId="77777777" w:rsidR="009F682D" w:rsidRPr="00945C57" w:rsidRDefault="006D0FBD" w:rsidP="00FD1A88">
      <w:pPr>
        <w:pStyle w:val="Bodytext20"/>
        <w:shd w:val="clear" w:color="auto" w:fill="auto"/>
        <w:spacing w:before="0" w:after="240" w:line="274" w:lineRule="exact"/>
        <w:ind w:left="20" w:right="20"/>
      </w:pPr>
      <w:r w:rsidRPr="00945C57">
        <w:rPr>
          <w:rStyle w:val="Bodytext2NotBold"/>
        </w:rPr>
        <w:t xml:space="preserve">Lai šādu </w:t>
      </w:r>
      <w:r w:rsidRPr="00945C57">
        <w:t>valsts atbalstu uzskatītu par saderīgu ar Eiropas Savienības iekšējo tirgu</w:t>
      </w:r>
      <w:r w:rsidRPr="00945C57">
        <w:rPr>
          <w:rStyle w:val="Bodytext2NotBold"/>
        </w:rPr>
        <w:t xml:space="preserve">, pašvaldība, kā vienu no valsts atbalsta mērķiem var piemērot </w:t>
      </w:r>
      <w:proofErr w:type="spellStart"/>
      <w:r w:rsidRPr="00945C57">
        <w:rPr>
          <w:rStyle w:val="Bodytext2NotBoldItalic"/>
        </w:rPr>
        <w:t>de</w:t>
      </w:r>
      <w:proofErr w:type="spellEnd"/>
      <w:r w:rsidRPr="00945C57">
        <w:rPr>
          <w:rStyle w:val="Bodytext2NotBoldItalic"/>
        </w:rPr>
        <w:t xml:space="preserve"> </w:t>
      </w:r>
      <w:proofErr w:type="spellStart"/>
      <w:r w:rsidRPr="00945C57">
        <w:rPr>
          <w:rStyle w:val="Bodytext2NotBoldItalic"/>
        </w:rPr>
        <w:t>minimis</w:t>
      </w:r>
      <w:proofErr w:type="spellEnd"/>
      <w:r w:rsidRPr="00945C57">
        <w:rPr>
          <w:rStyle w:val="Bodytext2NotBold"/>
        </w:rPr>
        <w:t xml:space="preserve"> </w:t>
      </w:r>
      <w:r w:rsidRPr="00945C57">
        <w:t>atbalsta regulējumu</w:t>
      </w:r>
      <w:r w:rsidRPr="00945C57">
        <w:rPr>
          <w:vertAlign w:val="superscript"/>
        </w:rPr>
        <w:footnoteReference w:id="1"/>
      </w:r>
      <w:r w:rsidRPr="00945C57">
        <w:rPr>
          <w:rStyle w:val="Bodytext2NotBold"/>
        </w:rPr>
        <w:t>.</w:t>
      </w:r>
    </w:p>
    <w:p w14:paraId="565AEF6F" w14:textId="77777777" w:rsidR="009F682D" w:rsidRPr="00945C57" w:rsidRDefault="006D0FBD" w:rsidP="00945C57">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line="274" w:lineRule="exact"/>
        <w:ind w:left="20"/>
      </w:pPr>
      <w:r w:rsidRPr="00945C57">
        <w:t>2.jautājums</w:t>
      </w:r>
    </w:p>
    <w:p w14:paraId="176B6006" w14:textId="52CE6029" w:rsidR="009F682D" w:rsidRPr="00945C57" w:rsidRDefault="006D0FBD" w:rsidP="00945C57">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tabs>
          <w:tab w:val="right" w:pos="3673"/>
          <w:tab w:val="right" w:pos="9073"/>
        </w:tabs>
        <w:spacing w:after="0" w:line="274" w:lineRule="exact"/>
        <w:ind w:left="20" w:firstLine="0"/>
      </w:pPr>
      <w:r w:rsidRPr="00945C57">
        <w:t>Vai valsts atbalsta</w:t>
      </w:r>
      <w:r w:rsidR="00945C57" w:rsidRPr="00945C57">
        <w:t xml:space="preserve"> </w:t>
      </w:r>
      <w:r w:rsidRPr="00945C57">
        <w:t>prasības</w:t>
      </w:r>
      <w:r w:rsidR="00945C57" w:rsidRPr="00945C57">
        <w:t xml:space="preserve"> </w:t>
      </w:r>
      <w:r w:rsidRPr="00945C57">
        <w:tab/>
        <w:t>var tikt attiecinātas</w:t>
      </w:r>
      <w:r w:rsidR="00945C57" w:rsidRPr="00945C57">
        <w:t xml:space="preserve"> </w:t>
      </w:r>
      <w:r w:rsidRPr="00945C57">
        <w:t>arī uz fiziskām</w:t>
      </w:r>
      <w:r w:rsidR="00945C57" w:rsidRPr="00945C57">
        <w:t xml:space="preserve"> </w:t>
      </w:r>
      <w:r w:rsidRPr="00945C57">
        <w:t>personām</w:t>
      </w:r>
      <w:r w:rsidR="00945C57" w:rsidRPr="00945C57">
        <w:t xml:space="preserve">, </w:t>
      </w:r>
      <w:r w:rsidRPr="00945C57">
        <w:t>nodibinājumiem</w:t>
      </w:r>
      <w:r w:rsidR="00945C57" w:rsidRPr="00945C57">
        <w:t xml:space="preserve"> vai </w:t>
      </w:r>
      <w:r w:rsidRPr="00945C57">
        <w:t>biedrībām?</w:t>
      </w:r>
    </w:p>
    <w:p w14:paraId="10971548" w14:textId="77777777" w:rsidR="00945C57" w:rsidRPr="00945C57" w:rsidRDefault="00945C57">
      <w:pPr>
        <w:pStyle w:val="Bodytext20"/>
        <w:shd w:val="clear" w:color="auto" w:fill="auto"/>
        <w:spacing w:before="0" w:line="274" w:lineRule="exact"/>
        <w:ind w:left="20"/>
      </w:pPr>
    </w:p>
    <w:p w14:paraId="0D4F977B" w14:textId="30A04C2D" w:rsidR="009F682D" w:rsidRPr="00945C57" w:rsidRDefault="006D0FBD">
      <w:pPr>
        <w:pStyle w:val="Bodytext20"/>
        <w:shd w:val="clear" w:color="auto" w:fill="auto"/>
        <w:spacing w:before="0" w:line="274" w:lineRule="exact"/>
        <w:ind w:left="20"/>
      </w:pPr>
      <w:r w:rsidRPr="00945C57">
        <w:t>2.atbilde</w:t>
      </w:r>
    </w:p>
    <w:p w14:paraId="4173003B" w14:textId="5EE89753" w:rsidR="009F682D" w:rsidRPr="00945C57" w:rsidRDefault="006D0FBD">
      <w:pPr>
        <w:pStyle w:val="BodyText4"/>
        <w:shd w:val="clear" w:color="auto" w:fill="auto"/>
        <w:spacing w:after="0" w:line="274" w:lineRule="exact"/>
        <w:ind w:left="20" w:right="20" w:firstLine="700"/>
      </w:pPr>
      <w:r w:rsidRPr="00945C57">
        <w:t xml:space="preserve">Jā, komercdarbības atbalsta kontroles normas ir attiecināmas arī uz fiziskām personām, biedrībām un nodibinājumiem, ja tie veic saimniecisku darbību. Norādām, ka Komercdarbības atbalsta kontroles likuma 1.panta </w:t>
      </w:r>
      <w:r w:rsidR="008C48BE">
        <w:t>otrās</w:t>
      </w:r>
      <w:r w:rsidRPr="00945C57">
        <w:t xml:space="preserve"> daļas </w:t>
      </w:r>
      <w:r w:rsidR="008C48BE">
        <w:t>10</w:t>
      </w:r>
      <w:r w:rsidRPr="00945C57">
        <w:t xml:space="preserve">.apakšpunktā ir noteikta jēdziena “komercsabiedrība” definīcija, proti, par komercsabiedrību komercdarbības atbalsta kontekstā ir saprotama fiziskā persona, juridiskā persona vai šādu personu apvienība </w:t>
      </w:r>
      <w:r w:rsidRPr="00945C57">
        <w:rPr>
          <w:rStyle w:val="BodyText1"/>
        </w:rPr>
        <w:t>neatkarīgi no tās</w:t>
      </w:r>
      <w:r w:rsidRPr="00945C57">
        <w:t xml:space="preserve"> </w:t>
      </w:r>
      <w:r w:rsidRPr="00945C57">
        <w:rPr>
          <w:rStyle w:val="BodyText1"/>
        </w:rPr>
        <w:t>īpašuma formas un darbības veida,</w:t>
      </w:r>
      <w:r w:rsidRPr="00945C57">
        <w:t xml:space="preserve"> kura veic vai gatavojas veikt komercdarbību.</w:t>
      </w:r>
    </w:p>
    <w:p w14:paraId="0C1E21B1" w14:textId="77777777" w:rsidR="00945C57" w:rsidRPr="00945C57" w:rsidRDefault="00945C57">
      <w:pPr>
        <w:pStyle w:val="Bodytext20"/>
        <w:shd w:val="clear" w:color="auto" w:fill="auto"/>
        <w:spacing w:before="0" w:after="13" w:line="220" w:lineRule="exact"/>
        <w:ind w:left="20"/>
        <w:jc w:val="left"/>
      </w:pPr>
    </w:p>
    <w:p w14:paraId="73DCBA43" w14:textId="1F2D86FD" w:rsidR="009F682D" w:rsidRPr="00945C57" w:rsidRDefault="006D0FBD" w:rsidP="00945C57">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after="13" w:line="220" w:lineRule="exact"/>
        <w:ind w:left="20"/>
        <w:jc w:val="left"/>
      </w:pPr>
      <w:r w:rsidRPr="00945C57">
        <w:t>3.jaut</w:t>
      </w:r>
      <w:r w:rsidR="00945C57" w:rsidRPr="00945C57">
        <w:t>ā</w:t>
      </w:r>
      <w:r w:rsidRPr="00945C57">
        <w:t>ju</w:t>
      </w:r>
      <w:r w:rsidR="00945C57" w:rsidRPr="00945C57">
        <w:t>m</w:t>
      </w:r>
      <w:r w:rsidRPr="00945C57">
        <w:t>s</w:t>
      </w:r>
    </w:p>
    <w:p w14:paraId="75E28C94" w14:textId="77777777" w:rsidR="009F682D" w:rsidRPr="00945C57" w:rsidRDefault="006D0FBD" w:rsidP="00945C57">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265" w:line="220" w:lineRule="exact"/>
        <w:ind w:left="20" w:firstLine="0"/>
        <w:jc w:val="left"/>
      </w:pPr>
      <w:r w:rsidRPr="00945C57">
        <w:t xml:space="preserve">Kāds </w:t>
      </w:r>
      <w:r w:rsidRPr="00945C57">
        <w:rPr>
          <w:lang w:eastAsia="es-ES" w:bidi="es-ES"/>
        </w:rPr>
        <w:t xml:space="preserve">ir </w:t>
      </w:r>
      <w:proofErr w:type="spellStart"/>
      <w:r w:rsidRPr="00945C57">
        <w:rPr>
          <w:rStyle w:val="BodytextItalic"/>
          <w:lang w:eastAsia="es-ES" w:bidi="es-ES"/>
        </w:rPr>
        <w:t>de</w:t>
      </w:r>
      <w:proofErr w:type="spellEnd"/>
      <w:r w:rsidRPr="00945C57">
        <w:rPr>
          <w:rStyle w:val="BodytextItalic"/>
          <w:lang w:eastAsia="es-ES" w:bidi="es-ES"/>
        </w:rPr>
        <w:t xml:space="preserve"> </w:t>
      </w:r>
      <w:proofErr w:type="spellStart"/>
      <w:r w:rsidRPr="00945C57">
        <w:rPr>
          <w:rStyle w:val="BodytextItalic"/>
          <w:lang w:eastAsia="es-ES" w:bidi="es-ES"/>
        </w:rPr>
        <w:t>minimis</w:t>
      </w:r>
      <w:proofErr w:type="spellEnd"/>
      <w:r w:rsidRPr="00945C57">
        <w:rPr>
          <w:lang w:eastAsia="es-ES" w:bidi="es-ES"/>
        </w:rPr>
        <w:t xml:space="preserve"> </w:t>
      </w:r>
      <w:r w:rsidRPr="00945C57">
        <w:t>atbalsta slieksnis?</w:t>
      </w:r>
    </w:p>
    <w:p w14:paraId="0F380DDE" w14:textId="77777777" w:rsidR="009F682D" w:rsidRPr="00945C57" w:rsidRDefault="006D0FBD">
      <w:pPr>
        <w:pStyle w:val="Bodytext20"/>
        <w:shd w:val="clear" w:color="auto" w:fill="auto"/>
        <w:spacing w:before="0" w:line="274" w:lineRule="exact"/>
        <w:ind w:left="20"/>
        <w:jc w:val="left"/>
      </w:pPr>
      <w:r w:rsidRPr="00945C57">
        <w:t>3.atbilde</w:t>
      </w:r>
    </w:p>
    <w:p w14:paraId="7478BA1D" w14:textId="77777777" w:rsidR="009F682D" w:rsidRPr="00945C57" w:rsidRDefault="006D0FBD">
      <w:pPr>
        <w:pStyle w:val="BodyText4"/>
        <w:shd w:val="clear" w:color="auto" w:fill="auto"/>
        <w:spacing w:after="0" w:line="274" w:lineRule="exact"/>
        <w:ind w:left="20" w:right="20" w:firstLine="720"/>
      </w:pPr>
      <w:r w:rsidRPr="00945C57">
        <w:t xml:space="preserve">Komisijas regulas (ES) Nr.1407/2013 (2013.gada 18.decembris) par Līguma par Eiropas Savienības darbību 107. un 108.panta piemērošanu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atbalstam 3.panta 2.punkts nosaka, ka </w:t>
      </w:r>
      <w:r w:rsidRPr="00945C57">
        <w:lastRenderedPageBreak/>
        <w:t xml:space="preserve">kopējais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atbalsts, ko viena dalībvalsts piešķīrusi vienam vienotam uzņēmumam, jebkurā triju fiskālo gadu periodā nedrīkst pārsniegt 200 000 </w:t>
      </w:r>
      <w:proofErr w:type="spellStart"/>
      <w:r w:rsidRPr="00945C57">
        <w:t>euro</w:t>
      </w:r>
      <w:proofErr w:type="spellEnd"/>
      <w:r w:rsidRPr="00945C57">
        <w:t xml:space="preserve">, savukārt attiecībā uz autotransporta uzņēmumiem, kas nodarbojas ar kravu komercpārvadājumiem - 100 000 </w:t>
      </w:r>
      <w:proofErr w:type="spellStart"/>
      <w:r w:rsidRPr="00945C57">
        <w:t>euro</w:t>
      </w:r>
      <w:proofErr w:type="spellEnd"/>
      <w:r w:rsidRPr="00945C57">
        <w:t>.</w:t>
      </w:r>
    </w:p>
    <w:p w14:paraId="5688DAC7" w14:textId="74ED9DC8" w:rsidR="009F682D" w:rsidRPr="00945C57" w:rsidRDefault="006D0FBD">
      <w:pPr>
        <w:pStyle w:val="BodyText4"/>
        <w:shd w:val="clear" w:color="auto" w:fill="auto"/>
        <w:spacing w:after="0" w:line="274" w:lineRule="exact"/>
        <w:ind w:left="20" w:right="20" w:firstLine="720"/>
      </w:pPr>
      <w:r w:rsidRPr="00945C57">
        <w:t xml:space="preserve">Savukārt Komisijas (ES) Nr.360/2012 (2012.gada 25.aprīlis) par Līguma par Eiropas Savienības darbību 107. un 108.panta piemērošanu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atbalstam, ko piešķir uzņēmumiem, kuri sniedz pakalpojumus ar vispārēju tautsaimniecisku nozīmi </w:t>
      </w:r>
      <w:r w:rsidR="003E035E">
        <w:t>(piemēram, ūdensapgādes un kanalizācijas pakalpojums, siltumapgādes pakalpojums vai universālā pasta pakalpojums)</w:t>
      </w:r>
      <w:r w:rsidRPr="00945C57">
        <w:t xml:space="preserve">, 2.panta 2.punktam kopējais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rPr>
          <w:rStyle w:val="BodytextItalic"/>
        </w:rPr>
        <w:t xml:space="preserve"> </w:t>
      </w:r>
      <w:r w:rsidRPr="00945C57">
        <w:t>atbalsts, kas piešķirts jebkuram uzņēmuma</w:t>
      </w:r>
      <w:r w:rsidR="008C48BE">
        <w:t>m</w:t>
      </w:r>
      <w:r w:rsidRPr="00945C57">
        <w:t xml:space="preserve">, kas sniedz pakalpojumu par vispārēju tautsaimniecisku nozīmi, nedrīkst pārsniegt 500 </w:t>
      </w:r>
      <w:r w:rsidR="00A06FD8">
        <w:t>0</w:t>
      </w:r>
      <w:r w:rsidRPr="00945C57">
        <w:t xml:space="preserve">00 </w:t>
      </w:r>
      <w:proofErr w:type="spellStart"/>
      <w:r w:rsidRPr="00945C57">
        <w:t>euro</w:t>
      </w:r>
      <w:proofErr w:type="spellEnd"/>
      <w:r w:rsidRPr="00945C57">
        <w:t xml:space="preserve"> jebkurā trīs fiskālo gadu periodā.</w:t>
      </w:r>
    </w:p>
    <w:p w14:paraId="5B3DE207" w14:textId="77777777" w:rsidR="009F682D" w:rsidRPr="00945C57" w:rsidRDefault="006D0FBD">
      <w:pPr>
        <w:pStyle w:val="BodyText4"/>
        <w:shd w:val="clear" w:color="auto" w:fill="auto"/>
        <w:spacing w:after="283" w:line="274" w:lineRule="exact"/>
        <w:ind w:left="20" w:right="20" w:firstLine="720"/>
      </w:pPr>
      <w:r w:rsidRPr="00945C57">
        <w:t xml:space="preserve">Vienlaicīgi vēršam uzmanību, ka specifiski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sliekšņi pastāv attiecībā uz lauksaimniecības, t.i., primārās lauksaimniecības, nozari, kā arī attiecībā uz zvejniecības un akvakultūras nozari.</w:t>
      </w:r>
    </w:p>
    <w:p w14:paraId="7015094C" w14:textId="2D6E56AA" w:rsidR="009F682D" w:rsidRPr="00945C57" w:rsidRDefault="006D0FBD" w:rsidP="00945C57">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after="13" w:line="220" w:lineRule="exact"/>
        <w:ind w:left="20"/>
        <w:jc w:val="left"/>
      </w:pPr>
      <w:r w:rsidRPr="00945C57">
        <w:t>4.jaut</w:t>
      </w:r>
      <w:r w:rsidR="00945C57" w:rsidRPr="00945C57">
        <w:t>ā</w:t>
      </w:r>
      <w:r w:rsidRPr="00945C57">
        <w:t>jums</w:t>
      </w:r>
    </w:p>
    <w:p w14:paraId="721291E2" w14:textId="77777777" w:rsidR="009F682D" w:rsidRPr="00945C57" w:rsidRDefault="006D0FBD" w:rsidP="00945C57">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265" w:line="220" w:lineRule="exact"/>
        <w:ind w:left="20" w:firstLine="0"/>
        <w:jc w:val="left"/>
      </w:pPr>
      <w:r w:rsidRPr="00945C57">
        <w:t>Kas ir “vispārējas tautsaimnieciskas nozīmes pakalpojums”, “sabiedriskais pakalpojums”?</w:t>
      </w:r>
    </w:p>
    <w:p w14:paraId="4D736CE2" w14:textId="77777777" w:rsidR="009F682D" w:rsidRPr="00945C57" w:rsidRDefault="006D0FBD">
      <w:pPr>
        <w:pStyle w:val="Bodytext20"/>
        <w:shd w:val="clear" w:color="auto" w:fill="auto"/>
        <w:spacing w:before="0" w:line="274" w:lineRule="exact"/>
        <w:ind w:left="20"/>
        <w:jc w:val="left"/>
      </w:pPr>
      <w:r w:rsidRPr="00945C57">
        <w:t>4.atbilde</w:t>
      </w:r>
    </w:p>
    <w:p w14:paraId="6024F596" w14:textId="5FC44F73" w:rsidR="009F682D" w:rsidRPr="00945C57" w:rsidRDefault="006D0FBD">
      <w:pPr>
        <w:pStyle w:val="BodyText4"/>
        <w:shd w:val="clear" w:color="auto" w:fill="auto"/>
        <w:spacing w:after="283" w:line="274" w:lineRule="exact"/>
        <w:ind w:left="20" w:right="20" w:firstLine="720"/>
      </w:pPr>
      <w:r w:rsidRPr="00945C57">
        <w:t>Vispārējās tautsaimnieciskas nozīmes pakalpojuma (VTNP) jēdziens ir izmantots Līguma par Eiropas Savienības darbību</w:t>
      </w:r>
      <w:r w:rsidR="00F65CB9">
        <w:t xml:space="preserve"> (LESD)</w:t>
      </w:r>
      <w:r w:rsidRPr="00945C57">
        <w:t xml:space="preserve"> 14.pantā un 106.panta 2.punktā, kā arī LESD 26.protokolā, tomēr tas nav definēts LESD. Eiropas Savienības praksē </w:t>
      </w:r>
      <w:r w:rsidR="00A06FD8" w:rsidRPr="00945C57">
        <w:t>pārsvarā</w:t>
      </w:r>
      <w:r w:rsidRPr="00945C57">
        <w:t xml:space="preserve"> ir atrodama atsauce uz pakalpojumiem ar vispārēju tautsaimniecisku nozīmi, kuriem dalībvalstu valsts iestādes valsts, reģionālā vai vietējā līmenī - atkarībā no valsts tiesību aktos paredzētā kompetenču sadalījuma - piemēro īpašus sabiedrisko pakalpojumu sniegšanas pienākumus</w:t>
      </w:r>
      <w:r w:rsidR="00F65CB9">
        <w:t xml:space="preserve"> (piemēram, ūdensapgādes un kanalizācijas pakalpojums, siltumapgādes pakalpojums vai universālā pasta pakalpojums)</w:t>
      </w:r>
      <w:r w:rsidRPr="00945C57">
        <w:t>, piešķirot pilnvarojumu un saskaņā ar vispārējas nozīmes kritēriju, lai nodrošinātu, ka šie pakalpojumi tiek sniegti nosacījumos, kas ne vienmēr ir tirgū dominējošie nosacījumi. Ja VTNP saturs - tas ir, sabiedrisko pakalpojumu sniegšanas pienākums - ir skaidri noteikts, attiecīgajam pakalpojumam obligāti nav jāpiešķir “VTNP” nosaukums, līdz ar to tos var dēvēt arī par “sabiedriskajiem pakalpojumiem” u.tml.</w:t>
      </w:r>
      <w:r w:rsidRPr="00945C57">
        <w:rPr>
          <w:vertAlign w:val="superscript"/>
        </w:rPr>
        <w:footnoteReference w:id="2"/>
      </w:r>
    </w:p>
    <w:p w14:paraId="04EE7362" w14:textId="77777777" w:rsidR="009F682D" w:rsidRPr="00945C57" w:rsidRDefault="006D0FBD" w:rsidP="008C48BE">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after="13" w:line="220" w:lineRule="exact"/>
        <w:ind w:left="20"/>
        <w:jc w:val="left"/>
      </w:pPr>
      <w:r w:rsidRPr="00945C57">
        <w:t>5.jautājums</w:t>
      </w:r>
    </w:p>
    <w:p w14:paraId="4ACD1BB1" w14:textId="77777777" w:rsidR="009F682D" w:rsidRPr="00945C57" w:rsidRDefault="006D0FBD" w:rsidP="008C48BE">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20" w:lineRule="exact"/>
        <w:ind w:left="20" w:firstLine="0"/>
        <w:jc w:val="left"/>
      </w:pPr>
      <w:r w:rsidRPr="00945C57">
        <w:t>Kas ir “viens vienots uzņēmums”?</w:t>
      </w:r>
    </w:p>
    <w:p w14:paraId="644CA3C9" w14:textId="77777777" w:rsidR="00A06FD8" w:rsidRDefault="00A06FD8">
      <w:pPr>
        <w:pStyle w:val="Bodytext20"/>
        <w:shd w:val="clear" w:color="auto" w:fill="auto"/>
        <w:spacing w:before="0" w:line="274" w:lineRule="exact"/>
        <w:ind w:left="20"/>
        <w:jc w:val="left"/>
      </w:pPr>
    </w:p>
    <w:p w14:paraId="39AC2BC5" w14:textId="0C744A22" w:rsidR="009F682D" w:rsidRPr="00945C57" w:rsidRDefault="006D0FBD">
      <w:pPr>
        <w:pStyle w:val="Bodytext20"/>
        <w:shd w:val="clear" w:color="auto" w:fill="auto"/>
        <w:spacing w:before="0" w:line="274" w:lineRule="exact"/>
        <w:ind w:left="20"/>
        <w:jc w:val="left"/>
      </w:pPr>
      <w:r w:rsidRPr="00945C57">
        <w:t>5.atbilde</w:t>
      </w:r>
    </w:p>
    <w:p w14:paraId="1D17EF92" w14:textId="77777777" w:rsidR="009F682D" w:rsidRPr="00945C57" w:rsidRDefault="006D0FBD">
      <w:pPr>
        <w:pStyle w:val="BodyText4"/>
        <w:shd w:val="clear" w:color="auto" w:fill="auto"/>
        <w:spacing w:after="0" w:line="274" w:lineRule="exact"/>
        <w:ind w:left="20" w:right="20" w:firstLine="720"/>
      </w:pP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kontekstā tiek lietota vienkāršotā “viena vienota uzņēmuma” definīcija, kas noteikta Komisijas (ES) regulas Nr.1407/2013 (2013.gada 18.decembris) par Līguma par Eiropas Savienības darbību 107. un 108.panta piemērošanu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atbalstam 2.panta 2.punktā, t.i., viens vienots uzņēmums ir tāds uzņēmums, kas ietver visus uzņēmumus, kuru starpā pastāv vienas no šādām attiecībām:</w:t>
      </w:r>
    </w:p>
    <w:p w14:paraId="3A4E870F" w14:textId="77777777" w:rsidR="009F682D" w:rsidRPr="00945C57" w:rsidRDefault="006D0FBD">
      <w:pPr>
        <w:pStyle w:val="BodyText4"/>
        <w:numPr>
          <w:ilvl w:val="0"/>
          <w:numId w:val="2"/>
        </w:numPr>
        <w:shd w:val="clear" w:color="auto" w:fill="auto"/>
        <w:spacing w:after="0" w:line="274" w:lineRule="exact"/>
        <w:ind w:left="720"/>
        <w:jc w:val="left"/>
      </w:pPr>
      <w:r w:rsidRPr="00945C57">
        <w:t xml:space="preserve"> vienam uzņēmumam ir akcionāru vai dalībnieku balsstiesību vairākums citā uzņēmumā;</w:t>
      </w:r>
    </w:p>
    <w:p w14:paraId="71A02E2D" w14:textId="77777777" w:rsidR="009F682D" w:rsidRPr="00945C57" w:rsidRDefault="006D0FBD">
      <w:pPr>
        <w:pStyle w:val="BodyText4"/>
        <w:numPr>
          <w:ilvl w:val="0"/>
          <w:numId w:val="2"/>
        </w:numPr>
        <w:shd w:val="clear" w:color="auto" w:fill="auto"/>
        <w:spacing w:after="0" w:line="274" w:lineRule="exact"/>
        <w:ind w:left="720" w:right="20"/>
        <w:jc w:val="left"/>
      </w:pPr>
      <w:r w:rsidRPr="00945C57">
        <w:t xml:space="preserve"> vienam uzņēmumam ir tiesības iecelt vai atlaist cita uzņēmuma pārvaldes, vadības vai uzraudzības struktūras locekļu vairākumu;</w:t>
      </w:r>
    </w:p>
    <w:p w14:paraId="29186B7C" w14:textId="77777777" w:rsidR="009F682D" w:rsidRPr="00945C57" w:rsidRDefault="006D0FBD">
      <w:pPr>
        <w:pStyle w:val="BodyText4"/>
        <w:numPr>
          <w:ilvl w:val="0"/>
          <w:numId w:val="2"/>
        </w:numPr>
        <w:shd w:val="clear" w:color="auto" w:fill="auto"/>
        <w:spacing w:after="0" w:line="274" w:lineRule="exact"/>
        <w:ind w:left="720" w:right="20"/>
      </w:pPr>
      <w:r w:rsidRPr="00945C57">
        <w:t xml:space="preserve"> vienam uzņēmumam ir tiesības īstenot dominējošu ietekmi pār citu uzņēmumu saskaņā ar līgumu, kas noslēgts ar šo uzņēmumu, vai saskaņā ar tā dibināšanas līguma klauzulu vai statūtiem;</w:t>
      </w:r>
    </w:p>
    <w:p w14:paraId="28E046B2" w14:textId="77777777" w:rsidR="009F682D" w:rsidRPr="00945C57" w:rsidRDefault="006D0FBD">
      <w:pPr>
        <w:pStyle w:val="BodyText4"/>
        <w:numPr>
          <w:ilvl w:val="0"/>
          <w:numId w:val="2"/>
        </w:numPr>
        <w:shd w:val="clear" w:color="auto" w:fill="auto"/>
        <w:spacing w:after="0" w:line="274" w:lineRule="exact"/>
        <w:ind w:left="720" w:right="20"/>
      </w:pPr>
      <w:r w:rsidRPr="00945C57">
        <w:t xml:space="preserve"> 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3F04DB8D" w14:textId="3277EFC0" w:rsidR="009F682D" w:rsidRDefault="006D0FBD">
      <w:pPr>
        <w:pStyle w:val="BodyText4"/>
        <w:shd w:val="clear" w:color="auto" w:fill="auto"/>
        <w:spacing w:after="0" w:line="274" w:lineRule="exact"/>
        <w:ind w:left="20" w:right="20" w:firstLine="360"/>
      </w:pPr>
      <w:r w:rsidRPr="00945C57">
        <w:t xml:space="preserve">Uzņēmumi, kuriem kādas no a) līdz d) apakšpunktos minētajām attiecībām pastāv ar viena vai vairāku citu uzņēmumu starpniecību, arī ir uzskatāmi par vienu vienotu uzņēmumu. Norādām, ka </w:t>
      </w:r>
      <w:r w:rsidRPr="00945C57">
        <w:lastRenderedPageBreak/>
        <w:t xml:space="preserve">attiecībā uz uzņēmumiem, kas pieder (vai ir cita veida ietekme uzņēmumos atbilstoši Komisijas regulas Nr.1407/2013 2.panta 2.punktā minētajiem kritērijiem) fiziskām personām, valsts atbalsta noteikumi ir piemērojami tikai gadījumos, kad minētās fiziskās personas klasificējas kā “uzņēmums”. </w:t>
      </w:r>
    </w:p>
    <w:p w14:paraId="169EFFB5" w14:textId="0AD12975" w:rsidR="00F65CB9" w:rsidRPr="00945C57" w:rsidRDefault="00F65CB9">
      <w:pPr>
        <w:pStyle w:val="BodyText4"/>
        <w:shd w:val="clear" w:color="auto" w:fill="auto"/>
        <w:spacing w:after="0" w:line="274" w:lineRule="exact"/>
        <w:ind w:left="20" w:right="20" w:firstLine="360"/>
      </w:pPr>
      <w:r w:rsidRPr="00F65CB9">
        <w:t xml:space="preserve">Ciktāl uzņēmuma kapitāldaļu īpašnieks, kas ir fiziska persona, darbojas kā “uzņēmums” (veic saimniecisku darbību tirgū, īstenojot tā kontroli, tieši vai netieši ietekmējot uzņēmuma pārvaldību), tā izveidotā saikne ir jāņem vērā, vērtējot atbalsta pretendenta atbilstību viena vienota uzņēmuma definīcijai, ievērojot Komisijas regulas (ES) Nr.1407/2013 (2013.gada 18.decembris) par Līguma par Eiropas Savienības darbību 107. un 108.panta piemērošanu </w:t>
      </w:r>
      <w:proofErr w:type="spellStart"/>
      <w:r w:rsidRPr="003E035E">
        <w:rPr>
          <w:i/>
          <w:iCs/>
        </w:rPr>
        <w:t>de</w:t>
      </w:r>
      <w:proofErr w:type="spellEnd"/>
      <w:r w:rsidRPr="003E035E">
        <w:rPr>
          <w:i/>
          <w:iCs/>
        </w:rPr>
        <w:t xml:space="preserve"> </w:t>
      </w:r>
      <w:proofErr w:type="spellStart"/>
      <w:r w:rsidRPr="003E035E">
        <w:rPr>
          <w:i/>
          <w:iCs/>
        </w:rPr>
        <w:t>minimis</w:t>
      </w:r>
      <w:proofErr w:type="spellEnd"/>
      <w:r w:rsidRPr="00F65CB9">
        <w:t xml:space="preserve"> atbalstam dalībvalstīm 2.panta 2.punktā noteiktos kritērijus. Ja fiziska persona (vai fizisku personu grupa) īsteno kontroli, tieši vai netieši ietekmējot šo uzņēmumu pārvaldību (jebkādā veidā), ir uzskatāms, ka tā piedalās uzņēmumu saimnieciskajā darbībā, līdz ar to šādā gadījumā, nosakot atbalsta pretendenta atbilstību viena vienota uzņēmuma definīcijai, būtu jāņem vērā saistība caur šo fizisko personu (vai fizisko personu grupu). Arī pati fiziskā persona ir viena vienota uzņēmuma daļa.</w:t>
      </w:r>
    </w:p>
    <w:p w14:paraId="3867959A" w14:textId="0DCB7B7B" w:rsidR="009F682D" w:rsidRDefault="006D0FBD">
      <w:pPr>
        <w:pStyle w:val="BodyText4"/>
        <w:shd w:val="clear" w:color="auto" w:fill="auto"/>
        <w:spacing w:after="0" w:line="274" w:lineRule="exact"/>
        <w:ind w:left="20" w:right="20" w:firstLine="720"/>
        <w:rPr>
          <w:spacing w:val="1"/>
        </w:rPr>
      </w:pPr>
      <w:r w:rsidRPr="00945C57">
        <w:t>Plašāka informācija par “viena vienota uzņēmuma definīciju” atrodama Eiropas Komisijas izstrādātajā lietotāja rokasgrāmatā un deklarācijas paraugā “Jaunā MVU definīcija” (pieejams:</w:t>
      </w:r>
      <w:r w:rsidR="00F65CB9">
        <w:t xml:space="preserve"> </w:t>
      </w:r>
      <w:hyperlink r:id="rId8" w:history="1">
        <w:r w:rsidR="00BF5ED3" w:rsidRPr="00D32678">
          <w:rPr>
            <w:rStyle w:val="Hyperlink"/>
            <w:spacing w:val="1"/>
          </w:rPr>
          <w:t>https://ec.europa.eu/docsroom/documents/42921/attachments/1/translations/lv/renditions/pdf</w:t>
        </w:r>
      </w:hyperlink>
      <w:r w:rsidR="00F65CB9">
        <w:rPr>
          <w:spacing w:val="1"/>
        </w:rPr>
        <w:t>).</w:t>
      </w:r>
    </w:p>
    <w:p w14:paraId="61A08328" w14:textId="77777777" w:rsidR="00BF5ED3" w:rsidRPr="00945C57" w:rsidRDefault="00BF5ED3">
      <w:pPr>
        <w:pStyle w:val="BodyText4"/>
        <w:shd w:val="clear" w:color="auto" w:fill="auto"/>
        <w:spacing w:after="0" w:line="274" w:lineRule="exact"/>
        <w:ind w:left="20" w:right="20" w:firstLine="720"/>
      </w:pPr>
    </w:p>
    <w:p w14:paraId="4F7F5FAC" w14:textId="77777777" w:rsidR="00A06FD8" w:rsidRDefault="00335E99" w:rsidP="00A06FD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4" w:lineRule="exact"/>
        <w:ind w:left="23" w:right="23" w:firstLine="0"/>
        <w:rPr>
          <w:b/>
          <w:bCs/>
        </w:rPr>
      </w:pPr>
      <w:r w:rsidRPr="00335E99">
        <w:rPr>
          <w:b/>
          <w:bCs/>
        </w:rPr>
        <w:t>6.jautājums</w:t>
      </w:r>
    </w:p>
    <w:p w14:paraId="43A57FD7" w14:textId="12C5F61D" w:rsidR="00A06FD8" w:rsidRPr="00A06FD8" w:rsidRDefault="00A06FD8" w:rsidP="00A06FD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4" w:lineRule="exact"/>
        <w:ind w:left="23" w:right="23" w:firstLine="0"/>
        <w:rPr>
          <w:b/>
          <w:bCs/>
        </w:rPr>
      </w:pPr>
      <w:r w:rsidRPr="00945C57">
        <w:t xml:space="preserve">Vai atbalsta sniedzējs (finansējuma saņēmējs) ir tiesīgs izvērtēt un noteikt, vai "visi subjekti, kurus (juridiski vai faktiski) kontrolē viens un tas pats subjekts vai uzņēmums", atbilst „viena vienota uzņēmuma” definīcijai? Kādi informācijas avoti ir jāizmanto katra kritērija izvērtēšanas procesā? Kādi principi ir jāievēro, organizējot un veicot šādas pārbaudes/ izvērtēšanas? Vai atbalsta pretendenta iesniegtais apliecinājums būs pietiekams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piešķiršanas kontroles mehānisms?</w:t>
      </w:r>
    </w:p>
    <w:p w14:paraId="09339B60" w14:textId="77777777" w:rsidR="004A51D9" w:rsidRDefault="004A51D9">
      <w:pPr>
        <w:pStyle w:val="Bodytext20"/>
        <w:shd w:val="clear" w:color="auto" w:fill="auto"/>
        <w:spacing w:before="0" w:line="274" w:lineRule="exact"/>
        <w:ind w:left="20"/>
      </w:pPr>
    </w:p>
    <w:p w14:paraId="1C2CE475" w14:textId="1396547A" w:rsidR="009F682D" w:rsidRPr="00945C57" w:rsidRDefault="006D0FBD">
      <w:pPr>
        <w:pStyle w:val="Bodytext20"/>
        <w:shd w:val="clear" w:color="auto" w:fill="auto"/>
        <w:spacing w:before="0" w:line="274" w:lineRule="exact"/>
        <w:ind w:left="20"/>
      </w:pPr>
      <w:r w:rsidRPr="00945C57">
        <w:t>6.atbilde</w:t>
      </w:r>
    </w:p>
    <w:p w14:paraId="01452F4E" w14:textId="77777777" w:rsidR="009F682D" w:rsidRPr="00945C57" w:rsidRDefault="006D0FBD">
      <w:pPr>
        <w:pStyle w:val="BodyText4"/>
        <w:shd w:val="clear" w:color="auto" w:fill="auto"/>
        <w:spacing w:after="0" w:line="274" w:lineRule="exact"/>
        <w:ind w:left="20" w:right="20" w:firstLine="720"/>
      </w:pPr>
      <w:r w:rsidRPr="00945C57">
        <w:t>Jā, atbalsta sniedzējs ir tiesīgs noteikt un pieņemt lēmumu, vai visi subjekti, kurus (juridiski vai faktiski) kontrolē viens un tas pats subjekts vai uzņēmums", atbilst „viena vienota uzņēmuma definīcijai.</w:t>
      </w:r>
    </w:p>
    <w:p w14:paraId="56346BCC" w14:textId="290CCF31" w:rsidR="009F682D" w:rsidRPr="00945C57" w:rsidRDefault="006D0FBD">
      <w:pPr>
        <w:pStyle w:val="BodyText4"/>
        <w:shd w:val="clear" w:color="auto" w:fill="auto"/>
        <w:spacing w:after="0" w:line="274" w:lineRule="exact"/>
        <w:ind w:left="20" w:right="20" w:firstLine="720"/>
      </w:pPr>
      <w:r w:rsidRPr="00945C57">
        <w:t xml:space="preserve">Finansējuma saņēmējam,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veidlapā uzrādot tam piešķirtā </w:t>
      </w:r>
      <w:proofErr w:type="spellStart"/>
      <w:r w:rsidR="00F65CB9" w:rsidRPr="003E035E">
        <w:rPr>
          <w:i/>
          <w:iCs/>
        </w:rPr>
        <w:t>de</w:t>
      </w:r>
      <w:proofErr w:type="spellEnd"/>
      <w:r w:rsidR="00F65CB9" w:rsidRPr="003E035E">
        <w:rPr>
          <w:i/>
          <w:iCs/>
        </w:rPr>
        <w:t xml:space="preserve"> </w:t>
      </w:r>
      <w:proofErr w:type="spellStart"/>
      <w:r w:rsidR="00F65CB9" w:rsidRPr="003E035E">
        <w:rPr>
          <w:i/>
          <w:iCs/>
        </w:rPr>
        <w:t>minimis</w:t>
      </w:r>
      <w:proofErr w:type="spellEnd"/>
      <w:r w:rsidR="00F65CB9">
        <w:t xml:space="preserve"> atbalsta apmēru </w:t>
      </w:r>
      <w:r w:rsidRPr="00945C57">
        <w:t xml:space="preserve">un finansējuma sniedzējam izvērtējot uzņēmumam maksimāli piešķiramā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apmēru viena vienota uzņēmuma līmenī atbilstoši Komisijas regulas Nr. 1407/2013 3.panta 2.punktā minētajam, ir jāievēro arī Komisijas regulas Nr. 1407/2013 2.panta 2.punktā minētā “viena vienota uzņēmuma” definīcija (sk. 5.atbildi).</w:t>
      </w:r>
    </w:p>
    <w:p w14:paraId="34184E3F" w14:textId="77777777" w:rsidR="009F682D" w:rsidRPr="00945C57" w:rsidRDefault="006D0FBD">
      <w:pPr>
        <w:pStyle w:val="BodyText4"/>
        <w:shd w:val="clear" w:color="auto" w:fill="auto"/>
        <w:spacing w:after="0" w:line="274" w:lineRule="exact"/>
        <w:ind w:left="20" w:right="20" w:firstLine="720"/>
      </w:pPr>
      <w:r w:rsidRPr="00945C57">
        <w:t>Atbalsta sniedzējs vērtē un nosaka, vai uzņēmums atbilst „viena vienota uzņēmuma” definīcijai. Ja pretendentu izvērtēšanai nepieciešama metodikas izstrāde, tas ir atbalsta sniedzēja kompetencē. Ja atbalsta sniedzējam trūkst kompetences, pretendentu izvērtēšanā ir iespējams piesaistīt papildu ārējo ekspertīzi.</w:t>
      </w:r>
    </w:p>
    <w:p w14:paraId="237EA3BA" w14:textId="77777777" w:rsidR="009F682D" w:rsidRPr="00945C57" w:rsidRDefault="006D0FBD">
      <w:pPr>
        <w:pStyle w:val="BodyText4"/>
        <w:shd w:val="clear" w:color="auto" w:fill="auto"/>
        <w:spacing w:after="240" w:line="274" w:lineRule="exact"/>
        <w:ind w:left="20" w:right="20" w:firstLine="720"/>
      </w:pPr>
      <w:r w:rsidRPr="00945C57">
        <w:t xml:space="preserve">Pārliecību par pretendenta atbilstību/neatbilstību “viena vienota uzņēmuma” definīcijai var gūt, piemēram, pieprasot pretendentam iesniegt apliecinājumu par definīcijā minēto kritēriju esamību/ neesamību, norādot attiecīgi saistīto uzņēmumu rekvizītus un tiem piešķirto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No atbalsta pretendenta saņemtais apliecinājums būs pietiekams kontroles mehānisms.</w:t>
      </w:r>
    </w:p>
    <w:p w14:paraId="4C5BCC12" w14:textId="4A5918CA" w:rsidR="009F682D" w:rsidRDefault="006D0FBD" w:rsidP="004A51D9">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line="240" w:lineRule="auto"/>
      </w:pPr>
      <w:r w:rsidRPr="00945C57">
        <w:t>7.jautājums</w:t>
      </w:r>
    </w:p>
    <w:p w14:paraId="5718D666" w14:textId="29C93370" w:rsidR="004A51D9" w:rsidRPr="00945C57" w:rsidRDefault="004A51D9"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firstLine="0"/>
      </w:pPr>
      <w:r w:rsidRPr="00945C57">
        <w:t xml:space="preserve">Vai uzņēmuma atbilstība definīcijai “viens vienots uzņēmums” jāvērtē pirms/pēc katra atbalsta piešķiršanas? Vai pirms katras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veidlapas sagatavošanas?</w:t>
      </w:r>
    </w:p>
    <w:p w14:paraId="4058256B" w14:textId="77777777" w:rsidR="0042211B" w:rsidRDefault="0042211B">
      <w:pPr>
        <w:pStyle w:val="Bodytext20"/>
        <w:shd w:val="clear" w:color="auto" w:fill="auto"/>
        <w:spacing w:before="0" w:line="220" w:lineRule="exact"/>
        <w:ind w:left="40"/>
      </w:pPr>
    </w:p>
    <w:p w14:paraId="2A723758" w14:textId="4622CE7B" w:rsidR="009F682D" w:rsidRPr="00945C57" w:rsidRDefault="006D0FBD">
      <w:pPr>
        <w:pStyle w:val="Bodytext20"/>
        <w:shd w:val="clear" w:color="auto" w:fill="auto"/>
        <w:spacing w:before="0" w:line="220" w:lineRule="exact"/>
        <w:ind w:left="40"/>
      </w:pPr>
      <w:r w:rsidRPr="00945C57">
        <w:t>7.atbilde</w:t>
      </w:r>
    </w:p>
    <w:p w14:paraId="7AC2034E" w14:textId="77777777" w:rsidR="009F682D" w:rsidRPr="00945C57" w:rsidRDefault="006D0FBD" w:rsidP="002C1EC9">
      <w:pPr>
        <w:pStyle w:val="BodyText4"/>
        <w:shd w:val="clear" w:color="auto" w:fill="auto"/>
        <w:spacing w:after="0" w:line="278" w:lineRule="exact"/>
        <w:ind w:left="40" w:right="20" w:firstLine="720"/>
      </w:pPr>
      <w:r w:rsidRPr="00945C57">
        <w:t>Atbilstība “viena vienota uzņēmuma” definīcijai, balstoties uz uzņēmuma sniegto informāciju, ir jāvērtē brīdī, kad tiek pieņemts lēmums par atbalsta piešķiršanu, nevis brīdī, kad atbalsts tiek faktiski izmaksāts.</w:t>
      </w:r>
    </w:p>
    <w:p w14:paraId="0005CD76" w14:textId="4BDF621B" w:rsidR="009F682D" w:rsidRPr="00945C57" w:rsidRDefault="006D0FBD">
      <w:pPr>
        <w:pStyle w:val="BodyText4"/>
        <w:shd w:val="clear" w:color="auto" w:fill="auto"/>
        <w:spacing w:after="240" w:line="274" w:lineRule="exact"/>
        <w:ind w:left="40" w:right="20" w:firstLine="0"/>
      </w:pPr>
      <w:r w:rsidRPr="00945C57">
        <w:t xml:space="preserve">Piemēru par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uzskaiti uzņēmumiem, kuri atbilst “viena vienota uzņēmuma” definīcijai skatīt datnē </w:t>
      </w:r>
      <w:r w:rsidRPr="00945C57">
        <w:rPr>
          <w:rStyle w:val="BodyText3"/>
        </w:rPr>
        <w:t>“</w:t>
      </w:r>
      <w:r w:rsidRPr="00471B97">
        <w:rPr>
          <w:rStyle w:val="BodyText3"/>
          <w:color w:val="2E74B5" w:themeColor="accent5" w:themeShade="BF"/>
        </w:rPr>
        <w:t>1.pielikums. Piemērs par vienu vienotu uzņēmumu</w:t>
      </w:r>
      <w:r w:rsidRPr="00471B97">
        <w:rPr>
          <w:rStyle w:val="BodyText3"/>
          <w:color w:val="auto"/>
        </w:rPr>
        <w:t>.”</w:t>
      </w:r>
    </w:p>
    <w:p w14:paraId="18310436" w14:textId="77777777" w:rsidR="004A51D9" w:rsidRPr="004A51D9" w:rsidRDefault="006D0FBD"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4" w:lineRule="exact"/>
        <w:ind w:left="40" w:right="20" w:firstLine="0"/>
        <w:rPr>
          <w:b/>
          <w:bCs/>
        </w:rPr>
      </w:pPr>
      <w:r w:rsidRPr="004A51D9">
        <w:rPr>
          <w:b/>
          <w:bCs/>
        </w:rPr>
        <w:lastRenderedPageBreak/>
        <w:t>8.jautājums</w:t>
      </w:r>
      <w:r w:rsidR="004A51D9" w:rsidRPr="004A51D9">
        <w:rPr>
          <w:b/>
          <w:bCs/>
        </w:rPr>
        <w:t xml:space="preserve"> </w:t>
      </w:r>
    </w:p>
    <w:p w14:paraId="2D47986A" w14:textId="2B7B48E9" w:rsidR="004A51D9" w:rsidRPr="00945C57" w:rsidRDefault="004A51D9"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4" w:lineRule="exact"/>
        <w:ind w:left="40" w:right="20" w:firstLine="0"/>
      </w:pPr>
      <w:r w:rsidRPr="00945C57">
        <w:t xml:space="preserve">Vai pašvaldībai piederošam uzņēmumam, ir jānoskaidro, vai un kādā apmērā pašvaldība ir saņēmusi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(ja uzņēmums nav neatkarīgs un izpildās kāds no Komisijas regulas Nr.1407/2013 2.panta 2.punktā minētajiem kritērijiem)?</w:t>
      </w:r>
    </w:p>
    <w:p w14:paraId="701DFE64" w14:textId="77777777" w:rsidR="004A51D9" w:rsidRDefault="004A51D9">
      <w:pPr>
        <w:pStyle w:val="Bodytext20"/>
        <w:shd w:val="clear" w:color="auto" w:fill="auto"/>
        <w:spacing w:before="0" w:line="274" w:lineRule="exact"/>
        <w:ind w:left="40"/>
      </w:pPr>
    </w:p>
    <w:p w14:paraId="2A059309" w14:textId="33A8DC73" w:rsidR="009F682D" w:rsidRPr="00945C57" w:rsidRDefault="006D0FBD">
      <w:pPr>
        <w:pStyle w:val="Bodytext20"/>
        <w:shd w:val="clear" w:color="auto" w:fill="auto"/>
        <w:spacing w:before="0" w:line="274" w:lineRule="exact"/>
        <w:ind w:left="40"/>
      </w:pPr>
      <w:r w:rsidRPr="00945C57">
        <w:t>8.atbilde</w:t>
      </w:r>
    </w:p>
    <w:p w14:paraId="32E67ADD" w14:textId="540B8FE0" w:rsidR="009F682D" w:rsidRPr="00945C57" w:rsidRDefault="006D0FBD">
      <w:pPr>
        <w:pStyle w:val="BodyText4"/>
        <w:shd w:val="clear" w:color="auto" w:fill="auto"/>
        <w:spacing w:after="0" w:line="274" w:lineRule="exact"/>
        <w:ind w:left="40" w:right="20" w:firstLine="720"/>
      </w:pPr>
      <w:r w:rsidRPr="00945C57">
        <w:t xml:space="preserve">Pašvaldība parasti ir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sniedzējs, nevis saņēmējs. Ja tā veic saimnieciskas darbības, ir jānoskaidro, vai pēdējo triju fiskālo gadu laikā tā nav saņēmusi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Vienlaicīgi norādām, ka pašvaldība var tikt uzskatīta par uzņēmumu, gadījumos, kad tā veic saimnieciskas darbības, nevis darbojas normatīvajos aktos noteikt</w:t>
      </w:r>
      <w:r w:rsidR="00F65CB9">
        <w:t xml:space="preserve">o valsts pārvaldes deleģēto funkciju </w:t>
      </w:r>
      <w:r w:rsidRPr="00945C57">
        <w:t>ietvaros.</w:t>
      </w:r>
    </w:p>
    <w:p w14:paraId="4F044BC6" w14:textId="77777777" w:rsidR="009F682D" w:rsidRPr="00945C57" w:rsidRDefault="006D0FBD">
      <w:pPr>
        <w:pStyle w:val="BodyText4"/>
        <w:shd w:val="clear" w:color="auto" w:fill="auto"/>
        <w:spacing w:after="283" w:line="274" w:lineRule="exact"/>
        <w:ind w:left="40" w:right="20" w:firstLine="720"/>
      </w:pPr>
      <w:r w:rsidRPr="00945C57">
        <w:t>Papildus norādām, ka atbilstoši Komisijas regulas Nr.1407/2013 preambulas 4.apsvērumam gadījumos, kad publiskai struktūrai, piemēram, pašvaldībai, pieder (vai ir cita veida ietekme uzņēmumos atbilstoši Komisijas regulas Nr.1407/2013 2.panta 2.punktā minētajiem kritērijiem) uzņēmumi, kuriem nav savstarpēju attiecību, izņemot to, ka ikvienam no tiem ir tieša saikne ar vienu un to pašu publisko struktūru vai struktūrām, netiek uzskatīti par savstarpēji saistītiem uzņēmumiem. Tomēr jāņem vērā, ka katrs šāds uzņēmums joprojām ir uzskatāms par vienu vienotu uzņēmumu ar pašvaldību, gadījumos, kad tā var tikt klasificēta par “uzņēmumu”.</w:t>
      </w:r>
    </w:p>
    <w:p w14:paraId="72DBBC73" w14:textId="77777777" w:rsidR="009F682D" w:rsidRPr="00945C57" w:rsidRDefault="006D0FBD" w:rsidP="0042211B">
      <w:pPr>
        <w:pStyle w:val="Bodytext20"/>
        <w:pBdr>
          <w:top w:val="single" w:sz="4" w:space="1" w:color="auto"/>
          <w:left w:val="single" w:sz="4" w:space="4" w:color="auto"/>
          <w:bottom w:val="single" w:sz="4" w:space="1" w:color="auto"/>
          <w:right w:val="single" w:sz="4" w:space="4" w:color="auto"/>
        </w:pBdr>
        <w:shd w:val="clear" w:color="auto" w:fill="D0CECE" w:themeFill="background2" w:themeFillShade="E6"/>
        <w:spacing w:before="0" w:after="13" w:line="220" w:lineRule="exact"/>
        <w:ind w:left="40"/>
      </w:pPr>
      <w:r w:rsidRPr="00945C57">
        <w:t>9.jautājums</w:t>
      </w:r>
    </w:p>
    <w:p w14:paraId="72D97997" w14:textId="77777777" w:rsidR="009F682D" w:rsidRPr="00945C57" w:rsidRDefault="006D0FBD" w:rsidP="0042211B">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265" w:line="220" w:lineRule="exact"/>
        <w:ind w:left="40" w:firstLine="0"/>
      </w:pPr>
      <w:r w:rsidRPr="00945C57">
        <w:t>Vai pilnsabiedrība (kurā uzņēmumam ir dalība) jāuztver kā saistītais uzņēmums?</w:t>
      </w:r>
    </w:p>
    <w:p w14:paraId="1C1A92C3" w14:textId="77777777" w:rsidR="009F682D" w:rsidRPr="00945C57" w:rsidRDefault="006D0FBD">
      <w:pPr>
        <w:pStyle w:val="Bodytext20"/>
        <w:shd w:val="clear" w:color="auto" w:fill="auto"/>
        <w:spacing w:before="0" w:line="274" w:lineRule="exact"/>
        <w:ind w:left="40"/>
      </w:pPr>
      <w:r w:rsidRPr="00945C57">
        <w:t>9.atbilde</w:t>
      </w:r>
    </w:p>
    <w:p w14:paraId="427D14E3" w14:textId="77777777" w:rsidR="009F682D" w:rsidRPr="00945C57" w:rsidRDefault="006D0FBD">
      <w:pPr>
        <w:pStyle w:val="Bodytext31"/>
        <w:shd w:val="clear" w:color="auto" w:fill="auto"/>
        <w:ind w:left="40" w:right="20"/>
      </w:pPr>
      <w:r w:rsidRPr="00945C57">
        <w:rPr>
          <w:rStyle w:val="Bodytext3NotItalic"/>
        </w:rPr>
        <w:t xml:space="preserve">Ņemot vērā iepriekš minēto, arī pilnsabiedrība var būt saistītais uzņēmums, ja izpildās kāda no Komisijas regulas Nr.1407/2013 2.panta 2.punkta pazīmēm, jo, atbilstoši Komerclikuma 77.pantā noteiktajam, </w:t>
      </w:r>
      <w:r w:rsidRPr="00945C57">
        <w:t>“pilnsabiedrība ir personālsabiedrība, kuras mērķis ir komercdarbības veikšana, izmantojot kopīgu firmu, un kurā uz sabiedrības līguma pamata, neierobežojot savu atbildību pret pilnsabiedrības kreditoriem, apvienojušās divas vai vairākas personas (biedri).”</w:t>
      </w:r>
    </w:p>
    <w:p w14:paraId="5B53D88C" w14:textId="77777777" w:rsidR="004A51D9" w:rsidRPr="004A51D9" w:rsidRDefault="006D0FBD"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4" w:lineRule="exact"/>
        <w:ind w:left="40" w:right="23" w:firstLine="0"/>
        <w:rPr>
          <w:b/>
          <w:bCs/>
        </w:rPr>
      </w:pPr>
      <w:r w:rsidRPr="004A51D9">
        <w:rPr>
          <w:b/>
          <w:bCs/>
        </w:rPr>
        <w:t>10.jautājums</w:t>
      </w:r>
      <w:r w:rsidR="004A51D9" w:rsidRPr="004A51D9">
        <w:rPr>
          <w:b/>
          <w:bCs/>
        </w:rPr>
        <w:t xml:space="preserve"> </w:t>
      </w:r>
    </w:p>
    <w:p w14:paraId="53971E55" w14:textId="013B4F0A" w:rsidR="009F682D" w:rsidRPr="00945C57" w:rsidRDefault="004A51D9"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4" w:lineRule="exact"/>
        <w:ind w:left="40" w:right="23" w:firstLine="0"/>
      </w:pPr>
      <w:r w:rsidRPr="00945C57">
        <w:t xml:space="preserve">Ja saistītie uzņēmumi atrodas dažādās valstīs, vai ir jāpārbauda, vai un cik katrs no tiem ir saņēmuši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w:t>
      </w:r>
    </w:p>
    <w:p w14:paraId="6797A562" w14:textId="77777777" w:rsidR="004A51D9" w:rsidRDefault="004A51D9">
      <w:pPr>
        <w:pStyle w:val="Bodytext20"/>
        <w:shd w:val="clear" w:color="auto" w:fill="auto"/>
        <w:spacing w:before="0" w:line="274" w:lineRule="exact"/>
        <w:ind w:left="40"/>
      </w:pPr>
    </w:p>
    <w:p w14:paraId="557025E9" w14:textId="1092B788" w:rsidR="009F682D" w:rsidRPr="00945C57" w:rsidRDefault="006D0FBD">
      <w:pPr>
        <w:pStyle w:val="Bodytext20"/>
        <w:shd w:val="clear" w:color="auto" w:fill="auto"/>
        <w:spacing w:before="0" w:line="274" w:lineRule="exact"/>
        <w:ind w:left="40"/>
      </w:pPr>
      <w:r w:rsidRPr="00945C57">
        <w:t>10.atbilde</w:t>
      </w:r>
    </w:p>
    <w:p w14:paraId="4A6B3C60" w14:textId="77777777" w:rsidR="009F682D" w:rsidRPr="00945C57" w:rsidRDefault="006D0FBD">
      <w:pPr>
        <w:pStyle w:val="BodyText4"/>
        <w:shd w:val="clear" w:color="auto" w:fill="auto"/>
        <w:spacing w:after="283" w:line="274" w:lineRule="exact"/>
        <w:ind w:left="40" w:right="20" w:firstLine="720"/>
      </w:pPr>
      <w:r w:rsidRPr="00945C57">
        <w:t xml:space="preserve">Nē, atbilstoši Eiropas Komisijas sniegtajiem skaidrojumiem, praktisku un administratīvu iemeslu dēļ Komisijas (ES) regula Nr.1407/2013 (2013.gada 18.decembris) par Līguma par Eiropas Savienības darbību 107. un 108.panta piemērošanu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atbalstam dalībvalstīm prasa pārbaudīt uzņēmumu saņemto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tikai attiecīgās dalībvalsts teritorijā.</w:t>
      </w:r>
    </w:p>
    <w:p w14:paraId="759D15F0" w14:textId="77777777" w:rsidR="004A51D9" w:rsidRPr="004A51D9" w:rsidRDefault="006D0FBD"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20" w:lineRule="exact"/>
        <w:ind w:left="23" w:firstLine="0"/>
        <w:rPr>
          <w:b/>
          <w:bCs/>
        </w:rPr>
      </w:pPr>
      <w:r w:rsidRPr="004A51D9">
        <w:rPr>
          <w:b/>
          <w:bCs/>
        </w:rPr>
        <w:t>11.jautājums</w:t>
      </w:r>
      <w:r w:rsidR="004A51D9" w:rsidRPr="004A51D9">
        <w:rPr>
          <w:b/>
          <w:bCs/>
        </w:rPr>
        <w:t xml:space="preserve"> </w:t>
      </w:r>
    </w:p>
    <w:p w14:paraId="0EF81BD3" w14:textId="3FB09DA8" w:rsidR="009F682D" w:rsidRPr="00945C57" w:rsidRDefault="004A51D9"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20" w:lineRule="exact"/>
        <w:ind w:left="23" w:firstLine="0"/>
      </w:pPr>
      <w:r w:rsidRPr="00945C57">
        <w:t xml:space="preserve">Vai citu atbalstu, kas sniegts, piemēram, </w:t>
      </w:r>
      <w:proofErr w:type="spellStart"/>
      <w:r w:rsidRPr="00945C57">
        <w:t>grantu</w:t>
      </w:r>
      <w:proofErr w:type="spellEnd"/>
      <w:r w:rsidRPr="00945C57">
        <w:t xml:space="preserve"> veidā, ir </w:t>
      </w:r>
      <w:proofErr w:type="spellStart"/>
      <w:r w:rsidRPr="00945C57">
        <w:t>jākumulē</w:t>
      </w:r>
      <w:proofErr w:type="spellEnd"/>
      <w:r w:rsidRPr="00945C57">
        <w:t xml:space="preserve"> ar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w:t>
      </w:r>
    </w:p>
    <w:p w14:paraId="301B68E7" w14:textId="77777777" w:rsidR="004A51D9" w:rsidRDefault="004A51D9">
      <w:pPr>
        <w:pStyle w:val="Bodytext20"/>
        <w:shd w:val="clear" w:color="auto" w:fill="auto"/>
        <w:spacing w:before="0" w:line="220" w:lineRule="exact"/>
        <w:ind w:left="20"/>
      </w:pPr>
    </w:p>
    <w:p w14:paraId="20AEF9AE" w14:textId="6BA4E613" w:rsidR="009F682D" w:rsidRPr="00945C57" w:rsidRDefault="006D0FBD">
      <w:pPr>
        <w:pStyle w:val="Bodytext20"/>
        <w:shd w:val="clear" w:color="auto" w:fill="auto"/>
        <w:spacing w:before="0" w:line="220" w:lineRule="exact"/>
        <w:ind w:left="20"/>
      </w:pPr>
      <w:r w:rsidRPr="00945C57">
        <w:t>11.atbilde</w:t>
      </w:r>
    </w:p>
    <w:p w14:paraId="73AD42E1" w14:textId="26944574" w:rsidR="009F682D" w:rsidRPr="00945C57" w:rsidRDefault="006D0FBD">
      <w:pPr>
        <w:pStyle w:val="BodyText4"/>
        <w:shd w:val="clear" w:color="auto" w:fill="auto"/>
        <w:spacing w:after="0" w:line="274" w:lineRule="exact"/>
        <w:ind w:left="20" w:right="20" w:firstLine="720"/>
      </w:pPr>
      <w:r w:rsidRPr="00945C57">
        <w:t xml:space="preserve">Saskaņā ar Komisijas (ES) regulas Nr.1407/2013 (2013.gada 18.decembris) par Līguma par Eiropas Savienības darbību 107. un 108.panta piemērošanu 5.panta 1.punktu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rPr>
          <w:rStyle w:val="BodytextItalic"/>
        </w:rPr>
        <w:t xml:space="preserve"> </w:t>
      </w:r>
      <w:r w:rsidRPr="00945C57">
        <w:t xml:space="preserve">atbalstu, ko piešķir saskaņā ar šo regulu, var </w:t>
      </w:r>
      <w:proofErr w:type="spellStart"/>
      <w:r w:rsidRPr="00945C57">
        <w:t>kumulēt</w:t>
      </w:r>
      <w:proofErr w:type="spellEnd"/>
      <w:r w:rsidRPr="00945C57">
        <w:t xml:space="preserve"> </w:t>
      </w:r>
      <w:r w:rsidRPr="00945C57">
        <w:rPr>
          <w:rStyle w:val="BodyText1"/>
        </w:rPr>
        <w:t xml:space="preserve">ar citu </w:t>
      </w:r>
      <w:proofErr w:type="spellStart"/>
      <w:r w:rsidRPr="00945C57">
        <w:rPr>
          <w:rStyle w:val="BodytextItalic0"/>
        </w:rPr>
        <w:t>de</w:t>
      </w:r>
      <w:proofErr w:type="spellEnd"/>
      <w:r w:rsidRPr="00945C57">
        <w:rPr>
          <w:rStyle w:val="BodytextItalic0"/>
        </w:rPr>
        <w:t xml:space="preserve"> </w:t>
      </w:r>
      <w:proofErr w:type="spellStart"/>
      <w:r w:rsidRPr="00945C57">
        <w:rPr>
          <w:rStyle w:val="BodytextItalic0"/>
        </w:rPr>
        <w:t>minimis</w:t>
      </w:r>
      <w:proofErr w:type="spellEnd"/>
      <w:r w:rsidRPr="00945C57">
        <w:rPr>
          <w:rStyle w:val="BodyText1"/>
        </w:rPr>
        <w:t xml:space="preserve"> atbalstu,</w:t>
      </w:r>
      <w:r w:rsidRPr="00945C57">
        <w:t xml:space="preserve"> kas sniegts ar šo vai citu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regulējumu, </w:t>
      </w:r>
      <w:r w:rsidRPr="00945C57">
        <w:rPr>
          <w:rStyle w:val="BodyText1"/>
        </w:rPr>
        <w:t xml:space="preserve">nepārsniedzot robežlielumu 200 000 </w:t>
      </w:r>
      <w:proofErr w:type="spellStart"/>
      <w:r w:rsidRPr="00945C57">
        <w:rPr>
          <w:rStyle w:val="BodytextItalic0"/>
        </w:rPr>
        <w:t>euro</w:t>
      </w:r>
      <w:proofErr w:type="spellEnd"/>
      <w:r w:rsidRPr="00945C57">
        <w:t xml:space="preserve"> (kravu komercpārvadājumu autotransporta uzņēmumiem - 100 00 </w:t>
      </w:r>
      <w:proofErr w:type="spellStart"/>
      <w:r w:rsidRPr="00945C57">
        <w:t>euro</w:t>
      </w:r>
      <w:proofErr w:type="spellEnd"/>
      <w:r w:rsidRPr="00945C57">
        <w:t>).</w:t>
      </w:r>
    </w:p>
    <w:p w14:paraId="58EB9431" w14:textId="77777777" w:rsidR="009F682D" w:rsidRPr="00945C57" w:rsidRDefault="006D0FBD">
      <w:pPr>
        <w:pStyle w:val="BodyText4"/>
        <w:shd w:val="clear" w:color="auto" w:fill="auto"/>
        <w:spacing w:after="240" w:line="274" w:lineRule="exact"/>
        <w:ind w:left="20" w:right="20" w:firstLine="720"/>
      </w:pPr>
      <w:r w:rsidRPr="00945C57">
        <w:t xml:space="preserve">Saskaņā ar minētās regulas 5.panta 2.punktu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drīkst </w:t>
      </w:r>
      <w:proofErr w:type="spellStart"/>
      <w:r w:rsidRPr="00945C57">
        <w:t>kumulēt</w:t>
      </w:r>
      <w:proofErr w:type="spellEnd"/>
      <w:r w:rsidRPr="00945C57">
        <w:t xml:space="preserve"> </w:t>
      </w:r>
      <w:r w:rsidRPr="00945C57">
        <w:rPr>
          <w:rStyle w:val="BodyText1"/>
        </w:rPr>
        <w:t>ar citu</w:t>
      </w:r>
      <w:r w:rsidRPr="00945C57">
        <w:t xml:space="preserve"> </w:t>
      </w:r>
      <w:r w:rsidRPr="00945C57">
        <w:rPr>
          <w:rStyle w:val="BodyText1"/>
        </w:rPr>
        <w:t>valsts atbalstu</w:t>
      </w:r>
      <w:r w:rsidRPr="00945C57">
        <w:t xml:space="preserve"> attiecībā uz vienām un </w:t>
      </w:r>
      <w:r w:rsidRPr="00945C57">
        <w:rPr>
          <w:rStyle w:val="BodyText1"/>
        </w:rPr>
        <w:t>tām pašām attiecināmajām izmaksām, nepārsniedzot</w:t>
      </w:r>
      <w:r w:rsidRPr="00945C57">
        <w:t xml:space="preserve"> </w:t>
      </w:r>
      <w:r w:rsidRPr="00945C57">
        <w:rPr>
          <w:rStyle w:val="BodyText1"/>
        </w:rPr>
        <w:t>maksimālo atbalsta intensitāti vai atbalsta summu,</w:t>
      </w:r>
      <w:r w:rsidRPr="00945C57">
        <w:t xml:space="preserve"> kāda konkrētā gadījuma īpašajiem apstākļiem noteikta Komisijas grupu atbrīvojuma regulā vai lēmumā. </w:t>
      </w:r>
      <w:r w:rsidRPr="00945C57">
        <w:rPr>
          <w:rStyle w:val="BodyText1"/>
        </w:rPr>
        <w:t xml:space="preserve">Savukārt </w:t>
      </w:r>
      <w:proofErr w:type="spellStart"/>
      <w:r w:rsidRPr="00945C57">
        <w:rPr>
          <w:rStyle w:val="BodytextItalic0"/>
        </w:rPr>
        <w:t>de</w:t>
      </w:r>
      <w:proofErr w:type="spellEnd"/>
      <w:r w:rsidRPr="00945C57">
        <w:rPr>
          <w:rStyle w:val="BodytextItalic0"/>
        </w:rPr>
        <w:t xml:space="preserve"> </w:t>
      </w:r>
      <w:proofErr w:type="spellStart"/>
      <w:r w:rsidRPr="00945C57">
        <w:rPr>
          <w:rStyle w:val="BodytextItalic0"/>
        </w:rPr>
        <w:t>minimis</w:t>
      </w:r>
      <w:proofErr w:type="spellEnd"/>
      <w:r w:rsidRPr="00945C57">
        <w:rPr>
          <w:rStyle w:val="BodytextItalic"/>
        </w:rPr>
        <w:t xml:space="preserve"> </w:t>
      </w:r>
      <w:r w:rsidRPr="00945C57">
        <w:rPr>
          <w:rStyle w:val="BodyText1"/>
        </w:rPr>
        <w:t xml:space="preserve">atbalstu, kas nav piešķirts konkrētu attiecināmo </w:t>
      </w:r>
      <w:r w:rsidRPr="00945C57">
        <w:rPr>
          <w:rStyle w:val="BodyText1"/>
        </w:rPr>
        <w:lastRenderedPageBreak/>
        <w:t>izmaksu segšanai vai kas nav attiecināms uz</w:t>
      </w:r>
      <w:r w:rsidRPr="00945C57">
        <w:t xml:space="preserve"> </w:t>
      </w:r>
      <w:r w:rsidRPr="00945C57">
        <w:rPr>
          <w:rStyle w:val="BodyText1"/>
        </w:rPr>
        <w:t xml:space="preserve">konkrētā attiecināmām izmaksām, drīkst </w:t>
      </w:r>
      <w:proofErr w:type="spellStart"/>
      <w:r w:rsidRPr="00945C57">
        <w:rPr>
          <w:rStyle w:val="BodyText1"/>
        </w:rPr>
        <w:t>kumulēt</w:t>
      </w:r>
      <w:proofErr w:type="spellEnd"/>
      <w:r w:rsidRPr="00945C57">
        <w:rPr>
          <w:rStyle w:val="BodyText1"/>
        </w:rPr>
        <w:t xml:space="preserve"> ar citu valsts atbalstu, kurš piešķirts saskaņā</w:t>
      </w:r>
      <w:r w:rsidRPr="00945C57">
        <w:t xml:space="preserve"> </w:t>
      </w:r>
      <w:r w:rsidRPr="00945C57">
        <w:rPr>
          <w:rStyle w:val="BodyText1"/>
        </w:rPr>
        <w:t>ar Komisijas grupu atbrīvojuma regulu vai lēmumu.</w:t>
      </w:r>
    </w:p>
    <w:p w14:paraId="60A10FB7" w14:textId="15FD8069" w:rsidR="009F682D" w:rsidRPr="00945C57" w:rsidRDefault="006D0FBD">
      <w:pPr>
        <w:pStyle w:val="BodyText4"/>
        <w:shd w:val="clear" w:color="auto" w:fill="auto"/>
        <w:spacing w:after="244" w:line="274" w:lineRule="exact"/>
        <w:ind w:left="20" w:right="20" w:firstLine="0"/>
      </w:pPr>
      <w:r w:rsidRPr="00945C57">
        <w:t xml:space="preserve">Piemēru par cita atbalsta kumulāciju ar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skatīt datnē </w:t>
      </w:r>
      <w:r w:rsidRPr="00945C57">
        <w:rPr>
          <w:rStyle w:val="BodyText3"/>
        </w:rPr>
        <w:t>“</w:t>
      </w:r>
      <w:r w:rsidRPr="00471B97">
        <w:rPr>
          <w:rStyle w:val="BodyText3"/>
          <w:color w:val="2E74B5" w:themeColor="accent5" w:themeShade="BF"/>
        </w:rPr>
        <w:t>2.pielikums. Piemērs par kumulāciju.</w:t>
      </w:r>
      <w:r w:rsidRPr="00945C57">
        <w:rPr>
          <w:rStyle w:val="BodyText3"/>
        </w:rPr>
        <w:t>”</w:t>
      </w:r>
    </w:p>
    <w:p w14:paraId="6A5E0CBF" w14:textId="77777777" w:rsidR="004A51D9" w:rsidRPr="004A51D9" w:rsidRDefault="006D0FBD"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69" w:lineRule="exact"/>
        <w:ind w:left="20" w:right="20" w:firstLine="0"/>
        <w:rPr>
          <w:b/>
          <w:bCs/>
        </w:rPr>
      </w:pPr>
      <w:r w:rsidRPr="004A51D9">
        <w:rPr>
          <w:b/>
          <w:bCs/>
        </w:rPr>
        <w:t>12.jautājums</w:t>
      </w:r>
      <w:r w:rsidR="004A51D9" w:rsidRPr="004A51D9">
        <w:rPr>
          <w:b/>
          <w:bCs/>
        </w:rPr>
        <w:t xml:space="preserve"> </w:t>
      </w:r>
    </w:p>
    <w:p w14:paraId="1DE4B93F" w14:textId="602FDBCF" w:rsidR="009F682D" w:rsidRPr="00945C57" w:rsidRDefault="004A51D9" w:rsidP="004A51D9">
      <w:pPr>
        <w:pStyle w:val="BodyText4"/>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69" w:lineRule="exact"/>
        <w:ind w:left="20" w:right="20" w:firstLine="0"/>
      </w:pPr>
      <w:r w:rsidRPr="00945C57">
        <w:t xml:space="preserve">Kas ir atbildīgs par bruto dotācijas ekvivalenta aprēķināšanu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gadījumā? Kas ir atbildīgs, lai netiktu pārsniegts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slieksnis?</w:t>
      </w:r>
    </w:p>
    <w:p w14:paraId="3CEA00D7" w14:textId="77777777" w:rsidR="004A51D9" w:rsidRDefault="004A51D9">
      <w:pPr>
        <w:pStyle w:val="Bodytext20"/>
        <w:shd w:val="clear" w:color="auto" w:fill="auto"/>
        <w:spacing w:before="0" w:line="220" w:lineRule="exact"/>
        <w:ind w:left="20"/>
      </w:pPr>
    </w:p>
    <w:p w14:paraId="1B232E5E" w14:textId="271071C9" w:rsidR="009F682D" w:rsidRPr="00945C57" w:rsidRDefault="006D0FBD">
      <w:pPr>
        <w:pStyle w:val="Bodytext20"/>
        <w:shd w:val="clear" w:color="auto" w:fill="auto"/>
        <w:spacing w:before="0" w:line="220" w:lineRule="exact"/>
        <w:ind w:left="20"/>
      </w:pPr>
      <w:r w:rsidRPr="00945C57">
        <w:t>12.atbilde</w:t>
      </w:r>
    </w:p>
    <w:p w14:paraId="2FB69A00" w14:textId="77777777" w:rsidR="009F682D" w:rsidRPr="00945C57" w:rsidRDefault="006D0FBD">
      <w:pPr>
        <w:pStyle w:val="BodyText4"/>
        <w:shd w:val="clear" w:color="auto" w:fill="auto"/>
        <w:spacing w:after="0" w:line="278" w:lineRule="exact"/>
        <w:ind w:left="20" w:right="20" w:firstLine="720"/>
      </w:pPr>
      <w:r w:rsidRPr="00945C57">
        <w:t xml:space="preserve">Par bruto dotācijas ekvivalenta aprēķināšanu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gadījumā ir atbildīgs atbalsta sniedzējs.</w:t>
      </w:r>
    </w:p>
    <w:p w14:paraId="0B3EC147" w14:textId="5A9B6A20" w:rsidR="009F682D" w:rsidRPr="00945C57" w:rsidRDefault="006D0FBD">
      <w:pPr>
        <w:pStyle w:val="BodyText4"/>
        <w:shd w:val="clear" w:color="auto" w:fill="auto"/>
        <w:spacing w:after="240" w:line="274" w:lineRule="exact"/>
        <w:ind w:left="20" w:right="20" w:firstLine="720"/>
      </w:pPr>
      <w:r w:rsidRPr="00945C57">
        <w:t xml:space="preserve">Savukārt par to, lai netiktu pārsniegts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slieksnis, ir atbildīgs gan atbalsta sniedzējs, izvērtējot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pretendenta sniegto informāciju un pieņemot lēmumu par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piešķiršanu, gan arī atbalsta pretendents, </w:t>
      </w:r>
      <w:r w:rsidR="00DF2CB0">
        <w:t xml:space="preserve">pārliecinoties, ka </w:t>
      </w:r>
      <w:proofErr w:type="spellStart"/>
      <w:r w:rsidR="00DF2CB0" w:rsidRPr="003E035E">
        <w:rPr>
          <w:i/>
          <w:iCs/>
        </w:rPr>
        <w:t>De</w:t>
      </w:r>
      <w:proofErr w:type="spellEnd"/>
      <w:r w:rsidR="00DF2CB0" w:rsidRPr="003E035E">
        <w:rPr>
          <w:i/>
          <w:iCs/>
        </w:rPr>
        <w:t xml:space="preserve"> </w:t>
      </w:r>
      <w:proofErr w:type="spellStart"/>
      <w:r w:rsidR="00DF2CB0" w:rsidRPr="003E035E">
        <w:rPr>
          <w:i/>
          <w:iCs/>
        </w:rPr>
        <w:t>minimis</w:t>
      </w:r>
      <w:proofErr w:type="spellEnd"/>
      <w:r w:rsidR="00DF2CB0">
        <w:t xml:space="preserve"> atbalsta uzskaites sistēmā atbalsta pretendenta veidlapā sistēma atspoguļo</w:t>
      </w:r>
      <w:r w:rsidR="00DF2CB0" w:rsidRPr="00945C57">
        <w:t xml:space="preserve"> </w:t>
      </w:r>
      <w:r w:rsidRPr="00945C57">
        <w:t xml:space="preserve">korektu informāciju par pēdējo triju fiskālo gadu laikā saņemto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w:t>
      </w:r>
      <w:r w:rsidR="00DF2CB0">
        <w:t xml:space="preserve"> viena vienota uzņēmuma līmenī</w:t>
      </w:r>
      <w:r w:rsidRPr="00945C57">
        <w:t>.</w:t>
      </w:r>
    </w:p>
    <w:p w14:paraId="01897B04" w14:textId="77777777" w:rsidR="009F682D" w:rsidRPr="00945C57" w:rsidRDefault="006D0FBD">
      <w:pPr>
        <w:pStyle w:val="BodyText4"/>
        <w:shd w:val="clear" w:color="auto" w:fill="auto"/>
        <w:spacing w:after="283" w:line="274" w:lineRule="exact"/>
        <w:ind w:left="20" w:right="20" w:firstLine="0"/>
      </w:pPr>
      <w:r w:rsidRPr="00945C57">
        <w:t xml:space="preserve">Subsīdijas bruto ekvivalenta aprēķināšanas piemērus (aizdevumu/nodokļu atvieglojumu gadījumā) skatīt datnē </w:t>
      </w:r>
      <w:r w:rsidRPr="00945C57">
        <w:rPr>
          <w:rStyle w:val="BodyText3"/>
        </w:rPr>
        <w:t>“</w:t>
      </w:r>
      <w:r w:rsidRPr="00471B97">
        <w:rPr>
          <w:rStyle w:val="BodyText3"/>
          <w:color w:val="2E74B5" w:themeColor="accent5" w:themeShade="BF"/>
        </w:rPr>
        <w:t>3.pielikums. Piemēri subsīdijas ekvivalenta aprēķināšanai aizdevumiem un nodokļu atvieglojumiem</w:t>
      </w:r>
      <w:r w:rsidRPr="004A51D9">
        <w:rPr>
          <w:rStyle w:val="BodyText3"/>
          <w:color w:val="FF0000"/>
        </w:rPr>
        <w:t>.</w:t>
      </w:r>
      <w:r w:rsidRPr="00945C57">
        <w:rPr>
          <w:rStyle w:val="BodyText3"/>
        </w:rPr>
        <w:t>”</w:t>
      </w:r>
    </w:p>
    <w:p w14:paraId="1241011A" w14:textId="3E9CDBEF" w:rsidR="009F682D" w:rsidRPr="00945C57" w:rsidRDefault="006D0FBD" w:rsidP="004A51D9">
      <w:pPr>
        <w:pStyle w:val="Bodytext20"/>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13" w:line="220" w:lineRule="exact"/>
        <w:ind w:left="20"/>
      </w:pPr>
      <w:r w:rsidRPr="00945C57">
        <w:t>13.jaut</w:t>
      </w:r>
      <w:r w:rsidR="004A51D9">
        <w:t>ā</w:t>
      </w:r>
      <w:r w:rsidRPr="00945C57">
        <w:t>jums</w:t>
      </w:r>
    </w:p>
    <w:p w14:paraId="62D40235" w14:textId="77777777" w:rsidR="009F682D" w:rsidRPr="00945C57" w:rsidRDefault="006D0FBD" w:rsidP="004A51D9">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265" w:line="220" w:lineRule="exact"/>
        <w:ind w:left="20" w:firstLine="0"/>
      </w:pPr>
      <w:r w:rsidRPr="00945C57">
        <w:t xml:space="preserve">Kādos gadījumos ir jāpiemēro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nosacījumi?</w:t>
      </w:r>
    </w:p>
    <w:p w14:paraId="7A65A6B2" w14:textId="77777777" w:rsidR="009F682D" w:rsidRPr="00945C57" w:rsidRDefault="006D0FBD">
      <w:pPr>
        <w:pStyle w:val="Bodytext20"/>
        <w:shd w:val="clear" w:color="auto" w:fill="auto"/>
        <w:spacing w:before="0" w:line="274" w:lineRule="exact"/>
        <w:ind w:left="20"/>
      </w:pPr>
      <w:r w:rsidRPr="00945C57">
        <w:t>13.atbilde</w:t>
      </w:r>
    </w:p>
    <w:p w14:paraId="28B8F15A" w14:textId="77777777" w:rsidR="009F682D" w:rsidRPr="00945C57" w:rsidRDefault="006D0FBD">
      <w:pPr>
        <w:pStyle w:val="BodyText4"/>
        <w:shd w:val="clear" w:color="auto" w:fill="auto"/>
        <w:spacing w:after="0" w:line="274" w:lineRule="exact"/>
        <w:ind w:left="20" w:right="20" w:firstLine="720"/>
      </w:pPr>
      <w:r w:rsidRPr="00945C57">
        <w:t xml:space="preserve">Sākotnēji ir jākonstatē, vai plānotais atbalsta pasākums ir klasificējams kā valsts atbalsts. Ja tas klasificējas kā valsts atbalsts, tad ir jāizvēlas piemērotu atbalsta mērķi, ar kuru tiks nodrošināts atbalsta pasākuma saderīgums ar Eiropas Savienības iekšējo tirgu, un kā viens no mērķiem var būt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atbalsts.</w:t>
      </w:r>
    </w:p>
    <w:p w14:paraId="5A0FD8BE" w14:textId="77777777" w:rsidR="009F682D" w:rsidRPr="00945C57" w:rsidRDefault="006D0FBD">
      <w:pPr>
        <w:pStyle w:val="BodyText4"/>
        <w:shd w:val="clear" w:color="auto" w:fill="auto"/>
        <w:spacing w:after="283" w:line="274" w:lineRule="exact"/>
        <w:ind w:left="20" w:right="20" w:firstLine="720"/>
      </w:pP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nosacījumu piemērošana var būt noteikta normatīvajā aktā, ar kuru paredzēts sniegt atbalstu, bet, ja normatīvajā aktā tas nav noteikts, bet, piemēram, pašvaldība, vēlas atbalstīt konkrētu saimnieciskās darbības veicēju, un plānotais atbalsts ir klasificējams kā valsts atbalsts, kā vienu no mērķiem var izvēlēties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w:t>
      </w:r>
    </w:p>
    <w:p w14:paraId="02791892" w14:textId="3A9E0FB6" w:rsidR="00627318" w:rsidRPr="00627318" w:rsidRDefault="006D0FBD"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4" w:lineRule="exact"/>
        <w:ind w:left="23" w:right="20" w:firstLine="0"/>
        <w:rPr>
          <w:b/>
          <w:bCs/>
        </w:rPr>
      </w:pPr>
      <w:r w:rsidRPr="00627318">
        <w:rPr>
          <w:b/>
          <w:bCs/>
        </w:rPr>
        <w:t>14.jaut</w:t>
      </w:r>
      <w:r w:rsidR="00627318">
        <w:rPr>
          <w:b/>
          <w:bCs/>
        </w:rPr>
        <w:t>ā</w:t>
      </w:r>
      <w:r w:rsidRPr="00627318">
        <w:rPr>
          <w:b/>
          <w:bCs/>
        </w:rPr>
        <w:t>jums</w:t>
      </w:r>
      <w:r w:rsidR="00627318" w:rsidRPr="00627318">
        <w:rPr>
          <w:b/>
          <w:bCs/>
        </w:rPr>
        <w:t xml:space="preserve"> </w:t>
      </w:r>
    </w:p>
    <w:p w14:paraId="2CFAE311" w14:textId="7AB03EBA" w:rsidR="009F682D" w:rsidRPr="00945C57" w:rsidRDefault="00627318"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4" w:lineRule="exact"/>
        <w:ind w:left="23" w:right="20" w:firstLine="0"/>
      </w:pPr>
      <w:r w:rsidRPr="00945C57">
        <w:t xml:space="preserve">Vai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nosacījumus ir jāpiemēro arī piešķirot nodokļu atvieglojumus, t.sk., attiecībā uz nodokļu atvieglojumiem, kas paredzēti inženierbūvēm atbilstoši likuma “Par nekustamā īpašuma nodokli” 1.panta otrās daļas 3</w:t>
      </w:r>
      <w:r w:rsidRPr="00945C57">
        <w:rPr>
          <w:vertAlign w:val="superscript"/>
        </w:rPr>
        <w:t>1</w:t>
      </w:r>
      <w:r w:rsidRPr="00945C57">
        <w:t>) punktam?</w:t>
      </w:r>
    </w:p>
    <w:p w14:paraId="54A87CE4" w14:textId="77777777" w:rsidR="00627318" w:rsidRDefault="00627318">
      <w:pPr>
        <w:pStyle w:val="Bodytext20"/>
        <w:shd w:val="clear" w:color="auto" w:fill="auto"/>
        <w:spacing w:before="0" w:line="274" w:lineRule="exact"/>
        <w:ind w:left="20"/>
      </w:pPr>
    </w:p>
    <w:p w14:paraId="1D3D9814" w14:textId="5CCD8D09" w:rsidR="009F682D" w:rsidRPr="00945C57" w:rsidRDefault="006D0FBD">
      <w:pPr>
        <w:pStyle w:val="Bodytext20"/>
        <w:shd w:val="clear" w:color="auto" w:fill="auto"/>
        <w:spacing w:before="0" w:line="274" w:lineRule="exact"/>
        <w:ind w:left="20"/>
      </w:pPr>
      <w:r w:rsidRPr="00945C57">
        <w:t>14.atbilde</w:t>
      </w:r>
    </w:p>
    <w:p w14:paraId="5F000B69" w14:textId="77777777" w:rsidR="009F682D" w:rsidRPr="00945C57" w:rsidRDefault="006D0FBD">
      <w:pPr>
        <w:pStyle w:val="BodyText4"/>
        <w:shd w:val="clear" w:color="auto" w:fill="auto"/>
        <w:spacing w:after="240" w:line="274" w:lineRule="exact"/>
        <w:ind w:left="20" w:right="20" w:firstLine="700"/>
      </w:pPr>
      <w:r w:rsidRPr="00945C57">
        <w:t xml:space="preserve">Piešķirot nekustamā īpašuma nodokļa atvieglojumus saimnieciskās darbības veicējiem ir jāpiemēro valsts atbalsta regulējumu, t.sk., kā viens no atbalsta mērķiem var būt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rPr>
          <w:rStyle w:val="BodytextItalic"/>
        </w:rPr>
        <w:t xml:space="preserve"> </w:t>
      </w:r>
      <w:r w:rsidRPr="00945C57">
        <w:t>atbalsts.</w:t>
      </w:r>
    </w:p>
    <w:p w14:paraId="73BC6FA9" w14:textId="77777777" w:rsidR="00627318" w:rsidRPr="00627318" w:rsidRDefault="006D0FBD"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4" w:lineRule="exact"/>
        <w:ind w:left="23" w:right="20" w:firstLine="0"/>
        <w:rPr>
          <w:b/>
          <w:bCs/>
        </w:rPr>
      </w:pPr>
      <w:r w:rsidRPr="00627318">
        <w:rPr>
          <w:b/>
          <w:bCs/>
        </w:rPr>
        <w:t>15.jautājums</w:t>
      </w:r>
      <w:r w:rsidR="00627318" w:rsidRPr="00627318">
        <w:rPr>
          <w:b/>
          <w:bCs/>
        </w:rPr>
        <w:t xml:space="preserve"> </w:t>
      </w:r>
    </w:p>
    <w:p w14:paraId="1FC29450" w14:textId="1F148B7A" w:rsidR="009F682D" w:rsidRPr="00945C57" w:rsidRDefault="00627318"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74" w:lineRule="exact"/>
        <w:ind w:left="23" w:right="20" w:firstLine="0"/>
      </w:pPr>
      <w:r w:rsidRPr="00945C57">
        <w:t xml:space="preserve">Vai var piemērot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nosacījumus, ja aizdevums uz atvieglotiem nosacījumiem tiek piešķirts uz, piemēram, 5 gadiem?</w:t>
      </w:r>
    </w:p>
    <w:p w14:paraId="55A27374" w14:textId="77777777" w:rsidR="00627318" w:rsidRDefault="00627318">
      <w:pPr>
        <w:pStyle w:val="Bodytext20"/>
        <w:shd w:val="clear" w:color="auto" w:fill="auto"/>
        <w:spacing w:before="0" w:line="274" w:lineRule="exact"/>
        <w:ind w:left="20"/>
      </w:pPr>
    </w:p>
    <w:p w14:paraId="2123D9B8" w14:textId="72377C24" w:rsidR="009F682D" w:rsidRPr="00945C57" w:rsidRDefault="006D0FBD">
      <w:pPr>
        <w:pStyle w:val="Bodytext20"/>
        <w:shd w:val="clear" w:color="auto" w:fill="auto"/>
        <w:spacing w:before="0" w:line="274" w:lineRule="exact"/>
        <w:ind w:left="20"/>
      </w:pPr>
      <w:r w:rsidRPr="00945C57">
        <w:t>15.atbilde</w:t>
      </w:r>
    </w:p>
    <w:p w14:paraId="776432B2" w14:textId="52DB3A7C" w:rsidR="009F682D" w:rsidRPr="00945C57" w:rsidRDefault="006D0FBD">
      <w:pPr>
        <w:pStyle w:val="BodyText4"/>
        <w:shd w:val="clear" w:color="auto" w:fill="auto"/>
        <w:spacing w:after="240" w:line="274" w:lineRule="exact"/>
        <w:ind w:left="20" w:right="20" w:firstLine="700"/>
      </w:pPr>
      <w:r w:rsidRPr="00945C57">
        <w:t xml:space="preserve">Jā, šādā gadījumā var tikt piemēroti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nosacījumi, jo atbilstoši Komisijas regulas Nr.1407/2013 3.panta 4.punktam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atbalstu uzskata par piešķirtu brīdī, kad </w:t>
      </w:r>
      <w:r w:rsidRPr="00945C57">
        <w:lastRenderedPageBreak/>
        <w:t xml:space="preserve">uzņēmumam saskaņā ar piemērojamo valsts tiesisko regulējumu ir piešķirtas likumīgas tiesības saņemt atbalstu, neatkarīgi no datuma, kurā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atbalsts uzņēmuma izmaksāts, t.i.,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atbalsts ir uzskatāms par piešķirtu ar lēmuma par tā piešķiršanu pieņemšanas brīdi un attiecīgais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atbalsts ir iegrāmatojams lēmuma pieņemšanas gadā, lai arī reāli atbalsts tiks izmantots vairākus gadus.</w:t>
      </w:r>
    </w:p>
    <w:p w14:paraId="6FE61380" w14:textId="00C2559D" w:rsidR="00627318" w:rsidRPr="00627318" w:rsidRDefault="006D0FBD"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rPr>
          <w:b/>
          <w:bCs/>
        </w:rPr>
      </w:pPr>
      <w:r w:rsidRPr="00627318">
        <w:rPr>
          <w:b/>
          <w:bCs/>
        </w:rPr>
        <w:t>16.jautājums</w:t>
      </w:r>
      <w:r w:rsidR="00627318" w:rsidRPr="00627318">
        <w:rPr>
          <w:b/>
          <w:bCs/>
        </w:rPr>
        <w:t xml:space="preserve"> </w:t>
      </w:r>
    </w:p>
    <w:p w14:paraId="59F9C21C" w14:textId="68870CA2" w:rsidR="009F682D" w:rsidRPr="00945C57" w:rsidRDefault="00627318"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945C57">
        <w:t xml:space="preserve">Kas notiek gadījumā, ja līgumā nav noteikta konkrēta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summa (piemēram, uzņēmums var pieprasīt atbalstu vienu reizi gadā vai vienu reizi mēnesī)?</w:t>
      </w:r>
    </w:p>
    <w:p w14:paraId="307C5CC2" w14:textId="77777777" w:rsidR="00627318" w:rsidRDefault="00627318">
      <w:pPr>
        <w:pStyle w:val="Bodytext20"/>
        <w:shd w:val="clear" w:color="auto" w:fill="auto"/>
        <w:spacing w:before="0" w:line="274" w:lineRule="exact"/>
        <w:ind w:left="20"/>
      </w:pPr>
    </w:p>
    <w:p w14:paraId="42175335" w14:textId="5DCE9EE9" w:rsidR="009F682D" w:rsidRPr="00945C57" w:rsidRDefault="006D0FBD">
      <w:pPr>
        <w:pStyle w:val="Bodytext20"/>
        <w:shd w:val="clear" w:color="auto" w:fill="auto"/>
        <w:spacing w:before="0" w:line="274" w:lineRule="exact"/>
        <w:ind w:left="20"/>
      </w:pPr>
      <w:r w:rsidRPr="00945C57">
        <w:t>16.atbilde</w:t>
      </w:r>
    </w:p>
    <w:p w14:paraId="13DFE98E" w14:textId="6E2A5919" w:rsidR="009F682D" w:rsidRPr="00945C57" w:rsidRDefault="006D0FBD">
      <w:pPr>
        <w:pStyle w:val="BodyText4"/>
        <w:shd w:val="clear" w:color="auto" w:fill="auto"/>
        <w:spacing w:after="283" w:line="274" w:lineRule="exact"/>
        <w:ind w:left="20" w:right="20" w:firstLine="700"/>
      </w:pPr>
      <w:r w:rsidRPr="00945C57">
        <w:t xml:space="preserve">Ņemot vērā, ka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summa līgumā nav noteikta, tad katra šāda atbalsta piešķiršana ir “jauns” atbalsts un jauns lēmums. Līdz ar to, katru reizi, kad tiek piešķirts atbalsts, ir jāpieprasa aizpildīt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veidlapu, jo katru reizi ir jāapliecina un jāpārbauda, ka netiek pārsniegts maksimālais </w:t>
      </w:r>
      <w:proofErr w:type="spellStart"/>
      <w:r w:rsidRPr="00945C57">
        <w:rPr>
          <w:rStyle w:val="BodytextItalic"/>
        </w:rPr>
        <w:t>de</w:t>
      </w:r>
      <w:proofErr w:type="spellEnd"/>
      <w:r w:rsidRPr="00945C57">
        <w:rPr>
          <w:rStyle w:val="BodytextItalic"/>
        </w:rPr>
        <w:t xml:space="preserve"> </w:t>
      </w:r>
      <w:proofErr w:type="spellStart"/>
      <w:r w:rsidRPr="00945C57">
        <w:rPr>
          <w:rStyle w:val="BodytextItalic"/>
        </w:rPr>
        <w:t>minimis</w:t>
      </w:r>
      <w:proofErr w:type="spellEnd"/>
      <w:r w:rsidRPr="00945C57">
        <w:t xml:space="preserve"> atbalsta robežlielums triju fiskālo gadu periodā viena vienota uzņēmuma līmenī. Atbalsta summa tiek skatīta uz lēmuma pieņemšanas brīdi, nevis reālās izmaksas brīdi.</w:t>
      </w:r>
    </w:p>
    <w:p w14:paraId="100FA323" w14:textId="38F42E2C" w:rsidR="009F682D" w:rsidRPr="00945C57" w:rsidRDefault="006D0FBD" w:rsidP="00627318">
      <w:pPr>
        <w:pStyle w:val="Bodytext20"/>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13" w:line="220" w:lineRule="exact"/>
        <w:ind w:left="20"/>
      </w:pPr>
      <w:r w:rsidRPr="00945C57">
        <w:t>17.jaut</w:t>
      </w:r>
      <w:r w:rsidR="00627318">
        <w:t>ā</w:t>
      </w:r>
      <w:r w:rsidRPr="00945C57">
        <w:t>jums</w:t>
      </w:r>
    </w:p>
    <w:p w14:paraId="42F2322F" w14:textId="72361E66" w:rsidR="009F682D" w:rsidRPr="00945C57" w:rsidRDefault="006D0FBD" w:rsidP="00627318">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265" w:line="220" w:lineRule="exact"/>
        <w:ind w:left="20" w:firstLine="0"/>
      </w:pPr>
      <w:r w:rsidRPr="00945C57">
        <w:t xml:space="preserve">Kā aprēķina bruto dotācijas ekvivalentu </w:t>
      </w:r>
      <w:proofErr w:type="spellStart"/>
      <w:r w:rsidRPr="00945C57">
        <w:t>mezanīna</w:t>
      </w:r>
      <w:proofErr w:type="spellEnd"/>
      <w:r w:rsidRPr="00945C57">
        <w:t xml:space="preserve"> aizdevumu gadījumā?</w:t>
      </w:r>
    </w:p>
    <w:p w14:paraId="607BFEF4" w14:textId="77777777" w:rsidR="009F682D" w:rsidRPr="00945C57" w:rsidRDefault="006D0FBD">
      <w:pPr>
        <w:pStyle w:val="Bodytext20"/>
        <w:shd w:val="clear" w:color="auto" w:fill="auto"/>
        <w:spacing w:before="0" w:line="274" w:lineRule="exact"/>
        <w:ind w:left="20"/>
      </w:pPr>
      <w:r w:rsidRPr="00945C57">
        <w:t>17.atbilde</w:t>
      </w:r>
    </w:p>
    <w:p w14:paraId="0FF0B43B" w14:textId="20EF7720" w:rsidR="009F682D" w:rsidRDefault="006D0FBD">
      <w:pPr>
        <w:pStyle w:val="BodyText4"/>
        <w:shd w:val="clear" w:color="auto" w:fill="auto"/>
        <w:spacing w:after="0" w:line="274" w:lineRule="exact"/>
        <w:ind w:left="20" w:right="20" w:firstLine="0"/>
      </w:pPr>
      <w:r w:rsidRPr="00945C57">
        <w:t xml:space="preserve">Atbilstoši Ministru kabineta 2014.gada 13.maija noteikumiem Nr.241 “Noteikumi par </w:t>
      </w:r>
      <w:proofErr w:type="spellStart"/>
      <w:r w:rsidRPr="00945C57">
        <w:t>mezanīna</w:t>
      </w:r>
      <w:proofErr w:type="spellEnd"/>
      <w:r w:rsidRPr="00945C57">
        <w:t xml:space="preserve"> aizdevumiem saimnieciskās darbības veicēju konkurētspējas uzlabošanai” 37.punktā noteiktajam subsīdijas ekvivalents </w:t>
      </w:r>
      <w:proofErr w:type="spellStart"/>
      <w:r w:rsidRPr="00945C57">
        <w:t>mezanīna</w:t>
      </w:r>
      <w:proofErr w:type="spellEnd"/>
      <w:r w:rsidRPr="00945C57">
        <w:t xml:space="preserve"> aizdevumu gadījumā ir vienāds ar saimnieciskās darbības veicējam piešķirtā aizdevuma apmēru.</w:t>
      </w:r>
      <w:bookmarkEnd w:id="1"/>
    </w:p>
    <w:p w14:paraId="68261E32" w14:textId="3F34504B" w:rsidR="00DF2CB0" w:rsidRDefault="00DF2CB0" w:rsidP="002C1EC9">
      <w:pPr>
        <w:rPr>
          <w:color w:val="auto"/>
        </w:rPr>
      </w:pPr>
      <w:r>
        <w:rPr>
          <w:rFonts w:eastAsiaTheme="minorHAnsi"/>
          <w:noProof/>
        </w:rPr>
        <mc:AlternateContent>
          <mc:Choice Requires="wps">
            <w:drawing>
              <wp:anchor distT="0" distB="0" distL="0" distR="0" simplePos="0" relativeHeight="251661312" behindDoc="1" locked="0" layoutInCell="1" allowOverlap="1" wp14:anchorId="75EABF6E" wp14:editId="1CD9A5DD">
                <wp:simplePos x="0" y="0"/>
                <wp:positionH relativeFrom="margin">
                  <wp:align>right</wp:align>
                </wp:positionH>
                <wp:positionV relativeFrom="paragraph">
                  <wp:posOffset>273050</wp:posOffset>
                </wp:positionV>
                <wp:extent cx="5905500" cy="479425"/>
                <wp:effectExtent l="0" t="0" r="19050" b="15875"/>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79834"/>
                        </a:xfrm>
                        <a:prstGeom prst="rect">
                          <a:avLst/>
                        </a:prstGeom>
                        <a:solidFill>
                          <a:srgbClr val="D9D9D9"/>
                        </a:solidFill>
                        <a:ln w="6096">
                          <a:solidFill>
                            <a:srgbClr val="000000"/>
                          </a:solidFill>
                          <a:prstDash val="solid"/>
                          <a:miter lim="800000"/>
                          <a:headEnd/>
                          <a:tailEnd/>
                        </a:ln>
                      </wps:spPr>
                      <wps:txbx>
                        <w:txbxContent>
                          <w:p w14:paraId="49BECB88" w14:textId="0855C981" w:rsidR="00DF2CB0" w:rsidRPr="003E035E"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rPr>
                                <w:b/>
                                <w:bCs/>
                              </w:rPr>
                            </w:pPr>
                            <w:r>
                              <w:rPr>
                                <w:b/>
                                <w:bCs/>
                              </w:rPr>
                              <w:t>18.</w:t>
                            </w:r>
                            <w:r w:rsidRPr="003E035E">
                              <w:rPr>
                                <w:b/>
                                <w:bCs/>
                              </w:rPr>
                              <w:t>jautājums</w:t>
                            </w:r>
                          </w:p>
                          <w:p w14:paraId="379301E4" w14:textId="77777777" w:rsidR="00DF2CB0" w:rsidRPr="00DF2CB0"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DF2CB0">
                              <w:t>Kas ir jādara gadījumā, ja, uzņēmumiem apvienojoties, veidojas situācija, ka atbalsta apjoms ir pārsniegts?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ABF6E" id="_x0000_t202" coordsize="21600,21600" o:spt="202" path="m,l,21600r21600,l21600,xe">
                <v:stroke joinstyle="miter"/>
                <v:path gradientshapeok="t" o:connecttype="rect"/>
              </v:shapetype>
              <v:shape id="Text Box 41" o:spid="_x0000_s1026" type="#_x0000_t202" style="position:absolute;margin-left:413.8pt;margin-top:21.5pt;width:465pt;height:37.7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" fillcolor="#d9d9d9" strokeweight=".48pt">
                <v:textbox inset="0,0,0,0">
                  <w:txbxContent>
                    <w:p w14:paraId="49BECB88" w14:textId="0855C981" w:rsidR="00DF2CB0" w:rsidRPr="003E035E"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rPr>
                          <w:b/>
                          <w:bCs/>
                        </w:rPr>
                      </w:pPr>
                      <w:r>
                        <w:rPr>
                          <w:b/>
                          <w:bCs/>
                        </w:rPr>
                        <w:t>18.</w:t>
                      </w:r>
                      <w:r w:rsidRPr="003E035E">
                        <w:rPr>
                          <w:b/>
                          <w:bCs/>
                        </w:rPr>
                        <w:t>jautājums</w:t>
                      </w:r>
                    </w:p>
                    <w:p w14:paraId="379301E4" w14:textId="77777777" w:rsidR="00DF2CB0" w:rsidRPr="00DF2CB0"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DF2CB0">
                        <w:t>Kas ir jādara gadījumā, ja, uzņēmumiem apvienojoties, veidojas situācija, ka atbalsta apjoms ir pārsniegts?</w:t>
                      </w:r>
                    </w:p>
                  </w:txbxContent>
                </v:textbox>
                <w10:wrap type="topAndBottom" anchorx="margin"/>
              </v:shape>
            </w:pict>
          </mc:Fallback>
        </mc:AlternateContent>
      </w:r>
    </w:p>
    <w:p w14:paraId="5C9F7459" w14:textId="77777777" w:rsidR="00DF2CB0" w:rsidRDefault="00DF2CB0" w:rsidP="00DF2CB0">
      <w:pPr>
        <w:ind w:left="222"/>
      </w:pPr>
    </w:p>
    <w:p w14:paraId="6C3F4F39" w14:textId="77777777" w:rsidR="00DF2CB0" w:rsidRPr="00DF2CB0" w:rsidRDefault="00DF2CB0" w:rsidP="003E035E">
      <w:pPr>
        <w:pStyle w:val="Bodytext20"/>
        <w:shd w:val="clear" w:color="auto" w:fill="auto"/>
        <w:spacing w:before="0" w:line="274" w:lineRule="exact"/>
        <w:ind w:left="20"/>
      </w:pPr>
      <w:r w:rsidRPr="00DF2CB0">
        <w:t>18.atbilde</w:t>
      </w:r>
    </w:p>
    <w:p w14:paraId="1E782876" w14:textId="4315D254" w:rsidR="00D064FB" w:rsidRDefault="00DF2CB0" w:rsidP="00FD1A88">
      <w:pPr>
        <w:ind w:firstLine="720"/>
        <w:jc w:val="both"/>
        <w:rPr>
          <w:rFonts w:ascii="Times New Roman" w:eastAsia="Times New Roman" w:hAnsi="Times New Roman" w:cs="Times New Roman"/>
          <w:sz w:val="22"/>
          <w:szCs w:val="22"/>
        </w:rPr>
      </w:pPr>
      <w:r w:rsidRPr="003E035E">
        <w:rPr>
          <w:rFonts w:ascii="Times New Roman" w:eastAsia="Times New Roman" w:hAnsi="Times New Roman" w:cs="Times New Roman"/>
          <w:sz w:val="22"/>
          <w:szCs w:val="22"/>
        </w:rPr>
        <w:t>Ja noti</w:t>
      </w:r>
      <w:r w:rsidR="00D064FB">
        <w:rPr>
          <w:rFonts w:ascii="Times New Roman" w:eastAsia="Times New Roman" w:hAnsi="Times New Roman" w:cs="Times New Roman"/>
          <w:sz w:val="22"/>
          <w:szCs w:val="22"/>
        </w:rPr>
        <w:t>kusi</w:t>
      </w:r>
      <w:r w:rsidRPr="003E035E">
        <w:rPr>
          <w:rFonts w:ascii="Times New Roman" w:eastAsia="Times New Roman" w:hAnsi="Times New Roman" w:cs="Times New Roman"/>
          <w:sz w:val="22"/>
          <w:szCs w:val="22"/>
        </w:rPr>
        <w:t xml:space="preserve"> uzņēmumu apvienošana un pēc apvienošanas tiek secināts, ka atbalsta pretendentam piešķirtais </w:t>
      </w:r>
      <w:proofErr w:type="spellStart"/>
      <w:r w:rsidRPr="003E035E">
        <w:rPr>
          <w:rFonts w:ascii="Times New Roman" w:eastAsia="Times New Roman" w:hAnsi="Times New Roman" w:cs="Times New Roman"/>
          <w:i/>
          <w:iCs/>
          <w:sz w:val="22"/>
          <w:szCs w:val="22"/>
        </w:rPr>
        <w:t>de</w:t>
      </w:r>
      <w:proofErr w:type="spellEnd"/>
      <w:r w:rsidRPr="003E035E">
        <w:rPr>
          <w:rFonts w:ascii="Times New Roman" w:eastAsia="Times New Roman" w:hAnsi="Times New Roman" w:cs="Times New Roman"/>
          <w:i/>
          <w:iCs/>
          <w:sz w:val="22"/>
          <w:szCs w:val="22"/>
        </w:rPr>
        <w:t xml:space="preserve"> </w:t>
      </w:r>
      <w:proofErr w:type="spellStart"/>
      <w:r w:rsidRPr="003E035E">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atbalsts kārtējā un divos iepriekšējos fiskālajos gados viena vienota uzņēmuma līmenī pārsniedz, </w:t>
      </w:r>
      <w:proofErr w:type="spellStart"/>
      <w:r w:rsidRPr="003E035E">
        <w:rPr>
          <w:rFonts w:ascii="Times New Roman" w:eastAsia="Times New Roman" w:hAnsi="Times New Roman" w:cs="Times New Roman"/>
          <w:i/>
          <w:iCs/>
          <w:sz w:val="22"/>
          <w:szCs w:val="22"/>
        </w:rPr>
        <w:t>de</w:t>
      </w:r>
      <w:proofErr w:type="spellEnd"/>
      <w:r w:rsidRPr="003E035E">
        <w:rPr>
          <w:rFonts w:ascii="Times New Roman" w:eastAsia="Times New Roman" w:hAnsi="Times New Roman" w:cs="Times New Roman"/>
          <w:i/>
          <w:iCs/>
          <w:sz w:val="22"/>
          <w:szCs w:val="22"/>
        </w:rPr>
        <w:t xml:space="preserve"> </w:t>
      </w:r>
      <w:proofErr w:type="spellStart"/>
      <w:r w:rsidRPr="003E035E">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regulās noteikto robežlielumu, atbalsts jāatgūst nav. </w:t>
      </w:r>
    </w:p>
    <w:p w14:paraId="53CF3631" w14:textId="6476892D" w:rsidR="00DF2CB0" w:rsidRPr="003E035E" w:rsidRDefault="00DF2CB0" w:rsidP="00FD1A88">
      <w:pPr>
        <w:ind w:firstLine="720"/>
        <w:jc w:val="both"/>
        <w:rPr>
          <w:rFonts w:ascii="Times New Roman" w:eastAsia="Times New Roman" w:hAnsi="Times New Roman" w:cs="Times New Roman"/>
          <w:sz w:val="22"/>
          <w:szCs w:val="22"/>
        </w:rPr>
      </w:pPr>
      <w:r w:rsidRPr="003E035E">
        <w:rPr>
          <w:rFonts w:ascii="Times New Roman" w:eastAsia="Times New Roman" w:hAnsi="Times New Roman" w:cs="Times New Roman"/>
          <w:sz w:val="22"/>
          <w:szCs w:val="22"/>
        </w:rPr>
        <w:t>Tā kā līdz uzņēmumu apvienošanai</w:t>
      </w:r>
      <w:r w:rsidR="00D064FB">
        <w:rPr>
          <w:rFonts w:ascii="Times New Roman" w:eastAsia="Times New Roman" w:hAnsi="Times New Roman" w:cs="Times New Roman"/>
          <w:sz w:val="22"/>
          <w:szCs w:val="22"/>
        </w:rPr>
        <w:t xml:space="preserve"> </w:t>
      </w:r>
      <w:r w:rsidRPr="003E035E">
        <w:rPr>
          <w:rFonts w:ascii="Times New Roman" w:eastAsia="Times New Roman" w:hAnsi="Times New Roman" w:cs="Times New Roman"/>
          <w:sz w:val="22"/>
          <w:szCs w:val="22"/>
        </w:rPr>
        <w:t xml:space="preserve">katram no uzņēmumiem viena vienota uzņēmuma līmenī ticis piešķirts likumīgs un tiesisks </w:t>
      </w:r>
      <w:proofErr w:type="spellStart"/>
      <w:r w:rsidRPr="003E035E">
        <w:rPr>
          <w:rFonts w:ascii="Times New Roman" w:eastAsia="Times New Roman" w:hAnsi="Times New Roman" w:cs="Times New Roman"/>
          <w:i/>
          <w:iCs/>
          <w:sz w:val="22"/>
          <w:szCs w:val="22"/>
        </w:rPr>
        <w:t>de</w:t>
      </w:r>
      <w:proofErr w:type="spellEnd"/>
      <w:r w:rsidRPr="003E035E">
        <w:rPr>
          <w:rFonts w:ascii="Times New Roman" w:eastAsia="Times New Roman" w:hAnsi="Times New Roman" w:cs="Times New Roman"/>
          <w:i/>
          <w:iCs/>
          <w:sz w:val="22"/>
          <w:szCs w:val="22"/>
        </w:rPr>
        <w:t xml:space="preserve"> </w:t>
      </w:r>
      <w:proofErr w:type="spellStart"/>
      <w:r w:rsidRPr="003E035E">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atbalsts, tostarp nepārsniedzot </w:t>
      </w:r>
      <w:proofErr w:type="spellStart"/>
      <w:r w:rsidRPr="003E035E">
        <w:rPr>
          <w:rFonts w:ascii="Times New Roman" w:eastAsia="Times New Roman" w:hAnsi="Times New Roman" w:cs="Times New Roman"/>
          <w:i/>
          <w:iCs/>
          <w:sz w:val="22"/>
          <w:szCs w:val="22"/>
        </w:rPr>
        <w:t>de</w:t>
      </w:r>
      <w:proofErr w:type="spellEnd"/>
      <w:r w:rsidRPr="003E035E">
        <w:rPr>
          <w:rFonts w:ascii="Times New Roman" w:eastAsia="Times New Roman" w:hAnsi="Times New Roman" w:cs="Times New Roman"/>
          <w:i/>
          <w:iCs/>
          <w:sz w:val="22"/>
          <w:szCs w:val="22"/>
        </w:rPr>
        <w:t xml:space="preserve"> </w:t>
      </w:r>
      <w:proofErr w:type="spellStart"/>
      <w:r w:rsidRPr="003E035E">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regulā noteikto robežlielumu, nav pamata atgūt piešķirto </w:t>
      </w:r>
      <w:proofErr w:type="spellStart"/>
      <w:r w:rsidRPr="00471B97">
        <w:rPr>
          <w:rFonts w:ascii="Times New Roman" w:eastAsia="Times New Roman" w:hAnsi="Times New Roman" w:cs="Times New Roman"/>
          <w:i/>
          <w:iCs/>
          <w:sz w:val="22"/>
          <w:szCs w:val="22"/>
        </w:rPr>
        <w:t>de</w:t>
      </w:r>
      <w:proofErr w:type="spellEnd"/>
      <w:r w:rsidRPr="00471B97">
        <w:rPr>
          <w:rFonts w:ascii="Times New Roman" w:eastAsia="Times New Roman" w:hAnsi="Times New Roman" w:cs="Times New Roman"/>
          <w:i/>
          <w:iCs/>
          <w:sz w:val="22"/>
          <w:szCs w:val="22"/>
        </w:rPr>
        <w:t xml:space="preserve"> </w:t>
      </w:r>
      <w:proofErr w:type="spellStart"/>
      <w:r w:rsidRPr="00471B97">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apmēru.. Vienlaikus vēlamies vērst uzmanību, ka pēc uzņēmumu apvienošanās atbalsta pretendentam viena vienota uzņēmuma līmenī piešķirt jaunu </w:t>
      </w:r>
      <w:proofErr w:type="spellStart"/>
      <w:r w:rsidRPr="003E035E">
        <w:rPr>
          <w:rFonts w:ascii="Times New Roman" w:eastAsia="Times New Roman" w:hAnsi="Times New Roman" w:cs="Times New Roman"/>
          <w:i/>
          <w:iCs/>
          <w:sz w:val="22"/>
          <w:szCs w:val="22"/>
        </w:rPr>
        <w:t>de</w:t>
      </w:r>
      <w:proofErr w:type="spellEnd"/>
      <w:r w:rsidRPr="003E035E">
        <w:rPr>
          <w:rFonts w:ascii="Times New Roman" w:eastAsia="Times New Roman" w:hAnsi="Times New Roman" w:cs="Times New Roman"/>
          <w:i/>
          <w:iCs/>
          <w:sz w:val="22"/>
          <w:szCs w:val="22"/>
        </w:rPr>
        <w:t xml:space="preserve"> </w:t>
      </w:r>
      <w:proofErr w:type="spellStart"/>
      <w:r w:rsidRPr="003E035E">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atbalstu drīkst atkal brīdī, kad to pieļauj </w:t>
      </w:r>
      <w:proofErr w:type="spellStart"/>
      <w:r w:rsidRPr="003E035E">
        <w:rPr>
          <w:rFonts w:ascii="Times New Roman" w:eastAsia="Times New Roman" w:hAnsi="Times New Roman" w:cs="Times New Roman"/>
          <w:i/>
          <w:iCs/>
          <w:sz w:val="22"/>
          <w:szCs w:val="22"/>
        </w:rPr>
        <w:t>de</w:t>
      </w:r>
      <w:proofErr w:type="spellEnd"/>
      <w:r w:rsidRPr="003E035E">
        <w:rPr>
          <w:rFonts w:ascii="Times New Roman" w:eastAsia="Times New Roman" w:hAnsi="Times New Roman" w:cs="Times New Roman"/>
          <w:i/>
          <w:iCs/>
          <w:sz w:val="22"/>
          <w:szCs w:val="22"/>
        </w:rPr>
        <w:t xml:space="preserve"> </w:t>
      </w:r>
      <w:proofErr w:type="spellStart"/>
      <w:r w:rsidRPr="003E035E">
        <w:rPr>
          <w:rFonts w:ascii="Times New Roman" w:eastAsia="Times New Roman" w:hAnsi="Times New Roman" w:cs="Times New Roman"/>
          <w:i/>
          <w:iCs/>
          <w:sz w:val="22"/>
          <w:szCs w:val="22"/>
        </w:rPr>
        <w:t>minimis</w:t>
      </w:r>
      <w:proofErr w:type="spellEnd"/>
      <w:r w:rsidRPr="003E035E">
        <w:rPr>
          <w:rFonts w:ascii="Times New Roman" w:eastAsia="Times New Roman" w:hAnsi="Times New Roman" w:cs="Times New Roman"/>
          <w:sz w:val="22"/>
          <w:szCs w:val="22"/>
        </w:rPr>
        <w:t xml:space="preserve"> regulu nosacījumi (tiek ievērots nosacījums par robežlielumiem).</w:t>
      </w:r>
    </w:p>
    <w:p w14:paraId="4F5ED2A3" w14:textId="01023164" w:rsidR="00DF2CB0" w:rsidRDefault="00DF2CB0" w:rsidP="00DF2CB0">
      <w:pPr>
        <w:pStyle w:val="BodyText0"/>
        <w:ind w:left="222" w:right="232"/>
        <w:jc w:val="both"/>
      </w:pPr>
      <w:r>
        <w:rPr>
          <w:noProof/>
        </w:rPr>
        <mc:AlternateContent>
          <mc:Choice Requires="wps">
            <w:drawing>
              <wp:anchor distT="0" distB="0" distL="0" distR="0" simplePos="0" relativeHeight="251659264" behindDoc="1" locked="0" layoutInCell="1" allowOverlap="1" wp14:anchorId="57FA0024" wp14:editId="2A5382DA">
                <wp:simplePos x="0" y="0"/>
                <wp:positionH relativeFrom="page">
                  <wp:align>center</wp:align>
                </wp:positionH>
                <wp:positionV relativeFrom="paragraph">
                  <wp:posOffset>198120</wp:posOffset>
                </wp:positionV>
                <wp:extent cx="5905500" cy="1912620"/>
                <wp:effectExtent l="0" t="0" r="19050"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13206"/>
                        </a:xfrm>
                        <a:prstGeom prst="rect">
                          <a:avLst/>
                        </a:prstGeom>
                        <a:solidFill>
                          <a:srgbClr val="D9D9D9"/>
                        </a:solidFill>
                        <a:ln w="6096">
                          <a:solidFill>
                            <a:srgbClr val="000000"/>
                          </a:solidFill>
                          <a:prstDash val="solid"/>
                          <a:miter lim="800000"/>
                          <a:headEnd/>
                          <a:tailEnd/>
                        </a:ln>
                      </wps:spPr>
                      <wps:txbx>
                        <w:txbxContent>
                          <w:p w14:paraId="2CE458D8" w14:textId="4CFB9805" w:rsidR="00DF2CB0" w:rsidRPr="003E035E"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rPr>
                                <w:b/>
                                <w:bCs/>
                              </w:rPr>
                            </w:pPr>
                            <w:r>
                              <w:rPr>
                                <w:b/>
                                <w:bCs/>
                              </w:rPr>
                              <w:t xml:space="preserve">19. </w:t>
                            </w:r>
                            <w:r w:rsidRPr="003E035E">
                              <w:rPr>
                                <w:b/>
                                <w:bCs/>
                              </w:rPr>
                              <w:t>jautājums</w:t>
                            </w:r>
                          </w:p>
                          <w:p w14:paraId="0FD14D6C" w14:textId="78859931" w:rsidR="00BE73A9" w:rsidRPr="002C1EC9"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DF2CB0">
                              <w:t xml:space="preserve">Vai gadījumā, ja publiskā persona galvenokārt veic valsts pārvaldes funkciju un tikai nelielā apmērā veic saimniecisko darbību, nodrošinot grāmatvedības (kontu) nodalīšanu, šo publisko personu </w:t>
                            </w:r>
                            <w:r w:rsidR="00BE73A9">
                              <w:t xml:space="preserve">varētu </w:t>
                            </w:r>
                            <w:r w:rsidRPr="00DF2CB0">
                              <w:t>uzskat</w:t>
                            </w:r>
                            <w:r w:rsidR="00BE73A9">
                              <w:t>īt</w:t>
                            </w:r>
                            <w:r w:rsidRPr="00DF2CB0">
                              <w:t xml:space="preserve"> par </w:t>
                            </w:r>
                            <w:r w:rsidRPr="002C1EC9">
                              <w:t>saimnieciskās darbības veicēju tikai attiecībā uz tās saimniecisko (papildinošo) darbību</w:t>
                            </w:r>
                            <w:r w:rsidR="00BE73A9" w:rsidRPr="002C1EC9">
                              <w:t>?</w:t>
                            </w:r>
                          </w:p>
                          <w:p w14:paraId="4F31224C" w14:textId="4827CFA0" w:rsidR="00DF2CB0" w:rsidRPr="00DF2CB0" w:rsidRDefault="00BE73A9"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2C1EC9">
                              <w:t xml:space="preserve">Vai tādā gadījumā </w:t>
                            </w:r>
                            <w:r w:rsidR="002F7BE2" w:rsidRPr="002C1EC9">
                              <w:t xml:space="preserve">viena vienota uzņēmuma noteikšanā </w:t>
                            </w:r>
                            <w:r w:rsidR="00DF2CB0" w:rsidRPr="002C1EC9">
                              <w:t xml:space="preserve">var piemērot </w:t>
                            </w:r>
                            <w:r w:rsidR="00DF2CB0" w:rsidRPr="002C1EC9">
                              <w:rPr>
                                <w:i/>
                                <w:iCs/>
                              </w:rPr>
                              <w:t xml:space="preserve">2013.gada 18.decembra Komisijas Regulas (ES) Nr. 1407/2013 par Līguma par Eiropas Savienības darbību 107. un 108. panta piemērošanu </w:t>
                            </w:r>
                            <w:proofErr w:type="spellStart"/>
                            <w:r w:rsidR="00DF2CB0" w:rsidRPr="002C1EC9">
                              <w:rPr>
                                <w:i/>
                                <w:iCs/>
                              </w:rPr>
                              <w:t>de</w:t>
                            </w:r>
                            <w:proofErr w:type="spellEnd"/>
                            <w:r w:rsidR="00DF2CB0" w:rsidRPr="002C1EC9">
                              <w:rPr>
                                <w:i/>
                                <w:iCs/>
                              </w:rPr>
                              <w:t xml:space="preserve"> </w:t>
                            </w:r>
                            <w:proofErr w:type="spellStart"/>
                            <w:r w:rsidR="00DF2CB0" w:rsidRPr="002C1EC9">
                              <w:rPr>
                                <w:i/>
                                <w:iCs/>
                              </w:rPr>
                              <w:t>minimis</w:t>
                            </w:r>
                            <w:proofErr w:type="spellEnd"/>
                            <w:r w:rsidR="00DF2CB0" w:rsidRPr="002C1EC9">
                              <w:rPr>
                                <w:i/>
                                <w:iCs/>
                              </w:rPr>
                              <w:t xml:space="preserve"> atbalstam</w:t>
                            </w:r>
                            <w:r w:rsidR="00DF2CB0" w:rsidRPr="002C1EC9">
                              <w:t xml:space="preserve"> preambulas 4. apsvērumu (</w:t>
                            </w:r>
                            <w:r w:rsidR="002F7BE2" w:rsidRPr="002C1EC9">
                              <w:t>kas paredz, ka uzņēmumi nav saistīti, ja ikvienam no tiem ir tikai tieša saikne ar vienu un to pašu publisko struktūru vai struktūrām un tiem ir neatkarīgas lemšanas pilnvaras) un uzskatīt, ka (papildinošā) saimnieciskā darbība un publiskās personas kapitālsabiedrības neveido vienu vienotu uzņēmumu)</w:t>
                            </w:r>
                            <w:r w:rsidR="00DF2CB0" w:rsidRPr="002C1EC9">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A0024" id="Text Box 2" o:spid="_x0000_s1027" type="#_x0000_t202" style="position:absolute;left:0;text-align:left;margin-left:0;margin-top:15.6pt;width:465pt;height:150.6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" fillcolor="#d9d9d9" strokeweight=".48pt">
                <v:textbox inset="0,0,0,0">
                  <w:txbxContent>
                    <w:p w14:paraId="2CE458D8" w14:textId="4CFB9805" w:rsidR="00DF2CB0" w:rsidRPr="003E035E"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rPr>
                          <w:b/>
                          <w:bCs/>
                        </w:rPr>
                      </w:pPr>
                      <w:r>
                        <w:rPr>
                          <w:b/>
                          <w:bCs/>
                        </w:rPr>
                        <w:t xml:space="preserve">19. </w:t>
                      </w:r>
                      <w:r w:rsidRPr="003E035E">
                        <w:rPr>
                          <w:b/>
                          <w:bCs/>
                        </w:rPr>
                        <w:t>jautājums</w:t>
                      </w:r>
                    </w:p>
                    <w:p w14:paraId="0FD14D6C" w14:textId="78859931" w:rsidR="00BE73A9" w:rsidRPr="002C1EC9" w:rsidRDefault="00DF2CB0"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DF2CB0">
                        <w:t xml:space="preserve">Vai gadījumā, ja publiskā persona galvenokārt veic valsts pārvaldes funkciju un tikai nelielā apmērā veic saimniecisko darbību, nodrošinot grāmatvedības (kontu) nodalīšanu, šo publisko personu </w:t>
                      </w:r>
                      <w:r w:rsidR="00BE73A9">
                        <w:t xml:space="preserve">varētu </w:t>
                      </w:r>
                      <w:r w:rsidRPr="00DF2CB0">
                        <w:t>uzskat</w:t>
                      </w:r>
                      <w:r w:rsidR="00BE73A9">
                        <w:t>īt</w:t>
                      </w:r>
                      <w:r w:rsidRPr="00DF2CB0">
                        <w:t xml:space="preserve"> par </w:t>
                      </w:r>
                      <w:r w:rsidRPr="002C1EC9">
                        <w:t>saimnieciskās darbības veicēju tikai attiecībā uz tās saimniecisko (papildinošo) darbību</w:t>
                      </w:r>
                      <w:r w:rsidR="00BE73A9" w:rsidRPr="002C1EC9">
                        <w:t>?</w:t>
                      </w:r>
                    </w:p>
                    <w:p w14:paraId="4F31224C" w14:textId="4827CFA0" w:rsidR="00DF2CB0" w:rsidRPr="00DF2CB0" w:rsidRDefault="00BE73A9" w:rsidP="003E035E">
                      <w:pPr>
                        <w:pStyle w:val="BodyText4"/>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23" w:right="20" w:firstLine="0"/>
                      </w:pPr>
                      <w:r w:rsidRPr="002C1EC9">
                        <w:t xml:space="preserve">Vai tādā gadījumā </w:t>
                      </w:r>
                      <w:r w:rsidR="002F7BE2" w:rsidRPr="002C1EC9">
                        <w:t xml:space="preserve">viena vienota uzņēmuma noteikšanā </w:t>
                      </w:r>
                      <w:r w:rsidR="00DF2CB0" w:rsidRPr="002C1EC9">
                        <w:t xml:space="preserve">var piemērot </w:t>
                      </w:r>
                      <w:r w:rsidR="00DF2CB0" w:rsidRPr="002C1EC9">
                        <w:rPr>
                          <w:i/>
                          <w:iCs/>
                        </w:rPr>
                        <w:t xml:space="preserve">2013.gada 18.decembra Komisijas Regulas (ES) Nr. 1407/2013 par Līguma par Eiropas Savienības darbību 107. un 108. panta piemērošanu </w:t>
                      </w:r>
                      <w:proofErr w:type="spellStart"/>
                      <w:r w:rsidR="00DF2CB0" w:rsidRPr="002C1EC9">
                        <w:rPr>
                          <w:i/>
                          <w:iCs/>
                        </w:rPr>
                        <w:t>de</w:t>
                      </w:r>
                      <w:proofErr w:type="spellEnd"/>
                      <w:r w:rsidR="00DF2CB0" w:rsidRPr="002C1EC9">
                        <w:rPr>
                          <w:i/>
                          <w:iCs/>
                        </w:rPr>
                        <w:t xml:space="preserve"> </w:t>
                      </w:r>
                      <w:proofErr w:type="spellStart"/>
                      <w:r w:rsidR="00DF2CB0" w:rsidRPr="002C1EC9">
                        <w:rPr>
                          <w:i/>
                          <w:iCs/>
                        </w:rPr>
                        <w:t>minimis</w:t>
                      </w:r>
                      <w:proofErr w:type="spellEnd"/>
                      <w:r w:rsidR="00DF2CB0" w:rsidRPr="002C1EC9">
                        <w:rPr>
                          <w:i/>
                          <w:iCs/>
                        </w:rPr>
                        <w:t xml:space="preserve"> atbalstam</w:t>
                      </w:r>
                      <w:r w:rsidR="00DF2CB0" w:rsidRPr="002C1EC9">
                        <w:t xml:space="preserve"> preambulas 4. apsvērumu (</w:t>
                      </w:r>
                      <w:r w:rsidR="002F7BE2" w:rsidRPr="002C1EC9">
                        <w:t>kas paredz, ka uzņēmumi nav saistīti, ja ikvienam no tiem ir tikai tieša saikne ar vienu un to pašu publisko struktūru vai struktūrām un tiem ir neatkarīgas lemšanas pilnvaras) un uzskatīt, ka (papildinošā) saimnieciskā darbība un publiskās personas kapitālsabiedrības neveido vienu vienotu uzņēmumu)</w:t>
                      </w:r>
                      <w:r w:rsidR="00DF2CB0" w:rsidRPr="002C1EC9">
                        <w:t>?</w:t>
                      </w:r>
                    </w:p>
                  </w:txbxContent>
                </v:textbox>
                <w10:wrap type="topAndBottom" anchorx="page"/>
              </v:shape>
            </w:pict>
          </mc:Fallback>
        </mc:AlternateContent>
      </w:r>
    </w:p>
    <w:p w14:paraId="03C39315" w14:textId="77777777" w:rsidR="00DF2CB0" w:rsidRPr="002C1EC9" w:rsidRDefault="00DF2CB0" w:rsidP="00DF2CB0">
      <w:pPr>
        <w:jc w:val="both"/>
        <w:rPr>
          <w:color w:val="auto"/>
        </w:rPr>
      </w:pPr>
    </w:p>
    <w:p w14:paraId="068E68DB" w14:textId="09A6FA4D" w:rsidR="00DF2CB0" w:rsidRPr="002C1EC9" w:rsidRDefault="00DF2CB0" w:rsidP="00DF2CB0">
      <w:pPr>
        <w:pStyle w:val="Bodytext20"/>
        <w:shd w:val="clear" w:color="auto" w:fill="auto"/>
        <w:spacing w:before="0" w:line="274" w:lineRule="exact"/>
        <w:ind w:left="20"/>
        <w:rPr>
          <w:color w:val="auto"/>
        </w:rPr>
      </w:pPr>
      <w:r w:rsidRPr="002C1EC9">
        <w:rPr>
          <w:color w:val="auto"/>
        </w:rPr>
        <w:t>19.atbilde</w:t>
      </w:r>
    </w:p>
    <w:p w14:paraId="4DD9DFA0" w14:textId="582A0CF5" w:rsidR="002F7BE2" w:rsidRPr="00FD1A88" w:rsidRDefault="002F7BE2" w:rsidP="00FD1A88">
      <w:pPr>
        <w:ind w:firstLine="720"/>
        <w:jc w:val="both"/>
        <w:rPr>
          <w:rFonts w:ascii="Times New Roman" w:hAnsi="Times New Roman" w:cs="Times New Roman"/>
          <w:color w:val="auto"/>
          <w:sz w:val="22"/>
          <w:szCs w:val="22"/>
        </w:rPr>
      </w:pPr>
      <w:r w:rsidRPr="00FD1A88">
        <w:rPr>
          <w:rFonts w:ascii="Times New Roman" w:hAnsi="Times New Roman" w:cs="Times New Roman"/>
          <w:color w:val="auto"/>
          <w:sz w:val="22"/>
          <w:szCs w:val="22"/>
        </w:rPr>
        <w:t xml:space="preserve">2013.gada 18.decembra Komisijas Regulu (ES) Nr.1407/2013 par Līguma par Eiropas Savienības darbību 107. un 108. panta piemērošanu </w:t>
      </w:r>
      <w:proofErr w:type="spellStart"/>
      <w:r w:rsidRPr="00FD1A88">
        <w:rPr>
          <w:rFonts w:ascii="Times New Roman" w:hAnsi="Times New Roman" w:cs="Times New Roman"/>
          <w:i/>
          <w:iCs/>
          <w:color w:val="auto"/>
          <w:sz w:val="22"/>
          <w:szCs w:val="22"/>
        </w:rPr>
        <w:t>de</w:t>
      </w:r>
      <w:proofErr w:type="spellEnd"/>
      <w:r w:rsidRPr="00FD1A88">
        <w:rPr>
          <w:rFonts w:ascii="Times New Roman" w:hAnsi="Times New Roman" w:cs="Times New Roman"/>
          <w:i/>
          <w:iCs/>
          <w:color w:val="auto"/>
          <w:sz w:val="22"/>
          <w:szCs w:val="22"/>
        </w:rPr>
        <w:t xml:space="preserve"> </w:t>
      </w:r>
      <w:proofErr w:type="spellStart"/>
      <w:r w:rsidRPr="00FD1A88">
        <w:rPr>
          <w:rFonts w:ascii="Times New Roman" w:hAnsi="Times New Roman" w:cs="Times New Roman"/>
          <w:i/>
          <w:iCs/>
          <w:color w:val="auto"/>
          <w:sz w:val="22"/>
          <w:szCs w:val="22"/>
        </w:rPr>
        <w:t>minimis</w:t>
      </w:r>
      <w:proofErr w:type="spellEnd"/>
      <w:r w:rsidRPr="00FD1A88">
        <w:rPr>
          <w:rFonts w:ascii="Times New Roman" w:hAnsi="Times New Roman" w:cs="Times New Roman"/>
          <w:color w:val="auto"/>
          <w:sz w:val="22"/>
          <w:szCs w:val="22"/>
        </w:rPr>
        <w:t xml:space="preserve"> atbalstam (turpmāk - Komisijas regula Nr.1407/2013) var piemērot attiecībā uz atbalstu saimnieciskai darbībai, ko veic uzņēmumi, kuri pieder vienai publiskajai struktūrai, un ko veic publiskā struktūra pati. Ja publiskā struktūra, kas veic saimniecisko darbību, un tās uzņēmumi neatbilst Komisijas regulas Nr.1407/2013 2.panta 2.punkta kritērijiem, tos nav jāuzskata par vienu vienotu uzņēmumu. Vērtējot atbalsta pretendenta atbilstību viena vienota uzņēmuma definīcijai,</w:t>
      </w:r>
      <w:r w:rsidR="00FD1A88">
        <w:rPr>
          <w:rFonts w:ascii="Times New Roman" w:hAnsi="Times New Roman" w:cs="Times New Roman"/>
          <w:color w:val="auto"/>
          <w:sz w:val="22"/>
          <w:szCs w:val="22"/>
        </w:rPr>
        <w:t xml:space="preserve"> </w:t>
      </w:r>
      <w:r w:rsidRPr="00FD1A88">
        <w:rPr>
          <w:rFonts w:ascii="Times New Roman" w:hAnsi="Times New Roman" w:cs="Times New Roman"/>
          <w:color w:val="auto"/>
          <w:sz w:val="22"/>
          <w:szCs w:val="22"/>
        </w:rPr>
        <w:t xml:space="preserve">katrs gadījums būtu jāvērtē atsevišķi, ņemot vērā konkrētos lietas apstākļus un faktus, tostarp arī to, vai publiska persona veic grāmatvedības uzskaites nodalīšanu. </w:t>
      </w:r>
    </w:p>
    <w:p w14:paraId="77DDB968" w14:textId="77777777" w:rsidR="00DF2CB0" w:rsidRPr="00945C57" w:rsidRDefault="00DF2CB0">
      <w:pPr>
        <w:pStyle w:val="BodyText4"/>
        <w:shd w:val="clear" w:color="auto" w:fill="auto"/>
        <w:spacing w:after="0" w:line="274" w:lineRule="exact"/>
        <w:ind w:left="20" w:right="20" w:firstLine="0"/>
      </w:pPr>
    </w:p>
    <w:sectPr w:rsidR="00DF2CB0" w:rsidRPr="00945C57">
      <w:footerReference w:type="default" r:id="rId9"/>
      <w:footnotePr>
        <w:numRestart w:val="eachPage"/>
      </w:footnotePr>
      <w:type w:val="continuous"/>
      <w:pgSz w:w="12240" w:h="16834"/>
      <w:pgMar w:top="1107" w:right="1555" w:bottom="1313" w:left="15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2E37" w14:textId="77777777" w:rsidR="0054125A" w:rsidRDefault="0054125A">
      <w:r>
        <w:separator/>
      </w:r>
    </w:p>
  </w:endnote>
  <w:endnote w:type="continuationSeparator" w:id="0">
    <w:p w14:paraId="786E14FE" w14:textId="77777777" w:rsidR="0054125A" w:rsidRDefault="0054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7882" w14:textId="45EB9891" w:rsidR="009F682D" w:rsidRDefault="006D0FBD">
    <w:pPr>
      <w:rPr>
        <w:sz w:val="2"/>
        <w:szCs w:val="2"/>
      </w:rPr>
    </w:pPr>
    <w:r>
      <w:rPr>
        <w:noProof/>
      </w:rPr>
      <mc:AlternateContent>
        <mc:Choice Requires="wps">
          <w:drawing>
            <wp:anchor distT="0" distB="0" distL="63500" distR="63500" simplePos="0" relativeHeight="251657728" behindDoc="1" locked="0" layoutInCell="1" allowOverlap="1" wp14:anchorId="0B650DC6" wp14:editId="7DAF375B">
              <wp:simplePos x="0" y="0"/>
              <wp:positionH relativeFrom="page">
                <wp:posOffset>3877310</wp:posOffset>
              </wp:positionH>
              <wp:positionV relativeFrom="page">
                <wp:posOffset>9913620</wp:posOffset>
              </wp:positionV>
              <wp:extent cx="70485" cy="16065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078B" w14:textId="77777777" w:rsidR="009F682D" w:rsidRDefault="006D0FBD">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50DC6" id="_x0000_t202" coordsize="21600,21600" o:spt="202" path="m,l,21600r21600,l21600,xe">
              <v:stroke joinstyle="miter"/>
              <v:path gradientshapeok="t" o:connecttype="rect"/>
            </v:shapetype>
            <v:shape id="_x0000_s1028" type="#_x0000_t202" style="position:absolute;margin-left:305.3pt;margin-top:780.6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" filled="f" stroked="f">
              <v:textbox style="mso-fit-shape-to-text:t" inset="0,0,0,0">
                <w:txbxContent>
                  <w:p w14:paraId="2BA3078B" w14:textId="77777777" w:rsidR="009F682D" w:rsidRDefault="006D0FBD">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82B4" w14:textId="77777777" w:rsidR="0054125A" w:rsidRDefault="0054125A">
      <w:r>
        <w:separator/>
      </w:r>
    </w:p>
  </w:footnote>
  <w:footnote w:type="continuationSeparator" w:id="0">
    <w:p w14:paraId="2F26BA35" w14:textId="77777777" w:rsidR="0054125A" w:rsidRDefault="0054125A">
      <w:r>
        <w:continuationSeparator/>
      </w:r>
    </w:p>
  </w:footnote>
  <w:footnote w:id="1">
    <w:p w14:paraId="3ECE17F5" w14:textId="77777777" w:rsidR="009F682D" w:rsidRPr="00945C57" w:rsidRDefault="006D0FBD">
      <w:pPr>
        <w:pStyle w:val="Footnote0"/>
        <w:shd w:val="clear" w:color="auto" w:fill="auto"/>
        <w:ind w:left="20" w:right="20"/>
        <w:rPr>
          <w:b w:val="0"/>
          <w:bCs w:val="0"/>
        </w:rPr>
      </w:pPr>
      <w:r w:rsidRPr="00945C57">
        <w:rPr>
          <w:b w:val="0"/>
          <w:bCs w:val="0"/>
          <w:vertAlign w:val="superscript"/>
        </w:rPr>
        <w:footnoteRef/>
      </w:r>
      <w:r w:rsidRPr="00945C57">
        <w:rPr>
          <w:b w:val="0"/>
          <w:bCs w:val="0"/>
        </w:rPr>
        <w:t xml:space="preserve"> Komisijas regula (ES) Nr. 1407/2013 (2013.gada 18.decembris) par Līguma par Eiropas Savienības darbību 107. un 108.panta piemērošanu </w:t>
      </w:r>
      <w:proofErr w:type="spellStart"/>
      <w:r w:rsidRPr="00945C57">
        <w:rPr>
          <w:rStyle w:val="FootnoteNotBoldItalic"/>
          <w:b/>
          <w:bCs/>
        </w:rPr>
        <w:t>de</w:t>
      </w:r>
      <w:proofErr w:type="spellEnd"/>
      <w:r w:rsidRPr="00945C57">
        <w:rPr>
          <w:rStyle w:val="FootnoteNotBoldItalic"/>
          <w:b/>
          <w:bCs/>
        </w:rPr>
        <w:t xml:space="preserve"> </w:t>
      </w:r>
      <w:proofErr w:type="spellStart"/>
      <w:r w:rsidRPr="00945C57">
        <w:rPr>
          <w:rStyle w:val="FootnoteNotBoldItalic"/>
          <w:b/>
          <w:bCs/>
        </w:rPr>
        <w:t>minimis</w:t>
      </w:r>
      <w:proofErr w:type="spellEnd"/>
      <w:r w:rsidRPr="00945C57">
        <w:rPr>
          <w:b w:val="0"/>
          <w:bCs w:val="0"/>
        </w:rPr>
        <w:t xml:space="preserve"> atbalstam; Komisijas regula (ES) Nr.1408/2013 (2013.gada 18.decembris) par Līguma par Eiropas Savienības darbību 107. un 108.panta piemērošanu </w:t>
      </w:r>
      <w:proofErr w:type="spellStart"/>
      <w:r w:rsidRPr="00945C57">
        <w:rPr>
          <w:rStyle w:val="FootnoteNotBoldItalic"/>
          <w:b/>
          <w:bCs/>
        </w:rPr>
        <w:t>de</w:t>
      </w:r>
      <w:proofErr w:type="spellEnd"/>
      <w:r w:rsidRPr="00945C57">
        <w:rPr>
          <w:rStyle w:val="FootnoteNotBoldItalic"/>
          <w:b/>
          <w:bCs/>
        </w:rPr>
        <w:t xml:space="preserve"> </w:t>
      </w:r>
      <w:proofErr w:type="spellStart"/>
      <w:r w:rsidRPr="00945C57">
        <w:rPr>
          <w:rStyle w:val="FootnoteNotBoldItalic"/>
          <w:b/>
          <w:bCs/>
        </w:rPr>
        <w:t>minimis</w:t>
      </w:r>
      <w:proofErr w:type="spellEnd"/>
      <w:r w:rsidRPr="00945C57">
        <w:rPr>
          <w:b w:val="0"/>
          <w:bCs w:val="0"/>
        </w:rPr>
        <w:t xml:space="preserve"> atbalstam lauksaimniecības nozarē; Komisijas regula (ES) Nr.717/2014 (2014.gada 27.jūnijs) par Līguma par Eiropas Savienības darbību 107. un 108.panta piemērošanu </w:t>
      </w:r>
      <w:proofErr w:type="spellStart"/>
      <w:r w:rsidRPr="00945C57">
        <w:rPr>
          <w:rStyle w:val="FootnoteNotBoldItalic"/>
          <w:b/>
          <w:bCs/>
        </w:rPr>
        <w:t>de</w:t>
      </w:r>
      <w:proofErr w:type="spellEnd"/>
      <w:r w:rsidRPr="00945C57">
        <w:rPr>
          <w:rStyle w:val="FootnoteNotBoldItalic"/>
          <w:b/>
          <w:bCs/>
        </w:rPr>
        <w:t xml:space="preserve"> </w:t>
      </w:r>
      <w:proofErr w:type="spellStart"/>
      <w:r w:rsidRPr="00945C57">
        <w:rPr>
          <w:rStyle w:val="FootnoteNotBoldItalic"/>
          <w:b/>
          <w:bCs/>
        </w:rPr>
        <w:t>minimis</w:t>
      </w:r>
      <w:proofErr w:type="spellEnd"/>
      <w:r w:rsidRPr="00945C57">
        <w:rPr>
          <w:b w:val="0"/>
          <w:bCs w:val="0"/>
        </w:rPr>
        <w:t xml:space="preserve"> atbalstam zvejniecības un akvakultūras nozarē; Komisijas regula (ES) Nr,360/2012 (2012.gada 25.aprīlis) par Līguma par Eiropas Savienības darbību 107. un 108.panta piemērošanu </w:t>
      </w:r>
      <w:proofErr w:type="spellStart"/>
      <w:r w:rsidRPr="00945C57">
        <w:rPr>
          <w:rStyle w:val="FootnoteNotBoldItalic"/>
          <w:b/>
          <w:bCs/>
        </w:rPr>
        <w:t>de</w:t>
      </w:r>
      <w:proofErr w:type="spellEnd"/>
      <w:r w:rsidRPr="00945C57">
        <w:rPr>
          <w:rStyle w:val="FootnoteNotBoldItalic"/>
          <w:b/>
          <w:bCs/>
        </w:rPr>
        <w:t xml:space="preserve"> </w:t>
      </w:r>
      <w:proofErr w:type="spellStart"/>
      <w:r w:rsidRPr="00945C57">
        <w:rPr>
          <w:rStyle w:val="FootnoteNotBoldItalic"/>
          <w:b/>
          <w:bCs/>
        </w:rPr>
        <w:t>minimis</w:t>
      </w:r>
      <w:proofErr w:type="spellEnd"/>
      <w:r w:rsidRPr="00945C57">
        <w:rPr>
          <w:b w:val="0"/>
          <w:bCs w:val="0"/>
        </w:rPr>
        <w:t xml:space="preserve"> atbalstam, ko piešķir uzņēmumiem, kuri sniedz pakalpojumus ar vispārēju tautsaimniecisku nozīmi.</w:t>
      </w:r>
    </w:p>
  </w:footnote>
  <w:footnote w:id="2">
    <w:p w14:paraId="759C032F" w14:textId="3180F9DA" w:rsidR="009F682D" w:rsidRPr="008C48BE" w:rsidRDefault="006D0FBD" w:rsidP="00A06FD8">
      <w:pPr>
        <w:pStyle w:val="Footnote0"/>
        <w:shd w:val="clear" w:color="auto" w:fill="auto"/>
        <w:tabs>
          <w:tab w:val="left" w:pos="2871"/>
          <w:tab w:val="center" w:pos="5842"/>
          <w:tab w:val="right" w:pos="9068"/>
        </w:tabs>
        <w:ind w:left="20" w:right="20"/>
        <w:rPr>
          <w:b w:val="0"/>
          <w:bCs w:val="0"/>
        </w:rPr>
      </w:pPr>
      <w:r w:rsidRPr="008C48BE">
        <w:rPr>
          <w:b w:val="0"/>
          <w:bCs w:val="0"/>
          <w:vertAlign w:val="superscript"/>
        </w:rPr>
        <w:footnoteRef/>
      </w:r>
      <w:r w:rsidRPr="008C48BE">
        <w:rPr>
          <w:b w:val="0"/>
          <w:bCs w:val="0"/>
        </w:rPr>
        <w:t xml:space="preserve"> Rokasgrāmata par to, kā vispārējas tautsaimnieciskas nozīmes pakalpojumiem un jo īpaši vispārējas nozīmes sociālajiem pakalpojumiem piemērojami Eiropas Savienības noteikumi valsts atbalsta, “publisko iepirkumu” un “iekšējā</w:t>
      </w:r>
      <w:r w:rsidRPr="008C48BE">
        <w:rPr>
          <w:b w:val="0"/>
          <w:bCs w:val="0"/>
        </w:rPr>
        <w:tab/>
      </w:r>
      <w:r w:rsidR="00BD44E1">
        <w:rPr>
          <w:b w:val="0"/>
          <w:bCs w:val="0"/>
        </w:rPr>
        <w:t xml:space="preserve"> </w:t>
      </w:r>
      <w:r w:rsidRPr="008C48BE">
        <w:rPr>
          <w:b w:val="0"/>
          <w:bCs w:val="0"/>
        </w:rPr>
        <w:t>tirgus”</w:t>
      </w:r>
      <w:r w:rsidR="00A06FD8">
        <w:rPr>
          <w:b w:val="0"/>
          <w:bCs w:val="0"/>
        </w:rPr>
        <w:t xml:space="preserve"> </w:t>
      </w:r>
      <w:r w:rsidRPr="008C48BE">
        <w:rPr>
          <w:b w:val="0"/>
          <w:bCs w:val="0"/>
        </w:rPr>
        <w:t>jomā.</w:t>
      </w:r>
      <w:r w:rsidR="00A06FD8">
        <w:rPr>
          <w:b w:val="0"/>
          <w:bCs w:val="0"/>
        </w:rPr>
        <w:t xml:space="preserve">  </w:t>
      </w:r>
      <w:r w:rsidRPr="008C48BE">
        <w:rPr>
          <w:b w:val="0"/>
          <w:bCs w:val="0"/>
        </w:rPr>
        <w:t>Pieejams:</w:t>
      </w:r>
      <w:r w:rsidR="004A51D9">
        <w:rPr>
          <w:b w:val="0"/>
          <w:bCs w:val="0"/>
        </w:rPr>
        <w:t xml:space="preserve"> </w:t>
      </w:r>
      <w:hyperlink r:id="rId1" w:history="1">
        <w:r w:rsidR="004A51D9">
          <w:rPr>
            <w:rStyle w:val="Hyperlink"/>
            <w:b w:val="0"/>
            <w:bCs w:val="0"/>
          </w:rPr>
          <w:t>http://ec.europa.eu/services_general_interest/docs/guide_eu_rules_procurement_lv.pdf.</w:t>
        </w:r>
      </w:hyperlink>
      <w:r w:rsidR="004A51D9" w:rsidRPr="004A51D9">
        <w:rPr>
          <w:rStyle w:val="Hyperlink"/>
          <w:b w:val="0"/>
          <w:bCs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537A"/>
    <w:multiLevelType w:val="hybridMultilevel"/>
    <w:tmpl w:val="384C4A1A"/>
    <w:lvl w:ilvl="0" w:tplc="0426000F">
      <w:start w:val="1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E913954"/>
    <w:multiLevelType w:val="multilevel"/>
    <w:tmpl w:val="30081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BF0FE2"/>
    <w:multiLevelType w:val="multilevel"/>
    <w:tmpl w:val="19265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2D"/>
    <w:rsid w:val="00040CAC"/>
    <w:rsid w:val="001F5FE4"/>
    <w:rsid w:val="002C1EC9"/>
    <w:rsid w:val="002F7BE2"/>
    <w:rsid w:val="00335E99"/>
    <w:rsid w:val="003E035E"/>
    <w:rsid w:val="0042211B"/>
    <w:rsid w:val="00471B97"/>
    <w:rsid w:val="004A51D9"/>
    <w:rsid w:val="004A52C9"/>
    <w:rsid w:val="004D6026"/>
    <w:rsid w:val="004F079C"/>
    <w:rsid w:val="005127BC"/>
    <w:rsid w:val="0054125A"/>
    <w:rsid w:val="00614ECE"/>
    <w:rsid w:val="00627318"/>
    <w:rsid w:val="006D0FBD"/>
    <w:rsid w:val="008C48BE"/>
    <w:rsid w:val="008D23BF"/>
    <w:rsid w:val="00945C57"/>
    <w:rsid w:val="009F682D"/>
    <w:rsid w:val="00A06FD8"/>
    <w:rsid w:val="00BD44E1"/>
    <w:rsid w:val="00BE5330"/>
    <w:rsid w:val="00BE73A9"/>
    <w:rsid w:val="00BF5ED3"/>
    <w:rsid w:val="00D064FB"/>
    <w:rsid w:val="00DF2CB0"/>
    <w:rsid w:val="00F65CB9"/>
    <w:rsid w:val="00FD1A88"/>
    <w:rsid w:val="00FE2B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79FB"/>
  <w15:docId w15:val="{3D970E44-4A8F-4802-AEFE-92969FC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NotBoldItalic">
    <w:name w:val="Footnote + Not Bold;Italic"/>
    <w:basedOn w:val="Footnote"/>
    <w:rPr>
      <w:rFonts w:ascii="Times New Roman" w:eastAsia="Times New Roman" w:hAnsi="Times New Roman" w:cs="Times New Roman"/>
      <w:b/>
      <w:bCs/>
      <w:i/>
      <w:iCs/>
      <w:smallCaps w:val="0"/>
      <w:strike w:val="0"/>
      <w:color w:val="000000"/>
      <w:spacing w:val="0"/>
      <w:w w:val="100"/>
      <w:position w:val="0"/>
      <w:sz w:val="18"/>
      <w:szCs w:val="18"/>
      <w:u w:val="none"/>
      <w:lang w:val="lv-LV" w:eastAsia="lv-LV" w:bidi="lv-LV"/>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ItalicSpacing0pt">
    <w:name w:val="Heading #1 + Italic;Spacing 0 pt"/>
    <w:basedOn w:val="Heading1"/>
    <w:rPr>
      <w:rFonts w:ascii="Times New Roman" w:eastAsia="Times New Roman" w:hAnsi="Times New Roman" w:cs="Times New Roman"/>
      <w:b/>
      <w:bCs/>
      <w:i/>
      <w:iCs/>
      <w:smallCaps w:val="0"/>
      <w:strike w:val="0"/>
      <w:color w:val="000000"/>
      <w:spacing w:val="-10"/>
      <w:w w:val="100"/>
      <w:position w:val="0"/>
      <w:sz w:val="28"/>
      <w:szCs w:val="28"/>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NotBoldItalic">
    <w:name w:val="Body text (2) + Not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lv-LV" w:eastAsia="lv-LV" w:bidi="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0"/>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Footnote0">
    <w:name w:val="Footnote"/>
    <w:basedOn w:val="Normal"/>
    <w:link w:val="Footnote"/>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360" w:line="0" w:lineRule="atLeast"/>
      <w:jc w:val="both"/>
    </w:pPr>
    <w:rPr>
      <w:rFonts w:ascii="Times New Roman" w:eastAsia="Times New Roman" w:hAnsi="Times New Roman" w:cs="Times New Roman"/>
      <w:b/>
      <w:bCs/>
      <w:sz w:val="22"/>
      <w:szCs w:val="22"/>
    </w:rPr>
  </w:style>
  <w:style w:type="paragraph" w:customStyle="1" w:styleId="BodyText4">
    <w:name w:val="Body Text4"/>
    <w:basedOn w:val="Normal"/>
    <w:link w:val="Bodytext"/>
    <w:pPr>
      <w:shd w:val="clear" w:color="auto" w:fill="FFFFFF"/>
      <w:spacing w:after="360" w:line="0" w:lineRule="atLeast"/>
      <w:ind w:hanging="360"/>
      <w:jc w:val="both"/>
    </w:pPr>
    <w:rPr>
      <w:rFonts w:ascii="Times New Roman" w:eastAsia="Times New Roman" w:hAnsi="Times New Roman" w:cs="Times New Roman"/>
      <w:sz w:val="22"/>
      <w:szCs w:val="22"/>
    </w:rPr>
  </w:style>
  <w:style w:type="paragraph" w:customStyle="1" w:styleId="Bodytext31">
    <w:name w:val="Body text (3)"/>
    <w:basedOn w:val="Normal"/>
    <w:link w:val="Bodytext30"/>
    <w:pPr>
      <w:shd w:val="clear" w:color="auto" w:fill="FFFFFF"/>
      <w:spacing w:after="240" w:line="274" w:lineRule="exact"/>
      <w:ind w:firstLine="720"/>
      <w:jc w:val="both"/>
    </w:pPr>
    <w:rPr>
      <w:rFonts w:ascii="Times New Roman" w:eastAsia="Times New Roman" w:hAnsi="Times New Roman" w:cs="Times New Roman"/>
      <w:i/>
      <w:iCs/>
      <w:sz w:val="22"/>
      <w:szCs w:val="22"/>
    </w:rPr>
  </w:style>
  <w:style w:type="paragraph" w:styleId="FootnoteText">
    <w:name w:val="footnote text"/>
    <w:basedOn w:val="Normal"/>
    <w:link w:val="FootnoteTextChar"/>
    <w:uiPriority w:val="99"/>
    <w:semiHidden/>
    <w:unhideWhenUsed/>
    <w:rsid w:val="008C48BE"/>
    <w:rPr>
      <w:sz w:val="20"/>
      <w:szCs w:val="20"/>
    </w:rPr>
  </w:style>
  <w:style w:type="character" w:customStyle="1" w:styleId="FootnoteTextChar">
    <w:name w:val="Footnote Text Char"/>
    <w:basedOn w:val="DefaultParagraphFont"/>
    <w:link w:val="FootnoteText"/>
    <w:uiPriority w:val="99"/>
    <w:semiHidden/>
    <w:rsid w:val="008C48BE"/>
    <w:rPr>
      <w:color w:val="000000"/>
      <w:sz w:val="20"/>
      <w:szCs w:val="20"/>
    </w:rPr>
  </w:style>
  <w:style w:type="character" w:styleId="FootnoteReference">
    <w:name w:val="footnote reference"/>
    <w:basedOn w:val="DefaultParagraphFont"/>
    <w:uiPriority w:val="99"/>
    <w:semiHidden/>
    <w:unhideWhenUsed/>
    <w:rsid w:val="008C48BE"/>
    <w:rPr>
      <w:vertAlign w:val="superscript"/>
    </w:rPr>
  </w:style>
  <w:style w:type="paragraph" w:styleId="Header">
    <w:name w:val="header"/>
    <w:basedOn w:val="Normal"/>
    <w:link w:val="HeaderChar"/>
    <w:uiPriority w:val="99"/>
    <w:unhideWhenUsed/>
    <w:rsid w:val="004A51D9"/>
    <w:pPr>
      <w:tabs>
        <w:tab w:val="center" w:pos="4153"/>
        <w:tab w:val="right" w:pos="8306"/>
      </w:tabs>
    </w:pPr>
  </w:style>
  <w:style w:type="character" w:customStyle="1" w:styleId="HeaderChar">
    <w:name w:val="Header Char"/>
    <w:basedOn w:val="DefaultParagraphFont"/>
    <w:link w:val="Header"/>
    <w:uiPriority w:val="99"/>
    <w:rsid w:val="004A51D9"/>
    <w:rPr>
      <w:color w:val="000000"/>
    </w:rPr>
  </w:style>
  <w:style w:type="paragraph" w:styleId="Footer">
    <w:name w:val="footer"/>
    <w:basedOn w:val="Normal"/>
    <w:link w:val="FooterChar"/>
    <w:uiPriority w:val="99"/>
    <w:unhideWhenUsed/>
    <w:rsid w:val="004A51D9"/>
    <w:pPr>
      <w:tabs>
        <w:tab w:val="center" w:pos="4153"/>
        <w:tab w:val="right" w:pos="8306"/>
      </w:tabs>
    </w:pPr>
  </w:style>
  <w:style w:type="character" w:customStyle="1" w:styleId="FooterChar">
    <w:name w:val="Footer Char"/>
    <w:basedOn w:val="DefaultParagraphFont"/>
    <w:link w:val="Footer"/>
    <w:uiPriority w:val="99"/>
    <w:rsid w:val="004A51D9"/>
    <w:rPr>
      <w:color w:val="000000"/>
    </w:rPr>
  </w:style>
  <w:style w:type="character" w:styleId="FollowedHyperlink">
    <w:name w:val="FollowedHyperlink"/>
    <w:basedOn w:val="DefaultParagraphFont"/>
    <w:uiPriority w:val="99"/>
    <w:semiHidden/>
    <w:unhideWhenUsed/>
    <w:rsid w:val="008D23BF"/>
    <w:rPr>
      <w:color w:val="954F72" w:themeColor="followedHyperlink"/>
      <w:u w:val="single"/>
    </w:rPr>
  </w:style>
  <w:style w:type="paragraph" w:styleId="Revision">
    <w:name w:val="Revision"/>
    <w:hidden/>
    <w:uiPriority w:val="99"/>
    <w:semiHidden/>
    <w:rsid w:val="004F079C"/>
    <w:pPr>
      <w:widowControl/>
    </w:pPr>
    <w:rPr>
      <w:color w:val="000000"/>
    </w:rPr>
  </w:style>
  <w:style w:type="paragraph" w:styleId="BodyText0">
    <w:name w:val="Body Text"/>
    <w:basedOn w:val="Normal"/>
    <w:link w:val="BodyTextChar"/>
    <w:uiPriority w:val="1"/>
    <w:semiHidden/>
    <w:unhideWhenUsed/>
    <w:qFormat/>
    <w:rsid w:val="00DF2CB0"/>
    <w:pPr>
      <w:autoSpaceDE w:val="0"/>
      <w:autoSpaceDN w:val="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0"/>
    <w:uiPriority w:val="1"/>
    <w:semiHidden/>
    <w:rsid w:val="00DF2CB0"/>
    <w:rPr>
      <w:rFonts w:ascii="Times New Roman" w:eastAsia="Times New Roman" w:hAnsi="Times New Roman" w:cs="Times New Roman"/>
      <w:lang w:eastAsia="en-US" w:bidi="ar-SA"/>
    </w:rPr>
  </w:style>
  <w:style w:type="paragraph" w:styleId="ListParagraph">
    <w:name w:val="List Paragraph"/>
    <w:basedOn w:val="Normal"/>
    <w:uiPriority w:val="1"/>
    <w:qFormat/>
    <w:rsid w:val="00DF2CB0"/>
    <w:pPr>
      <w:autoSpaceDE w:val="0"/>
      <w:autoSpaceDN w:val="0"/>
      <w:spacing w:before="90" w:line="274" w:lineRule="exact"/>
      <w:ind w:left="403" w:hanging="182"/>
    </w:pPr>
    <w:rPr>
      <w:rFonts w:ascii="Times New Roman" w:eastAsia="Times New Roman" w:hAnsi="Times New Roman" w:cs="Times New Roman"/>
      <w:color w:val="auto"/>
      <w:sz w:val="22"/>
      <w:szCs w:val="22"/>
      <w:lang w:eastAsia="en-US" w:bidi="ar-SA"/>
    </w:rPr>
  </w:style>
  <w:style w:type="character" w:styleId="CommentReference">
    <w:name w:val="annotation reference"/>
    <w:basedOn w:val="DefaultParagraphFont"/>
    <w:uiPriority w:val="99"/>
    <w:semiHidden/>
    <w:unhideWhenUsed/>
    <w:rsid w:val="003E035E"/>
    <w:rPr>
      <w:sz w:val="16"/>
      <w:szCs w:val="16"/>
    </w:rPr>
  </w:style>
  <w:style w:type="paragraph" w:styleId="CommentText">
    <w:name w:val="annotation text"/>
    <w:basedOn w:val="Normal"/>
    <w:link w:val="CommentTextChar"/>
    <w:uiPriority w:val="99"/>
    <w:unhideWhenUsed/>
    <w:rsid w:val="003E035E"/>
    <w:rPr>
      <w:sz w:val="20"/>
      <w:szCs w:val="20"/>
    </w:rPr>
  </w:style>
  <w:style w:type="character" w:customStyle="1" w:styleId="CommentTextChar">
    <w:name w:val="Comment Text Char"/>
    <w:basedOn w:val="DefaultParagraphFont"/>
    <w:link w:val="CommentText"/>
    <w:uiPriority w:val="99"/>
    <w:rsid w:val="003E035E"/>
    <w:rPr>
      <w:color w:val="000000"/>
      <w:sz w:val="20"/>
      <w:szCs w:val="20"/>
    </w:rPr>
  </w:style>
  <w:style w:type="paragraph" w:styleId="CommentSubject">
    <w:name w:val="annotation subject"/>
    <w:basedOn w:val="CommentText"/>
    <w:next w:val="CommentText"/>
    <w:link w:val="CommentSubjectChar"/>
    <w:uiPriority w:val="99"/>
    <w:semiHidden/>
    <w:unhideWhenUsed/>
    <w:rsid w:val="003E035E"/>
    <w:rPr>
      <w:b/>
      <w:bCs/>
    </w:rPr>
  </w:style>
  <w:style w:type="character" w:customStyle="1" w:styleId="CommentSubjectChar">
    <w:name w:val="Comment Subject Char"/>
    <w:basedOn w:val="CommentTextChar"/>
    <w:link w:val="CommentSubject"/>
    <w:uiPriority w:val="99"/>
    <w:semiHidden/>
    <w:rsid w:val="003E035E"/>
    <w:rPr>
      <w:b/>
      <w:bCs/>
      <w:color w:val="000000"/>
      <w:sz w:val="20"/>
      <w:szCs w:val="20"/>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53163">
      <w:bodyDiv w:val="1"/>
      <w:marLeft w:val="0"/>
      <w:marRight w:val="0"/>
      <w:marTop w:val="0"/>
      <w:marBottom w:val="0"/>
      <w:divBdr>
        <w:top w:val="none" w:sz="0" w:space="0" w:color="auto"/>
        <w:left w:val="none" w:sz="0" w:space="0" w:color="auto"/>
        <w:bottom w:val="none" w:sz="0" w:space="0" w:color="auto"/>
        <w:right w:val="none" w:sz="0" w:space="0" w:color="auto"/>
      </w:divBdr>
    </w:div>
    <w:div w:id="747535886">
      <w:bodyDiv w:val="1"/>
      <w:marLeft w:val="0"/>
      <w:marRight w:val="0"/>
      <w:marTop w:val="0"/>
      <w:marBottom w:val="0"/>
      <w:divBdr>
        <w:top w:val="none" w:sz="0" w:space="0" w:color="auto"/>
        <w:left w:val="none" w:sz="0" w:space="0" w:color="auto"/>
        <w:bottom w:val="none" w:sz="0" w:space="0" w:color="auto"/>
        <w:right w:val="none" w:sz="0" w:space="0" w:color="auto"/>
      </w:divBdr>
    </w:div>
    <w:div w:id="1743137451">
      <w:bodyDiv w:val="1"/>
      <w:marLeft w:val="0"/>
      <w:marRight w:val="0"/>
      <w:marTop w:val="0"/>
      <w:marBottom w:val="0"/>
      <w:divBdr>
        <w:top w:val="none" w:sz="0" w:space="0" w:color="auto"/>
        <w:left w:val="none" w:sz="0" w:space="0" w:color="auto"/>
        <w:bottom w:val="none" w:sz="0" w:space="0" w:color="auto"/>
        <w:right w:val="none" w:sz="0" w:space="0" w:color="auto"/>
      </w:divBdr>
    </w:div>
    <w:div w:id="1795324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docsroom/documents/42921/attachments/1/translations/lv/rendit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ervices_general_interest/docs/guide_eu_rules_procurement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3234-FCDB-4D7A-82B1-99526611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12424</Words>
  <Characters>7082</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Mažuika</dc:creator>
  <cp:keywords/>
  <cp:lastModifiedBy>KAKD</cp:lastModifiedBy>
  <cp:revision>3</cp:revision>
  <dcterms:created xsi:type="dcterms:W3CDTF">2022-07-12T08:24:00Z</dcterms:created>
  <dcterms:modified xsi:type="dcterms:W3CDTF">2022-07-12T10:27:00Z</dcterms:modified>
</cp:coreProperties>
</file>