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3F0A" w14:textId="77777777" w:rsidR="00C537D0" w:rsidRDefault="00C26000">
      <w:r>
        <w:t xml:space="preserve">PVN likmes Latvijā </w:t>
      </w:r>
      <w:r w:rsidR="0060676D">
        <w:t>2022.gadā</w:t>
      </w:r>
    </w:p>
    <w:tbl>
      <w:tblPr>
        <w:tblStyle w:val="TableGrid1"/>
        <w:tblW w:w="0" w:type="auto"/>
        <w:tblInd w:w="284" w:type="dxa"/>
        <w:tblLook w:val="04A0" w:firstRow="1" w:lastRow="0" w:firstColumn="1" w:lastColumn="0" w:noHBand="0" w:noVBand="1"/>
      </w:tblPr>
      <w:tblGrid>
        <w:gridCol w:w="2087"/>
        <w:gridCol w:w="5925"/>
      </w:tblGrid>
      <w:tr w:rsidR="00C26000" w:rsidRPr="0060676D" w14:paraId="30FBFC9C" w14:textId="77777777" w:rsidTr="0056638F">
        <w:tc>
          <w:tcPr>
            <w:tcW w:w="2087" w:type="dxa"/>
          </w:tcPr>
          <w:p w14:paraId="6C9C113C" w14:textId="77777777" w:rsidR="0060676D" w:rsidRPr="0060676D" w:rsidRDefault="0060676D" w:rsidP="00220312">
            <w:pPr>
              <w:spacing w:before="120" w:after="120"/>
              <w:jc w:val="both"/>
              <w:rPr>
                <w:rFonts w:eastAsia="Times New Roman" w:cstheme="minorHAnsi"/>
                <w:color w:val="212529"/>
                <w:lang w:eastAsia="lv-LV"/>
              </w:rPr>
            </w:pPr>
            <w:r w:rsidRPr="0060676D">
              <w:rPr>
                <w:rFonts w:eastAsia="Times New Roman" w:cstheme="minorHAnsi"/>
                <w:b/>
                <w:color w:val="212529"/>
                <w:shd w:val="clear" w:color="auto" w:fill="FFFFFF"/>
                <w:lang w:eastAsia="lv-LV"/>
              </w:rPr>
              <w:t>21 procentu likme</w:t>
            </w:r>
          </w:p>
        </w:tc>
        <w:tc>
          <w:tcPr>
            <w:tcW w:w="5925" w:type="dxa"/>
          </w:tcPr>
          <w:p w14:paraId="3A4E2A40"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preču piegāde un tai pielīdzināmi darījumi par atlīdzību;</w:t>
            </w:r>
          </w:p>
          <w:p w14:paraId="63B7B20A"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pakalpojumu sniegšana un tai pielīdzināmi darījumi par atlīdzību;</w:t>
            </w:r>
          </w:p>
          <w:p w14:paraId="19360CD7"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preču iegāde Eiropas Savienības (ES) teritorijā par atlīdzību;</w:t>
            </w:r>
          </w:p>
          <w:p w14:paraId="49975A76"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preču imports;</w:t>
            </w:r>
          </w:p>
          <w:p w14:paraId="4E765036"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pakalpojumu saņemšana iekšzemē no ES dalībvalstu nodokļu maksātājiem, trešo valstu vai trešo teritoriju nodokļu maksātājiem;</w:t>
            </w:r>
          </w:p>
          <w:p w14:paraId="2BEFFE50"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jebkuras personas veikta jaunu transportlīdzekļu iegāde ES teritorijā.</w:t>
            </w:r>
          </w:p>
        </w:tc>
      </w:tr>
      <w:tr w:rsidR="00C26000" w:rsidRPr="0060676D" w14:paraId="5B12CCEB" w14:textId="77777777" w:rsidTr="0056638F">
        <w:tc>
          <w:tcPr>
            <w:tcW w:w="2087" w:type="dxa"/>
          </w:tcPr>
          <w:p w14:paraId="4E16B354" w14:textId="77777777" w:rsidR="0060676D" w:rsidRPr="0060676D" w:rsidRDefault="0060676D" w:rsidP="00220312">
            <w:pPr>
              <w:spacing w:before="120" w:after="120"/>
              <w:jc w:val="both"/>
              <w:rPr>
                <w:rFonts w:eastAsia="Times New Roman" w:cstheme="minorHAnsi"/>
                <w:color w:val="212529"/>
                <w:lang w:eastAsia="lv-LV"/>
              </w:rPr>
            </w:pPr>
            <w:r w:rsidRPr="0060676D">
              <w:rPr>
                <w:rFonts w:eastAsia="Times New Roman" w:cstheme="minorHAnsi"/>
                <w:b/>
                <w:color w:val="212529"/>
                <w:shd w:val="clear" w:color="auto" w:fill="FFFFFF"/>
                <w:lang w:eastAsia="lv-LV"/>
              </w:rPr>
              <w:t>12 procentu likme</w:t>
            </w:r>
          </w:p>
        </w:tc>
        <w:tc>
          <w:tcPr>
            <w:tcW w:w="5925" w:type="dxa"/>
          </w:tcPr>
          <w:p w14:paraId="57EA825E"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medikamenti, kuri ir reģistrēti saskaņā ar Eiropas Zāļu novērtēšanas aģentūras centralizēto zāļu reģistrācijas procedūru;</w:t>
            </w:r>
          </w:p>
          <w:p w14:paraId="5A983CB8"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medikamenti, kuri ir iekļauti Latvijas Republikā reģistrēto zāļu sarakstā;</w:t>
            </w:r>
          </w:p>
          <w:p w14:paraId="1D5E4041"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medikamenti, kuriem ir izdota attiecīgā Zāļu valsts aģentūras atļauja;</w:t>
            </w:r>
          </w:p>
          <w:p w14:paraId="43D3B62F"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medikamenti, kuru reģistrācija nav nepieciešama saskaņā ar normatīvajiem aktiem farmācijas jomā;</w:t>
            </w:r>
          </w:p>
          <w:p w14:paraId="2C01083C"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medicīniskās ierīces (arī to komplektējošās daļas, rezerves daļas un piederumi), ja tās laistas apgrozībā normatīvajos aktos par medicīnisko ierīču reģistrāciju noteiktajā kārtībā un tās parasti izmanto organisma funkcijas traucējumu ārstniecībā vai atvieglošanā, kā arī paredzētas tikai personu ar organisma funkcijas traucējumiem individuālai lietošanai;</w:t>
            </w:r>
          </w:p>
          <w:p w14:paraId="3EA5B37F"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zīdaiņiem paredzētais piens un tā produkti;</w:t>
            </w:r>
          </w:p>
          <w:p w14:paraId="75E3F6D6"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zīdaiņiem paredzētie sausi un šķidri piena maisījumi un šo maisījumu produkti;</w:t>
            </w:r>
          </w:p>
          <w:p w14:paraId="45815891"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zīdaiņiem paredzētie sojas produkti, sausi un šķidri sojas maisījumi;</w:t>
            </w:r>
          </w:p>
          <w:p w14:paraId="0E2F9104"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 xml:space="preserve">zīdaiņiem paredzētās augļu, ogu un dārzeņu sulas, </w:t>
            </w:r>
            <w:proofErr w:type="spellStart"/>
            <w:r w:rsidRPr="0060676D">
              <w:rPr>
                <w:rFonts w:eastAsia="Times New Roman" w:cstheme="minorHAnsi"/>
                <w:color w:val="212529"/>
                <w:lang w:eastAsia="lv-LV"/>
              </w:rPr>
              <w:t>biezsulas</w:t>
            </w:r>
            <w:proofErr w:type="spellEnd"/>
            <w:r w:rsidRPr="0060676D">
              <w:rPr>
                <w:rFonts w:eastAsia="Times New Roman" w:cstheme="minorHAnsi"/>
                <w:color w:val="212529"/>
                <w:lang w:eastAsia="lv-LV"/>
              </w:rPr>
              <w:t xml:space="preserve"> un biezeņi;</w:t>
            </w:r>
          </w:p>
          <w:p w14:paraId="51DAEDDD"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zīdaiņiem paredzētie speciāli viegli asimilējami gaļas produkti un homogenizēti jaukti pārtikas produkti;</w:t>
            </w:r>
          </w:p>
          <w:p w14:paraId="56E425F4"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dzērieni zīdaiņu uzturam — ar tēju atšķaidītas sulas, speciāli sagatavotas zīdaiņu tējas, zīdaiņu vecumam adaptēts ūdens (negāzēts) speciālā fasējumā;</w:t>
            </w:r>
          </w:p>
          <w:p w14:paraId="0990E659"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 xml:space="preserve">zīdaiņiem paredzētie ārstnieciski diētiski </w:t>
            </w:r>
            <w:proofErr w:type="spellStart"/>
            <w:r w:rsidRPr="0060676D">
              <w:rPr>
                <w:rFonts w:eastAsia="Times New Roman" w:cstheme="minorHAnsi"/>
                <w:color w:val="212529"/>
                <w:lang w:eastAsia="lv-LV"/>
              </w:rPr>
              <w:t>enterālās</w:t>
            </w:r>
            <w:proofErr w:type="spellEnd"/>
            <w:r w:rsidRPr="0060676D">
              <w:rPr>
                <w:rFonts w:eastAsia="Times New Roman" w:cstheme="minorHAnsi"/>
                <w:color w:val="212529"/>
                <w:lang w:eastAsia="lv-LV"/>
              </w:rPr>
              <w:t xml:space="preserve"> barošanas produkti;</w:t>
            </w:r>
          </w:p>
          <w:p w14:paraId="16E19C9B"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lastRenderedPageBreak/>
              <w:t>zīdaiņiem paredzētie aminoskābju maisījumi;</w:t>
            </w:r>
          </w:p>
          <w:p w14:paraId="6841A998"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 xml:space="preserve">zīdaiņiem paredzētie olbaltumvielu </w:t>
            </w:r>
            <w:proofErr w:type="spellStart"/>
            <w:r w:rsidRPr="0060676D">
              <w:rPr>
                <w:rFonts w:eastAsia="Times New Roman" w:cstheme="minorHAnsi"/>
                <w:color w:val="212529"/>
                <w:lang w:eastAsia="lv-LV"/>
              </w:rPr>
              <w:t>hidrolizāti</w:t>
            </w:r>
            <w:proofErr w:type="spellEnd"/>
            <w:r w:rsidRPr="0060676D">
              <w:rPr>
                <w:rFonts w:eastAsia="Times New Roman" w:cstheme="minorHAnsi"/>
                <w:color w:val="212529"/>
                <w:lang w:eastAsia="lv-LV"/>
              </w:rPr>
              <w:t>;</w:t>
            </w:r>
          </w:p>
          <w:p w14:paraId="3A140A68"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zīdainiem paredzētie maisījumi ar zemu laktozes saturu vai bez tās;</w:t>
            </w:r>
          </w:p>
          <w:p w14:paraId="2DDFF79F"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proofErr w:type="spellStart"/>
            <w:r w:rsidRPr="0060676D">
              <w:rPr>
                <w:rFonts w:eastAsia="Times New Roman" w:cstheme="minorHAnsi"/>
                <w:color w:val="212529"/>
                <w:lang w:eastAsia="lv-LV"/>
              </w:rPr>
              <w:t>bezglutēna</w:t>
            </w:r>
            <w:proofErr w:type="spellEnd"/>
            <w:r w:rsidRPr="0060676D">
              <w:rPr>
                <w:rFonts w:eastAsia="Times New Roman" w:cstheme="minorHAnsi"/>
                <w:color w:val="212529"/>
                <w:lang w:eastAsia="lv-LV"/>
              </w:rPr>
              <w:t xml:space="preserve"> produkti zīdaiņiem, kuri slimo ar </w:t>
            </w:r>
            <w:proofErr w:type="spellStart"/>
            <w:r w:rsidRPr="0060676D">
              <w:rPr>
                <w:rFonts w:eastAsia="Times New Roman" w:cstheme="minorHAnsi"/>
                <w:color w:val="212529"/>
                <w:lang w:eastAsia="lv-LV"/>
              </w:rPr>
              <w:t>celiakiju</w:t>
            </w:r>
            <w:proofErr w:type="spellEnd"/>
            <w:r w:rsidRPr="0060676D">
              <w:rPr>
                <w:rFonts w:eastAsia="Times New Roman" w:cstheme="minorHAnsi"/>
                <w:color w:val="212529"/>
                <w:lang w:eastAsia="lv-LV"/>
              </w:rPr>
              <w:t>;</w:t>
            </w:r>
          </w:p>
          <w:p w14:paraId="042B5F50"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proofErr w:type="spellStart"/>
            <w:r w:rsidRPr="0060676D">
              <w:rPr>
                <w:rFonts w:eastAsia="Times New Roman" w:cstheme="minorHAnsi"/>
                <w:color w:val="212529"/>
                <w:lang w:eastAsia="lv-LV"/>
              </w:rPr>
              <w:t>bezglutēna</w:t>
            </w:r>
            <w:proofErr w:type="spellEnd"/>
            <w:r w:rsidRPr="0060676D">
              <w:rPr>
                <w:rFonts w:eastAsia="Times New Roman" w:cstheme="minorHAnsi"/>
                <w:color w:val="212529"/>
                <w:lang w:eastAsia="lv-LV"/>
              </w:rPr>
              <w:t xml:space="preserve"> produkti zīdaiņiem, kuri slimo ar </w:t>
            </w:r>
            <w:proofErr w:type="spellStart"/>
            <w:r w:rsidRPr="0060676D">
              <w:rPr>
                <w:rFonts w:eastAsia="Times New Roman" w:cstheme="minorHAnsi"/>
                <w:color w:val="212529"/>
                <w:lang w:eastAsia="lv-LV"/>
              </w:rPr>
              <w:t>fenilketonūriju</w:t>
            </w:r>
            <w:proofErr w:type="spellEnd"/>
            <w:r w:rsidRPr="0060676D">
              <w:rPr>
                <w:rFonts w:eastAsia="Times New Roman" w:cstheme="minorHAnsi"/>
                <w:color w:val="212529"/>
                <w:lang w:eastAsia="lv-LV"/>
              </w:rPr>
              <w:t>;</w:t>
            </w:r>
          </w:p>
          <w:p w14:paraId="0EF43DA8"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speciāli produkti zīdaiņiem, kuriem ir iedzimta metabolisma patoloģija;</w:t>
            </w:r>
          </w:p>
          <w:p w14:paraId="4AEE1558"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 xml:space="preserve">zīdaiņiem paredzētie maisījumi ar pazeminātu vai paaugstinātu olbaltumvielu saturu un produktiem, kuri nesatur olbaltumvielas (piemēram, mākslīgais </w:t>
            </w:r>
            <w:proofErr w:type="spellStart"/>
            <w:r w:rsidRPr="0060676D">
              <w:rPr>
                <w:rFonts w:eastAsia="Times New Roman" w:cstheme="minorHAnsi"/>
                <w:color w:val="212529"/>
                <w:lang w:eastAsia="lv-LV"/>
              </w:rPr>
              <w:t>sāgo</w:t>
            </w:r>
            <w:proofErr w:type="spellEnd"/>
            <w:r w:rsidRPr="0060676D">
              <w:rPr>
                <w:rFonts w:eastAsia="Times New Roman" w:cstheme="minorHAnsi"/>
                <w:color w:val="212529"/>
                <w:lang w:eastAsia="lv-LV"/>
              </w:rPr>
              <w:t>, milti, makaroni, maize, cepumi, putraimi, sausās pārslas);</w:t>
            </w:r>
          </w:p>
          <w:p w14:paraId="2AB5BD77"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zīdaiņiem paredzētie produkti un maisījumi ar pazeminātu vai paaugstinātu tauku saturu;</w:t>
            </w:r>
          </w:p>
          <w:p w14:paraId="193258AC"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zīdaiņiem paredzētie produkti un maisījumi ar pazeminātu vai paaugstinātu ogļhidrātu saturu;</w:t>
            </w:r>
          </w:p>
          <w:p w14:paraId="3B807B2D"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pasažieru un to bagāžas regulārie pārvadājumi iekšzemē;</w:t>
            </w:r>
          </w:p>
          <w:p w14:paraId="4B024C22"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izmitināšanas pakalpojumi tūristu mītnēs;</w:t>
            </w:r>
          </w:p>
          <w:p w14:paraId="322F8593"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koksnes kurināmais - malka apaļkoku, pagaļu, zaru, žagaru saišķu vai tamlīdzīgā veidā, koksnes šķeldas vai skaidas, zāģskaidas un koksnes atlikumi, zāģskaidu un koksnes atlikumi aglomerētu vai neaglomerētu brikešu, granulu vai tamlīdzīgā veidā, - ja tā faktiskais patērētājs ir iedzīvotājs, kas pērk un patērē koksnes kurināmo mājsaimniecības vajadzībām;</w:t>
            </w:r>
          </w:p>
          <w:p w14:paraId="64242E58" w14:textId="77777777" w:rsidR="0060676D" w:rsidRPr="0060676D" w:rsidRDefault="0060676D" w:rsidP="0060676D">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siltumenerģija, ja tās faktiskais patērētājs ir iedzīvotājs, kas pērk un patērē siltumenerģiju mājsaimniecības vajadzībām.</w:t>
            </w:r>
          </w:p>
        </w:tc>
      </w:tr>
      <w:tr w:rsidR="0056638F" w:rsidRPr="0060676D" w14:paraId="0A3A4E7E" w14:textId="77777777" w:rsidTr="00706910">
        <w:trPr>
          <w:trHeight w:val="24621"/>
        </w:trPr>
        <w:tc>
          <w:tcPr>
            <w:tcW w:w="2087" w:type="dxa"/>
          </w:tcPr>
          <w:p w14:paraId="7B4C433C" w14:textId="77777777" w:rsidR="0056638F" w:rsidRPr="0060676D" w:rsidRDefault="0056638F" w:rsidP="001A463D">
            <w:pPr>
              <w:spacing w:before="120" w:after="120"/>
              <w:jc w:val="both"/>
              <w:rPr>
                <w:rFonts w:eastAsia="Times New Roman" w:cstheme="minorHAnsi"/>
                <w:b/>
                <w:color w:val="212529"/>
                <w:lang w:eastAsia="lv-LV"/>
              </w:rPr>
            </w:pPr>
            <w:r w:rsidRPr="0060676D">
              <w:rPr>
                <w:rFonts w:eastAsia="Times New Roman" w:cstheme="minorHAnsi"/>
                <w:b/>
                <w:color w:val="212529"/>
                <w:lang w:eastAsia="lv-LV"/>
              </w:rPr>
              <w:lastRenderedPageBreak/>
              <w:t>5 procentu likme</w:t>
            </w:r>
          </w:p>
          <w:p w14:paraId="37BC5C45" w14:textId="77777777" w:rsidR="0056638F" w:rsidRPr="0060676D" w:rsidRDefault="0056638F" w:rsidP="00220312">
            <w:pPr>
              <w:shd w:val="clear" w:color="auto" w:fill="FFFFFF"/>
              <w:rPr>
                <w:rFonts w:eastAsia="Times New Roman" w:cstheme="minorHAnsi"/>
                <w:b/>
                <w:color w:val="212529"/>
                <w:lang w:eastAsia="lv-LV"/>
              </w:rPr>
            </w:pPr>
          </w:p>
        </w:tc>
        <w:tc>
          <w:tcPr>
            <w:tcW w:w="5925" w:type="dxa"/>
          </w:tcPr>
          <w:p w14:paraId="6E76CFD6" w14:textId="77777777" w:rsidR="0056638F" w:rsidRPr="0056638F" w:rsidRDefault="0056638F" w:rsidP="0056638F">
            <w:pPr>
              <w:numPr>
                <w:ilvl w:val="0"/>
                <w:numId w:val="1"/>
              </w:numPr>
              <w:shd w:val="clear" w:color="auto" w:fill="FFFFFF"/>
              <w:tabs>
                <w:tab w:val="clear" w:pos="720"/>
                <w:tab w:val="num" w:pos="490"/>
              </w:tabs>
              <w:spacing w:before="120" w:after="120" w:line="240" w:lineRule="auto"/>
              <w:ind w:left="487" w:hanging="425"/>
              <w:jc w:val="both"/>
              <w:rPr>
                <w:rFonts w:eastAsia="Times New Roman" w:cstheme="minorHAnsi"/>
                <w:color w:val="212529"/>
                <w:lang w:eastAsia="lv-LV"/>
              </w:rPr>
            </w:pPr>
            <w:r w:rsidRPr="0056638F">
              <w:rPr>
                <w:rFonts w:eastAsia="Times New Roman" w:cstheme="minorHAnsi"/>
                <w:color w:val="212529"/>
                <w:lang w:eastAsia="lv-LV"/>
              </w:rPr>
              <w:t>iespieddarba vai elektroniska izdevuma formā, tostarp tiešsaistes režīmā vai lejupielādējot, izdotas grāmatas (tostarp mācību literatūra, brošūras, bukleti un tamlīdzīgi iespieddarbi, bildes, zīmējamās un krāsojamās grāmatas bērniem, iespiestas notis un nošu raksti, kartes un hidrogrāfiskās vai tamlīdzīgas shēmas);</w:t>
            </w:r>
          </w:p>
          <w:p w14:paraId="57226944" w14:textId="6023D3D1" w:rsidR="0056638F" w:rsidRPr="0056638F" w:rsidRDefault="0056638F" w:rsidP="0056638F">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56638F">
              <w:rPr>
                <w:rFonts w:eastAsia="Times New Roman" w:cstheme="minorHAnsi"/>
                <w:color w:val="212529"/>
                <w:lang w:eastAsia="lv-LV"/>
              </w:rPr>
              <w:t>iespieddarba vai elektroniska izdevuma formā, tostarp tiešsaistes režīmā vai lejupielādējot, izdotas preses un citu masu informācijas līdzekļu izdevumi vai publikācijas (tostarp avīzes, žurnāli, biļeteni un citi periodiskie izdevumi, informācijas aģentūru paziņojumi, kas paredzēti publiskai izplatīšanai), publikācijas interneta vietnē, kā arī to abonentmaksa;</w:t>
            </w:r>
          </w:p>
          <w:p w14:paraId="353267E2" w14:textId="30E98E1A" w:rsidR="0056638F" w:rsidRPr="0056638F" w:rsidRDefault="0056638F" w:rsidP="0056638F">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56638F">
              <w:rPr>
                <w:rFonts w:cstheme="minorHAnsi"/>
                <w:color w:val="212529"/>
                <w:shd w:val="clear" w:color="auto" w:fill="FFFFFF"/>
              </w:rPr>
              <w:t xml:space="preserve">grāmatu, preses un citu masu informācijas līdzekļu </w:t>
            </w:r>
            <w:r w:rsidRPr="0056638F">
              <w:rPr>
                <w:rFonts w:eastAsia="Times New Roman" w:cstheme="minorHAnsi"/>
                <w:color w:val="212529"/>
                <w:lang w:eastAsia="lv-LV"/>
              </w:rPr>
              <w:t>izdevumu</w:t>
            </w:r>
            <w:r w:rsidRPr="0056638F">
              <w:rPr>
                <w:rFonts w:cstheme="minorHAnsi"/>
                <w:color w:val="212529"/>
                <w:shd w:val="clear" w:color="auto" w:fill="FFFFFF"/>
              </w:rPr>
              <w:t xml:space="preserve"> vai publikāciju pielikumi, kas pievienoti bez papildu maksas un ir to neatņemama sastāvdaļa, ja pielikumā ievietotā informācija papildina iespieddarba vai elektroniska izdevuma sniegto informāciju</w:t>
            </w:r>
            <w:r w:rsidRPr="0056638F">
              <w:rPr>
                <w:rFonts w:cstheme="minorHAnsi"/>
                <w:color w:val="212529"/>
                <w:shd w:val="clear" w:color="auto" w:fill="FFFFFF"/>
              </w:rPr>
              <w:t>;</w:t>
            </w:r>
          </w:p>
          <w:p w14:paraId="69C80FC2" w14:textId="3E6A1020" w:rsidR="0056638F" w:rsidRPr="0056638F" w:rsidRDefault="0056638F" w:rsidP="0056638F">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56638F">
              <w:rPr>
                <w:rFonts w:cstheme="minorHAnsi"/>
                <w:color w:val="212529"/>
                <w:shd w:val="clear" w:color="auto" w:fill="FFFFFF"/>
              </w:rPr>
              <w:t xml:space="preserve">svaigie augļi, ogas un dārzeņi, tostarp mazgāti, mizoti, </w:t>
            </w:r>
            <w:r w:rsidRPr="0056638F">
              <w:rPr>
                <w:rFonts w:eastAsia="Times New Roman" w:cstheme="minorHAnsi"/>
                <w:color w:val="212529"/>
                <w:lang w:eastAsia="lv-LV"/>
              </w:rPr>
              <w:t>lobīti</w:t>
            </w:r>
            <w:r w:rsidRPr="0056638F">
              <w:rPr>
                <w:rFonts w:cstheme="minorHAnsi"/>
                <w:color w:val="212529"/>
                <w:shd w:val="clear" w:color="auto" w:fill="FFFFFF"/>
              </w:rPr>
              <w:t>, griezti un fasēti, bet nav apstrādāti termiski vai kā citādi:</w:t>
            </w:r>
          </w:p>
          <w:p w14:paraId="3B116A55" w14:textId="77777777" w:rsidR="0056638F" w:rsidRPr="0060676D" w:rsidRDefault="0056638F" w:rsidP="0056638F">
            <w:pPr>
              <w:numPr>
                <w:ilvl w:val="0"/>
                <w:numId w:val="1"/>
              </w:numPr>
              <w:shd w:val="clear" w:color="auto" w:fill="FFFFFF"/>
              <w:spacing w:before="120"/>
              <w:jc w:val="both"/>
              <w:rPr>
                <w:rFonts w:eastAsia="Times New Roman" w:cstheme="minorHAnsi"/>
                <w:color w:val="212529"/>
                <w:lang w:eastAsia="lv-LV"/>
              </w:rPr>
            </w:pPr>
            <w:r w:rsidRPr="0060676D">
              <w:rPr>
                <w:rFonts w:eastAsia="Times New Roman" w:cstheme="minorHAnsi"/>
                <w:color w:val="212529"/>
                <w:lang w:eastAsia="lv-LV"/>
              </w:rPr>
              <w:t>āboli;</w:t>
            </w:r>
          </w:p>
          <w:p w14:paraId="26290517"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aronijas;</w:t>
            </w:r>
          </w:p>
          <w:p w14:paraId="0EB4FE67"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avenes;</w:t>
            </w:r>
          </w:p>
          <w:p w14:paraId="50906DFD"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brūklenes;</w:t>
            </w:r>
          </w:p>
          <w:p w14:paraId="4FD86212"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bumbieri;</w:t>
            </w:r>
          </w:p>
          <w:p w14:paraId="3B371A3E"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burkāni;</w:t>
            </w:r>
          </w:p>
          <w:p w14:paraId="4BF67DDC"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cidonijas;</w:t>
            </w:r>
          </w:p>
          <w:p w14:paraId="4A4749BF"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citronliānas ogas;</w:t>
            </w:r>
          </w:p>
          <w:p w14:paraId="2BE502A6"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proofErr w:type="spellStart"/>
            <w:r w:rsidRPr="0060676D">
              <w:rPr>
                <w:rFonts w:eastAsia="Times New Roman" w:cstheme="minorHAnsi"/>
                <w:color w:val="212529"/>
                <w:lang w:eastAsia="lv-LV"/>
              </w:rPr>
              <w:t>cukurkukurūza</w:t>
            </w:r>
            <w:proofErr w:type="spellEnd"/>
            <w:r w:rsidRPr="0060676D">
              <w:rPr>
                <w:rFonts w:eastAsia="Times New Roman" w:cstheme="minorHAnsi"/>
                <w:color w:val="212529"/>
                <w:lang w:eastAsia="lv-LV"/>
              </w:rPr>
              <w:t>;</w:t>
            </w:r>
          </w:p>
          <w:p w14:paraId="0BA3611E"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dārza salāti (</w:t>
            </w:r>
            <w:proofErr w:type="spellStart"/>
            <w:r w:rsidRPr="0060676D">
              <w:rPr>
                <w:rFonts w:eastAsia="Times New Roman" w:cstheme="minorHAnsi"/>
                <w:color w:val="212529"/>
                <w:lang w:eastAsia="lv-LV"/>
              </w:rPr>
              <w:t>galviņsalāti</w:t>
            </w:r>
            <w:proofErr w:type="spellEnd"/>
            <w:r w:rsidRPr="0060676D">
              <w:rPr>
                <w:rFonts w:eastAsia="Times New Roman" w:cstheme="minorHAnsi"/>
                <w:color w:val="212529"/>
                <w:lang w:eastAsia="lv-LV"/>
              </w:rPr>
              <w:t>) un cigoriņi (tai skaitā lapu cigoriņi);</w:t>
            </w:r>
          </w:p>
          <w:p w14:paraId="15D161F7"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 xml:space="preserve">dzērvenes (tai skaitā </w:t>
            </w:r>
            <w:proofErr w:type="spellStart"/>
            <w:r w:rsidRPr="0060676D">
              <w:rPr>
                <w:rFonts w:eastAsia="Times New Roman" w:cstheme="minorHAnsi"/>
                <w:color w:val="212529"/>
                <w:lang w:eastAsia="lv-LV"/>
              </w:rPr>
              <w:t>lielogu</w:t>
            </w:r>
            <w:proofErr w:type="spellEnd"/>
            <w:r w:rsidRPr="0060676D">
              <w:rPr>
                <w:rFonts w:eastAsia="Times New Roman" w:cstheme="minorHAnsi"/>
                <w:color w:val="212529"/>
                <w:lang w:eastAsia="lv-LV"/>
              </w:rPr>
              <w:t xml:space="preserve"> dzērvenes);</w:t>
            </w:r>
          </w:p>
          <w:p w14:paraId="1CA7FEB3"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ērkšķogas;</w:t>
            </w:r>
          </w:p>
          <w:p w14:paraId="73E2D4D1"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fenhelis;</w:t>
            </w:r>
          </w:p>
          <w:p w14:paraId="600B542E"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galda bietes;</w:t>
            </w:r>
          </w:p>
          <w:p w14:paraId="2DA94519"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galda rāceņi;</w:t>
            </w:r>
          </w:p>
          <w:p w14:paraId="51CCA87F"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 xml:space="preserve">galviņkāposti, lapu kāposti, brokoļi, ziedkāposti un tamlīdzīgi pārtikas </w:t>
            </w:r>
            <w:proofErr w:type="spellStart"/>
            <w:r w:rsidRPr="0060676D">
              <w:rPr>
                <w:rFonts w:eastAsia="Times New Roman" w:cstheme="minorHAnsi"/>
                <w:color w:val="212529"/>
                <w:lang w:eastAsia="lv-LV"/>
              </w:rPr>
              <w:t>kāpostaugi</w:t>
            </w:r>
            <w:proofErr w:type="spellEnd"/>
            <w:r w:rsidRPr="0060676D">
              <w:rPr>
                <w:rFonts w:eastAsia="Times New Roman" w:cstheme="minorHAnsi"/>
                <w:color w:val="212529"/>
                <w:lang w:eastAsia="lv-LV"/>
              </w:rPr>
              <w:t>;</w:t>
            </w:r>
          </w:p>
          <w:p w14:paraId="3368F6DD"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garšaugi (tai skaitā dilles, lapu pētersīļi, baziliks, koriandrs (</w:t>
            </w:r>
            <w:proofErr w:type="spellStart"/>
            <w:r w:rsidRPr="0060676D">
              <w:rPr>
                <w:rFonts w:eastAsia="Times New Roman" w:cstheme="minorHAnsi"/>
                <w:color w:val="212529"/>
                <w:lang w:eastAsia="lv-LV"/>
              </w:rPr>
              <w:t>kinza</w:t>
            </w:r>
            <w:proofErr w:type="spellEnd"/>
            <w:r w:rsidRPr="0060676D">
              <w:rPr>
                <w:rFonts w:eastAsia="Times New Roman" w:cstheme="minorHAnsi"/>
                <w:color w:val="212529"/>
                <w:lang w:eastAsia="lv-LV"/>
              </w:rPr>
              <w:t>), piparmētras u. tml.);</w:t>
            </w:r>
          </w:p>
          <w:p w14:paraId="5CD3573F"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gurķi;</w:t>
            </w:r>
          </w:p>
          <w:p w14:paraId="32C6F95C"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irbenes ogas;</w:t>
            </w:r>
          </w:p>
          <w:p w14:paraId="1659005D"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jāņogas;</w:t>
            </w:r>
          </w:p>
          <w:p w14:paraId="6F6F9D44"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 xml:space="preserve">kabači (tai skaitā </w:t>
            </w:r>
            <w:proofErr w:type="spellStart"/>
            <w:r w:rsidRPr="0060676D">
              <w:rPr>
                <w:rFonts w:eastAsia="Times New Roman" w:cstheme="minorHAnsi"/>
                <w:color w:val="212529"/>
                <w:lang w:eastAsia="lv-LV"/>
              </w:rPr>
              <w:t>cukīni</w:t>
            </w:r>
            <w:proofErr w:type="spellEnd"/>
            <w:r w:rsidRPr="0060676D">
              <w:rPr>
                <w:rFonts w:eastAsia="Times New Roman" w:cstheme="minorHAnsi"/>
                <w:color w:val="212529"/>
                <w:lang w:eastAsia="lv-LV"/>
              </w:rPr>
              <w:t>);</w:t>
            </w:r>
          </w:p>
          <w:p w14:paraId="27F11D5C"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kāļi;</w:t>
            </w:r>
          </w:p>
          <w:p w14:paraId="68001C60"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kartupeļi;</w:t>
            </w:r>
          </w:p>
          <w:p w14:paraId="674D736D"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kazenes;</w:t>
            </w:r>
          </w:p>
          <w:p w14:paraId="215213A9"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proofErr w:type="spellStart"/>
            <w:r w:rsidRPr="0060676D">
              <w:rPr>
                <w:rFonts w:eastAsia="Times New Roman" w:cstheme="minorHAnsi"/>
                <w:color w:val="212529"/>
                <w:lang w:eastAsia="lv-LV"/>
              </w:rPr>
              <w:t>kazeņavenes</w:t>
            </w:r>
            <w:proofErr w:type="spellEnd"/>
            <w:r w:rsidRPr="0060676D">
              <w:rPr>
                <w:rFonts w:eastAsia="Times New Roman" w:cstheme="minorHAnsi"/>
                <w:color w:val="212529"/>
                <w:lang w:eastAsia="lv-LV"/>
              </w:rPr>
              <w:t>;</w:t>
            </w:r>
          </w:p>
          <w:p w14:paraId="64C905EC"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lastRenderedPageBreak/>
              <w:t>kolrābji;</w:t>
            </w:r>
          </w:p>
          <w:p w14:paraId="0EF50C2C"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korintes;</w:t>
            </w:r>
          </w:p>
          <w:p w14:paraId="69E0BADD"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proofErr w:type="spellStart"/>
            <w:r w:rsidRPr="0060676D">
              <w:rPr>
                <w:rFonts w:eastAsia="Times New Roman" w:cstheme="minorHAnsi"/>
                <w:color w:val="212529"/>
                <w:lang w:eastAsia="lv-LV"/>
              </w:rPr>
              <w:t>krūmmellenes</w:t>
            </w:r>
            <w:proofErr w:type="spellEnd"/>
            <w:r w:rsidRPr="0060676D">
              <w:rPr>
                <w:rFonts w:eastAsia="Times New Roman" w:cstheme="minorHAnsi"/>
                <w:color w:val="212529"/>
                <w:lang w:eastAsia="lv-LV"/>
              </w:rPr>
              <w:t>;</w:t>
            </w:r>
          </w:p>
          <w:p w14:paraId="6D6DAA0B"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ķiploki;</w:t>
            </w:r>
          </w:p>
          <w:p w14:paraId="23214835"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ķiploku loki;</w:t>
            </w:r>
          </w:p>
          <w:p w14:paraId="4EDBD56C"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ķirbji;</w:t>
            </w:r>
          </w:p>
          <w:p w14:paraId="6297649A"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ķirši;</w:t>
            </w:r>
          </w:p>
          <w:p w14:paraId="64FB5603"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lācenes;</w:t>
            </w:r>
          </w:p>
          <w:p w14:paraId="191FAAC7"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proofErr w:type="spellStart"/>
            <w:r w:rsidRPr="0060676D">
              <w:rPr>
                <w:rFonts w:eastAsia="Times New Roman" w:cstheme="minorHAnsi"/>
                <w:color w:val="212529"/>
                <w:lang w:eastAsia="lv-LV"/>
              </w:rPr>
              <w:t>mangoldi</w:t>
            </w:r>
            <w:proofErr w:type="spellEnd"/>
            <w:r w:rsidRPr="0060676D">
              <w:rPr>
                <w:rFonts w:eastAsia="Times New Roman" w:cstheme="minorHAnsi"/>
                <w:color w:val="212529"/>
                <w:lang w:eastAsia="lv-LV"/>
              </w:rPr>
              <w:t>;</w:t>
            </w:r>
          </w:p>
          <w:p w14:paraId="6EE7472B"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mārrutki;</w:t>
            </w:r>
          </w:p>
          <w:p w14:paraId="39A22346"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mellenes;</w:t>
            </w:r>
          </w:p>
          <w:p w14:paraId="1C300894"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melnie rutki;</w:t>
            </w:r>
          </w:p>
          <w:p w14:paraId="79C5C890"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meža zemenes;</w:t>
            </w:r>
          </w:p>
          <w:p w14:paraId="33AC425C"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pastinaki;</w:t>
            </w:r>
          </w:p>
          <w:p w14:paraId="727A9B9C"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proofErr w:type="spellStart"/>
            <w:r w:rsidRPr="0060676D">
              <w:rPr>
                <w:rFonts w:eastAsia="Times New Roman" w:cstheme="minorHAnsi"/>
                <w:color w:val="212529"/>
                <w:lang w:eastAsia="lv-LV"/>
              </w:rPr>
              <w:t>patisoni</w:t>
            </w:r>
            <w:proofErr w:type="spellEnd"/>
            <w:r w:rsidRPr="0060676D">
              <w:rPr>
                <w:rFonts w:eastAsia="Times New Roman" w:cstheme="minorHAnsi"/>
                <w:color w:val="212529"/>
                <w:lang w:eastAsia="lv-LV"/>
              </w:rPr>
              <w:t>;</w:t>
            </w:r>
          </w:p>
          <w:p w14:paraId="64B0A7DB"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pētersīļu saknes;</w:t>
            </w:r>
          </w:p>
          <w:p w14:paraId="682463E2"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pīlādžu ogas;</w:t>
            </w:r>
          </w:p>
          <w:p w14:paraId="5718C172"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plūmes;</w:t>
            </w:r>
          </w:p>
          <w:p w14:paraId="6BC22547"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plūškoka ogas;</w:t>
            </w:r>
          </w:p>
          <w:p w14:paraId="121D0018"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pupas;</w:t>
            </w:r>
          </w:p>
          <w:p w14:paraId="7D995063"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pupiņas;</w:t>
            </w:r>
          </w:p>
          <w:p w14:paraId="7DADE497"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puravi;</w:t>
            </w:r>
          </w:p>
          <w:p w14:paraId="13277429"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rabarberi;</w:t>
            </w:r>
          </w:p>
          <w:p w14:paraId="6BA013BF"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redīsi;</w:t>
            </w:r>
          </w:p>
          <w:p w14:paraId="772271D5"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 xml:space="preserve">salātu dārzeņi (tai skaitā romiešu salāti, ozollapu salāti, </w:t>
            </w:r>
            <w:proofErr w:type="spellStart"/>
            <w:r w:rsidRPr="0060676D">
              <w:rPr>
                <w:rFonts w:eastAsia="Times New Roman" w:cstheme="minorHAnsi"/>
                <w:color w:val="212529"/>
                <w:lang w:eastAsia="lv-LV"/>
              </w:rPr>
              <w:t>rukola</w:t>
            </w:r>
            <w:proofErr w:type="spellEnd"/>
            <w:r w:rsidRPr="0060676D">
              <w:rPr>
                <w:rFonts w:eastAsia="Times New Roman" w:cstheme="minorHAnsi"/>
                <w:color w:val="212529"/>
                <w:lang w:eastAsia="lv-LV"/>
              </w:rPr>
              <w:t xml:space="preserve">, </w:t>
            </w:r>
            <w:proofErr w:type="spellStart"/>
            <w:r w:rsidRPr="0060676D">
              <w:rPr>
                <w:rFonts w:eastAsia="Times New Roman" w:cstheme="minorHAnsi"/>
                <w:color w:val="212529"/>
                <w:lang w:eastAsia="lv-LV"/>
              </w:rPr>
              <w:t>endīvijas</w:t>
            </w:r>
            <w:proofErr w:type="spellEnd"/>
            <w:r w:rsidRPr="0060676D">
              <w:rPr>
                <w:rFonts w:eastAsia="Times New Roman" w:cstheme="minorHAnsi"/>
                <w:color w:val="212529"/>
                <w:lang w:eastAsia="lv-LV"/>
              </w:rPr>
              <w:t xml:space="preserve">, </w:t>
            </w:r>
            <w:proofErr w:type="spellStart"/>
            <w:r w:rsidRPr="0060676D">
              <w:rPr>
                <w:rFonts w:eastAsia="Times New Roman" w:cstheme="minorHAnsi"/>
                <w:color w:val="212529"/>
                <w:lang w:eastAsia="lv-LV"/>
              </w:rPr>
              <w:t>mizuna</w:t>
            </w:r>
            <w:proofErr w:type="spellEnd"/>
            <w:r w:rsidRPr="0060676D">
              <w:rPr>
                <w:rFonts w:eastAsia="Times New Roman" w:cstheme="minorHAnsi"/>
                <w:color w:val="212529"/>
                <w:lang w:eastAsia="lv-LV"/>
              </w:rPr>
              <w:t>, dīgsti);</w:t>
            </w:r>
          </w:p>
          <w:p w14:paraId="7F75E47F"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sausserža ogas;</w:t>
            </w:r>
          </w:p>
          <w:p w14:paraId="68CBE088"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selerijas (sakņu, kātu, lapu);</w:t>
            </w:r>
          </w:p>
          <w:p w14:paraId="7071C01B"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 xml:space="preserve">sīpoli un </w:t>
            </w:r>
            <w:proofErr w:type="spellStart"/>
            <w:r w:rsidRPr="0060676D">
              <w:rPr>
                <w:rFonts w:eastAsia="Times New Roman" w:cstheme="minorHAnsi"/>
                <w:color w:val="212529"/>
                <w:lang w:eastAsia="lv-LV"/>
              </w:rPr>
              <w:t>šalotes</w:t>
            </w:r>
            <w:proofErr w:type="spellEnd"/>
            <w:r w:rsidRPr="0060676D">
              <w:rPr>
                <w:rFonts w:eastAsia="Times New Roman" w:cstheme="minorHAnsi"/>
                <w:color w:val="212529"/>
                <w:lang w:eastAsia="lv-LV"/>
              </w:rPr>
              <w:t>;</w:t>
            </w:r>
          </w:p>
          <w:p w14:paraId="56E3D1EE"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sīpolloki;</w:t>
            </w:r>
          </w:p>
          <w:p w14:paraId="7CF976B1"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skābenes;</w:t>
            </w:r>
          </w:p>
          <w:p w14:paraId="094B5F56"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smiltsērkšķu ogas;</w:t>
            </w:r>
          </w:p>
          <w:p w14:paraId="2B95239C"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sparģeļi;</w:t>
            </w:r>
          </w:p>
          <w:p w14:paraId="1383E873"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spināti;</w:t>
            </w:r>
          </w:p>
          <w:p w14:paraId="46792FE9"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tomāti;</w:t>
            </w:r>
          </w:p>
          <w:p w14:paraId="322FD6F6"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topinambūri;</w:t>
            </w:r>
          </w:p>
          <w:p w14:paraId="7056629F"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turnepši;</w:t>
            </w:r>
          </w:p>
          <w:p w14:paraId="3D126400"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upenes;</w:t>
            </w:r>
          </w:p>
          <w:p w14:paraId="05931FC2" w14:textId="77777777" w:rsidR="0056638F" w:rsidRPr="0060676D" w:rsidRDefault="0056638F" w:rsidP="0056638F">
            <w:pPr>
              <w:numPr>
                <w:ilvl w:val="0"/>
                <w:numId w:val="1"/>
              </w:numPr>
              <w:shd w:val="clear" w:color="auto" w:fill="FFFFFF"/>
              <w:spacing w:before="100" w:beforeAutospacing="1" w:after="100" w:afterAutospacing="1"/>
              <w:jc w:val="both"/>
              <w:rPr>
                <w:rFonts w:eastAsia="Times New Roman" w:cstheme="minorHAnsi"/>
                <w:color w:val="212529"/>
                <w:lang w:eastAsia="lv-LV"/>
              </w:rPr>
            </w:pPr>
            <w:r w:rsidRPr="0060676D">
              <w:rPr>
                <w:rFonts w:eastAsia="Times New Roman" w:cstheme="minorHAnsi"/>
                <w:color w:val="212529"/>
                <w:lang w:eastAsia="lv-LV"/>
              </w:rPr>
              <w:t>zemenes;</w:t>
            </w:r>
          </w:p>
          <w:p w14:paraId="5E2D4844" w14:textId="7835FB16" w:rsidR="0056638F" w:rsidRPr="0060676D" w:rsidRDefault="0056638F" w:rsidP="0056638F">
            <w:pPr>
              <w:numPr>
                <w:ilvl w:val="0"/>
                <w:numId w:val="1"/>
              </w:numPr>
              <w:shd w:val="clear" w:color="auto" w:fill="FFFFFF"/>
              <w:tabs>
                <w:tab w:val="clear" w:pos="720"/>
                <w:tab w:val="num" w:pos="490"/>
              </w:tabs>
              <w:spacing w:after="120"/>
              <w:jc w:val="both"/>
              <w:rPr>
                <w:rFonts w:eastAsia="Times New Roman" w:cstheme="minorHAnsi"/>
                <w:color w:val="212529"/>
                <w:lang w:eastAsia="lv-LV"/>
              </w:rPr>
            </w:pPr>
            <w:r w:rsidRPr="0060676D">
              <w:rPr>
                <w:rFonts w:eastAsia="Times New Roman" w:cstheme="minorHAnsi"/>
                <w:color w:val="212529"/>
                <w:lang w:eastAsia="lv-LV"/>
              </w:rPr>
              <w:t>zirņi.</w:t>
            </w:r>
          </w:p>
        </w:tc>
      </w:tr>
      <w:tr w:rsidR="00C26000" w:rsidRPr="0060676D" w14:paraId="1B0F13EC" w14:textId="77777777" w:rsidTr="0056638F">
        <w:tc>
          <w:tcPr>
            <w:tcW w:w="2087" w:type="dxa"/>
          </w:tcPr>
          <w:p w14:paraId="588FE9E3" w14:textId="77777777" w:rsidR="0060676D" w:rsidRPr="0060676D" w:rsidRDefault="0060676D" w:rsidP="001A463D">
            <w:pPr>
              <w:spacing w:before="120" w:after="120"/>
              <w:jc w:val="both"/>
              <w:rPr>
                <w:rFonts w:eastAsia="Times New Roman" w:cstheme="minorHAnsi"/>
                <w:lang w:eastAsia="lv-LV"/>
              </w:rPr>
            </w:pPr>
            <w:r w:rsidRPr="0060676D">
              <w:rPr>
                <w:rFonts w:cstheme="minorHAnsi"/>
                <w:b/>
                <w:color w:val="212529"/>
                <w:shd w:val="clear" w:color="auto" w:fill="FFFFFF"/>
              </w:rPr>
              <w:lastRenderedPageBreak/>
              <w:t xml:space="preserve">0 procentu </w:t>
            </w:r>
            <w:r w:rsidRPr="001A463D">
              <w:rPr>
                <w:rFonts w:eastAsia="Times New Roman" w:cstheme="minorHAnsi"/>
                <w:b/>
                <w:color w:val="212529"/>
                <w:lang w:eastAsia="lv-LV"/>
              </w:rPr>
              <w:t>likme</w:t>
            </w:r>
          </w:p>
        </w:tc>
        <w:tc>
          <w:tcPr>
            <w:tcW w:w="5925" w:type="dxa"/>
          </w:tcPr>
          <w:p w14:paraId="240C95F7" w14:textId="77777777" w:rsidR="0060676D" w:rsidRPr="0060676D" w:rsidRDefault="0060676D" w:rsidP="0056638F">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preču eksports un to preču piegādes, kas nav izlaistas brīvam apgrozījumam, ja preču piegādes tiek veiktas muitas noliktavās un brīvajās zonās;</w:t>
            </w:r>
          </w:p>
          <w:p w14:paraId="11E1D8CF" w14:textId="77777777" w:rsidR="0060676D" w:rsidRPr="0060676D" w:rsidRDefault="0060676D" w:rsidP="0056638F">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preču piegāde, ja prece ir nosūtīta fiskālajam pārstāvim turpmākai eksportēšanai;</w:t>
            </w:r>
          </w:p>
          <w:p w14:paraId="204739E5" w14:textId="77777777" w:rsidR="0060676D" w:rsidRPr="0060676D" w:rsidRDefault="0060676D" w:rsidP="0056638F">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preču piegāde ES teritorijā, ja preču saņēmējs ir citas dalībvalsts reģistrēts nodokļa maksātājs un preces tiek piegādātas uz citu dalībvalsti;</w:t>
            </w:r>
          </w:p>
          <w:p w14:paraId="6784BE9C" w14:textId="77777777" w:rsidR="0060676D" w:rsidRPr="0060676D" w:rsidRDefault="0060676D" w:rsidP="0056638F">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jauna transportlīdzekļa piegāde citas dalībvalsts jebkurai personai;</w:t>
            </w:r>
          </w:p>
          <w:p w14:paraId="6A915E41" w14:textId="77777777" w:rsidR="0060676D" w:rsidRPr="0060676D" w:rsidRDefault="0060676D" w:rsidP="0056638F">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fiskālā pārstāvja veiktai preču iegādei ES, ja tās paredzētas eksportēt;</w:t>
            </w:r>
          </w:p>
          <w:p w14:paraId="65D9DFEB" w14:textId="77777777" w:rsidR="0060676D" w:rsidRPr="0060676D" w:rsidRDefault="0060676D" w:rsidP="0056638F">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preču imports atbilstoši Pievienotās vērtības nodokļa likuma 45.pantā noteiktajam;</w:t>
            </w:r>
          </w:p>
          <w:p w14:paraId="72702152" w14:textId="77777777" w:rsidR="0060676D" w:rsidRPr="0060676D" w:rsidRDefault="0060676D" w:rsidP="0056638F">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pakalpojumi, kuru sniegšanas vieta ir iekšzeme, un kas:</w:t>
            </w:r>
          </w:p>
          <w:p w14:paraId="52BB36A8" w14:textId="77777777" w:rsidR="0060676D" w:rsidRPr="0060676D" w:rsidRDefault="0060676D" w:rsidP="0056638F">
            <w:pPr>
              <w:shd w:val="clear" w:color="auto" w:fill="FFFFFF"/>
              <w:ind w:left="497"/>
              <w:rPr>
                <w:rFonts w:eastAsia="Times New Roman" w:cstheme="minorHAnsi"/>
                <w:color w:val="212529"/>
                <w:lang w:eastAsia="lv-LV"/>
              </w:rPr>
            </w:pPr>
            <w:r w:rsidRPr="0060676D">
              <w:rPr>
                <w:rFonts w:eastAsia="Times New Roman" w:cstheme="minorHAnsi"/>
                <w:color w:val="212529"/>
                <w:lang w:eastAsia="lv-LV"/>
              </w:rPr>
              <w:t>- tieši saistīti ar preču eksportu, importu, tranzīta pārvadājumiem, kā arī pakalpojumi brīvajās zonās un muitas noliktavās, kas saistīti ar precēm, kas nav laistas brīvā apgrozībā;</w:t>
            </w:r>
          </w:p>
          <w:p w14:paraId="732CAC36" w14:textId="77777777" w:rsidR="0060676D" w:rsidRPr="0060676D" w:rsidRDefault="0060676D" w:rsidP="0056638F">
            <w:pPr>
              <w:shd w:val="clear" w:color="auto" w:fill="FFFFFF"/>
              <w:spacing w:before="100" w:beforeAutospacing="1" w:after="100" w:afterAutospacing="1"/>
              <w:ind w:left="497"/>
              <w:rPr>
                <w:rFonts w:eastAsia="Times New Roman" w:cstheme="minorHAnsi"/>
                <w:color w:val="212529"/>
                <w:lang w:eastAsia="lv-LV"/>
              </w:rPr>
            </w:pPr>
            <w:r w:rsidRPr="0060676D">
              <w:rPr>
                <w:rFonts w:eastAsia="Times New Roman" w:cstheme="minorHAnsi"/>
                <w:color w:val="212529"/>
                <w:lang w:eastAsia="lv-LV"/>
              </w:rPr>
              <w:t>- starptautiskie pasažieru pārvadājumi;</w:t>
            </w:r>
          </w:p>
          <w:p w14:paraId="13D78403" w14:textId="77777777" w:rsidR="0060676D" w:rsidRPr="0060676D" w:rsidRDefault="0060676D" w:rsidP="0056638F">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 xml:space="preserve">kuģu un gaisakuģu degvielas </w:t>
            </w:r>
            <w:proofErr w:type="spellStart"/>
            <w:r w:rsidRPr="0060676D">
              <w:rPr>
                <w:rFonts w:eastAsia="Times New Roman" w:cstheme="minorHAnsi"/>
                <w:color w:val="212529"/>
                <w:lang w:eastAsia="lv-LV"/>
              </w:rPr>
              <w:t>uzpilde</w:t>
            </w:r>
            <w:proofErr w:type="spellEnd"/>
            <w:r w:rsidRPr="0060676D">
              <w:rPr>
                <w:rFonts w:eastAsia="Times New Roman" w:cstheme="minorHAnsi"/>
                <w:color w:val="212529"/>
                <w:lang w:eastAsia="lv-LV"/>
              </w:rPr>
              <w:t xml:space="preserve"> un apgādei paredzēto preču piegāde un pakalpojumu (kuru sniegšanas vieta ir iekšzeme) sniegšana;</w:t>
            </w:r>
          </w:p>
          <w:p w14:paraId="4DF02C40" w14:textId="77777777" w:rsidR="0060676D" w:rsidRPr="0060676D" w:rsidRDefault="0060676D" w:rsidP="0056638F">
            <w:pPr>
              <w:numPr>
                <w:ilvl w:val="0"/>
                <w:numId w:val="1"/>
              </w:numPr>
              <w:shd w:val="clear" w:color="auto" w:fill="FFFFFF"/>
              <w:tabs>
                <w:tab w:val="clear" w:pos="720"/>
                <w:tab w:val="num" w:pos="490"/>
              </w:tabs>
              <w:spacing w:before="120" w:after="120"/>
              <w:ind w:left="487" w:hanging="425"/>
              <w:jc w:val="both"/>
              <w:rPr>
                <w:rFonts w:eastAsia="Times New Roman" w:cstheme="minorHAnsi"/>
                <w:color w:val="212529"/>
                <w:lang w:eastAsia="lv-LV"/>
              </w:rPr>
            </w:pPr>
            <w:r w:rsidRPr="0060676D">
              <w:rPr>
                <w:rFonts w:eastAsia="Times New Roman" w:cstheme="minorHAnsi"/>
                <w:color w:val="212529"/>
                <w:lang w:eastAsia="lv-LV"/>
              </w:rPr>
              <w:t>preču piegādes trešās valsts vai trešās teritorijas fiziskajām personām (kas nav nodokļa maksātājas), ja minētās personas izved iekšzemē iegādātās preces no ES teritorijas;</w:t>
            </w:r>
          </w:p>
          <w:p w14:paraId="7FDE6378" w14:textId="77777777" w:rsidR="0060676D" w:rsidRPr="0056638F" w:rsidRDefault="0060676D" w:rsidP="0056638F">
            <w:pPr>
              <w:numPr>
                <w:ilvl w:val="0"/>
                <w:numId w:val="1"/>
              </w:numPr>
              <w:shd w:val="clear" w:color="auto" w:fill="FFFFFF"/>
              <w:tabs>
                <w:tab w:val="clear" w:pos="720"/>
                <w:tab w:val="num" w:pos="490"/>
              </w:tabs>
              <w:spacing w:before="120" w:after="120"/>
              <w:ind w:left="487" w:hanging="425"/>
              <w:jc w:val="both"/>
              <w:rPr>
                <w:rFonts w:eastAsia="Times New Roman" w:cstheme="minorHAnsi"/>
                <w:lang w:eastAsia="lv-LV"/>
              </w:rPr>
            </w:pPr>
            <w:r w:rsidRPr="0060676D">
              <w:rPr>
                <w:rFonts w:eastAsia="Times New Roman" w:cstheme="minorHAnsi"/>
                <w:color w:val="212529"/>
                <w:lang w:eastAsia="lv-LV"/>
              </w:rPr>
              <w:t>citi darījumi saskaņā ar Pievienotās vērtības nodokļa likuma 43.– 50.pantu, ievērojot 51.panta noteiktos nosacījumus</w:t>
            </w:r>
            <w:r w:rsidR="0056638F">
              <w:rPr>
                <w:rFonts w:eastAsia="Times New Roman" w:cstheme="minorHAnsi"/>
                <w:color w:val="212529"/>
                <w:lang w:eastAsia="lv-LV"/>
              </w:rPr>
              <w:t>;</w:t>
            </w:r>
          </w:p>
          <w:p w14:paraId="777B77F0" w14:textId="77777777" w:rsidR="0056638F" w:rsidRPr="0056638F" w:rsidRDefault="0056638F" w:rsidP="0056638F">
            <w:pPr>
              <w:numPr>
                <w:ilvl w:val="0"/>
                <w:numId w:val="1"/>
              </w:numPr>
              <w:shd w:val="clear" w:color="auto" w:fill="FFFFFF"/>
              <w:tabs>
                <w:tab w:val="clear" w:pos="720"/>
                <w:tab w:val="num" w:pos="490"/>
              </w:tabs>
              <w:spacing w:before="120" w:after="120" w:line="240" w:lineRule="auto"/>
              <w:ind w:left="487" w:hanging="425"/>
              <w:jc w:val="both"/>
              <w:rPr>
                <w:rFonts w:eastAsia="Times New Roman" w:cstheme="minorHAnsi"/>
                <w:color w:val="212529"/>
                <w:lang w:eastAsia="lv-LV"/>
              </w:rPr>
            </w:pPr>
            <w:r w:rsidRPr="0056638F">
              <w:rPr>
                <w:rFonts w:eastAsia="Times New Roman" w:cstheme="minorHAnsi"/>
                <w:color w:val="212529"/>
                <w:lang w:eastAsia="lv-LV"/>
              </w:rPr>
              <w:t>Covid-19 vakcīnas piegāde, kas reģistrēta saskaņā ar normatīvajiem aktiem farmācijas jomā, un ar šo vakcīnu cieši saistītu pakalpojumu sniegšana iekšzemē (</w:t>
            </w:r>
            <w:r w:rsidRPr="0056638F">
              <w:rPr>
                <w:rFonts w:eastAsia="Times New Roman" w:cstheme="minorHAnsi"/>
                <w:i/>
                <w:iCs/>
                <w:color w:val="212529"/>
                <w:lang w:eastAsia="lv-LV"/>
              </w:rPr>
              <w:t>piemērojama no 25.12.2020. līdz 31.12.2022.</w:t>
            </w:r>
            <w:r w:rsidRPr="0056638F">
              <w:rPr>
                <w:rFonts w:eastAsia="Times New Roman" w:cstheme="minorHAnsi"/>
                <w:color w:val="212529"/>
                <w:lang w:eastAsia="lv-LV"/>
              </w:rPr>
              <w:t>);</w:t>
            </w:r>
          </w:p>
          <w:p w14:paraId="1941A802" w14:textId="77777777" w:rsidR="0056638F" w:rsidRPr="0056638F" w:rsidRDefault="0056638F" w:rsidP="0056638F">
            <w:pPr>
              <w:numPr>
                <w:ilvl w:val="0"/>
                <w:numId w:val="1"/>
              </w:numPr>
              <w:shd w:val="clear" w:color="auto" w:fill="FFFFFF"/>
              <w:tabs>
                <w:tab w:val="clear" w:pos="720"/>
                <w:tab w:val="num" w:pos="490"/>
              </w:tabs>
              <w:spacing w:before="120" w:after="120" w:line="240" w:lineRule="auto"/>
              <w:ind w:left="487" w:hanging="425"/>
              <w:jc w:val="both"/>
              <w:rPr>
                <w:rFonts w:eastAsia="Times New Roman" w:cstheme="minorHAnsi"/>
                <w:color w:val="212529"/>
                <w:lang w:eastAsia="lv-LV"/>
              </w:rPr>
            </w:pPr>
            <w:r w:rsidRPr="0056638F">
              <w:rPr>
                <w:rFonts w:eastAsia="Times New Roman" w:cstheme="minorHAnsi"/>
                <w:color w:val="212529"/>
                <w:lang w:eastAsia="lv-LV"/>
              </w:rPr>
              <w:t>Covid-19 </w:t>
            </w:r>
            <w:proofErr w:type="spellStart"/>
            <w:r w:rsidRPr="0056638F">
              <w:rPr>
                <w:rFonts w:eastAsia="Times New Roman" w:cstheme="minorHAnsi"/>
                <w:i/>
                <w:iCs/>
                <w:color w:val="212529"/>
                <w:lang w:eastAsia="lv-LV"/>
              </w:rPr>
              <w:t>in</w:t>
            </w:r>
            <w:proofErr w:type="spellEnd"/>
            <w:r w:rsidRPr="0056638F">
              <w:rPr>
                <w:rFonts w:eastAsia="Times New Roman" w:cstheme="minorHAnsi"/>
                <w:i/>
                <w:iCs/>
                <w:color w:val="212529"/>
                <w:lang w:eastAsia="lv-LV"/>
              </w:rPr>
              <w:t xml:space="preserve"> </w:t>
            </w:r>
            <w:proofErr w:type="spellStart"/>
            <w:r w:rsidRPr="0056638F">
              <w:rPr>
                <w:rFonts w:eastAsia="Times New Roman" w:cstheme="minorHAnsi"/>
                <w:i/>
                <w:iCs/>
                <w:color w:val="212529"/>
                <w:lang w:eastAsia="lv-LV"/>
              </w:rPr>
              <w:t>vitro</w:t>
            </w:r>
            <w:proofErr w:type="spellEnd"/>
            <w:r w:rsidRPr="0056638F">
              <w:rPr>
                <w:rFonts w:eastAsia="Times New Roman" w:cstheme="minorHAnsi"/>
                <w:color w:val="212529"/>
                <w:lang w:eastAsia="lv-LV"/>
              </w:rPr>
              <w:t> diagnostikas medicīnisko ierīču piegāde, kas ar atbilstošiem ES tiesību aktiem ir atzītas Eiropas Savienībā, un ar šīm ierīcēm cieši saistītu pakalpojumu sniegšana iekšzemē (</w:t>
            </w:r>
            <w:r w:rsidRPr="0056638F">
              <w:rPr>
                <w:rFonts w:eastAsia="Times New Roman" w:cstheme="minorHAnsi"/>
                <w:i/>
                <w:iCs/>
                <w:color w:val="212529"/>
                <w:lang w:eastAsia="lv-LV"/>
              </w:rPr>
              <w:t>piemērojama no 25.12.2020. līdz 31.12.2022.</w:t>
            </w:r>
            <w:r w:rsidRPr="0056638F">
              <w:rPr>
                <w:rFonts w:eastAsia="Times New Roman" w:cstheme="minorHAnsi"/>
                <w:color w:val="212529"/>
                <w:lang w:eastAsia="lv-LV"/>
              </w:rPr>
              <w:t>);</w:t>
            </w:r>
          </w:p>
          <w:p w14:paraId="11DE5FD4" w14:textId="226784B9" w:rsidR="0056638F" w:rsidRPr="0056638F" w:rsidRDefault="0056638F" w:rsidP="0056638F">
            <w:pPr>
              <w:numPr>
                <w:ilvl w:val="0"/>
                <w:numId w:val="1"/>
              </w:numPr>
              <w:shd w:val="clear" w:color="auto" w:fill="FFFFFF"/>
              <w:tabs>
                <w:tab w:val="clear" w:pos="720"/>
                <w:tab w:val="num" w:pos="490"/>
              </w:tabs>
              <w:spacing w:before="120" w:after="120"/>
              <w:ind w:left="487" w:hanging="425"/>
              <w:jc w:val="both"/>
              <w:rPr>
                <w:rFonts w:cstheme="minorHAnsi"/>
                <w:color w:val="212529"/>
              </w:rPr>
            </w:pPr>
            <w:r w:rsidRPr="0056638F">
              <w:rPr>
                <w:rFonts w:cstheme="minorHAnsi"/>
                <w:color w:val="212529"/>
              </w:rPr>
              <w:t xml:space="preserve">imports precēm, </w:t>
            </w:r>
            <w:r w:rsidRPr="0056638F">
              <w:rPr>
                <w:rFonts w:eastAsia="Times New Roman" w:cstheme="minorHAnsi"/>
                <w:color w:val="212529"/>
                <w:lang w:eastAsia="lv-LV"/>
              </w:rPr>
              <w:t>kas</w:t>
            </w:r>
            <w:r w:rsidRPr="0056638F">
              <w:rPr>
                <w:rFonts w:cstheme="minorHAnsi"/>
                <w:color w:val="212529"/>
              </w:rPr>
              <w:t xml:space="preserve"> nepieciešamas Covid-19 uzliesmojuma seku apkarošanai (</w:t>
            </w:r>
            <w:r w:rsidRPr="0056638F">
              <w:rPr>
                <w:rStyle w:val="Emphasis"/>
                <w:rFonts w:cstheme="minorHAnsi"/>
                <w:color w:val="212529"/>
              </w:rPr>
              <w:t>piemērojama no 01.01.2022. līdz 30.06.2022. saskaņā ar </w:t>
            </w:r>
            <w:hyperlink r:id="rId5" w:history="1">
              <w:r w:rsidRPr="0056638F">
                <w:rPr>
                  <w:rStyle w:val="Hyperlink"/>
                  <w:rFonts w:cstheme="minorHAnsi"/>
                  <w:i/>
                  <w:iCs/>
                </w:rPr>
                <w:t>Eiropas K</w:t>
              </w:r>
              <w:r w:rsidRPr="0056638F">
                <w:rPr>
                  <w:rStyle w:val="Hyperlink"/>
                  <w:rFonts w:cstheme="minorHAnsi"/>
                  <w:i/>
                  <w:iCs/>
                </w:rPr>
                <w:t>o</w:t>
              </w:r>
              <w:r w:rsidRPr="0056638F">
                <w:rPr>
                  <w:rStyle w:val="Hyperlink"/>
                  <w:rFonts w:cstheme="minorHAnsi"/>
                  <w:i/>
                  <w:iCs/>
                </w:rPr>
                <w:t>misijas lēmumu</w:t>
              </w:r>
            </w:hyperlink>
            <w:r w:rsidRPr="0056638F">
              <w:rPr>
                <w:rStyle w:val="Emphasis"/>
                <w:rFonts w:cstheme="minorHAnsi"/>
                <w:color w:val="212529"/>
              </w:rPr>
              <w:t>, no 01.07.2022. līdz 31.12.2022. saskaņā ar </w:t>
            </w:r>
            <w:hyperlink r:id="rId6" w:history="1">
              <w:r w:rsidRPr="0056638F">
                <w:rPr>
                  <w:rStyle w:val="Hyperlink"/>
                  <w:rFonts w:cstheme="minorHAnsi"/>
                  <w:i/>
                  <w:iCs/>
                </w:rPr>
                <w:t>Eiropas Kom</w:t>
              </w:r>
              <w:r w:rsidRPr="0056638F">
                <w:rPr>
                  <w:rStyle w:val="Hyperlink"/>
                  <w:rFonts w:cstheme="minorHAnsi"/>
                  <w:i/>
                  <w:iCs/>
                </w:rPr>
                <w:t>i</w:t>
              </w:r>
              <w:r w:rsidRPr="0056638F">
                <w:rPr>
                  <w:rStyle w:val="Hyperlink"/>
                  <w:rFonts w:cstheme="minorHAnsi"/>
                  <w:i/>
                  <w:iCs/>
                </w:rPr>
                <w:t>sijas lēmumu</w:t>
              </w:r>
            </w:hyperlink>
            <w:r w:rsidRPr="0056638F">
              <w:rPr>
                <w:rFonts w:cstheme="minorHAnsi"/>
                <w:color w:val="212529"/>
              </w:rPr>
              <w:t>).</w:t>
            </w:r>
          </w:p>
        </w:tc>
      </w:tr>
    </w:tbl>
    <w:p w14:paraId="498589C6" w14:textId="77777777" w:rsidR="0060676D" w:rsidRDefault="0060676D"/>
    <w:sectPr w:rsidR="006067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D22"/>
    <w:multiLevelType w:val="multilevel"/>
    <w:tmpl w:val="E442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A00C7"/>
    <w:multiLevelType w:val="multilevel"/>
    <w:tmpl w:val="081A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B3D96"/>
    <w:multiLevelType w:val="hybridMultilevel"/>
    <w:tmpl w:val="D27EE6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FFC4F38"/>
    <w:multiLevelType w:val="multilevel"/>
    <w:tmpl w:val="A11A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73126A"/>
    <w:multiLevelType w:val="multilevel"/>
    <w:tmpl w:val="5946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3C42AF"/>
    <w:multiLevelType w:val="multilevel"/>
    <w:tmpl w:val="EDD6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34771E"/>
    <w:multiLevelType w:val="multilevel"/>
    <w:tmpl w:val="0202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832862">
    <w:abstractNumId w:val="0"/>
  </w:num>
  <w:num w:numId="2" w16cid:durableId="478116408">
    <w:abstractNumId w:val="2"/>
  </w:num>
  <w:num w:numId="3" w16cid:durableId="1149131339">
    <w:abstractNumId w:val="1"/>
  </w:num>
  <w:num w:numId="4" w16cid:durableId="167410955">
    <w:abstractNumId w:val="3"/>
  </w:num>
  <w:num w:numId="5" w16cid:durableId="306933614">
    <w:abstractNumId w:val="4"/>
  </w:num>
  <w:num w:numId="6" w16cid:durableId="280377240">
    <w:abstractNumId w:val="6"/>
  </w:num>
  <w:num w:numId="7" w16cid:durableId="684484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76D"/>
    <w:rsid w:val="001A463D"/>
    <w:rsid w:val="0056638F"/>
    <w:rsid w:val="0060676D"/>
    <w:rsid w:val="00C26000"/>
    <w:rsid w:val="00C537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30F6"/>
  <w15:chartTrackingRefBased/>
  <w15:docId w15:val="{43F7C8E0-0C01-43FC-9B6A-DA95FA39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76D"/>
    <w:rPr>
      <w:color w:val="0563C1" w:themeColor="hyperlink"/>
      <w:u w:val="single"/>
    </w:rPr>
  </w:style>
  <w:style w:type="table" w:customStyle="1" w:styleId="TableGrid1">
    <w:name w:val="Table Grid1"/>
    <w:basedOn w:val="TableNormal"/>
    <w:next w:val="TableGrid"/>
    <w:uiPriority w:val="39"/>
    <w:rsid w:val="00606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6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6638F"/>
    <w:rPr>
      <w:i/>
      <w:iCs/>
    </w:rPr>
  </w:style>
  <w:style w:type="character" w:styleId="FollowedHyperlink">
    <w:name w:val="FollowedHyperlink"/>
    <w:basedOn w:val="DefaultParagraphFont"/>
    <w:uiPriority w:val="99"/>
    <w:semiHidden/>
    <w:unhideWhenUsed/>
    <w:rsid w:val="0056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10">
      <w:bodyDiv w:val="1"/>
      <w:marLeft w:val="0"/>
      <w:marRight w:val="0"/>
      <w:marTop w:val="0"/>
      <w:marBottom w:val="0"/>
      <w:divBdr>
        <w:top w:val="none" w:sz="0" w:space="0" w:color="auto"/>
        <w:left w:val="none" w:sz="0" w:space="0" w:color="auto"/>
        <w:bottom w:val="none" w:sz="0" w:space="0" w:color="auto"/>
        <w:right w:val="none" w:sz="0" w:space="0" w:color="auto"/>
      </w:divBdr>
    </w:div>
    <w:div w:id="5988793">
      <w:bodyDiv w:val="1"/>
      <w:marLeft w:val="0"/>
      <w:marRight w:val="0"/>
      <w:marTop w:val="0"/>
      <w:marBottom w:val="0"/>
      <w:divBdr>
        <w:top w:val="none" w:sz="0" w:space="0" w:color="auto"/>
        <w:left w:val="none" w:sz="0" w:space="0" w:color="auto"/>
        <w:bottom w:val="none" w:sz="0" w:space="0" w:color="auto"/>
        <w:right w:val="none" w:sz="0" w:space="0" w:color="auto"/>
      </w:divBdr>
    </w:div>
    <w:div w:id="755176944">
      <w:bodyDiv w:val="1"/>
      <w:marLeft w:val="0"/>
      <w:marRight w:val="0"/>
      <w:marTop w:val="0"/>
      <w:marBottom w:val="0"/>
      <w:divBdr>
        <w:top w:val="none" w:sz="0" w:space="0" w:color="auto"/>
        <w:left w:val="none" w:sz="0" w:space="0" w:color="auto"/>
        <w:bottom w:val="none" w:sz="0" w:space="0" w:color="auto"/>
        <w:right w:val="none" w:sz="0" w:space="0" w:color="auto"/>
      </w:divBdr>
    </w:div>
    <w:div w:id="1907573486">
      <w:bodyDiv w:val="1"/>
      <w:marLeft w:val="0"/>
      <w:marRight w:val="0"/>
      <w:marTop w:val="0"/>
      <w:marBottom w:val="0"/>
      <w:divBdr>
        <w:top w:val="none" w:sz="0" w:space="0" w:color="auto"/>
        <w:left w:val="none" w:sz="0" w:space="0" w:color="auto"/>
        <w:bottom w:val="none" w:sz="0" w:space="0" w:color="auto"/>
        <w:right w:val="none" w:sz="0" w:space="0" w:color="auto"/>
      </w:divBdr>
    </w:div>
    <w:div w:id="21357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LV/TXT/?uri=CELEX:32022D1511" TargetMode="External"/><Relationship Id="rId5" Type="http://schemas.openxmlformats.org/officeDocument/2006/relationships/hyperlink" Target="https://eur-lex.europa.eu/legal-content/LV/TXT/?uri=CELEX:32021D23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4717</Words>
  <Characters>2689</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Kuhaļska</dc:creator>
  <cp:keywords/>
  <dc:description/>
  <cp:lastModifiedBy>Jeļena Kuhaļska</cp:lastModifiedBy>
  <cp:revision>2</cp:revision>
  <dcterms:created xsi:type="dcterms:W3CDTF">2021-12-23T12:14:00Z</dcterms:created>
  <dcterms:modified xsi:type="dcterms:W3CDTF">2023-01-16T15:34:00Z</dcterms:modified>
</cp:coreProperties>
</file>