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96176" w14:textId="591D231A" w:rsidR="007E09FD" w:rsidRDefault="00D20A06" w:rsidP="008211E6">
      <w:pPr>
        <w:rPr>
          <w:noProof/>
        </w:rPr>
      </w:pPr>
      <w:r>
        <w:rPr>
          <w:noProof/>
        </w:rPr>
        <w:drawing>
          <wp:inline distT="0" distB="0" distL="0" distR="0" wp14:anchorId="16CB8194" wp14:editId="6FBA4CB1">
            <wp:extent cx="6132830" cy="4011295"/>
            <wp:effectExtent l="0" t="0" r="1270" b="8255"/>
            <wp:docPr id="8824815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F2DCDC" w14:textId="28B4CD4A" w:rsidR="0067030D" w:rsidRDefault="0067030D" w:rsidP="00DD6492">
      <w:pPr>
        <w:ind w:left="-1418"/>
        <w:rPr>
          <w:noProof/>
        </w:rPr>
      </w:pPr>
    </w:p>
    <w:p w14:paraId="4180C421" w14:textId="5FEDA1C9" w:rsidR="00DD6492" w:rsidRDefault="00753E4D" w:rsidP="00753E4D">
      <w:pPr>
        <w:pStyle w:val="Footer"/>
        <w:jc w:val="right"/>
      </w:pPr>
      <w:r>
        <w:tab/>
      </w:r>
    </w:p>
    <w:p w14:paraId="46F9DD7B" w14:textId="1F9A5012" w:rsidR="00753E4D" w:rsidRPr="00753E4D" w:rsidRDefault="00F824B9" w:rsidP="00BD4272">
      <w:pPr>
        <w:tabs>
          <w:tab w:val="left" w:pos="7635"/>
        </w:tabs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72F43655" wp14:editId="420D9F05">
            <wp:extent cx="6120765" cy="3999230"/>
            <wp:effectExtent l="0" t="0" r="0" b="1270"/>
            <wp:docPr id="6424319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9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4ADBDE" w14:textId="1BF3A199" w:rsidR="00753E4D" w:rsidRDefault="00753E4D" w:rsidP="00753E4D"/>
    <w:p w14:paraId="45C3178C" w14:textId="77777777" w:rsidR="003F5B69" w:rsidRPr="003F5B69" w:rsidRDefault="003F5B69" w:rsidP="003F5B69">
      <w:pPr>
        <w:jc w:val="center"/>
      </w:pPr>
    </w:p>
    <w:p w14:paraId="58889379" w14:textId="214FCC03" w:rsidR="00D4695D" w:rsidRDefault="00880401" w:rsidP="0067030D">
      <w:pPr>
        <w:pStyle w:val="Footer"/>
        <w:jc w:val="right"/>
      </w:pPr>
      <w:r>
        <w:rPr>
          <w:noProof/>
        </w:rPr>
        <w:lastRenderedPageBreak/>
        <w:drawing>
          <wp:inline distT="0" distB="0" distL="0" distR="0" wp14:anchorId="0D5240EC" wp14:editId="5C7DD502">
            <wp:extent cx="6120130" cy="3999865"/>
            <wp:effectExtent l="0" t="0" r="13970" b="635"/>
            <wp:docPr id="117547251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F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53E4D">
        <w:tab/>
      </w:r>
    </w:p>
    <w:p w14:paraId="1FA9F547" w14:textId="3C85BD38" w:rsidR="00753E4D" w:rsidRPr="00753E4D" w:rsidRDefault="00753E4D" w:rsidP="00E40171">
      <w:pPr>
        <w:pStyle w:val="Footer"/>
        <w:jc w:val="right"/>
      </w:pPr>
    </w:p>
    <w:p w14:paraId="49DCDD8E" w14:textId="5B126C46" w:rsidR="00753E4D" w:rsidRPr="00753E4D" w:rsidRDefault="00753E4D" w:rsidP="00753E4D"/>
    <w:p w14:paraId="7B150593" w14:textId="0FA4CF04" w:rsidR="00753E4D" w:rsidRPr="00753E4D" w:rsidRDefault="00880401" w:rsidP="00753E4D">
      <w:r>
        <w:rPr>
          <w:noProof/>
        </w:rPr>
        <w:drawing>
          <wp:inline distT="0" distB="0" distL="0" distR="0" wp14:anchorId="40A69176" wp14:editId="63A48AA1">
            <wp:extent cx="6120130" cy="3996690"/>
            <wp:effectExtent l="0" t="0" r="13970" b="3810"/>
            <wp:docPr id="115503545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94DEFC5" w14:textId="58F8AF05" w:rsidR="00753E4D" w:rsidRPr="00753E4D" w:rsidRDefault="00236B54" w:rsidP="00753E4D">
      <w:r w:rsidRPr="00236B54">
        <w:rPr>
          <w:noProof/>
          <w:sz w:val="18"/>
          <w:szCs w:val="18"/>
        </w:rPr>
        <w:lastRenderedPageBreak/>
        <w:drawing>
          <wp:inline distT="0" distB="0" distL="0" distR="0" wp14:anchorId="575F2C48" wp14:editId="344723E1">
            <wp:extent cx="6120130" cy="3997325"/>
            <wp:effectExtent l="0" t="0" r="13970" b="3175"/>
            <wp:docPr id="23243620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941F3DA" w14:textId="2234E19E" w:rsidR="00753E4D" w:rsidRPr="00753E4D" w:rsidRDefault="00753E4D" w:rsidP="00753E4D"/>
    <w:p w14:paraId="61C021B2" w14:textId="22D98574" w:rsidR="00753E4D" w:rsidRPr="00753E4D" w:rsidRDefault="00753E4D" w:rsidP="00753E4D"/>
    <w:p w14:paraId="0DE17A2D" w14:textId="1E18CB52" w:rsidR="00753E4D" w:rsidRPr="00753E4D" w:rsidRDefault="00753E4D" w:rsidP="00753E4D"/>
    <w:p w14:paraId="383CBA64" w14:textId="0CC7719D" w:rsidR="00753E4D" w:rsidRPr="00753E4D" w:rsidRDefault="00753E4D" w:rsidP="00753E4D"/>
    <w:p w14:paraId="5A5E3AFF" w14:textId="6C0A33DB" w:rsidR="00753E4D" w:rsidRPr="00753E4D" w:rsidRDefault="00753E4D" w:rsidP="00753E4D"/>
    <w:p w14:paraId="5E7455FD" w14:textId="3013A773" w:rsidR="00753E4D" w:rsidRPr="00753E4D" w:rsidRDefault="00753E4D" w:rsidP="00753E4D"/>
    <w:p w14:paraId="7D0BA6C3" w14:textId="43098BB0" w:rsidR="00753E4D" w:rsidRPr="00753E4D" w:rsidRDefault="00753E4D" w:rsidP="00753E4D"/>
    <w:p w14:paraId="6040BAB9" w14:textId="2E48389B" w:rsidR="00753E4D" w:rsidRPr="00753E4D" w:rsidRDefault="00753E4D" w:rsidP="00753E4D"/>
    <w:p w14:paraId="23B04D47" w14:textId="3D9174C2" w:rsidR="00753E4D" w:rsidRPr="00753E4D" w:rsidRDefault="00753E4D" w:rsidP="00753E4D"/>
    <w:p w14:paraId="103919C3" w14:textId="799DF4CD" w:rsidR="00753E4D" w:rsidRPr="00753E4D" w:rsidRDefault="00753E4D" w:rsidP="00753E4D"/>
    <w:p w14:paraId="55DC6C1D" w14:textId="286A46BE" w:rsidR="00DD6492" w:rsidRDefault="00DD6492" w:rsidP="00E40171">
      <w:pPr>
        <w:pStyle w:val="Footer"/>
      </w:pPr>
    </w:p>
    <w:sectPr w:rsidR="00DD6492" w:rsidSect="009E2007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42495" w14:textId="77777777" w:rsidR="00B3723B" w:rsidRDefault="00B3723B" w:rsidP="00753E4D">
      <w:pPr>
        <w:spacing w:after="0" w:line="240" w:lineRule="auto"/>
      </w:pPr>
      <w:r>
        <w:separator/>
      </w:r>
    </w:p>
  </w:endnote>
  <w:endnote w:type="continuationSeparator" w:id="0">
    <w:p w14:paraId="03790584" w14:textId="77777777" w:rsidR="00B3723B" w:rsidRDefault="00B3723B" w:rsidP="0075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2CE8" w14:textId="27436587" w:rsidR="00E40171" w:rsidRPr="004E06FB" w:rsidRDefault="00E40171" w:rsidP="00E40171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r w:rsidRPr="004E06FB">
      <w:rPr>
        <w:rFonts w:ascii="Times New Roman" w:hAnsi="Times New Roman" w:cs="Times New Roman"/>
        <w:i/>
        <w:sz w:val="20"/>
        <w:szCs w:val="20"/>
      </w:rPr>
      <w:t xml:space="preserve">Informācijas avots: Valsts kasē iesniegtie </w:t>
    </w:r>
    <w:r>
      <w:rPr>
        <w:rFonts w:ascii="Times New Roman" w:hAnsi="Times New Roman" w:cs="Times New Roman"/>
        <w:i/>
        <w:sz w:val="20"/>
        <w:szCs w:val="20"/>
      </w:rPr>
      <w:t xml:space="preserve">pašvaldību mēneša pārskati uz </w:t>
    </w:r>
    <w:r w:rsidR="003F5B69">
      <w:rPr>
        <w:rFonts w:ascii="Times New Roman" w:hAnsi="Times New Roman" w:cs="Times New Roman"/>
        <w:i/>
        <w:sz w:val="20"/>
        <w:szCs w:val="20"/>
      </w:rPr>
      <w:t>3</w:t>
    </w:r>
    <w:r w:rsidR="00F824B9">
      <w:rPr>
        <w:rFonts w:ascii="Times New Roman" w:hAnsi="Times New Roman" w:cs="Times New Roman"/>
        <w:i/>
        <w:sz w:val="20"/>
        <w:szCs w:val="20"/>
      </w:rPr>
      <w:t>0.06</w:t>
    </w:r>
    <w:r>
      <w:rPr>
        <w:rFonts w:ascii="Times New Roman" w:hAnsi="Times New Roman" w:cs="Times New Roman"/>
        <w:i/>
        <w:sz w:val="20"/>
        <w:szCs w:val="20"/>
      </w:rPr>
      <w:t>.</w:t>
    </w:r>
    <w:r w:rsidRPr="004E06FB">
      <w:rPr>
        <w:rFonts w:ascii="Times New Roman" w:hAnsi="Times New Roman" w:cs="Times New Roman"/>
        <w:i/>
        <w:sz w:val="20"/>
        <w:szCs w:val="20"/>
      </w:rPr>
      <w:t>20</w:t>
    </w:r>
    <w:r>
      <w:rPr>
        <w:rFonts w:ascii="Times New Roman" w:hAnsi="Times New Roman" w:cs="Times New Roman"/>
        <w:i/>
        <w:sz w:val="20"/>
        <w:szCs w:val="20"/>
      </w:rPr>
      <w:t>2</w:t>
    </w:r>
    <w:r w:rsidR="0035713F">
      <w:rPr>
        <w:rFonts w:ascii="Times New Roman" w:hAnsi="Times New Roman" w:cs="Times New Roman"/>
        <w:i/>
        <w:sz w:val="20"/>
        <w:szCs w:val="20"/>
      </w:rPr>
      <w:t>4</w:t>
    </w:r>
    <w:r>
      <w:rPr>
        <w:rFonts w:ascii="Times New Roman" w:hAnsi="Times New Roman" w:cs="Times New Roman"/>
        <w:i/>
        <w:sz w:val="20"/>
        <w:szCs w:val="20"/>
      </w:rPr>
      <w:t>.</w:t>
    </w:r>
  </w:p>
  <w:p w14:paraId="31C5300B" w14:textId="02B185F8" w:rsidR="00E40171" w:rsidRDefault="00E40171" w:rsidP="00E40171">
    <w:pPr>
      <w:pStyle w:val="Footer"/>
      <w:jc w:val="right"/>
    </w:pPr>
    <w:r w:rsidRPr="004E06FB">
      <w:rPr>
        <w:rFonts w:ascii="Times New Roman" w:hAnsi="Times New Roman" w:cs="Times New Roman"/>
        <w:i/>
        <w:sz w:val="20"/>
        <w:szCs w:val="20"/>
      </w:rPr>
      <w:t xml:space="preserve">           </w:t>
    </w:r>
    <w:hyperlink r:id="rId1" w:history="1">
      <w:r w:rsidRPr="00E97B25">
        <w:rPr>
          <w:rStyle w:val="Hyperlink"/>
          <w:rFonts w:ascii="Times New Roman" w:hAnsi="Times New Roman" w:cs="Times New Roman"/>
          <w:i/>
          <w:sz w:val="20"/>
          <w:szCs w:val="20"/>
        </w:rPr>
        <w:t>https://www.fm.gov.lv/lv/pasvaldibu-finansu-raditaju-analize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E74A1" w14:textId="77777777" w:rsidR="00B3723B" w:rsidRDefault="00B3723B" w:rsidP="00753E4D">
      <w:pPr>
        <w:spacing w:after="0" w:line="240" w:lineRule="auto"/>
      </w:pPr>
      <w:r>
        <w:separator/>
      </w:r>
    </w:p>
  </w:footnote>
  <w:footnote w:type="continuationSeparator" w:id="0">
    <w:p w14:paraId="44F177DF" w14:textId="77777777" w:rsidR="00B3723B" w:rsidRDefault="00B3723B" w:rsidP="00753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4D"/>
    <w:rsid w:val="000E4AF6"/>
    <w:rsid w:val="00154B9C"/>
    <w:rsid w:val="001759B2"/>
    <w:rsid w:val="00197EE3"/>
    <w:rsid w:val="00212AD5"/>
    <w:rsid w:val="00213567"/>
    <w:rsid w:val="00236B54"/>
    <w:rsid w:val="002F6CDC"/>
    <w:rsid w:val="0035713F"/>
    <w:rsid w:val="003E377C"/>
    <w:rsid w:val="003F5B69"/>
    <w:rsid w:val="00423CB8"/>
    <w:rsid w:val="00487AE7"/>
    <w:rsid w:val="004B614D"/>
    <w:rsid w:val="004E5357"/>
    <w:rsid w:val="00521A43"/>
    <w:rsid w:val="005B7F4B"/>
    <w:rsid w:val="005C0597"/>
    <w:rsid w:val="0067030D"/>
    <w:rsid w:val="006B65F1"/>
    <w:rsid w:val="006C5BAD"/>
    <w:rsid w:val="006F3042"/>
    <w:rsid w:val="00702EDD"/>
    <w:rsid w:val="00720724"/>
    <w:rsid w:val="007463D8"/>
    <w:rsid w:val="00753E4D"/>
    <w:rsid w:val="007D0122"/>
    <w:rsid w:val="007E09FD"/>
    <w:rsid w:val="007E5F53"/>
    <w:rsid w:val="008211E6"/>
    <w:rsid w:val="008314F4"/>
    <w:rsid w:val="00880401"/>
    <w:rsid w:val="008D0304"/>
    <w:rsid w:val="008F39B8"/>
    <w:rsid w:val="0099148E"/>
    <w:rsid w:val="009C26B8"/>
    <w:rsid w:val="009E2007"/>
    <w:rsid w:val="00A671DC"/>
    <w:rsid w:val="00AC1656"/>
    <w:rsid w:val="00AC5091"/>
    <w:rsid w:val="00AE185D"/>
    <w:rsid w:val="00AF6342"/>
    <w:rsid w:val="00B3723B"/>
    <w:rsid w:val="00B5491D"/>
    <w:rsid w:val="00BD4272"/>
    <w:rsid w:val="00BF528F"/>
    <w:rsid w:val="00C209E1"/>
    <w:rsid w:val="00C51A6B"/>
    <w:rsid w:val="00D20A06"/>
    <w:rsid w:val="00D4695D"/>
    <w:rsid w:val="00D85106"/>
    <w:rsid w:val="00DC2C3F"/>
    <w:rsid w:val="00DD6492"/>
    <w:rsid w:val="00E25F83"/>
    <w:rsid w:val="00E40171"/>
    <w:rsid w:val="00ED1EA8"/>
    <w:rsid w:val="00F606F8"/>
    <w:rsid w:val="00F824B9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83E186B"/>
  <w15:chartTrackingRefBased/>
  <w15:docId w15:val="{5B2E05A4-1449-45A3-AF62-73125018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E4D"/>
  </w:style>
  <w:style w:type="paragraph" w:styleId="Footer">
    <w:name w:val="footer"/>
    <w:basedOn w:val="Normal"/>
    <w:link w:val="FooterChar"/>
    <w:uiPriority w:val="99"/>
    <w:unhideWhenUsed/>
    <w:rsid w:val="00753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E4D"/>
  </w:style>
  <w:style w:type="character" w:styleId="Hyperlink">
    <w:name w:val="Hyperlink"/>
    <w:basedOn w:val="DefaultParagraphFont"/>
    <w:uiPriority w:val="99"/>
    <w:unhideWhenUsed/>
    <w:rsid w:val="00753E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m.gov.lv/lv/pasvaldibu-finansu-raditaju-analize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k\pfd\Datu%20b&#257;zes\2024\6_J&#363;nijs_2024\GG%20tabulas\Pa&#353;vald&#299;bu%20bilances%20dati%202007-2024%20%20konsol_6_MEN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k\pfd\Datu%20b&#257;zes\2024\6_J&#363;nijs_2024\GG%20tabulas\Pa&#353;vald&#299;bu%20bilances%20dati%202007-2024%20%20konsol_6_MEN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k\pfd\Datu%20b&#257;zes\2024\6_J&#363;nijs_2024\Saist&#299;bas_2024_06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lv-LV" sz="1200">
                <a:latin typeface="Times New Roman" panose="02020603050405020304" pitchFamily="18" charset="0"/>
                <a:cs typeface="Times New Roman" panose="02020603050405020304" pitchFamily="18" charset="0"/>
              </a:rPr>
              <a:t>Pašvaldību kopbudžeta faktiskie izdevumi sadalījumā pa funkcijām uz 30.06.2024., </a:t>
            </a:r>
            <a:r>
              <a:rPr lang="lv-LV" sz="1200" b="0" i="1">
                <a:latin typeface="Times New Roman" panose="02020603050405020304" pitchFamily="18" charset="0"/>
                <a:cs typeface="Times New Roman" panose="02020603050405020304" pitchFamily="18" charset="0"/>
              </a:rPr>
              <a:t>% no izdevumiem kopā*</a:t>
            </a:r>
          </a:p>
        </c:rich>
      </c:tx>
      <c:layout>
        <c:manualLayout>
          <c:xMode val="edge"/>
          <c:yMode val="edge"/>
          <c:x val="0.12889334050093706"/>
          <c:y val="3.719125520486317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7366853887291411E-2"/>
          <c:y val="0.33320778766883907"/>
          <c:w val="0.71248919371260788"/>
          <c:h val="0.508900682085585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3D75-4773-91FE-89DF42410D0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3D75-4773-91FE-89DF42410D0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3D75-4773-91FE-89DF42410D0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3D75-4773-91FE-89DF42410D08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3D75-4773-91FE-89DF42410D08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3D75-4773-91FE-89DF42410D08}"/>
              </c:ext>
            </c:extLst>
          </c:dPt>
          <c:dPt>
            <c:idx val="6"/>
            <c:bubble3D val="0"/>
            <c:spPr>
              <a:solidFill>
                <a:srgbClr val="FF33CC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3D75-4773-91FE-89DF42410D08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3D75-4773-91FE-89DF42410D08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3D75-4773-91FE-89DF42410D08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3-3D75-4773-91FE-89DF42410D08}"/>
              </c:ext>
            </c:extLst>
          </c:dPt>
          <c:dLbls>
            <c:dLbl>
              <c:idx val="0"/>
              <c:layout>
                <c:manualLayout>
                  <c:x val="-3.8610639292058539E-2"/>
                  <c:y val="-4.60991419361603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75-4773-91FE-89DF42410D08}"/>
                </c:ext>
              </c:extLst>
            </c:dLbl>
            <c:dLbl>
              <c:idx val="1"/>
              <c:layout>
                <c:manualLayout>
                  <c:x val="8.3910912965028478E-2"/>
                  <c:y val="-8.946618780090627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75-4773-91FE-89DF42410D08}"/>
                </c:ext>
              </c:extLst>
            </c:dLbl>
            <c:dLbl>
              <c:idx val="2"/>
              <c:layout>
                <c:manualLayout>
                  <c:x val="9.6180963476266021E-2"/>
                  <c:y val="7.160241658155904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D75-4773-91FE-89DF42410D08}"/>
                </c:ext>
              </c:extLst>
            </c:dLbl>
            <c:dLbl>
              <c:idx val="3"/>
              <c:layout>
                <c:manualLayout>
                  <c:x val="5.0743284864863979E-2"/>
                  <c:y val="4.26526895282715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D75-4773-91FE-89DF42410D08}"/>
                </c:ext>
              </c:extLst>
            </c:dLbl>
            <c:dLbl>
              <c:idx val="4"/>
              <c:layout>
                <c:manualLayout>
                  <c:x val="4.7464799574922036E-2"/>
                  <c:y val="2.3777038047705949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D75-4773-91FE-89DF42410D08}"/>
                </c:ext>
              </c:extLst>
            </c:dLbl>
            <c:dLbl>
              <c:idx val="5"/>
              <c:layout>
                <c:manualLayout>
                  <c:x val="6.9283859315707907E-2"/>
                  <c:y val="5.042756694483085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D75-4773-91FE-89DF42410D08}"/>
                </c:ext>
              </c:extLst>
            </c:dLbl>
            <c:dLbl>
              <c:idx val="6"/>
              <c:layout>
                <c:manualLayout>
                  <c:x val="1.9036742966957326E-2"/>
                  <c:y val="1.678647363892711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D75-4773-91FE-89DF42410D08}"/>
                </c:ext>
              </c:extLst>
            </c:dLbl>
            <c:dLbl>
              <c:idx val="7"/>
              <c:layout>
                <c:manualLayout>
                  <c:x val="-0.10050186638213456"/>
                  <c:y val="6.9177107082594461E-2"/>
                </c:manualLayout>
              </c:layout>
              <c:tx>
                <c:rich>
                  <a:bodyPr/>
                  <a:lstStyle/>
                  <a:p>
                    <a:fld id="{49D219F9-94AB-41ED-BAB5-74570A71BC7A}" type="CATEGORYNAME">
                      <a:rPr lang="lv-LV"/>
                      <a:pPr/>
                      <a:t>[CATEGORY NAME]</a:t>
                    </a:fld>
                    <a:r>
                      <a:rPr lang="lv-LV" baseline="0"/>
                      <a:t>
</a:t>
                    </a:r>
                    <a:fld id="{1A7443CD-1738-4AE1-AC85-D131FDCBD0CB}" type="VALUE">
                      <a:rPr lang="lv-LV" baseline="0"/>
                      <a:pPr/>
                      <a:t>[VALUE]</a:t>
                    </a:fld>
                    <a:endParaRPr lang="lv-LV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3D75-4773-91FE-89DF42410D08}"/>
                </c:ext>
              </c:extLst>
            </c:dLbl>
            <c:dLbl>
              <c:idx val="8"/>
              <c:layout>
                <c:manualLayout>
                  <c:x val="0.18339007282792721"/>
                  <c:y val="-0.14186336629592328"/>
                </c:manualLayout>
              </c:layout>
              <c:tx>
                <c:rich>
                  <a:bodyPr/>
                  <a:lstStyle/>
                  <a:p>
                    <a:fld id="{7A4B2047-83D2-4F55-B57B-DE5C9E497440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4465BDEB-32BB-4265-B735-282CEA6FFC80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929692832764507"/>
                      <c:h val="0.1397180156657963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3D75-4773-91FE-89DF42410D08}"/>
                </c:ext>
              </c:extLst>
            </c:dLbl>
            <c:dLbl>
              <c:idx val="9"/>
              <c:layout>
                <c:manualLayout>
                  <c:x val="2.16311205754465E-2"/>
                  <c:y val="-3.831354053347146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D75-4773-91FE-89DF42410D0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ysClr val="windowText" lastClr="000000"/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'Izdevumi pēc funkcijām '!$B$3:$B$12</c:f>
              <c:strCache>
                <c:ptCount val="10"/>
                <c:pt idx="0">
                  <c:v>Vispārējie valdības dienesti</c:v>
                </c:pt>
                <c:pt idx="1">
                  <c:v>Aizsardzība</c:v>
                </c:pt>
                <c:pt idx="2">
                  <c:v>Sabiedriskā kārtība un drošība</c:v>
                </c:pt>
                <c:pt idx="3">
                  <c:v>Ekonomiskā darbība</c:v>
                </c:pt>
                <c:pt idx="4">
                  <c:v>Vides aizsardzība</c:v>
                </c:pt>
                <c:pt idx="5">
                  <c:v>Teritoriju un mājokļu apsaimniekošana</c:v>
                </c:pt>
                <c:pt idx="6">
                  <c:v>Veselība</c:v>
                </c:pt>
                <c:pt idx="7">
                  <c:v>Atpūta, kultūra un reliģija</c:v>
                </c:pt>
                <c:pt idx="8">
                  <c:v>Izglītība</c:v>
                </c:pt>
                <c:pt idx="9">
                  <c:v>Sociālā aizsardzība</c:v>
                </c:pt>
              </c:strCache>
            </c:strRef>
          </c:cat>
          <c:val>
            <c:numRef>
              <c:f>'Izdevumi pēc funkcijām '!$J$3:$J$12</c:f>
              <c:numCache>
                <c:formatCode>#\ ##0.0</c:formatCode>
                <c:ptCount val="10"/>
                <c:pt idx="0">
                  <c:v>13.304700689522194</c:v>
                </c:pt>
                <c:pt idx="1">
                  <c:v>1.9210408766548746E-4</c:v>
                </c:pt>
                <c:pt idx="2">
                  <c:v>1.5800861422587087</c:v>
                </c:pt>
                <c:pt idx="3">
                  <c:v>10.65929993093866</c:v>
                </c:pt>
                <c:pt idx="4">
                  <c:v>0.88617035265202138</c:v>
                </c:pt>
                <c:pt idx="5">
                  <c:v>7.5295063674263742</c:v>
                </c:pt>
                <c:pt idx="6">
                  <c:v>0.41722538609605575</c:v>
                </c:pt>
                <c:pt idx="7">
                  <c:v>6.0643050647607994</c:v>
                </c:pt>
                <c:pt idx="8">
                  <c:v>46.93259879455524</c:v>
                </c:pt>
                <c:pt idx="9">
                  <c:v>12.625915167702285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3D75-4773-91FE-89DF42410D0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v-LV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v-LV" sz="1200">
                <a:latin typeface="Times New Roman" panose="02020603050405020304" pitchFamily="18" charset="0"/>
                <a:cs typeface="Times New Roman" panose="02020603050405020304" pitchFamily="18" charset="0"/>
              </a:rPr>
              <a:t>Pašvaldību kopbudžeta faktiskie izdevumi uz 30.06.2024., </a:t>
            </a:r>
            <a:r>
              <a:rPr lang="lv-LV" sz="1200" b="0" i="1">
                <a:latin typeface="Times New Roman" panose="02020603050405020304" pitchFamily="18" charset="0"/>
                <a:cs typeface="Times New Roman" panose="02020603050405020304" pitchFamily="18" charset="0"/>
              </a:rPr>
              <a:t>% no </a:t>
            </a:r>
          </a:p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lv-LV" sz="1200" b="0" i="1">
                <a:latin typeface="Times New Roman" panose="02020603050405020304" pitchFamily="18" charset="0"/>
                <a:cs typeface="Times New Roman" panose="02020603050405020304" pitchFamily="18" charset="0"/>
              </a:rPr>
              <a:t>izdevumiem kopā*</a:t>
            </a:r>
          </a:p>
        </c:rich>
      </c:tx>
      <c:layout>
        <c:manualLayout>
          <c:xMode val="edge"/>
          <c:yMode val="edge"/>
          <c:x val="0.1689969003926387"/>
          <c:y val="1.11322119053516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view3D>
      <c:rotX val="30"/>
      <c:rotY val="26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9914145948014788E-2"/>
          <c:y val="0.22907217357804346"/>
          <c:w val="0.81613940933547879"/>
          <c:h val="0.58403883516845423"/>
        </c:manualLayout>
      </c:layout>
      <c:pie3DChart>
        <c:varyColors val="1"/>
        <c:ser>
          <c:idx val="0"/>
          <c:order val="0"/>
          <c:explosion val="4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A5DA-4DF6-A189-B01947B5EF0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A5DA-4DF6-A189-B01947B5EF0B}"/>
              </c:ext>
            </c:extLst>
          </c:dPt>
          <c:dLbls>
            <c:dLbl>
              <c:idx val="0"/>
              <c:layout>
                <c:manualLayout>
                  <c:x val="0.20272642312021044"/>
                  <c:y val="-0.34296932165445432"/>
                </c:manualLayout>
              </c:layout>
              <c:tx>
                <c:rich>
                  <a:bodyPr/>
                  <a:lstStyle/>
                  <a:p>
                    <a:fld id="{423A2DD0-82E3-4A86-B06E-86662F24418C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7A3B42D8-66D7-4729-B189-CA30D01028D2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89180758142937"/>
                      <c:h val="0.1502512107534675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5DA-4DF6-A189-B01947B5EF0B}"/>
                </c:ext>
              </c:extLst>
            </c:dLbl>
            <c:dLbl>
              <c:idx val="1"/>
              <c:layout>
                <c:manualLayout>
                  <c:x val="3.1725595428893021E-2"/>
                  <c:y val="1.6160151305384635E-2"/>
                </c:manualLayout>
              </c:layout>
              <c:tx>
                <c:rich>
                  <a:bodyPr/>
                  <a:lstStyle/>
                  <a:p>
                    <a:fld id="{B6C6CADC-3690-4577-8F14-817E3DCDEA21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19267EAD-3160-4A14-916F-16F8E361831D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840486034435051"/>
                      <c:h val="0.1064738067616156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5DA-4DF6-A189-B01947B5EF0B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chemeClr val="dk1"/>
                  </a:solidFill>
                  <a:prstDash val="solid"/>
                  <a:miter lim="800000"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'Izdevumi '!$B$3:$B$4</c:f>
              <c:strCache>
                <c:ptCount val="2"/>
                <c:pt idx="0">
                  <c:v>Uzturēšanas izdevumi</c:v>
                </c:pt>
                <c:pt idx="1">
                  <c:v>Kapitālie izdevumi</c:v>
                </c:pt>
              </c:strCache>
            </c:strRef>
          </c:cat>
          <c:val>
            <c:numRef>
              <c:f>'Izdevumi '!$T$3:$T$4</c:f>
              <c:numCache>
                <c:formatCode>#\ ##0.0</c:formatCode>
                <c:ptCount val="2"/>
                <c:pt idx="0">
                  <c:v>1666.055102</c:v>
                </c:pt>
                <c:pt idx="1">
                  <c:v>124.51876300000001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5DA-4DF6-A189-B01947B5EF0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v-LV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v-LV" sz="1200"/>
              <a:t>Pašvaldību uzņemto saistību apmēri* uz 30.06.2024., </a:t>
            </a:r>
            <a:r>
              <a:rPr lang="lv-LV" sz="1200" b="0" i="1"/>
              <a:t>(%)</a:t>
            </a:r>
          </a:p>
        </c:rich>
      </c:tx>
      <c:layout>
        <c:manualLayout>
          <c:xMode val="edge"/>
          <c:yMode val="edge"/>
          <c:x val="0.20045325834581945"/>
          <c:y val="1.10188688685558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446007315734507"/>
          <c:y val="0.12187658249312346"/>
          <c:w val="0.8360575248630836"/>
          <c:h val="0.6091250278790895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'sagatave grafikam '!$J$4:$J$8</c:f>
              <c:strCache>
                <c:ptCount val="5"/>
                <c:pt idx="0">
                  <c:v>1</c:v>
                </c:pt>
                <c:pt idx="1">
                  <c:v>13</c:v>
                </c:pt>
                <c:pt idx="2">
                  <c:v>21</c:v>
                </c:pt>
                <c:pt idx="3">
                  <c:v>7</c:v>
                </c:pt>
                <c:pt idx="4">
                  <c:v>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AD65-4F66-9527-65011D04C5DD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AD65-4F66-9527-65011D04C5DD}"/>
              </c:ext>
            </c:extLst>
          </c:dPt>
          <c:cat>
            <c:multiLvlStrRef>
              <c:f>'sagatave grafikam '!$I$4:$J$8</c:f>
              <c:multiLvlStrCache>
                <c:ptCount val="5"/>
                <c:lvl>
                  <c:pt idx="0">
                    <c:v>1</c:v>
                  </c:pt>
                  <c:pt idx="1">
                    <c:v>13</c:v>
                  </c:pt>
                  <c:pt idx="2">
                    <c:v>21</c:v>
                  </c:pt>
                  <c:pt idx="3">
                    <c:v>7</c:v>
                  </c:pt>
                  <c:pt idx="4">
                    <c:v>1</c:v>
                  </c:pt>
                </c:lvl>
                <c:lvl>
                  <c:pt idx="0">
                    <c:v>0.1 - 4.99</c:v>
                  </c:pt>
                  <c:pt idx="1">
                    <c:v>5.0 - 9.99</c:v>
                  </c:pt>
                  <c:pt idx="2">
                    <c:v>10.0 - 14.99</c:v>
                  </c:pt>
                  <c:pt idx="3">
                    <c:v>15.0 - 19.99</c:v>
                  </c:pt>
                  <c:pt idx="4">
                    <c:v>virs 20.00</c:v>
                  </c:pt>
                </c:lvl>
              </c:multiLvlStrCache>
            </c:multiLvlStrRef>
          </c:cat>
          <c:val>
            <c:numRef>
              <c:f>'sagatave grafikam '!$J$4:$J$8</c:f>
              <c:numCache>
                <c:formatCode>General</c:formatCode>
                <c:ptCount val="5"/>
                <c:pt idx="0">
                  <c:v>1</c:v>
                </c:pt>
                <c:pt idx="1">
                  <c:v>13</c:v>
                </c:pt>
                <c:pt idx="2">
                  <c:v>21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65-4F66-9527-65011D04C5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6278016"/>
        <c:axId val="56284288"/>
        <c:axId val="57045440"/>
      </c:bar3DChart>
      <c:catAx>
        <c:axId val="562780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lv-LV" sz="900"/>
                  <a:t>Saistību apmērs, %</a:t>
                </a:r>
              </a:p>
            </c:rich>
          </c:tx>
          <c:layout>
            <c:manualLayout>
              <c:xMode val="edge"/>
              <c:yMode val="edge"/>
              <c:x val="0.43410640768806746"/>
              <c:y val="0.7680066652437372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lv-LV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v-LV"/>
          </a:p>
        </c:txPr>
        <c:crossAx val="56284288"/>
        <c:crosses val="autoZero"/>
        <c:auto val="1"/>
        <c:lblAlgn val="ctr"/>
        <c:lblOffset val="100"/>
        <c:noMultiLvlLbl val="0"/>
      </c:catAx>
      <c:valAx>
        <c:axId val="56284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900"/>
                  <a:t>P</a:t>
                </a:r>
                <a:r>
                  <a:rPr lang="lv-LV" sz="900"/>
                  <a:t>ašvaldību skaits</a:t>
                </a:r>
                <a:endParaRPr lang="en-US" sz="900"/>
              </a:p>
            </c:rich>
          </c:tx>
          <c:layout>
            <c:manualLayout>
              <c:xMode val="edge"/>
              <c:yMode val="edge"/>
              <c:x val="3.3877052508555917E-2"/>
              <c:y val="0.3344810978035381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lv-LV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v-LV"/>
          </a:p>
        </c:txPr>
        <c:crossAx val="56278016"/>
        <c:crosses val="autoZero"/>
        <c:crossBetween val="between"/>
      </c:valAx>
      <c:serAx>
        <c:axId val="57045440"/>
        <c:scaling>
          <c:orientation val="minMax"/>
        </c:scaling>
        <c:delete val="1"/>
        <c:axPos val="b"/>
        <c:majorTickMark val="none"/>
        <c:minorTickMark val="none"/>
        <c:tickLblPos val="nextTo"/>
        <c:crossAx val="56284288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lv-LV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0.49025</cdr:x>
      <cdr:y>0.93586</cdr:y>
    </cdr:from>
    <cdr:to>
      <cdr:x>0.99048</cdr:x>
      <cdr:y>0.99636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000375" y="3743326"/>
          <a:ext cx="3061492" cy="2419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lv-LV" sz="900" b="0"/>
            <a:t>* Pašvaldību pamatbudžets un ziedojumi un dāvinājumi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0.52137</cdr:x>
      <cdr:y>0.92601</cdr:y>
    </cdr:from>
    <cdr:to>
      <cdr:x>0.99048</cdr:x>
      <cdr:y>0.99636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190875" y="3700975"/>
          <a:ext cx="2870991" cy="2811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lv-LV" sz="900" b="0"/>
            <a:t>* Pašvaldību pamatbudžets un ziedojumi un dāvinājumi</a:t>
          </a:r>
        </a:p>
        <a:p xmlns:a="http://schemas.openxmlformats.org/drawingml/2006/main">
          <a:pPr algn="r"/>
          <a:endParaRPr lang="lv-LV" sz="900" b="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0.09635</cdr:x>
      <cdr:y>0.81275</cdr:y>
    </cdr:from>
    <cdr:to>
      <cdr:x>0.96615</cdr:x>
      <cdr:y>0.93834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95771" y="4935996"/>
          <a:ext cx="8086575" cy="7627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eaLnBrk="1" fontAlgn="auto" latinLnBrk="0" hangingPunct="1"/>
          <a:r>
            <a:rPr lang="lv-LV" sz="9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* Saistību</a:t>
          </a:r>
          <a:r>
            <a:rPr lang="lv-LV" sz="900" i="1" baseline="0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(aizņēmumu, galvojumu, citu ilgtermiņa saistību) atmaksājamās summas pret 2024.gada pašvaldību plānotajiem pamatbudžeta ieņēmumiem bez valsts budžeta transfertiem noteiktam mērķim un iemaksām PFIF                                                                                              </a:t>
          </a:r>
          <a:endParaRPr lang="lv-LV" sz="9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0CECC-AB92-49A8-B522-E038002748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18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Novika</dc:creator>
  <cp:keywords/>
  <dc:description/>
  <cp:lastModifiedBy>Renāte Mākulēna</cp:lastModifiedBy>
  <cp:revision>41</cp:revision>
  <dcterms:created xsi:type="dcterms:W3CDTF">2022-09-28T09:53:00Z</dcterms:created>
  <dcterms:modified xsi:type="dcterms:W3CDTF">2024-07-24T07:20:00Z</dcterms:modified>
</cp:coreProperties>
</file>