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FAFF" w14:textId="77777777" w:rsidR="00EB0FEA" w:rsidRPr="00021DB1" w:rsidRDefault="00EB0FEA" w:rsidP="00436629">
      <w:pPr>
        <w:shd w:val="clear" w:color="auto" w:fill="FFFFFF"/>
        <w:jc w:val="center"/>
        <w:rPr>
          <w:b/>
          <w:bCs/>
          <w:sz w:val="28"/>
          <w:szCs w:val="28"/>
        </w:rPr>
      </w:pPr>
    </w:p>
    <w:p w14:paraId="387A7D2E" w14:textId="62FFE4C9" w:rsidR="00436629" w:rsidRPr="00EC50F7" w:rsidRDefault="00436629" w:rsidP="00436629">
      <w:pPr>
        <w:shd w:val="clear" w:color="auto" w:fill="FFFFFF"/>
        <w:jc w:val="center"/>
        <w:rPr>
          <w:b/>
          <w:bCs/>
          <w:sz w:val="28"/>
          <w:szCs w:val="28"/>
        </w:rPr>
      </w:pPr>
      <w:r w:rsidRPr="00EC50F7">
        <w:rPr>
          <w:b/>
          <w:bCs/>
          <w:sz w:val="28"/>
          <w:szCs w:val="28"/>
        </w:rPr>
        <w:t>Ministru kabineta un Latvijas Pašvaldību savienības</w:t>
      </w:r>
    </w:p>
    <w:p w14:paraId="4E212467" w14:textId="77777777" w:rsidR="00436629" w:rsidRPr="00EC50F7" w:rsidRDefault="00436629" w:rsidP="00436629">
      <w:pPr>
        <w:shd w:val="clear" w:color="auto" w:fill="FFFFFF"/>
        <w:jc w:val="center"/>
        <w:rPr>
          <w:b/>
          <w:bCs/>
          <w:sz w:val="28"/>
          <w:szCs w:val="28"/>
        </w:rPr>
      </w:pPr>
      <w:r w:rsidRPr="00EC50F7">
        <w:rPr>
          <w:b/>
          <w:bCs/>
          <w:sz w:val="28"/>
          <w:szCs w:val="28"/>
        </w:rPr>
        <w:t>vienošanās un domstarpību</w:t>
      </w:r>
    </w:p>
    <w:p w14:paraId="53B5542C" w14:textId="77777777" w:rsidR="00436629" w:rsidRPr="00EC50F7" w:rsidRDefault="00436629" w:rsidP="00436629">
      <w:pPr>
        <w:shd w:val="clear" w:color="auto" w:fill="FFFFFF"/>
        <w:jc w:val="center"/>
        <w:rPr>
          <w:b/>
          <w:bCs/>
          <w:sz w:val="28"/>
          <w:szCs w:val="28"/>
        </w:rPr>
      </w:pPr>
      <w:r w:rsidRPr="00EC50F7">
        <w:rPr>
          <w:b/>
          <w:bCs/>
          <w:sz w:val="28"/>
          <w:szCs w:val="28"/>
        </w:rPr>
        <w:t>PROTOKOLS</w:t>
      </w:r>
    </w:p>
    <w:p w14:paraId="612E6C3D" w14:textId="77777777" w:rsidR="00C4099C" w:rsidRPr="00EC50F7" w:rsidRDefault="00C4099C" w:rsidP="00436629">
      <w:pPr>
        <w:shd w:val="clear" w:color="auto" w:fill="FFFFFF"/>
        <w:jc w:val="center"/>
        <w:rPr>
          <w:b/>
          <w:bCs/>
          <w:sz w:val="28"/>
          <w:szCs w:val="28"/>
        </w:rPr>
      </w:pPr>
    </w:p>
    <w:p w14:paraId="33949E7E" w14:textId="32EE8F30" w:rsidR="00436629" w:rsidRPr="00EC50F7" w:rsidRDefault="00C4099C" w:rsidP="00436629">
      <w:pPr>
        <w:shd w:val="clear" w:color="auto" w:fill="FFFFFF"/>
        <w:jc w:val="center"/>
        <w:rPr>
          <w:b/>
          <w:bCs/>
          <w:sz w:val="28"/>
          <w:szCs w:val="28"/>
        </w:rPr>
      </w:pPr>
      <w:r w:rsidRPr="00EC50F7">
        <w:rPr>
          <w:b/>
          <w:bCs/>
          <w:sz w:val="28"/>
          <w:szCs w:val="28"/>
        </w:rPr>
        <w:t>P</w:t>
      </w:r>
      <w:r w:rsidR="00436629" w:rsidRPr="00EC50F7">
        <w:rPr>
          <w:b/>
          <w:bCs/>
          <w:sz w:val="28"/>
          <w:szCs w:val="28"/>
        </w:rPr>
        <w:t xml:space="preserve">ar </w:t>
      </w:r>
      <w:r w:rsidR="00557AB6" w:rsidRPr="00EC50F7">
        <w:rPr>
          <w:b/>
          <w:bCs/>
          <w:sz w:val="28"/>
          <w:szCs w:val="28"/>
        </w:rPr>
        <w:t>202</w:t>
      </w:r>
      <w:r w:rsidR="001F04AD" w:rsidRPr="00EC50F7">
        <w:rPr>
          <w:b/>
          <w:bCs/>
          <w:sz w:val="28"/>
          <w:szCs w:val="28"/>
        </w:rPr>
        <w:t>5</w:t>
      </w:r>
      <w:r w:rsidR="009D1AE2" w:rsidRPr="00EC50F7">
        <w:rPr>
          <w:b/>
          <w:bCs/>
          <w:sz w:val="28"/>
          <w:szCs w:val="28"/>
        </w:rPr>
        <w:t>.</w:t>
      </w:r>
      <w:r w:rsidR="00B071FC" w:rsidRPr="00EC50F7">
        <w:rPr>
          <w:b/>
          <w:bCs/>
          <w:sz w:val="28"/>
          <w:szCs w:val="28"/>
        </w:rPr>
        <w:t xml:space="preserve"> </w:t>
      </w:r>
      <w:r w:rsidR="009D1AE2" w:rsidRPr="00EC50F7">
        <w:rPr>
          <w:b/>
          <w:bCs/>
          <w:sz w:val="28"/>
          <w:szCs w:val="28"/>
        </w:rPr>
        <w:t>gada budžetu un budžeta ietvaru</w:t>
      </w:r>
      <w:r w:rsidR="00A80CD2" w:rsidRPr="00EC50F7">
        <w:rPr>
          <w:b/>
          <w:bCs/>
          <w:sz w:val="28"/>
          <w:szCs w:val="28"/>
        </w:rPr>
        <w:t xml:space="preserve"> </w:t>
      </w:r>
      <w:r w:rsidR="00436629" w:rsidRPr="00EC50F7">
        <w:rPr>
          <w:b/>
          <w:bCs/>
          <w:sz w:val="28"/>
          <w:szCs w:val="28"/>
        </w:rPr>
        <w:t>20</w:t>
      </w:r>
      <w:r w:rsidR="00B80593" w:rsidRPr="00EC50F7">
        <w:rPr>
          <w:b/>
          <w:bCs/>
          <w:sz w:val="28"/>
          <w:szCs w:val="28"/>
        </w:rPr>
        <w:t>2</w:t>
      </w:r>
      <w:r w:rsidR="001F04AD" w:rsidRPr="00EC50F7">
        <w:rPr>
          <w:b/>
          <w:bCs/>
          <w:sz w:val="28"/>
          <w:szCs w:val="28"/>
        </w:rPr>
        <w:t>5</w:t>
      </w:r>
      <w:r w:rsidR="00B80593" w:rsidRPr="00EC50F7">
        <w:rPr>
          <w:b/>
          <w:bCs/>
          <w:sz w:val="28"/>
          <w:szCs w:val="28"/>
        </w:rPr>
        <w:t>.</w:t>
      </w:r>
      <w:r w:rsidR="00436629" w:rsidRPr="00EC50F7">
        <w:rPr>
          <w:b/>
          <w:bCs/>
          <w:sz w:val="28"/>
          <w:szCs w:val="28"/>
        </w:rPr>
        <w:t xml:space="preserve"> -20</w:t>
      </w:r>
      <w:r w:rsidR="00AD39FE" w:rsidRPr="00EC50F7">
        <w:rPr>
          <w:b/>
          <w:bCs/>
          <w:sz w:val="28"/>
          <w:szCs w:val="28"/>
        </w:rPr>
        <w:t>2</w:t>
      </w:r>
      <w:r w:rsidR="001F04AD" w:rsidRPr="00EC50F7">
        <w:rPr>
          <w:b/>
          <w:bCs/>
          <w:sz w:val="28"/>
          <w:szCs w:val="28"/>
        </w:rPr>
        <w:t>7</w:t>
      </w:r>
      <w:r w:rsidR="00436629" w:rsidRPr="00EC50F7">
        <w:rPr>
          <w:b/>
          <w:bCs/>
          <w:sz w:val="28"/>
          <w:szCs w:val="28"/>
        </w:rPr>
        <w:t>.</w:t>
      </w:r>
      <w:r w:rsidR="00B071FC" w:rsidRPr="00EC50F7">
        <w:rPr>
          <w:b/>
          <w:bCs/>
          <w:sz w:val="28"/>
          <w:szCs w:val="28"/>
        </w:rPr>
        <w:t xml:space="preserve"> </w:t>
      </w:r>
      <w:r w:rsidR="00436629" w:rsidRPr="00EC50F7">
        <w:rPr>
          <w:b/>
          <w:bCs/>
          <w:sz w:val="28"/>
          <w:szCs w:val="28"/>
        </w:rPr>
        <w:t>gadam</w:t>
      </w:r>
    </w:p>
    <w:tbl>
      <w:tblPr>
        <w:tblW w:w="0" w:type="auto"/>
        <w:tblInd w:w="-106" w:type="dxa"/>
        <w:tblLayout w:type="fixed"/>
        <w:tblLook w:val="0000" w:firstRow="0" w:lastRow="0" w:firstColumn="0" w:lastColumn="0" w:noHBand="0" w:noVBand="0"/>
      </w:tblPr>
      <w:tblGrid>
        <w:gridCol w:w="3967"/>
        <w:gridCol w:w="886"/>
        <w:gridCol w:w="4137"/>
      </w:tblGrid>
      <w:tr w:rsidR="00021DB1" w:rsidRPr="00EC50F7" w14:paraId="5089C20A" w14:textId="77777777" w:rsidTr="00A57896">
        <w:trPr>
          <w:cantSplit/>
        </w:trPr>
        <w:tc>
          <w:tcPr>
            <w:tcW w:w="3967" w:type="dxa"/>
            <w:tcBorders>
              <w:top w:val="nil"/>
              <w:left w:val="nil"/>
              <w:bottom w:val="nil"/>
              <w:right w:val="nil"/>
            </w:tcBorders>
          </w:tcPr>
          <w:p w14:paraId="00A6BBA8" w14:textId="77777777" w:rsidR="00021DB1" w:rsidRPr="00EC50F7" w:rsidRDefault="00021DB1" w:rsidP="00A57896">
            <w:pPr>
              <w:shd w:val="clear" w:color="auto" w:fill="FFFFFF"/>
              <w:rPr>
                <w:sz w:val="24"/>
                <w:szCs w:val="24"/>
              </w:rPr>
            </w:pPr>
          </w:p>
          <w:p w14:paraId="51BDBD65" w14:textId="4115E95F" w:rsidR="00021DB1" w:rsidRPr="00EC50F7" w:rsidRDefault="00021DB1" w:rsidP="00A57896">
            <w:pPr>
              <w:shd w:val="clear" w:color="auto" w:fill="FFFFFF"/>
              <w:rPr>
                <w:sz w:val="24"/>
                <w:szCs w:val="24"/>
              </w:rPr>
            </w:pPr>
            <w:r w:rsidRPr="00EC50F7">
              <w:rPr>
                <w:sz w:val="24"/>
                <w:szCs w:val="24"/>
              </w:rPr>
              <w:t>Rīgā</w:t>
            </w:r>
          </w:p>
        </w:tc>
        <w:tc>
          <w:tcPr>
            <w:tcW w:w="886" w:type="dxa"/>
            <w:tcBorders>
              <w:top w:val="nil"/>
              <w:left w:val="nil"/>
              <w:bottom w:val="nil"/>
              <w:right w:val="nil"/>
            </w:tcBorders>
          </w:tcPr>
          <w:p w14:paraId="7717BD82" w14:textId="77777777" w:rsidR="00021DB1" w:rsidRPr="00EC50F7" w:rsidRDefault="00021DB1" w:rsidP="00A57896">
            <w:pPr>
              <w:shd w:val="clear" w:color="auto" w:fill="FFFFFF"/>
              <w:rPr>
                <w:sz w:val="24"/>
                <w:szCs w:val="24"/>
              </w:rPr>
            </w:pPr>
          </w:p>
        </w:tc>
        <w:tc>
          <w:tcPr>
            <w:tcW w:w="4137" w:type="dxa"/>
            <w:tcBorders>
              <w:top w:val="nil"/>
              <w:left w:val="nil"/>
              <w:bottom w:val="nil"/>
              <w:right w:val="nil"/>
            </w:tcBorders>
          </w:tcPr>
          <w:p w14:paraId="7A5E6AB6" w14:textId="77777777" w:rsidR="00021DB1" w:rsidRPr="00EC50F7" w:rsidRDefault="00021DB1" w:rsidP="00A57896">
            <w:pPr>
              <w:shd w:val="clear" w:color="auto" w:fill="FFFFFF"/>
              <w:jc w:val="right"/>
              <w:rPr>
                <w:sz w:val="24"/>
                <w:szCs w:val="24"/>
              </w:rPr>
            </w:pPr>
          </w:p>
          <w:p w14:paraId="64CE11B2" w14:textId="2F7E5A38" w:rsidR="00021DB1" w:rsidRPr="00EC50F7" w:rsidRDefault="00021DB1" w:rsidP="00A57896">
            <w:pPr>
              <w:shd w:val="clear" w:color="auto" w:fill="FFFFFF"/>
              <w:jc w:val="right"/>
              <w:rPr>
                <w:sz w:val="24"/>
                <w:szCs w:val="24"/>
              </w:rPr>
            </w:pPr>
            <w:r w:rsidRPr="00EC50F7">
              <w:rPr>
                <w:sz w:val="24"/>
                <w:szCs w:val="24"/>
              </w:rPr>
              <w:t>202</w:t>
            </w:r>
            <w:r w:rsidR="001F04AD" w:rsidRPr="00EC50F7">
              <w:rPr>
                <w:sz w:val="24"/>
                <w:szCs w:val="24"/>
              </w:rPr>
              <w:t>4</w:t>
            </w:r>
            <w:r w:rsidRPr="00EC50F7">
              <w:rPr>
                <w:sz w:val="24"/>
                <w:szCs w:val="24"/>
              </w:rPr>
              <w:t>.</w:t>
            </w:r>
            <w:r w:rsidR="00B071FC" w:rsidRPr="00EC50F7">
              <w:rPr>
                <w:sz w:val="24"/>
                <w:szCs w:val="24"/>
              </w:rPr>
              <w:t xml:space="preserve"> </w:t>
            </w:r>
            <w:r w:rsidRPr="00EC50F7">
              <w:rPr>
                <w:sz w:val="24"/>
                <w:szCs w:val="24"/>
              </w:rPr>
              <w:t xml:space="preserve">gada </w:t>
            </w:r>
            <w:r w:rsidR="00D34941" w:rsidRPr="00EC50F7">
              <w:rPr>
                <w:sz w:val="24"/>
                <w:szCs w:val="24"/>
              </w:rPr>
              <w:t xml:space="preserve">  </w:t>
            </w:r>
            <w:r w:rsidR="00D80526" w:rsidRPr="00EC50F7">
              <w:rPr>
                <w:sz w:val="24"/>
                <w:szCs w:val="24"/>
              </w:rPr>
              <w:t xml:space="preserve">. </w:t>
            </w:r>
            <w:r w:rsidR="00FA7437" w:rsidRPr="00EC50F7">
              <w:rPr>
                <w:sz w:val="24"/>
                <w:szCs w:val="24"/>
              </w:rPr>
              <w:t>oktobrī</w:t>
            </w:r>
          </w:p>
        </w:tc>
      </w:tr>
    </w:tbl>
    <w:p w14:paraId="1E0FE9FB" w14:textId="0FA0905F" w:rsidR="000E5395" w:rsidRPr="00EC50F7" w:rsidRDefault="000E5395" w:rsidP="00021DB1">
      <w:pPr>
        <w:shd w:val="clear" w:color="auto" w:fill="FFFFFF"/>
        <w:rPr>
          <w:sz w:val="24"/>
          <w:szCs w:val="24"/>
        </w:rPr>
      </w:pPr>
    </w:p>
    <w:p w14:paraId="1DCF3C2B" w14:textId="77777777" w:rsidR="009B5681" w:rsidRPr="00EC50F7" w:rsidRDefault="009B5681" w:rsidP="00021DB1">
      <w:pPr>
        <w:shd w:val="clear" w:color="auto" w:fill="FFFFFF"/>
        <w:rPr>
          <w:sz w:val="24"/>
          <w:szCs w:val="24"/>
        </w:rPr>
      </w:pPr>
    </w:p>
    <w:p w14:paraId="799532DA" w14:textId="77777777" w:rsidR="00F52329" w:rsidRPr="00EC50F7" w:rsidRDefault="00F52329" w:rsidP="00436629">
      <w:pPr>
        <w:shd w:val="clear" w:color="auto" w:fill="FFFFFF"/>
        <w:ind w:firstLine="567"/>
        <w:jc w:val="both"/>
        <w:rPr>
          <w:sz w:val="24"/>
          <w:szCs w:val="24"/>
        </w:rPr>
      </w:pPr>
    </w:p>
    <w:p w14:paraId="15024942" w14:textId="0C56F01C" w:rsidR="00DD5FB5" w:rsidRPr="00EC50F7" w:rsidRDefault="00436629" w:rsidP="00DD28E8">
      <w:pPr>
        <w:ind w:firstLine="567"/>
        <w:jc w:val="both"/>
        <w:rPr>
          <w:sz w:val="24"/>
          <w:szCs w:val="24"/>
          <w:lang w:eastAsia="lv-LV"/>
        </w:rPr>
      </w:pPr>
      <w:r w:rsidRPr="00EC50F7">
        <w:rPr>
          <w:sz w:val="24"/>
          <w:szCs w:val="24"/>
        </w:rPr>
        <w:t xml:space="preserve">Saskaņā ar Likuma par budžetu un finanšu vadību </w:t>
      </w:r>
      <w:r w:rsidRPr="00EC50F7">
        <w:rPr>
          <w:bCs/>
          <w:sz w:val="24"/>
          <w:szCs w:val="24"/>
        </w:rPr>
        <w:t>1</w:t>
      </w:r>
      <w:r w:rsidR="00A11229" w:rsidRPr="00EC50F7">
        <w:rPr>
          <w:bCs/>
          <w:sz w:val="24"/>
          <w:szCs w:val="24"/>
        </w:rPr>
        <w:t>8</w:t>
      </w:r>
      <w:r w:rsidRPr="00EC50F7">
        <w:rPr>
          <w:bCs/>
          <w:sz w:val="24"/>
          <w:szCs w:val="24"/>
        </w:rPr>
        <w:t>.</w:t>
      </w:r>
      <w:r w:rsidR="00A11229" w:rsidRPr="00EC50F7">
        <w:rPr>
          <w:bCs/>
          <w:sz w:val="24"/>
          <w:szCs w:val="24"/>
          <w:vertAlign w:val="superscript"/>
        </w:rPr>
        <w:t>1</w:t>
      </w:r>
      <w:r w:rsidRPr="00EC50F7">
        <w:rPr>
          <w:bCs/>
          <w:sz w:val="24"/>
          <w:szCs w:val="24"/>
        </w:rPr>
        <w:t xml:space="preserve"> panta </w:t>
      </w:r>
      <w:r w:rsidR="004F3841" w:rsidRPr="00EC50F7">
        <w:rPr>
          <w:bCs/>
          <w:sz w:val="24"/>
          <w:szCs w:val="24"/>
        </w:rPr>
        <w:t>devīto</w:t>
      </w:r>
      <w:r w:rsidRPr="00EC50F7">
        <w:rPr>
          <w:bCs/>
          <w:sz w:val="24"/>
          <w:szCs w:val="24"/>
        </w:rPr>
        <w:t xml:space="preserve"> daļu, </w:t>
      </w:r>
      <w:r w:rsidR="006F1DAB" w:rsidRPr="00EC50F7">
        <w:rPr>
          <w:bCs/>
          <w:sz w:val="24"/>
          <w:szCs w:val="24"/>
        </w:rPr>
        <w:t xml:space="preserve">Pašvaldību </w:t>
      </w:r>
      <w:r w:rsidR="008419F5" w:rsidRPr="00EC50F7">
        <w:rPr>
          <w:sz w:val="24"/>
          <w:szCs w:val="24"/>
        </w:rPr>
        <w:t xml:space="preserve">likuma </w:t>
      </w:r>
      <w:r w:rsidR="006F1DAB" w:rsidRPr="00EC50F7">
        <w:rPr>
          <w:sz w:val="24"/>
          <w:szCs w:val="24"/>
        </w:rPr>
        <w:t>82</w:t>
      </w:r>
      <w:r w:rsidR="00FA4C72" w:rsidRPr="00EC50F7">
        <w:rPr>
          <w:sz w:val="24"/>
          <w:szCs w:val="24"/>
        </w:rPr>
        <w:t>.</w:t>
      </w:r>
      <w:r w:rsidR="00B071FC" w:rsidRPr="00EC50F7">
        <w:rPr>
          <w:sz w:val="24"/>
          <w:szCs w:val="24"/>
        </w:rPr>
        <w:t xml:space="preserve"> </w:t>
      </w:r>
      <w:r w:rsidR="008419F5" w:rsidRPr="00EC50F7">
        <w:rPr>
          <w:sz w:val="24"/>
          <w:szCs w:val="24"/>
        </w:rPr>
        <w:t>pantu, likuma „Par pašvaldību budžetiem” 13.</w:t>
      </w:r>
      <w:r w:rsidR="00B071FC" w:rsidRPr="00EC50F7">
        <w:rPr>
          <w:sz w:val="24"/>
          <w:szCs w:val="24"/>
        </w:rPr>
        <w:t xml:space="preserve"> </w:t>
      </w:r>
      <w:r w:rsidR="008419F5" w:rsidRPr="00EC50F7">
        <w:rPr>
          <w:sz w:val="24"/>
          <w:szCs w:val="24"/>
        </w:rPr>
        <w:t xml:space="preserve">pantu un </w:t>
      </w:r>
      <w:r w:rsidR="00CB0177" w:rsidRPr="00EC50F7">
        <w:rPr>
          <w:sz w:val="24"/>
          <w:szCs w:val="24"/>
        </w:rPr>
        <w:t xml:space="preserve">Ministru kabineta 2023.gada 19.decembra noteikumiem Nr.769 “Kārtība, kādā Ministru kabinets saskaņo ar pašvaldībām jautājumus, kas skar visu pašvaldību intereses” </w:t>
      </w:r>
      <w:r w:rsidRPr="00EC50F7">
        <w:rPr>
          <w:bCs/>
          <w:sz w:val="24"/>
          <w:szCs w:val="24"/>
        </w:rPr>
        <w:t xml:space="preserve">Ministru kabinets un Latvijas Pašvaldību savienība vienojas protokolā iekļaut sadaļu par budžetu </w:t>
      </w:r>
      <w:r w:rsidR="00697AF8" w:rsidRPr="00EC50F7">
        <w:rPr>
          <w:bCs/>
          <w:sz w:val="24"/>
          <w:szCs w:val="24"/>
        </w:rPr>
        <w:t>202</w:t>
      </w:r>
      <w:r w:rsidR="00711255" w:rsidRPr="00EC50F7">
        <w:rPr>
          <w:bCs/>
          <w:sz w:val="24"/>
          <w:szCs w:val="24"/>
        </w:rPr>
        <w:t>5</w:t>
      </w:r>
      <w:r w:rsidR="00697AF8" w:rsidRPr="00EC50F7">
        <w:rPr>
          <w:bCs/>
          <w:sz w:val="24"/>
          <w:szCs w:val="24"/>
        </w:rPr>
        <w:t>.</w:t>
      </w:r>
      <w:r w:rsidR="00B071FC" w:rsidRPr="00EC50F7">
        <w:rPr>
          <w:bCs/>
          <w:sz w:val="24"/>
          <w:szCs w:val="24"/>
        </w:rPr>
        <w:t xml:space="preserve"> </w:t>
      </w:r>
      <w:r w:rsidR="00697AF8" w:rsidRPr="00EC50F7">
        <w:rPr>
          <w:bCs/>
          <w:sz w:val="24"/>
          <w:szCs w:val="24"/>
        </w:rPr>
        <w:t>gadam un budžeta ietvaru 202</w:t>
      </w:r>
      <w:r w:rsidR="00711255" w:rsidRPr="00EC50F7">
        <w:rPr>
          <w:bCs/>
          <w:sz w:val="24"/>
          <w:szCs w:val="24"/>
        </w:rPr>
        <w:t>5</w:t>
      </w:r>
      <w:r w:rsidR="00697AF8" w:rsidRPr="00EC50F7">
        <w:rPr>
          <w:bCs/>
          <w:sz w:val="24"/>
          <w:szCs w:val="24"/>
        </w:rPr>
        <w:t>.</w:t>
      </w:r>
      <w:r w:rsidR="0084789D" w:rsidRPr="00EC50F7">
        <w:rPr>
          <w:bCs/>
          <w:sz w:val="24"/>
          <w:szCs w:val="24"/>
        </w:rPr>
        <w:t>-</w:t>
      </w:r>
      <w:r w:rsidR="00697AF8" w:rsidRPr="00EC50F7">
        <w:rPr>
          <w:bCs/>
          <w:sz w:val="24"/>
          <w:szCs w:val="24"/>
        </w:rPr>
        <w:t>202</w:t>
      </w:r>
      <w:r w:rsidR="00711255" w:rsidRPr="00EC50F7">
        <w:rPr>
          <w:bCs/>
          <w:sz w:val="24"/>
          <w:szCs w:val="24"/>
        </w:rPr>
        <w:t>7</w:t>
      </w:r>
      <w:r w:rsidR="00697AF8" w:rsidRPr="00EC50F7">
        <w:rPr>
          <w:bCs/>
          <w:sz w:val="24"/>
          <w:szCs w:val="24"/>
        </w:rPr>
        <w:t>.</w:t>
      </w:r>
      <w:r w:rsidR="00B071FC" w:rsidRPr="00EC50F7">
        <w:rPr>
          <w:bCs/>
          <w:sz w:val="24"/>
          <w:szCs w:val="24"/>
        </w:rPr>
        <w:t xml:space="preserve"> </w:t>
      </w:r>
      <w:r w:rsidR="00697AF8" w:rsidRPr="00EC50F7">
        <w:rPr>
          <w:bCs/>
          <w:sz w:val="24"/>
          <w:szCs w:val="24"/>
        </w:rPr>
        <w:t>gadam</w:t>
      </w:r>
      <w:r w:rsidRPr="00EC50F7">
        <w:rPr>
          <w:bCs/>
          <w:sz w:val="24"/>
          <w:szCs w:val="24"/>
        </w:rPr>
        <w:t>, izskatot sekojošus jautājumus:</w:t>
      </w:r>
    </w:p>
    <w:p w14:paraId="49107629" w14:textId="13C11483" w:rsidR="00436629" w:rsidRPr="00EC50F7" w:rsidRDefault="00436629" w:rsidP="00E35937">
      <w:pPr>
        <w:shd w:val="clear" w:color="auto" w:fill="FFFFFF"/>
        <w:ind w:firstLine="567"/>
        <w:jc w:val="both"/>
        <w:rPr>
          <w:bCs/>
          <w:sz w:val="24"/>
          <w:szCs w:val="24"/>
        </w:rPr>
      </w:pPr>
    </w:p>
    <w:p w14:paraId="1B013E12" w14:textId="0B0B3B08" w:rsidR="007F4D64" w:rsidRPr="00EC50F7" w:rsidRDefault="00F52329" w:rsidP="00E35937">
      <w:pPr>
        <w:pStyle w:val="ListParagraph"/>
        <w:numPr>
          <w:ilvl w:val="0"/>
          <w:numId w:val="19"/>
        </w:numPr>
        <w:jc w:val="center"/>
        <w:rPr>
          <w:b/>
          <w:sz w:val="24"/>
          <w:szCs w:val="24"/>
        </w:rPr>
      </w:pPr>
      <w:r w:rsidRPr="00EC50F7">
        <w:rPr>
          <w:b/>
          <w:sz w:val="24"/>
          <w:szCs w:val="24"/>
        </w:rPr>
        <w:t>Izmaiņas ES</w:t>
      </w:r>
      <w:r w:rsidRPr="00EC50F7">
        <w:t xml:space="preserve"> </w:t>
      </w:r>
      <w:r w:rsidRPr="00EC50F7">
        <w:rPr>
          <w:b/>
          <w:sz w:val="24"/>
          <w:szCs w:val="24"/>
        </w:rPr>
        <w:t>ekonomikas pārvaldības sistēmā un p</w:t>
      </w:r>
      <w:r w:rsidR="00D326B3" w:rsidRPr="00EC50F7">
        <w:rPr>
          <w:b/>
          <w:sz w:val="24"/>
          <w:szCs w:val="24"/>
        </w:rPr>
        <w:t xml:space="preserve">ubliskās pārvaldes </w:t>
      </w:r>
      <w:proofErr w:type="spellStart"/>
      <w:r w:rsidR="00D326B3" w:rsidRPr="00EC50F7">
        <w:rPr>
          <w:b/>
          <w:sz w:val="24"/>
          <w:szCs w:val="24"/>
        </w:rPr>
        <w:t>efektivizēšana</w:t>
      </w:r>
      <w:proofErr w:type="spellEnd"/>
    </w:p>
    <w:p w14:paraId="0F12C375" w14:textId="77777777" w:rsidR="00D326B3" w:rsidRPr="00EC50F7" w:rsidRDefault="00D326B3" w:rsidP="00E35937">
      <w:pPr>
        <w:jc w:val="center"/>
        <w:rPr>
          <w:b/>
          <w:sz w:val="24"/>
          <w:szCs w:val="24"/>
        </w:rPr>
      </w:pPr>
    </w:p>
    <w:p w14:paraId="4CA200A1" w14:textId="654A12C0" w:rsidR="00D326B3" w:rsidRPr="00EC50F7" w:rsidRDefault="000C1990" w:rsidP="00E35937">
      <w:pPr>
        <w:ind w:firstLine="567"/>
        <w:jc w:val="both"/>
        <w:rPr>
          <w:b/>
          <w:sz w:val="24"/>
          <w:szCs w:val="24"/>
        </w:rPr>
      </w:pPr>
      <w:r>
        <w:rPr>
          <w:b/>
          <w:sz w:val="24"/>
          <w:szCs w:val="24"/>
        </w:rPr>
        <w:t>Puses vienojas:</w:t>
      </w:r>
    </w:p>
    <w:p w14:paraId="769178E0" w14:textId="77777777" w:rsidR="00B542E0" w:rsidRPr="00EC50F7" w:rsidRDefault="00B542E0" w:rsidP="00B542E0">
      <w:pPr>
        <w:ind w:firstLine="567"/>
        <w:jc w:val="both"/>
        <w:rPr>
          <w:bCs/>
          <w:sz w:val="24"/>
          <w:szCs w:val="24"/>
        </w:rPr>
      </w:pPr>
      <w:bookmarkStart w:id="0" w:name="_Hlk177631242"/>
      <w:r w:rsidRPr="00EC50F7">
        <w:rPr>
          <w:bCs/>
          <w:sz w:val="24"/>
          <w:szCs w:val="24"/>
        </w:rPr>
        <w:t>Eiropas Svainība (turpmāk – ES)  ir atjauninājusi savu ekonomikas pārvaldības sistēmu, lai padarītu to piemērotu nākotnei. Jaunie noteikumi stājās spēkā 2024. gada 30. aprīlī. ES galvenais reformas mērķis ir nodrošināt stabilas un ilgtspējīgas publiskās finanses un vienlaikus ar reformu un investīciju palīdzību veicināt ilgtspējīgu un iekļaujošu izaugsmi visās dalībvalstīs.</w:t>
      </w:r>
    </w:p>
    <w:p w14:paraId="45D73198" w14:textId="782399DB" w:rsidR="00B542E0" w:rsidRPr="00EC50F7" w:rsidRDefault="00B542E0" w:rsidP="00B542E0">
      <w:pPr>
        <w:ind w:firstLine="567"/>
        <w:jc w:val="both"/>
        <w:rPr>
          <w:bCs/>
          <w:sz w:val="24"/>
          <w:szCs w:val="24"/>
        </w:rPr>
      </w:pPr>
      <w:r w:rsidRPr="00EC50F7">
        <w:rPr>
          <w:bCs/>
          <w:sz w:val="24"/>
          <w:szCs w:val="24"/>
        </w:rPr>
        <w:t xml:space="preserve">Atbilstoši jaunajam ES ekonomikas pārvaldības ietvaram, ES dalībvalstīm vienu reizi četros </w:t>
      </w:r>
      <w:r w:rsidR="00DD28E8" w:rsidRPr="00EC50F7">
        <w:rPr>
          <w:bCs/>
          <w:sz w:val="24"/>
          <w:szCs w:val="24"/>
        </w:rPr>
        <w:t xml:space="preserve">gados </w:t>
      </w:r>
      <w:r w:rsidRPr="00EC50F7">
        <w:rPr>
          <w:bCs/>
          <w:sz w:val="24"/>
          <w:szCs w:val="24"/>
        </w:rPr>
        <w:t xml:space="preserve">ir jāsagatavo vidēja termiņa Fiskāli strukturālais plāns, kas aizstās ikgadējo Stabilitātes programmu un Nacionālo reformu programmu, un kurā tiks noteikts maksimāli pieļaujamais izdevumu pieaugums kārtējam gadam pret iepriekšējo gadu.  </w:t>
      </w:r>
    </w:p>
    <w:p w14:paraId="3CBCD6DA" w14:textId="524A23C9" w:rsidR="00DD5FB5" w:rsidRPr="00EC50F7" w:rsidRDefault="00B542E0" w:rsidP="00B542E0">
      <w:pPr>
        <w:ind w:firstLine="567"/>
        <w:jc w:val="both"/>
        <w:rPr>
          <w:bCs/>
          <w:sz w:val="24"/>
          <w:szCs w:val="24"/>
        </w:rPr>
      </w:pPr>
      <w:r w:rsidRPr="00EC50F7">
        <w:rPr>
          <w:bCs/>
          <w:sz w:val="24"/>
          <w:szCs w:val="24"/>
        </w:rPr>
        <w:t xml:space="preserve">Tā ir būtiska reforma, kas aizstāj deficīta līmeni kā galveno fiskālās disciplīnas rādītāju ar izdevumu pieaugumu. </w:t>
      </w:r>
      <w:r w:rsidR="00FA3776" w:rsidRPr="00EC50F7">
        <w:rPr>
          <w:bCs/>
          <w:sz w:val="24"/>
          <w:szCs w:val="24"/>
        </w:rPr>
        <w:t xml:space="preserve">Lai nodrošinātu </w:t>
      </w:r>
      <w:r w:rsidR="00203216" w:rsidRPr="00EC50F7">
        <w:rPr>
          <w:bCs/>
          <w:sz w:val="24"/>
          <w:szCs w:val="24"/>
        </w:rPr>
        <w:t>pieļaujamo</w:t>
      </w:r>
      <w:r w:rsidR="00FA3776" w:rsidRPr="00EC50F7">
        <w:rPr>
          <w:bCs/>
          <w:sz w:val="24"/>
          <w:szCs w:val="24"/>
        </w:rPr>
        <w:t xml:space="preserve"> izdevumu pieaugumu līmeni </w:t>
      </w:r>
      <w:r w:rsidR="00203216" w:rsidRPr="00EC50F7">
        <w:rPr>
          <w:bCs/>
          <w:sz w:val="24"/>
          <w:szCs w:val="24"/>
        </w:rPr>
        <w:t>vispārējai valdībai, a</w:t>
      </w:r>
      <w:r w:rsidRPr="00EC50F7">
        <w:rPr>
          <w:bCs/>
          <w:sz w:val="24"/>
          <w:szCs w:val="24"/>
        </w:rPr>
        <w:t>tšķirībā no vispārējās valdības budžeta deficīt</w:t>
      </w:r>
      <w:r w:rsidR="00DD28E8" w:rsidRPr="00EC50F7">
        <w:rPr>
          <w:bCs/>
          <w:sz w:val="24"/>
          <w:szCs w:val="24"/>
        </w:rPr>
        <w:t>a</w:t>
      </w:r>
      <w:r w:rsidRPr="00EC50F7">
        <w:rPr>
          <w:bCs/>
          <w:sz w:val="24"/>
          <w:szCs w:val="24"/>
        </w:rPr>
        <w:t xml:space="preserve">, izdevumu pieaugumu </w:t>
      </w:r>
      <w:r w:rsidR="00203216" w:rsidRPr="00EC50F7">
        <w:rPr>
          <w:bCs/>
          <w:sz w:val="24"/>
          <w:szCs w:val="24"/>
        </w:rPr>
        <w:t>jākontrolē</w:t>
      </w:r>
      <w:r w:rsidRPr="00EC50F7">
        <w:rPr>
          <w:bCs/>
          <w:sz w:val="24"/>
          <w:szCs w:val="24"/>
        </w:rPr>
        <w:t xml:space="preserve"> </w:t>
      </w:r>
      <w:r w:rsidR="00203216" w:rsidRPr="00EC50F7">
        <w:rPr>
          <w:bCs/>
          <w:sz w:val="24"/>
          <w:szCs w:val="24"/>
        </w:rPr>
        <w:t>visos</w:t>
      </w:r>
      <w:r w:rsidRPr="00EC50F7">
        <w:rPr>
          <w:bCs/>
          <w:sz w:val="24"/>
          <w:szCs w:val="24"/>
        </w:rPr>
        <w:t xml:space="preserve"> vispārējās valdības budžeta līme</w:t>
      </w:r>
      <w:r w:rsidR="00203216" w:rsidRPr="00EC50F7">
        <w:rPr>
          <w:bCs/>
          <w:sz w:val="24"/>
          <w:szCs w:val="24"/>
        </w:rPr>
        <w:t>ņos</w:t>
      </w:r>
      <w:r w:rsidRPr="00EC50F7">
        <w:rPr>
          <w:bCs/>
          <w:sz w:val="24"/>
          <w:szCs w:val="24"/>
        </w:rPr>
        <w:t xml:space="preserve">, tai skaitā pašvaldību līmenī. Tāpēc jaunie ES ekonomikas pārvaldības noteikumi ļauj solidāri uzņemties rūpes par izdevumu sabalansēšanu ar valsts finansiālajām iespējām. </w:t>
      </w:r>
      <w:r w:rsidR="00DD5FB5" w:rsidRPr="00EC50F7">
        <w:rPr>
          <w:bCs/>
          <w:sz w:val="24"/>
          <w:szCs w:val="24"/>
        </w:rPr>
        <w:t>Gada laikā gūtie papildus ienākumi, kas nav</w:t>
      </w:r>
      <w:r w:rsidR="00A34AD7" w:rsidRPr="00EC50F7">
        <w:rPr>
          <w:bCs/>
          <w:sz w:val="24"/>
          <w:szCs w:val="24"/>
        </w:rPr>
        <w:t xml:space="preserve"> saistīti ar </w:t>
      </w:r>
      <w:r w:rsidR="00DD5FB5" w:rsidRPr="00EC50F7">
        <w:rPr>
          <w:bCs/>
          <w:sz w:val="24"/>
          <w:szCs w:val="24"/>
        </w:rPr>
        <w:t xml:space="preserve"> </w:t>
      </w:r>
      <w:proofErr w:type="spellStart"/>
      <w:r w:rsidR="006C1988" w:rsidRPr="00EC50F7">
        <w:rPr>
          <w:rFonts w:eastAsiaTheme="minorEastAsia" w:cs="Arial"/>
          <w:color w:val="000000" w:themeColor="text1"/>
          <w:kern w:val="24"/>
          <w:sz w:val="24"/>
          <w:szCs w:val="24"/>
        </w:rPr>
        <w:t>diskrecionārie</w:t>
      </w:r>
      <w:r w:rsidR="00FE1E9E" w:rsidRPr="00EC50F7">
        <w:rPr>
          <w:rFonts w:eastAsiaTheme="minorEastAsia" w:cs="Arial"/>
          <w:color w:val="000000" w:themeColor="text1"/>
          <w:kern w:val="24"/>
          <w:sz w:val="24"/>
          <w:szCs w:val="24"/>
        </w:rPr>
        <w:t>m</w:t>
      </w:r>
      <w:proofErr w:type="spellEnd"/>
      <w:r w:rsidR="006C1988" w:rsidRPr="00EC50F7">
        <w:rPr>
          <w:rFonts w:eastAsiaTheme="minorEastAsia" w:cs="Arial"/>
          <w:b/>
          <w:bCs/>
          <w:color w:val="000000" w:themeColor="text1"/>
          <w:kern w:val="24"/>
          <w:sz w:val="32"/>
          <w:szCs w:val="32"/>
        </w:rPr>
        <w:t xml:space="preserve"> </w:t>
      </w:r>
      <w:r w:rsidR="00DD5FB5" w:rsidRPr="00EC50F7">
        <w:rPr>
          <w:bCs/>
          <w:sz w:val="24"/>
          <w:szCs w:val="24"/>
        </w:rPr>
        <w:t>pasākumi</w:t>
      </w:r>
      <w:r w:rsidR="00A34AD7" w:rsidRPr="00EC50F7">
        <w:rPr>
          <w:bCs/>
          <w:sz w:val="24"/>
          <w:szCs w:val="24"/>
        </w:rPr>
        <w:t>em</w:t>
      </w:r>
      <w:r w:rsidR="00DD5FB5" w:rsidRPr="00EC50F7">
        <w:rPr>
          <w:bCs/>
          <w:sz w:val="24"/>
          <w:szCs w:val="24"/>
        </w:rPr>
        <w:t xml:space="preserve">, nevar tikt novirzīti papildus izdevumu segšanai. </w:t>
      </w:r>
    </w:p>
    <w:p w14:paraId="5DEC8447" w14:textId="03FBBE53" w:rsidR="00B542E0" w:rsidRPr="00EC50F7" w:rsidRDefault="00B542E0" w:rsidP="00B542E0">
      <w:pPr>
        <w:ind w:firstLine="567"/>
        <w:jc w:val="both"/>
        <w:rPr>
          <w:bCs/>
          <w:sz w:val="24"/>
          <w:szCs w:val="24"/>
        </w:rPr>
      </w:pPr>
      <w:r w:rsidRPr="00EC50F7">
        <w:rPr>
          <w:bCs/>
          <w:sz w:val="24"/>
          <w:szCs w:val="24"/>
        </w:rPr>
        <w:t>Saskaņā ar jaunajiem ES noteikumiem 2025.</w:t>
      </w:r>
      <w:r w:rsidR="00DD28E8" w:rsidRPr="00EC50F7">
        <w:rPr>
          <w:bCs/>
          <w:sz w:val="24"/>
          <w:szCs w:val="24"/>
        </w:rPr>
        <w:t xml:space="preserve"> – </w:t>
      </w:r>
      <w:r w:rsidRPr="00EC50F7">
        <w:rPr>
          <w:bCs/>
          <w:sz w:val="24"/>
          <w:szCs w:val="24"/>
        </w:rPr>
        <w:t xml:space="preserve">2028. gada periodā pie nemainīgas nodokļu politikas, neto nacionāli finansētie primārie izdevumi 2025. gadā pret 2024. gadu var augt ne vairāk kā par 2,5%, 2026. gadā – par 4,3%, 2027. gadā </w:t>
      </w:r>
      <w:r w:rsidR="00905EE9" w:rsidRPr="00EC50F7">
        <w:rPr>
          <w:bCs/>
          <w:sz w:val="24"/>
          <w:szCs w:val="24"/>
        </w:rPr>
        <w:t xml:space="preserve">– </w:t>
      </w:r>
      <w:r w:rsidRPr="00EC50F7">
        <w:rPr>
          <w:bCs/>
          <w:sz w:val="24"/>
          <w:szCs w:val="24"/>
        </w:rPr>
        <w:t xml:space="preserve">par 3,1% un 2028. gadā par 3,5%.  </w:t>
      </w:r>
    </w:p>
    <w:p w14:paraId="6A178563" w14:textId="332F1ADE" w:rsidR="00BE4F2B" w:rsidRPr="00EC50F7" w:rsidRDefault="005C7930" w:rsidP="00E35937">
      <w:pPr>
        <w:ind w:firstLine="567"/>
        <w:jc w:val="both"/>
        <w:rPr>
          <w:sz w:val="24"/>
          <w:szCs w:val="24"/>
        </w:rPr>
      </w:pPr>
      <w:r w:rsidRPr="00EC50F7">
        <w:rPr>
          <w:sz w:val="24"/>
          <w:szCs w:val="24"/>
        </w:rPr>
        <w:t xml:space="preserve">Ņemot vērā 2024. gada jūnijā aktualizētās vidēja termiņa makroekonomiskās attīstības prognozes 2024. </w:t>
      </w:r>
      <w:r w:rsidR="00940208" w:rsidRPr="00EC50F7">
        <w:rPr>
          <w:sz w:val="24"/>
          <w:szCs w:val="24"/>
        </w:rPr>
        <w:t xml:space="preserve">– </w:t>
      </w:r>
      <w:r w:rsidRPr="00EC50F7">
        <w:rPr>
          <w:sz w:val="24"/>
          <w:szCs w:val="24"/>
        </w:rPr>
        <w:t xml:space="preserve">2028. gadam, veiktās izmaiņas darba spēka nodokļos, </w:t>
      </w:r>
      <w:r w:rsidR="00D70F8B" w:rsidRPr="00EC50F7">
        <w:rPr>
          <w:sz w:val="24"/>
          <w:szCs w:val="24"/>
        </w:rPr>
        <w:t>kā arī nepieciešamību stiprināt valsts ārējo drošību, kas ir noteikta kā vienīgā</w:t>
      </w:r>
      <w:r w:rsidR="00D70F8B" w:rsidRPr="00EC50F7">
        <w:t xml:space="preserve"> </w:t>
      </w:r>
      <w:r w:rsidR="00D70F8B" w:rsidRPr="00EC50F7">
        <w:rPr>
          <w:sz w:val="24"/>
          <w:szCs w:val="24"/>
        </w:rPr>
        <w:t>vidēja termiņa budžeta prioritāte</w:t>
      </w:r>
      <w:r w:rsidR="00DB75A6" w:rsidRPr="00EC50F7">
        <w:rPr>
          <w:sz w:val="24"/>
          <w:szCs w:val="24"/>
        </w:rPr>
        <w:t xml:space="preserve"> </w:t>
      </w:r>
      <w:r w:rsidR="00D70F8B" w:rsidRPr="00EC50F7">
        <w:rPr>
          <w:sz w:val="24"/>
          <w:szCs w:val="24"/>
        </w:rPr>
        <w:t>(</w:t>
      </w:r>
      <w:r w:rsidR="000F465E" w:rsidRPr="00EC50F7">
        <w:rPr>
          <w:sz w:val="24"/>
          <w:szCs w:val="24"/>
        </w:rPr>
        <w:t xml:space="preserve">Ministru kabineta 18.06.2024. </w:t>
      </w:r>
      <w:r w:rsidR="00D70F8B" w:rsidRPr="00EC50F7">
        <w:rPr>
          <w:sz w:val="24"/>
          <w:szCs w:val="24"/>
        </w:rPr>
        <w:t>protokols Nr. 25 74. § 2.</w:t>
      </w:r>
      <w:r w:rsidR="00D70F8B" w:rsidRPr="00EC50F7">
        <w:t xml:space="preserve"> </w:t>
      </w:r>
      <w:r w:rsidR="00D70F8B" w:rsidRPr="00EC50F7">
        <w:rPr>
          <w:sz w:val="24"/>
          <w:szCs w:val="24"/>
        </w:rPr>
        <w:t xml:space="preserve">punkts), </w:t>
      </w:r>
      <w:r w:rsidRPr="00EC50F7">
        <w:rPr>
          <w:sz w:val="24"/>
          <w:szCs w:val="24"/>
        </w:rPr>
        <w:t xml:space="preserve">2025. gadam un turpmākajiem gadiem </w:t>
      </w:r>
      <w:r w:rsidR="002F09AC" w:rsidRPr="00EC50F7">
        <w:rPr>
          <w:sz w:val="24"/>
          <w:szCs w:val="24"/>
        </w:rPr>
        <w:t>t</w:t>
      </w:r>
      <w:r w:rsidRPr="00EC50F7">
        <w:rPr>
          <w:sz w:val="24"/>
          <w:szCs w:val="24"/>
        </w:rPr>
        <w:t>iek prognozēt</w:t>
      </w:r>
      <w:r w:rsidR="002F09AC" w:rsidRPr="00EC50F7">
        <w:rPr>
          <w:sz w:val="24"/>
          <w:szCs w:val="24"/>
        </w:rPr>
        <w:t xml:space="preserve">s, ka </w:t>
      </w:r>
      <w:r w:rsidRPr="00EC50F7">
        <w:rPr>
          <w:sz w:val="24"/>
          <w:szCs w:val="24"/>
        </w:rPr>
        <w:t>fiskālā telp</w:t>
      </w:r>
      <w:r w:rsidR="00D70F8B" w:rsidRPr="00EC50F7">
        <w:rPr>
          <w:sz w:val="24"/>
          <w:szCs w:val="24"/>
        </w:rPr>
        <w:t>a</w:t>
      </w:r>
      <w:r w:rsidR="002F09AC" w:rsidRPr="00EC50F7">
        <w:rPr>
          <w:sz w:val="24"/>
          <w:szCs w:val="24"/>
        </w:rPr>
        <w:t xml:space="preserve"> būs ļoti ierobežota</w:t>
      </w:r>
      <w:r w:rsidR="00D70F8B" w:rsidRPr="00EC50F7">
        <w:rPr>
          <w:sz w:val="24"/>
          <w:szCs w:val="24"/>
        </w:rPr>
        <w:t>.</w:t>
      </w:r>
      <w:r w:rsidRPr="00EC50F7">
        <w:rPr>
          <w:sz w:val="24"/>
          <w:szCs w:val="24"/>
        </w:rPr>
        <w:t xml:space="preserve"> </w:t>
      </w:r>
      <w:r w:rsidR="00C3469F" w:rsidRPr="00EC50F7">
        <w:rPr>
          <w:bCs/>
          <w:sz w:val="24"/>
          <w:szCs w:val="24"/>
        </w:rPr>
        <w:t>Lai iekļautos jaunajā ekonomikas pārvaldības sistēmā</w:t>
      </w:r>
      <w:r w:rsidR="009D3AED" w:rsidRPr="00EC50F7">
        <w:rPr>
          <w:bCs/>
          <w:sz w:val="24"/>
          <w:szCs w:val="24"/>
        </w:rPr>
        <w:t xml:space="preserve">, </w:t>
      </w:r>
      <w:r w:rsidR="00C3469F" w:rsidRPr="00EC50F7">
        <w:rPr>
          <w:bCs/>
          <w:sz w:val="24"/>
          <w:szCs w:val="24"/>
        </w:rPr>
        <w:t xml:space="preserve">visiem vispārējās valdības sektoriem ir jāturpina darbs pie pārvaldības procesu </w:t>
      </w:r>
      <w:proofErr w:type="spellStart"/>
      <w:r w:rsidR="00C3469F" w:rsidRPr="00EC50F7">
        <w:rPr>
          <w:bCs/>
          <w:sz w:val="24"/>
          <w:szCs w:val="24"/>
        </w:rPr>
        <w:t>efektivizācijas</w:t>
      </w:r>
      <w:proofErr w:type="spellEnd"/>
      <w:r w:rsidR="00C3469F" w:rsidRPr="00EC50F7">
        <w:rPr>
          <w:bCs/>
          <w:sz w:val="24"/>
          <w:szCs w:val="24"/>
        </w:rPr>
        <w:t>.</w:t>
      </w:r>
      <w:r w:rsidR="00DB75A6" w:rsidRPr="00EC50F7">
        <w:rPr>
          <w:bCs/>
          <w:sz w:val="24"/>
          <w:szCs w:val="24"/>
        </w:rPr>
        <w:t xml:space="preserve"> Ministru kabinets ir uzdevis Valsts kancelejai sadarbībā ar nozaru ministrijām izstrādāt konkrētus priekšlikumus valsts pārvaldes modernizācijas plāna izpildei, paredzot </w:t>
      </w:r>
      <w:proofErr w:type="spellStart"/>
      <w:r w:rsidR="00DB75A6" w:rsidRPr="00EC50F7">
        <w:rPr>
          <w:bCs/>
          <w:sz w:val="24"/>
          <w:szCs w:val="24"/>
        </w:rPr>
        <w:t>efektivizēt</w:t>
      </w:r>
      <w:proofErr w:type="spellEnd"/>
      <w:r w:rsidR="00DB75A6" w:rsidRPr="00EC50F7">
        <w:rPr>
          <w:bCs/>
          <w:sz w:val="24"/>
          <w:szCs w:val="24"/>
        </w:rPr>
        <w:t xml:space="preserve"> publiskās pārvaldes procesus, apvienojot un reorganizējot iestādes, kas </w:t>
      </w:r>
      <w:r w:rsidR="00DB75A6" w:rsidRPr="00EC50F7">
        <w:rPr>
          <w:bCs/>
          <w:sz w:val="24"/>
          <w:szCs w:val="24"/>
        </w:rPr>
        <w:lastRenderedPageBreak/>
        <w:t>veic līdzīgas funkcijas.</w:t>
      </w:r>
      <w:r w:rsidR="00C3469F" w:rsidRPr="00EC50F7">
        <w:rPr>
          <w:bCs/>
          <w:sz w:val="24"/>
          <w:szCs w:val="24"/>
        </w:rPr>
        <w:t xml:space="preserve"> </w:t>
      </w:r>
      <w:bookmarkEnd w:id="0"/>
      <w:r w:rsidR="00C3469F" w:rsidRPr="00EC50F7">
        <w:rPr>
          <w:bCs/>
          <w:sz w:val="24"/>
          <w:szCs w:val="24"/>
        </w:rPr>
        <w:t>Arī p</w:t>
      </w:r>
      <w:r w:rsidR="00911708" w:rsidRPr="00EC50F7">
        <w:rPr>
          <w:sz w:val="24"/>
          <w:szCs w:val="24"/>
        </w:rPr>
        <w:t>ašvaldībām v</w:t>
      </w:r>
      <w:r w:rsidR="00235C15" w:rsidRPr="00EC50F7">
        <w:rPr>
          <w:sz w:val="24"/>
          <w:szCs w:val="24"/>
        </w:rPr>
        <w:t>idējā termiņā ir turpināms darbs pie pašvaldību izdevumu struktūras pilnveides, gūstot efektu no izdevumu pārskatīšanas un procesu centralizācijas, kas ļautu nodrošināt resursu efektīvāku izlietojumu.</w:t>
      </w:r>
      <w:r w:rsidR="00C3469F" w:rsidRPr="00EC50F7">
        <w:rPr>
          <w:sz w:val="24"/>
          <w:szCs w:val="24"/>
        </w:rPr>
        <w:t xml:space="preserve"> </w:t>
      </w:r>
    </w:p>
    <w:p w14:paraId="2770A453" w14:textId="12D13707" w:rsidR="008D7160" w:rsidRPr="00AD4018" w:rsidRDefault="00C3469F" w:rsidP="00E35937">
      <w:pPr>
        <w:ind w:firstLine="567"/>
        <w:jc w:val="both"/>
        <w:rPr>
          <w:sz w:val="24"/>
          <w:szCs w:val="24"/>
        </w:rPr>
      </w:pPr>
      <w:bookmarkStart w:id="1" w:name="_Hlk178244069"/>
      <w:r w:rsidRPr="00AD4018">
        <w:rPr>
          <w:sz w:val="24"/>
          <w:szCs w:val="24"/>
        </w:rPr>
        <w:t>Ministru kabinet</w:t>
      </w:r>
      <w:r w:rsidR="00DD28E8" w:rsidRPr="00AD4018">
        <w:rPr>
          <w:sz w:val="24"/>
          <w:szCs w:val="24"/>
        </w:rPr>
        <w:t>s</w:t>
      </w:r>
      <w:r w:rsidRPr="00AD4018">
        <w:rPr>
          <w:sz w:val="24"/>
          <w:szCs w:val="24"/>
        </w:rPr>
        <w:t xml:space="preserve"> 2024. gada 27. augusta sēdē</w:t>
      </w:r>
      <w:r w:rsidR="00DB75A6" w:rsidRPr="00AD4018">
        <w:rPr>
          <w:sz w:val="24"/>
          <w:szCs w:val="24"/>
        </w:rPr>
        <w:t xml:space="preserve"> </w:t>
      </w:r>
      <w:r w:rsidRPr="00AD4018">
        <w:rPr>
          <w:sz w:val="24"/>
          <w:szCs w:val="24"/>
        </w:rPr>
        <w:t>nol</w:t>
      </w:r>
      <w:r w:rsidR="00940208" w:rsidRPr="00AD4018">
        <w:rPr>
          <w:sz w:val="24"/>
          <w:szCs w:val="24"/>
        </w:rPr>
        <w:t>ē</w:t>
      </w:r>
      <w:r w:rsidRPr="00AD4018">
        <w:rPr>
          <w:sz w:val="24"/>
          <w:szCs w:val="24"/>
        </w:rPr>
        <w:t>m</w:t>
      </w:r>
      <w:r w:rsidR="00DB75A6" w:rsidRPr="00AD4018">
        <w:rPr>
          <w:sz w:val="24"/>
          <w:szCs w:val="24"/>
        </w:rPr>
        <w:t>a</w:t>
      </w:r>
      <w:r w:rsidRPr="00AD4018">
        <w:rPr>
          <w:sz w:val="24"/>
          <w:szCs w:val="24"/>
        </w:rPr>
        <w:t xml:space="preserve"> (prot</w:t>
      </w:r>
      <w:r w:rsidR="00940208" w:rsidRPr="00AD4018">
        <w:rPr>
          <w:sz w:val="24"/>
          <w:szCs w:val="24"/>
        </w:rPr>
        <w:t>okols</w:t>
      </w:r>
      <w:r w:rsidRPr="00AD4018">
        <w:rPr>
          <w:sz w:val="24"/>
          <w:szCs w:val="24"/>
        </w:rPr>
        <w:t xml:space="preserve"> Nr. 33 52. § 3. punkts) noteikt 2025. gadā ierobežojumu atlīdzības fonda pieaugumam ne vairāk kā 2,6% apmērā pret 2024. gada aktualizēto plānu uz 3</w:t>
      </w:r>
      <w:r w:rsidR="00AD4018" w:rsidRPr="00AD4018">
        <w:rPr>
          <w:sz w:val="24"/>
          <w:szCs w:val="24"/>
        </w:rPr>
        <w:t>1</w:t>
      </w:r>
      <w:r w:rsidRPr="00AD4018">
        <w:rPr>
          <w:sz w:val="24"/>
          <w:szCs w:val="24"/>
        </w:rPr>
        <w:t xml:space="preserve">. </w:t>
      </w:r>
      <w:r w:rsidR="00AD4018" w:rsidRPr="00AD4018">
        <w:rPr>
          <w:sz w:val="24"/>
          <w:szCs w:val="24"/>
        </w:rPr>
        <w:t>jūliju</w:t>
      </w:r>
      <w:r w:rsidRPr="00AD4018">
        <w:rPr>
          <w:sz w:val="24"/>
          <w:szCs w:val="24"/>
        </w:rPr>
        <w:t xml:space="preserve"> un </w:t>
      </w:r>
      <w:r w:rsidR="008D7160" w:rsidRPr="00AD4018">
        <w:rPr>
          <w:sz w:val="24"/>
          <w:szCs w:val="24"/>
        </w:rPr>
        <w:t xml:space="preserve">netiek palielināts kopējais amata vietu skaits publiskajā sektorā. Lēmums tiek </w:t>
      </w:r>
      <w:r w:rsidRPr="00AD4018">
        <w:rPr>
          <w:sz w:val="24"/>
          <w:szCs w:val="24"/>
        </w:rPr>
        <w:t>attiecināt</w:t>
      </w:r>
      <w:r w:rsidR="008D7160" w:rsidRPr="00AD4018">
        <w:rPr>
          <w:sz w:val="24"/>
          <w:szCs w:val="24"/>
        </w:rPr>
        <w:t>s</w:t>
      </w:r>
      <w:r w:rsidRPr="00AD4018">
        <w:rPr>
          <w:sz w:val="24"/>
          <w:szCs w:val="24"/>
        </w:rPr>
        <w:t xml:space="preserve"> uz publisko pārvaldi, tai skaitā pašvaldībām, valsts un pašvaldību finansētām kapitālsabiedrībām (pret 2024. gada pusgada plānu), arī pieklasificētām, vienlaikus paredzot, ka </w:t>
      </w:r>
      <w:r w:rsidR="002B7C0D" w:rsidRPr="00AD4018">
        <w:rPr>
          <w:sz w:val="24"/>
          <w:szCs w:val="24"/>
        </w:rPr>
        <w:t>p</w:t>
      </w:r>
      <w:r w:rsidRPr="00AD4018">
        <w:rPr>
          <w:sz w:val="24"/>
          <w:szCs w:val="24"/>
        </w:rPr>
        <w:t>ašvaldībām ir tiesības noteikt izņēmumus, ja tiek pieņemts attiecīgs domes lēmums, kas pamato izņēmumu.</w:t>
      </w:r>
    </w:p>
    <w:p w14:paraId="4E8016D2" w14:textId="75E18303" w:rsidR="003F35E3" w:rsidRPr="00AD4018" w:rsidRDefault="00892FFE" w:rsidP="003F35E3">
      <w:pPr>
        <w:ind w:firstLine="567"/>
        <w:jc w:val="both"/>
        <w:rPr>
          <w:sz w:val="24"/>
          <w:szCs w:val="24"/>
        </w:rPr>
      </w:pPr>
      <w:bookmarkStart w:id="2" w:name="_Hlk178676927"/>
      <w:bookmarkEnd w:id="1"/>
      <w:r w:rsidRPr="00A001E6">
        <w:rPr>
          <w:sz w:val="24"/>
          <w:szCs w:val="24"/>
        </w:rPr>
        <w:t>Atzī</w:t>
      </w:r>
      <w:r w:rsidR="004E329A" w:rsidRPr="00A001E6">
        <w:rPr>
          <w:sz w:val="24"/>
          <w:szCs w:val="24"/>
        </w:rPr>
        <w:t>s</w:t>
      </w:r>
      <w:r w:rsidRPr="00A001E6">
        <w:rPr>
          <w:sz w:val="24"/>
          <w:szCs w:val="24"/>
        </w:rPr>
        <w:t>t</w:t>
      </w:r>
      <w:r w:rsidR="004E329A" w:rsidRPr="00A001E6">
        <w:rPr>
          <w:sz w:val="24"/>
          <w:szCs w:val="24"/>
        </w:rPr>
        <w:t>ot</w:t>
      </w:r>
      <w:r w:rsidRPr="00A001E6">
        <w:rPr>
          <w:sz w:val="24"/>
          <w:szCs w:val="24"/>
        </w:rPr>
        <w:t xml:space="preserve"> par pamatotu </w:t>
      </w:r>
      <w:r w:rsidR="004E329A" w:rsidRPr="00A001E6">
        <w:rPr>
          <w:sz w:val="24"/>
          <w:szCs w:val="24"/>
        </w:rPr>
        <w:t xml:space="preserve">pašvaldību argumentu par </w:t>
      </w:r>
      <w:r w:rsidRPr="00A001E6">
        <w:rPr>
          <w:sz w:val="24"/>
          <w:szCs w:val="24"/>
        </w:rPr>
        <w:t>pedagogu atlīdzības</w:t>
      </w:r>
      <w:r w:rsidR="004E329A" w:rsidRPr="00A001E6">
        <w:rPr>
          <w:sz w:val="24"/>
          <w:szCs w:val="24"/>
        </w:rPr>
        <w:t>,</w:t>
      </w:r>
      <w:r w:rsidRPr="00A001E6">
        <w:rPr>
          <w:sz w:val="24"/>
          <w:szCs w:val="24"/>
        </w:rPr>
        <w:t xml:space="preserve"> </w:t>
      </w:r>
      <w:r w:rsidR="004E329A" w:rsidRPr="00A001E6">
        <w:rPr>
          <w:sz w:val="24"/>
          <w:szCs w:val="24"/>
        </w:rPr>
        <w:t xml:space="preserve">kuru nosaka atbilstoši Ministru kabineta normatīvajiem aktiem, nozīmīgo </w:t>
      </w:r>
      <w:r w:rsidRPr="00A001E6">
        <w:rPr>
          <w:sz w:val="24"/>
          <w:szCs w:val="24"/>
        </w:rPr>
        <w:t xml:space="preserve">īpatsvaru pašvaldību budžetos, </w:t>
      </w:r>
      <w:r w:rsidR="004E329A" w:rsidRPr="00A001E6">
        <w:rPr>
          <w:sz w:val="24"/>
          <w:szCs w:val="24"/>
        </w:rPr>
        <w:t xml:space="preserve">paredzēt, ka </w:t>
      </w:r>
      <w:r w:rsidR="003F35E3" w:rsidRPr="00A001E6">
        <w:rPr>
          <w:sz w:val="24"/>
          <w:szCs w:val="24"/>
        </w:rPr>
        <w:t xml:space="preserve">pašvaldības, 2025. gadā aprēķinot atlīdzības fonda pieaugumu 2,6% apmērā </w:t>
      </w:r>
      <w:r w:rsidR="004E329A" w:rsidRPr="00A001E6">
        <w:rPr>
          <w:sz w:val="24"/>
          <w:szCs w:val="24"/>
        </w:rPr>
        <w:t>neiekļauj finansējumu pedagogu atalgojumam 2024. gadā un 2025.</w:t>
      </w:r>
      <w:r w:rsidR="004E329A" w:rsidRPr="000C1990">
        <w:rPr>
          <w:sz w:val="24"/>
          <w:szCs w:val="24"/>
        </w:rPr>
        <w:t>gadā</w:t>
      </w:r>
      <w:r w:rsidR="0012466A" w:rsidRPr="000C1990">
        <w:rPr>
          <w:sz w:val="24"/>
          <w:szCs w:val="24"/>
        </w:rPr>
        <w:t xml:space="preserve"> un minimālās algas izmaiņas (</w:t>
      </w:r>
      <w:r w:rsidR="0012466A" w:rsidRPr="000C1990">
        <w:rPr>
          <w:rFonts w:eastAsia="Verdana"/>
          <w:sz w:val="24"/>
          <w:szCs w:val="24"/>
          <w:lang w:eastAsia="lv-LV" w:bidi="lo-LA"/>
        </w:rPr>
        <w:t xml:space="preserve">bez skalas izlīdzināšanas), </w:t>
      </w:r>
      <w:r w:rsidR="003F35E3" w:rsidRPr="000C1990">
        <w:rPr>
          <w:sz w:val="24"/>
          <w:szCs w:val="24"/>
        </w:rPr>
        <w:t>datus ņem</w:t>
      </w:r>
      <w:r w:rsidR="004E329A" w:rsidRPr="000C1990">
        <w:rPr>
          <w:sz w:val="24"/>
          <w:szCs w:val="24"/>
        </w:rPr>
        <w:t>ot</w:t>
      </w:r>
      <w:r w:rsidR="003F35E3" w:rsidRPr="000C1990">
        <w:rPr>
          <w:sz w:val="24"/>
          <w:szCs w:val="24"/>
        </w:rPr>
        <w:t xml:space="preserve"> pret 2024. gada aktualizēto</w:t>
      </w:r>
      <w:r w:rsidR="003F35E3" w:rsidRPr="0012466A">
        <w:rPr>
          <w:sz w:val="24"/>
          <w:szCs w:val="24"/>
        </w:rPr>
        <w:t xml:space="preserve"> plānu uz</w:t>
      </w:r>
      <w:r w:rsidR="003F35E3" w:rsidRPr="00A001E6">
        <w:rPr>
          <w:sz w:val="24"/>
          <w:szCs w:val="24"/>
        </w:rPr>
        <w:t xml:space="preserve"> 30. septembri</w:t>
      </w:r>
      <w:r w:rsidR="004E329A" w:rsidRPr="00A001E6">
        <w:rPr>
          <w:sz w:val="24"/>
          <w:szCs w:val="24"/>
        </w:rPr>
        <w:t>.</w:t>
      </w:r>
      <w:r w:rsidR="003F35E3" w:rsidRPr="00A001E6">
        <w:rPr>
          <w:sz w:val="24"/>
          <w:szCs w:val="24"/>
        </w:rPr>
        <w:t xml:space="preserve"> Nosacījumi par 2,6% atlīdzības pieaugumu attiecas uz pašvaldību darbiniekiem</w:t>
      </w:r>
      <w:r w:rsidR="004E329A" w:rsidRPr="00A001E6">
        <w:rPr>
          <w:sz w:val="24"/>
          <w:szCs w:val="24"/>
        </w:rPr>
        <w:t>,</w:t>
      </w:r>
      <w:r w:rsidR="003F35E3" w:rsidRPr="00A001E6">
        <w:rPr>
          <w:sz w:val="24"/>
          <w:szCs w:val="24"/>
        </w:rPr>
        <w:t xml:space="preserve"> par kuru atlīdzību lemj dome</w:t>
      </w:r>
      <w:r w:rsidR="0090342C" w:rsidRPr="00A001E6">
        <w:rPr>
          <w:sz w:val="24"/>
          <w:szCs w:val="24"/>
        </w:rPr>
        <w:t>.</w:t>
      </w:r>
    </w:p>
    <w:bookmarkEnd w:id="2"/>
    <w:p w14:paraId="4DDC932D" w14:textId="77777777" w:rsidR="003011DE" w:rsidRPr="00EC50F7" w:rsidRDefault="003011DE" w:rsidP="00E35937">
      <w:pPr>
        <w:ind w:firstLine="567"/>
        <w:jc w:val="both"/>
        <w:rPr>
          <w:sz w:val="24"/>
          <w:szCs w:val="24"/>
        </w:rPr>
      </w:pPr>
    </w:p>
    <w:p w14:paraId="06E9B799" w14:textId="563D2714" w:rsidR="00436629" w:rsidRPr="00EC50F7" w:rsidRDefault="00492A97" w:rsidP="00E35937">
      <w:pPr>
        <w:pStyle w:val="ListParagraph"/>
        <w:jc w:val="center"/>
        <w:rPr>
          <w:b/>
          <w:sz w:val="24"/>
          <w:szCs w:val="24"/>
        </w:rPr>
      </w:pPr>
      <w:r w:rsidRPr="00EC50F7">
        <w:rPr>
          <w:b/>
          <w:sz w:val="24"/>
          <w:szCs w:val="24"/>
        </w:rPr>
        <w:t xml:space="preserve">2. </w:t>
      </w:r>
      <w:r w:rsidR="00436629" w:rsidRPr="00EC50F7">
        <w:rPr>
          <w:b/>
          <w:sz w:val="24"/>
          <w:szCs w:val="24"/>
        </w:rPr>
        <w:t>Par pašvaldību budžetu ieņēmumiem</w:t>
      </w:r>
    </w:p>
    <w:p w14:paraId="0C010152" w14:textId="26683314" w:rsidR="00A73526" w:rsidRPr="00EC50F7" w:rsidRDefault="00A73526" w:rsidP="00E35937">
      <w:pPr>
        <w:ind w:firstLine="567"/>
        <w:jc w:val="both"/>
        <w:rPr>
          <w:bCs/>
          <w:sz w:val="24"/>
          <w:szCs w:val="24"/>
        </w:rPr>
      </w:pPr>
    </w:p>
    <w:p w14:paraId="60E19455" w14:textId="77777777" w:rsidR="00A73526" w:rsidRPr="00EC50F7" w:rsidRDefault="00A73526" w:rsidP="00E35937">
      <w:pPr>
        <w:ind w:firstLine="567"/>
        <w:jc w:val="both"/>
        <w:rPr>
          <w:b/>
          <w:sz w:val="24"/>
          <w:szCs w:val="24"/>
        </w:rPr>
      </w:pPr>
      <w:bookmarkStart w:id="3" w:name="_Hlk177986573"/>
      <w:r w:rsidRPr="00EC50F7">
        <w:rPr>
          <w:b/>
          <w:sz w:val="24"/>
          <w:szCs w:val="24"/>
        </w:rPr>
        <w:t>Latvijas Pašvaldību savienības viedoklis:</w:t>
      </w:r>
    </w:p>
    <w:bookmarkEnd w:id="3"/>
    <w:p w14:paraId="36BBCCFB" w14:textId="4BF12C4D" w:rsidR="00891B07" w:rsidRPr="00EC50F7" w:rsidRDefault="00891B07" w:rsidP="00891B07">
      <w:pPr>
        <w:ind w:firstLine="567"/>
        <w:jc w:val="both"/>
        <w:rPr>
          <w:bCs/>
          <w:sz w:val="24"/>
          <w:szCs w:val="24"/>
        </w:rPr>
      </w:pPr>
      <w:r w:rsidRPr="00EC50F7">
        <w:rPr>
          <w:bCs/>
          <w:sz w:val="24"/>
          <w:szCs w:val="24"/>
        </w:rPr>
        <w:t xml:space="preserve">2025. gadā un vidējā termiņā paredzēt pašvaldību budžetam pastāvīgus un stabilus ieņēmumus, kas nodrošinātu pašvaldībām nepieciešamos finanšu resursus pašvaldību autonomo funkciju veikšanai, valsts noteikto uzdevumu īstenošanai un pašvaldību uzņemto saistību izpildei. </w:t>
      </w:r>
    </w:p>
    <w:p w14:paraId="606467C8" w14:textId="5DB38B3B" w:rsidR="003A25E9" w:rsidRDefault="00891B07" w:rsidP="00891B07">
      <w:pPr>
        <w:ind w:firstLine="567"/>
        <w:jc w:val="both"/>
        <w:rPr>
          <w:bCs/>
          <w:sz w:val="24"/>
          <w:szCs w:val="24"/>
        </w:rPr>
      </w:pPr>
      <w:r w:rsidRPr="00EC50F7">
        <w:rPr>
          <w:bCs/>
          <w:sz w:val="24"/>
          <w:szCs w:val="24"/>
        </w:rPr>
        <w:t>Nodrošināt, ka nosakot pašvaldībām jaunas autonomās funkcijas, funkciju paplašinājumus vai jaunus uzdevumus, kura izpilde saistīta ar izdevumu palielināšanos, pašvaldībām vienlaikus tiek nodrošināts atbilstošs finansējums funkcijas vai uzdevuma izpildei.</w:t>
      </w:r>
    </w:p>
    <w:p w14:paraId="73359620" w14:textId="77777777" w:rsidR="00A001E6" w:rsidRPr="00A001E6" w:rsidRDefault="00A001E6" w:rsidP="00A001E6">
      <w:pPr>
        <w:ind w:firstLine="567"/>
        <w:jc w:val="both"/>
        <w:rPr>
          <w:bCs/>
          <w:sz w:val="24"/>
          <w:szCs w:val="24"/>
        </w:rPr>
      </w:pPr>
      <w:r w:rsidRPr="00A001E6">
        <w:rPr>
          <w:bCs/>
          <w:sz w:val="24"/>
          <w:szCs w:val="24"/>
        </w:rPr>
        <w:t>Eiropas Padomes Vietējo un reģionālo pašvaldību kongress monitoringa ziņojumā izsaka bažas, ka pašvaldību nepārtraukta atkarība no valsts budžeta finansējuma pašvaldību kompetenču īstenošanai, pārmērīga mērķdotāciju proporcija pašvaldību budžetos un nepamatota valsts uzdevumu nodošana pašvaldībām bez finansējuma apdraud pašvaldību spēju risināt vietējās prioritātes efektīvi. Lai novērstu trūkumus Latvijas pašvaldību tiesiskajā regulējumā un finansēšanā, kas minēti 2024.gada oktobrī Eiropas Padomes Vietējo un reģionālo varu kongresā pieņemtajās rekomendācijās un pamatoti ziņojumā Par Eiropas vietējo pašvaldību hartas ievērošanu Latvijā, Ministru kabinetam nodrošināt attiecīgu grozījumu normatīvajos aktos sagatavošanu un pieņemšanu.</w:t>
      </w:r>
    </w:p>
    <w:p w14:paraId="248BAB3F" w14:textId="77777777" w:rsidR="00182D6F" w:rsidRPr="00EC50F7" w:rsidRDefault="00182D6F" w:rsidP="00E35937">
      <w:pPr>
        <w:ind w:firstLine="567"/>
        <w:jc w:val="both"/>
        <w:rPr>
          <w:b/>
          <w:sz w:val="24"/>
          <w:szCs w:val="24"/>
        </w:rPr>
      </w:pPr>
    </w:p>
    <w:p w14:paraId="533DC3EC" w14:textId="68EDFB22" w:rsidR="002C6B71" w:rsidRPr="00EC50F7" w:rsidRDefault="002C6B71" w:rsidP="00E35937">
      <w:pPr>
        <w:ind w:firstLine="567"/>
        <w:jc w:val="both"/>
        <w:rPr>
          <w:b/>
          <w:sz w:val="24"/>
          <w:szCs w:val="24"/>
        </w:rPr>
      </w:pPr>
      <w:r w:rsidRPr="00EC50F7">
        <w:rPr>
          <w:b/>
          <w:sz w:val="24"/>
          <w:szCs w:val="24"/>
        </w:rPr>
        <w:t>Ministru kabineta viedoklis:</w:t>
      </w:r>
    </w:p>
    <w:p w14:paraId="52874031" w14:textId="41B728A9" w:rsidR="006332F1" w:rsidRPr="00EC50F7" w:rsidRDefault="006332F1" w:rsidP="00E35937">
      <w:pPr>
        <w:ind w:firstLine="567"/>
        <w:jc w:val="both"/>
        <w:rPr>
          <w:sz w:val="24"/>
          <w:szCs w:val="24"/>
        </w:rPr>
      </w:pPr>
      <w:r w:rsidRPr="00EC50F7">
        <w:rPr>
          <w:sz w:val="24"/>
          <w:szCs w:val="24"/>
        </w:rPr>
        <w:t>Pašvaldībām tiek paredzēta pastāvīga, stabila un prognozējama ieņēmumu bāze 202</w:t>
      </w:r>
      <w:r w:rsidR="00D45521" w:rsidRPr="00EC50F7">
        <w:rPr>
          <w:sz w:val="24"/>
          <w:szCs w:val="24"/>
        </w:rPr>
        <w:t>5</w:t>
      </w:r>
      <w:r w:rsidRPr="00EC50F7">
        <w:rPr>
          <w:sz w:val="24"/>
          <w:szCs w:val="24"/>
        </w:rPr>
        <w:t>. gadā un vidējā termiņā, kas nodrošina pašvaldībām nepieciešamos finanšu resursus pašvaldību funkciju veikšanai un saistību izpildei.</w:t>
      </w:r>
    </w:p>
    <w:p w14:paraId="40DCDF5C" w14:textId="18990873" w:rsidR="00E67756" w:rsidRPr="00EC50F7" w:rsidRDefault="00E67756" w:rsidP="00E35937">
      <w:pPr>
        <w:ind w:firstLine="567"/>
        <w:jc w:val="both"/>
        <w:rPr>
          <w:sz w:val="24"/>
          <w:szCs w:val="24"/>
        </w:rPr>
      </w:pPr>
      <w:r w:rsidRPr="00577495">
        <w:rPr>
          <w:sz w:val="24"/>
          <w:szCs w:val="24"/>
        </w:rPr>
        <w:t>Pašvaldībām</w:t>
      </w:r>
      <w:r w:rsidR="00577495">
        <w:rPr>
          <w:sz w:val="24"/>
          <w:szCs w:val="24"/>
        </w:rPr>
        <w:t xml:space="preserve"> i</w:t>
      </w:r>
      <w:r w:rsidR="00654FAD" w:rsidRPr="00577495">
        <w:rPr>
          <w:sz w:val="24"/>
          <w:szCs w:val="24"/>
        </w:rPr>
        <w:t>k</w:t>
      </w:r>
      <w:r w:rsidR="00654FAD" w:rsidRPr="00EC50F7">
        <w:rPr>
          <w:sz w:val="24"/>
          <w:szCs w:val="24"/>
        </w:rPr>
        <w:t xml:space="preserve"> gadu tiek prognozēts </w:t>
      </w:r>
      <w:r w:rsidRPr="00EC50F7">
        <w:rPr>
          <w:sz w:val="24"/>
          <w:szCs w:val="24"/>
        </w:rPr>
        <w:t xml:space="preserve">nodokļu ieņēmumu </w:t>
      </w:r>
      <w:r w:rsidR="009D0735" w:rsidRPr="00EC50F7">
        <w:rPr>
          <w:sz w:val="24"/>
          <w:szCs w:val="24"/>
        </w:rPr>
        <w:t xml:space="preserve">un nodokļu izmaiņu kompensācijas </w:t>
      </w:r>
      <w:r w:rsidRPr="00EC50F7">
        <w:rPr>
          <w:sz w:val="24"/>
          <w:szCs w:val="24"/>
        </w:rPr>
        <w:t>pieaugums</w:t>
      </w:r>
      <w:r w:rsidR="00654FAD" w:rsidRPr="00EC50F7">
        <w:rPr>
          <w:sz w:val="24"/>
          <w:szCs w:val="24"/>
        </w:rPr>
        <w:t>,</w:t>
      </w:r>
      <w:r w:rsidR="009D0735" w:rsidRPr="00EC50F7">
        <w:rPr>
          <w:sz w:val="24"/>
          <w:szCs w:val="24"/>
        </w:rPr>
        <w:t xml:space="preserve"> </w:t>
      </w:r>
      <w:r w:rsidR="00654FAD" w:rsidRPr="00EC50F7">
        <w:rPr>
          <w:sz w:val="24"/>
          <w:szCs w:val="24"/>
        </w:rPr>
        <w:t>tai skaitā</w:t>
      </w:r>
      <w:r w:rsidR="009D0735" w:rsidRPr="00EC50F7">
        <w:rPr>
          <w:sz w:val="24"/>
          <w:szCs w:val="24"/>
        </w:rPr>
        <w:t>,</w:t>
      </w:r>
      <w:r w:rsidRPr="00EC50F7">
        <w:rPr>
          <w:sz w:val="24"/>
          <w:szCs w:val="24"/>
        </w:rPr>
        <w:t xml:space="preserve"> 2025. gadam paredzēts</w:t>
      </w:r>
      <w:r w:rsidR="009D0735" w:rsidRPr="00EC50F7">
        <w:rPr>
          <w:sz w:val="24"/>
          <w:szCs w:val="24"/>
        </w:rPr>
        <w:t xml:space="preserve"> </w:t>
      </w:r>
      <w:r w:rsidR="009D0735" w:rsidRPr="0012466A">
        <w:rPr>
          <w:sz w:val="24"/>
          <w:szCs w:val="24"/>
        </w:rPr>
        <w:t>pieaugums</w:t>
      </w:r>
      <w:r w:rsidRPr="0012466A">
        <w:rPr>
          <w:sz w:val="24"/>
          <w:szCs w:val="24"/>
        </w:rPr>
        <w:t xml:space="preserve"> 23</w:t>
      </w:r>
      <w:r w:rsidR="0012466A" w:rsidRPr="0012466A">
        <w:rPr>
          <w:sz w:val="24"/>
          <w:szCs w:val="24"/>
        </w:rPr>
        <w:t>5</w:t>
      </w:r>
      <w:r w:rsidRPr="0012466A">
        <w:rPr>
          <w:sz w:val="24"/>
          <w:szCs w:val="24"/>
        </w:rPr>
        <w:t>,8 milj</w:t>
      </w:r>
      <w:r w:rsidRPr="00EC50F7">
        <w:rPr>
          <w:sz w:val="24"/>
          <w:szCs w:val="24"/>
        </w:rPr>
        <w:t xml:space="preserve">. </w:t>
      </w:r>
      <w:proofErr w:type="spellStart"/>
      <w:r w:rsidRPr="00EC50F7">
        <w:rPr>
          <w:i/>
          <w:iCs/>
          <w:sz w:val="24"/>
          <w:szCs w:val="24"/>
        </w:rPr>
        <w:t>euro</w:t>
      </w:r>
      <w:proofErr w:type="spellEnd"/>
      <w:r w:rsidRPr="00EC50F7">
        <w:rPr>
          <w:i/>
          <w:iCs/>
          <w:sz w:val="24"/>
          <w:szCs w:val="24"/>
        </w:rPr>
        <w:t xml:space="preserve"> </w:t>
      </w:r>
      <w:r w:rsidRPr="00EC50F7">
        <w:rPr>
          <w:sz w:val="24"/>
          <w:szCs w:val="24"/>
        </w:rPr>
        <w:t>apmērā jeb 10,</w:t>
      </w:r>
      <w:r w:rsidR="0012466A">
        <w:rPr>
          <w:sz w:val="24"/>
          <w:szCs w:val="24"/>
        </w:rPr>
        <w:t>6</w:t>
      </w:r>
      <w:r w:rsidRPr="00EC50F7">
        <w:rPr>
          <w:sz w:val="24"/>
          <w:szCs w:val="24"/>
        </w:rPr>
        <w:t>%, salīdzinot ar 2024. gada plānu.</w:t>
      </w:r>
    </w:p>
    <w:p w14:paraId="4572B105" w14:textId="77777777" w:rsidR="00A001E6" w:rsidRDefault="00A001E6" w:rsidP="003011DE">
      <w:pPr>
        <w:ind w:firstLine="567"/>
        <w:jc w:val="both"/>
        <w:rPr>
          <w:b/>
          <w:sz w:val="24"/>
          <w:szCs w:val="24"/>
        </w:rPr>
      </w:pPr>
    </w:p>
    <w:p w14:paraId="68625A34" w14:textId="743B4801" w:rsidR="003011DE" w:rsidRPr="000C1990" w:rsidRDefault="000C1990" w:rsidP="003011DE">
      <w:pPr>
        <w:ind w:firstLine="567"/>
        <w:jc w:val="both"/>
        <w:rPr>
          <w:b/>
          <w:sz w:val="24"/>
          <w:szCs w:val="24"/>
        </w:rPr>
      </w:pPr>
      <w:r>
        <w:rPr>
          <w:b/>
          <w:sz w:val="24"/>
          <w:szCs w:val="24"/>
        </w:rPr>
        <w:t>Puses vienojas:</w:t>
      </w:r>
    </w:p>
    <w:p w14:paraId="61C08F39" w14:textId="3B37CA82" w:rsidR="0012466A" w:rsidRPr="000C1990" w:rsidRDefault="0012466A" w:rsidP="0012466A">
      <w:pPr>
        <w:ind w:firstLine="567"/>
        <w:jc w:val="both"/>
        <w:rPr>
          <w:sz w:val="24"/>
          <w:szCs w:val="24"/>
        </w:rPr>
      </w:pPr>
      <w:bookmarkStart w:id="4" w:name="_Hlk178676053"/>
      <w:r w:rsidRPr="000C1990">
        <w:rPr>
          <w:sz w:val="24"/>
          <w:szCs w:val="24"/>
        </w:rPr>
        <w:t xml:space="preserve">Lai iekļautos jaunajā </w:t>
      </w:r>
      <w:r w:rsidR="0036076C" w:rsidRPr="000C1990">
        <w:rPr>
          <w:sz w:val="24"/>
          <w:szCs w:val="24"/>
        </w:rPr>
        <w:t>ES ekonomikas pārvaldības sistēmā</w:t>
      </w:r>
      <w:r w:rsidR="0036076C" w:rsidRPr="000C1990">
        <w:rPr>
          <w:rStyle w:val="FootnoteReference"/>
          <w:sz w:val="24"/>
          <w:szCs w:val="24"/>
        </w:rPr>
        <w:footnoteReference w:id="1"/>
      </w:r>
      <w:r w:rsidR="0036076C" w:rsidRPr="000C1990">
        <w:rPr>
          <w:sz w:val="24"/>
          <w:szCs w:val="24"/>
        </w:rPr>
        <w:t xml:space="preserve">, </w:t>
      </w:r>
      <w:bookmarkStart w:id="5" w:name="_Hlk148021178"/>
      <w:bookmarkEnd w:id="4"/>
      <w:r w:rsidRPr="000C1990">
        <w:rPr>
          <w:sz w:val="24"/>
          <w:szCs w:val="24"/>
        </w:rPr>
        <w:t xml:space="preserve"> vienlaicīgi saglabājot iespēju palielināt pašvaldību ieņēmumus par </w:t>
      </w:r>
      <w:r w:rsidR="009E6B34">
        <w:rPr>
          <w:sz w:val="24"/>
          <w:szCs w:val="24"/>
        </w:rPr>
        <w:t>iedzīvotāju ienākuma nodokļa (turpmāk – IIN)</w:t>
      </w:r>
      <w:r w:rsidRPr="000C1990">
        <w:rPr>
          <w:sz w:val="24"/>
          <w:szCs w:val="24"/>
        </w:rPr>
        <w:t xml:space="preserve"> </w:t>
      </w:r>
      <w:proofErr w:type="spellStart"/>
      <w:r w:rsidRPr="000C1990">
        <w:rPr>
          <w:sz w:val="24"/>
          <w:szCs w:val="24"/>
        </w:rPr>
        <w:t>pārpildes</w:t>
      </w:r>
      <w:proofErr w:type="spellEnd"/>
      <w:r w:rsidRPr="000C1990">
        <w:rPr>
          <w:sz w:val="24"/>
          <w:szCs w:val="24"/>
        </w:rPr>
        <w:t xml:space="preserve"> </w:t>
      </w:r>
      <w:r w:rsidRPr="000C1990">
        <w:rPr>
          <w:sz w:val="24"/>
          <w:szCs w:val="24"/>
        </w:rPr>
        <w:lastRenderedPageBreak/>
        <w:t xml:space="preserve">daļu, pašvaldību ieņēmumi virs garantētās IIN prognozes 2026. gadā tiek novirzīti pašvaldību aizņēmumu saistību dzēšanai. </w:t>
      </w:r>
    </w:p>
    <w:p w14:paraId="1110AC64" w14:textId="77777777" w:rsidR="0012466A" w:rsidRDefault="0012466A" w:rsidP="0012466A">
      <w:pPr>
        <w:ind w:firstLine="567"/>
        <w:jc w:val="both"/>
        <w:rPr>
          <w:sz w:val="24"/>
          <w:szCs w:val="24"/>
        </w:rPr>
      </w:pPr>
      <w:r w:rsidRPr="000C1990">
        <w:rPr>
          <w:sz w:val="24"/>
          <w:szCs w:val="24"/>
        </w:rPr>
        <w:t xml:space="preserve">Pašvaldība līdz 2026. gada 15. februārim, iesniedz Valsts kasē iesniegumu par valsts aizdevumu pirmstermiņa atmaksu saņemtās IIN prognozes </w:t>
      </w:r>
      <w:proofErr w:type="spellStart"/>
      <w:r w:rsidRPr="000C1990">
        <w:rPr>
          <w:sz w:val="24"/>
          <w:szCs w:val="24"/>
        </w:rPr>
        <w:t>pārpildes</w:t>
      </w:r>
      <w:proofErr w:type="spellEnd"/>
      <w:r w:rsidRPr="000C1990">
        <w:rPr>
          <w:sz w:val="24"/>
          <w:szCs w:val="24"/>
        </w:rPr>
        <w:t xml:space="preserve"> apmērā, norādot valsts aizdevumu vai aizdevumus, dzēšot pamatsummas maksājumus no atmaksas grafika beigām un attiecīgi samazinot galējo atmaksas termiņu vai attiecinot daļas atmaksu proporcionāli uz visiem pamatsummas maksājumiem.</w:t>
      </w:r>
    </w:p>
    <w:p w14:paraId="6C8DEAD8" w14:textId="44872E86" w:rsidR="00891B07" w:rsidRPr="00EC50F7" w:rsidRDefault="0012466A" w:rsidP="0012466A">
      <w:pPr>
        <w:ind w:firstLine="567"/>
        <w:jc w:val="both"/>
        <w:rPr>
          <w:b/>
          <w:sz w:val="24"/>
          <w:szCs w:val="24"/>
        </w:rPr>
      </w:pPr>
      <w:r w:rsidRPr="0012466A">
        <w:rPr>
          <w:sz w:val="24"/>
          <w:szCs w:val="24"/>
        </w:rPr>
        <w:t xml:space="preserve">  </w:t>
      </w:r>
    </w:p>
    <w:p w14:paraId="7B5106CC" w14:textId="31E64651" w:rsidR="00EA2D6D" w:rsidRPr="009E6B34" w:rsidRDefault="009E6B34" w:rsidP="00EA2D6D">
      <w:pPr>
        <w:ind w:firstLine="567"/>
        <w:jc w:val="both"/>
        <w:rPr>
          <w:b/>
          <w:sz w:val="24"/>
          <w:szCs w:val="24"/>
        </w:rPr>
      </w:pPr>
      <w:r w:rsidRPr="009E6B34">
        <w:rPr>
          <w:b/>
          <w:sz w:val="24"/>
          <w:szCs w:val="24"/>
        </w:rPr>
        <w:t>Puses vienojas:</w:t>
      </w:r>
    </w:p>
    <w:p w14:paraId="6D2ABE81" w14:textId="1D78ED90" w:rsidR="00EA2D6D" w:rsidRDefault="00EA2D6D" w:rsidP="00EA2D6D">
      <w:pPr>
        <w:tabs>
          <w:tab w:val="left" w:pos="851"/>
        </w:tabs>
        <w:ind w:firstLine="567"/>
        <w:jc w:val="both"/>
        <w:rPr>
          <w:sz w:val="24"/>
          <w:szCs w:val="24"/>
        </w:rPr>
      </w:pPr>
      <w:r w:rsidRPr="009E6B34">
        <w:rPr>
          <w:sz w:val="24"/>
          <w:szCs w:val="24"/>
        </w:rPr>
        <w:t>Lai nodrošinātu pašvaldību autonomo funkciju izpildi, pašvaldībām tiek nodrošināti finanšu resursi likumos noteikto funkciju īstenošanai, pie IIN sadalījuma starp pašvaldību budžetiem un valsts budžetu attiecīgi 7</w:t>
      </w:r>
      <w:r w:rsidR="0012466A" w:rsidRPr="009E6B34">
        <w:rPr>
          <w:sz w:val="24"/>
          <w:szCs w:val="24"/>
        </w:rPr>
        <w:t>8</w:t>
      </w:r>
      <w:r w:rsidRPr="009E6B34">
        <w:rPr>
          <w:sz w:val="24"/>
          <w:szCs w:val="24"/>
        </w:rPr>
        <w:t>% / 2</w:t>
      </w:r>
      <w:r w:rsidR="0012466A" w:rsidRPr="009E6B34">
        <w:rPr>
          <w:sz w:val="24"/>
          <w:szCs w:val="24"/>
        </w:rPr>
        <w:t>2</w:t>
      </w:r>
      <w:r w:rsidRPr="009E6B34">
        <w:rPr>
          <w:sz w:val="24"/>
          <w:szCs w:val="24"/>
        </w:rPr>
        <w:t xml:space="preserve">% un prognozētajiem ieņēmumiem pašvaldību budžetos no IIN 2025. gadā </w:t>
      </w:r>
      <w:r w:rsidR="00D634A1" w:rsidRPr="009E6B34">
        <w:rPr>
          <w:sz w:val="24"/>
          <w:szCs w:val="24"/>
        </w:rPr>
        <w:t xml:space="preserve">2 </w:t>
      </w:r>
      <w:r w:rsidR="0012466A" w:rsidRPr="009E6B34">
        <w:rPr>
          <w:sz w:val="24"/>
          <w:szCs w:val="24"/>
        </w:rPr>
        <w:t>134</w:t>
      </w:r>
      <w:r w:rsidR="00D634A1" w:rsidRPr="009E6B34">
        <w:rPr>
          <w:sz w:val="24"/>
          <w:szCs w:val="24"/>
        </w:rPr>
        <w:t>,</w:t>
      </w:r>
      <w:r w:rsidR="0012466A" w:rsidRPr="009E6B34">
        <w:rPr>
          <w:sz w:val="24"/>
          <w:szCs w:val="24"/>
        </w:rPr>
        <w:t>0</w:t>
      </w:r>
      <w:r w:rsidR="00D634A1" w:rsidRPr="009E6B34">
        <w:rPr>
          <w:sz w:val="24"/>
          <w:szCs w:val="24"/>
        </w:rPr>
        <w:t xml:space="preserve"> </w:t>
      </w:r>
      <w:r w:rsidRPr="009E6B34">
        <w:rPr>
          <w:sz w:val="24"/>
          <w:szCs w:val="24"/>
        </w:rPr>
        <w:t xml:space="preserve">milj. </w:t>
      </w:r>
      <w:proofErr w:type="spellStart"/>
      <w:r w:rsidRPr="009E6B34">
        <w:rPr>
          <w:i/>
          <w:iCs/>
          <w:sz w:val="24"/>
          <w:szCs w:val="24"/>
        </w:rPr>
        <w:t>euro</w:t>
      </w:r>
      <w:proofErr w:type="spellEnd"/>
      <w:r w:rsidRPr="009E6B34">
        <w:rPr>
          <w:sz w:val="24"/>
          <w:szCs w:val="24"/>
        </w:rPr>
        <w:t xml:space="preserve"> apmērā. </w:t>
      </w:r>
      <w:r w:rsidR="0012466A" w:rsidRPr="009E6B34">
        <w:rPr>
          <w:sz w:val="24"/>
          <w:szCs w:val="24"/>
        </w:rPr>
        <w:t>Ņemot vērā</w:t>
      </w:r>
      <w:r w:rsidR="0012466A" w:rsidRPr="009E6B34">
        <w:t xml:space="preserve"> </w:t>
      </w:r>
      <w:r w:rsidR="0012466A" w:rsidRPr="009E6B34">
        <w:rPr>
          <w:sz w:val="24"/>
          <w:szCs w:val="24"/>
        </w:rPr>
        <w:t>nodokļa ieņēmumu proporcijas izmaiņas starp pašvaldību budžetiem un valsts budžetu, nosakot, ka IIN sadalījums pašvaldību budžetiem ir 78</w:t>
      </w:r>
      <w:r w:rsidR="00E14182">
        <w:rPr>
          <w:sz w:val="24"/>
          <w:szCs w:val="24"/>
        </w:rPr>
        <w:t>%</w:t>
      </w:r>
      <w:r w:rsidR="0012466A" w:rsidRPr="009E6B34">
        <w:rPr>
          <w:sz w:val="24"/>
          <w:szCs w:val="24"/>
        </w:rPr>
        <w:t xml:space="preserve"> un valsts budžetam </w:t>
      </w:r>
      <w:r w:rsidR="00E14182">
        <w:rPr>
          <w:sz w:val="24"/>
          <w:szCs w:val="24"/>
        </w:rPr>
        <w:t xml:space="preserve">– </w:t>
      </w:r>
      <w:r w:rsidR="0012466A" w:rsidRPr="009E6B34">
        <w:rPr>
          <w:sz w:val="24"/>
          <w:szCs w:val="24"/>
        </w:rPr>
        <w:t>22</w:t>
      </w:r>
      <w:r w:rsidR="00E14182">
        <w:rPr>
          <w:sz w:val="24"/>
          <w:szCs w:val="24"/>
        </w:rPr>
        <w:t>%</w:t>
      </w:r>
      <w:r w:rsidR="0012466A" w:rsidRPr="009E6B34">
        <w:rPr>
          <w:sz w:val="24"/>
          <w:szCs w:val="24"/>
        </w:rPr>
        <w:t xml:space="preserve">, noteikt, ka saistībā ar nodokļu politikas izmaiņām pašvaldībām tiek kompensētas IIN ieņēmumu izmaiņas, paredzot papildu valsts budžeta dotāciju pašvaldībām autonomo funkciju veikšanai 2025. gadā – 67,5 milj. </w:t>
      </w:r>
      <w:proofErr w:type="spellStart"/>
      <w:r w:rsidR="0012466A" w:rsidRPr="009E6B34">
        <w:rPr>
          <w:i/>
          <w:iCs/>
          <w:sz w:val="24"/>
          <w:szCs w:val="24"/>
        </w:rPr>
        <w:t>euro</w:t>
      </w:r>
      <w:proofErr w:type="spellEnd"/>
      <w:r w:rsidR="0012466A" w:rsidRPr="009E6B34">
        <w:rPr>
          <w:sz w:val="24"/>
          <w:szCs w:val="24"/>
        </w:rPr>
        <w:t xml:space="preserve">, 2026. gadā – 125,5 milj. </w:t>
      </w:r>
      <w:proofErr w:type="spellStart"/>
      <w:r w:rsidR="0012466A" w:rsidRPr="009E6B34">
        <w:rPr>
          <w:i/>
          <w:iCs/>
          <w:sz w:val="24"/>
          <w:szCs w:val="24"/>
        </w:rPr>
        <w:t>euro</w:t>
      </w:r>
      <w:proofErr w:type="spellEnd"/>
      <w:r w:rsidR="0012466A" w:rsidRPr="009E6B34">
        <w:rPr>
          <w:sz w:val="24"/>
          <w:szCs w:val="24"/>
        </w:rPr>
        <w:t xml:space="preserve">, 2027. gadā – 147,1 milj. </w:t>
      </w:r>
      <w:proofErr w:type="spellStart"/>
      <w:r w:rsidR="0012466A" w:rsidRPr="009E6B34">
        <w:rPr>
          <w:i/>
          <w:iCs/>
          <w:sz w:val="24"/>
          <w:szCs w:val="24"/>
        </w:rPr>
        <w:t>euro</w:t>
      </w:r>
      <w:proofErr w:type="spellEnd"/>
      <w:r w:rsidR="0012466A" w:rsidRPr="009E6B34">
        <w:rPr>
          <w:sz w:val="24"/>
          <w:szCs w:val="24"/>
        </w:rPr>
        <w:t xml:space="preserve">, 2028. gadā – 144,4 milj. </w:t>
      </w:r>
      <w:proofErr w:type="spellStart"/>
      <w:r w:rsidR="0012466A" w:rsidRPr="009E6B34">
        <w:rPr>
          <w:i/>
          <w:iCs/>
          <w:sz w:val="24"/>
          <w:szCs w:val="24"/>
        </w:rPr>
        <w:t>euro</w:t>
      </w:r>
      <w:proofErr w:type="spellEnd"/>
      <w:r w:rsidR="0012466A" w:rsidRPr="009E6B34">
        <w:rPr>
          <w:sz w:val="24"/>
          <w:szCs w:val="24"/>
        </w:rPr>
        <w:t>.</w:t>
      </w:r>
    </w:p>
    <w:p w14:paraId="20FFC4DC" w14:textId="65C6FF93" w:rsidR="00E16D5D" w:rsidRPr="003203E1" w:rsidRDefault="00E16D5D" w:rsidP="00E16D5D">
      <w:pPr>
        <w:ind w:firstLine="567"/>
        <w:jc w:val="both"/>
        <w:rPr>
          <w:sz w:val="24"/>
          <w:szCs w:val="24"/>
        </w:rPr>
      </w:pPr>
      <w:r w:rsidRPr="003203E1">
        <w:rPr>
          <w:sz w:val="24"/>
          <w:szCs w:val="24"/>
        </w:rPr>
        <w:t xml:space="preserve">Gatavojot likumprojektu </w:t>
      </w:r>
      <w:r w:rsidRPr="002B23BF">
        <w:rPr>
          <w:sz w:val="24"/>
          <w:szCs w:val="24"/>
        </w:rPr>
        <w:t xml:space="preserve">„Par valsts budžetu 2026. gadam un budžeta ietvaru 2026., 2027. un 2028. gadam” </w:t>
      </w:r>
      <w:r w:rsidRPr="003203E1">
        <w:rPr>
          <w:sz w:val="24"/>
          <w:szCs w:val="24"/>
        </w:rPr>
        <w:t xml:space="preserve">turpināt sarunas par </w:t>
      </w:r>
      <w:r w:rsidRPr="002B23BF">
        <w:rPr>
          <w:sz w:val="24"/>
          <w:szCs w:val="24"/>
        </w:rPr>
        <w:t>iedzīvotāju ienākuma nodokļa</w:t>
      </w:r>
      <w:r w:rsidRPr="003203E1">
        <w:rPr>
          <w:sz w:val="24"/>
          <w:szCs w:val="24"/>
        </w:rPr>
        <w:t xml:space="preserve"> proporcijas palielināšanu pašvaldību budžetiem 80</w:t>
      </w:r>
      <w:r w:rsidR="00982C54">
        <w:rPr>
          <w:sz w:val="24"/>
          <w:szCs w:val="24"/>
        </w:rPr>
        <w:t>%</w:t>
      </w:r>
      <w:r w:rsidRPr="003203E1">
        <w:rPr>
          <w:sz w:val="24"/>
          <w:szCs w:val="24"/>
        </w:rPr>
        <w:t xml:space="preserve"> apmērā un valsts budžetam 20</w:t>
      </w:r>
      <w:r w:rsidR="00982C54">
        <w:rPr>
          <w:sz w:val="24"/>
          <w:szCs w:val="24"/>
        </w:rPr>
        <w:t>%</w:t>
      </w:r>
      <w:r>
        <w:rPr>
          <w:sz w:val="24"/>
          <w:szCs w:val="24"/>
        </w:rPr>
        <w:t xml:space="preserve"> apmērā</w:t>
      </w:r>
      <w:r w:rsidRPr="003203E1">
        <w:rPr>
          <w:sz w:val="24"/>
          <w:szCs w:val="24"/>
        </w:rPr>
        <w:t>, turpināt darbu pie jaunā pašvaldību finanšu izlīdzināšanas modeļa izstrādes ar mērķi nodrošināt reģionāli sabalansētu finansējumu visā Latvijas teritorijā.</w:t>
      </w:r>
    </w:p>
    <w:p w14:paraId="23AD705A" w14:textId="77777777" w:rsidR="00D211B0" w:rsidRPr="00D211B0" w:rsidRDefault="00D211B0" w:rsidP="00D211B0">
      <w:pPr>
        <w:jc w:val="both"/>
        <w:rPr>
          <w:sz w:val="24"/>
          <w:szCs w:val="24"/>
        </w:rPr>
      </w:pPr>
    </w:p>
    <w:bookmarkEnd w:id="5"/>
    <w:p w14:paraId="034D0DFB" w14:textId="77777777" w:rsidR="00DD28E8" w:rsidRPr="00EC50F7" w:rsidRDefault="00F52329" w:rsidP="00DD28E8">
      <w:pPr>
        <w:ind w:firstLine="567"/>
      </w:pPr>
      <w:r w:rsidRPr="00EC50F7">
        <w:rPr>
          <w:b/>
          <w:sz w:val="24"/>
          <w:szCs w:val="24"/>
        </w:rPr>
        <w:t>Puses vienojas:</w:t>
      </w:r>
      <w:r w:rsidR="00A7716F" w:rsidRPr="00EC50F7">
        <w:t xml:space="preserve"> </w:t>
      </w:r>
    </w:p>
    <w:p w14:paraId="2E9D530F" w14:textId="37278576" w:rsidR="00F52329" w:rsidRPr="00EC50F7" w:rsidRDefault="00DD5FB5" w:rsidP="00DD28E8">
      <w:pPr>
        <w:ind w:firstLine="567"/>
        <w:jc w:val="both"/>
        <w:rPr>
          <w:bCs/>
          <w:sz w:val="24"/>
          <w:szCs w:val="24"/>
        </w:rPr>
      </w:pPr>
      <w:bookmarkStart w:id="6" w:name="_Hlk148021046"/>
      <w:r w:rsidRPr="00A001E6">
        <w:rPr>
          <w:sz w:val="24"/>
          <w:szCs w:val="24"/>
        </w:rPr>
        <w:t xml:space="preserve">Pašvaldībām tiek garantēti IIN ieņēmumi 100% apmērā no plānotās prognozes. </w:t>
      </w:r>
      <w:r w:rsidR="00F52329" w:rsidRPr="00A001E6">
        <w:rPr>
          <w:sz w:val="24"/>
          <w:szCs w:val="24"/>
        </w:rPr>
        <w:t xml:space="preserve">IIN ieņēmumu sadalījums pa ceturkšņiem tiek noteikts šāds: </w:t>
      </w:r>
      <w:r w:rsidR="00F52329" w:rsidRPr="00A001E6">
        <w:rPr>
          <w:bCs/>
          <w:sz w:val="24"/>
          <w:szCs w:val="24"/>
        </w:rPr>
        <w:t>I ceturksnī – 2</w:t>
      </w:r>
      <w:r w:rsidR="00A33FFC" w:rsidRPr="00A001E6">
        <w:rPr>
          <w:bCs/>
          <w:sz w:val="24"/>
          <w:szCs w:val="24"/>
        </w:rPr>
        <w:t>2</w:t>
      </w:r>
      <w:r w:rsidR="00F52329" w:rsidRPr="00A001E6">
        <w:rPr>
          <w:bCs/>
          <w:sz w:val="24"/>
          <w:szCs w:val="24"/>
        </w:rPr>
        <w:t>%, II ceturksnī – 23%, III ceturksnī – 2</w:t>
      </w:r>
      <w:r w:rsidR="00A33FFC" w:rsidRPr="00A001E6">
        <w:rPr>
          <w:bCs/>
          <w:sz w:val="24"/>
          <w:szCs w:val="24"/>
        </w:rPr>
        <w:t>7</w:t>
      </w:r>
      <w:r w:rsidR="00F52329" w:rsidRPr="00A001E6">
        <w:rPr>
          <w:bCs/>
          <w:sz w:val="24"/>
          <w:szCs w:val="24"/>
        </w:rPr>
        <w:t>%,</w:t>
      </w:r>
      <w:r w:rsidR="00F52329" w:rsidRPr="00EC50F7">
        <w:rPr>
          <w:bCs/>
          <w:sz w:val="24"/>
          <w:szCs w:val="24"/>
        </w:rPr>
        <w:t xml:space="preserve"> IV ceturksnī – 28%. Nepieciešamības gadījumā, mēneša plāns tiek aprēķināts kā viena trešā daļa no ceturkšņa plāna. </w:t>
      </w:r>
    </w:p>
    <w:bookmarkEnd w:id="6"/>
    <w:p w14:paraId="648844B5" w14:textId="77777777" w:rsidR="00F52329" w:rsidRPr="00EC50F7" w:rsidRDefault="00F52329" w:rsidP="00DD28E8">
      <w:pPr>
        <w:ind w:firstLine="567"/>
        <w:jc w:val="both"/>
        <w:rPr>
          <w:bCs/>
          <w:sz w:val="24"/>
          <w:szCs w:val="24"/>
        </w:rPr>
      </w:pPr>
      <w:r w:rsidRPr="00EC50F7">
        <w:rPr>
          <w:bCs/>
          <w:sz w:val="24"/>
          <w:szCs w:val="24"/>
        </w:rPr>
        <w:t>Lai nodrošinātu pašvaldību funkciju veikšanai sabalansētu naudas pūsmu, pašvaldībām tiek plānots reizi nedēļā pārskaitīt 15% no mēnesim prognozētajiem IIN ieņēmumiem. Par veiktajiem maksājumiem tiek plānots koriģēt pašvaldībām piekrītošo IIN ieņēmumu daļu attiecīgajā mēnesī.</w:t>
      </w:r>
    </w:p>
    <w:p w14:paraId="0E82B643" w14:textId="77777777" w:rsidR="00DD28E8" w:rsidRPr="00EC50F7" w:rsidRDefault="00DD28E8" w:rsidP="00E35937">
      <w:pPr>
        <w:ind w:firstLine="567"/>
        <w:jc w:val="both"/>
        <w:rPr>
          <w:sz w:val="24"/>
          <w:szCs w:val="24"/>
        </w:rPr>
      </w:pPr>
    </w:p>
    <w:p w14:paraId="2E968DB5" w14:textId="71E71808" w:rsidR="00AE228C" w:rsidRPr="00EC50F7" w:rsidRDefault="00AE228C" w:rsidP="00E35937">
      <w:pPr>
        <w:ind w:firstLine="567"/>
        <w:jc w:val="both"/>
        <w:rPr>
          <w:b/>
          <w:iCs/>
          <w:sz w:val="24"/>
          <w:szCs w:val="24"/>
        </w:rPr>
      </w:pPr>
      <w:r w:rsidRPr="00EC50F7">
        <w:rPr>
          <w:b/>
          <w:iCs/>
          <w:sz w:val="24"/>
          <w:szCs w:val="24"/>
        </w:rPr>
        <w:t>Puses vienojas:</w:t>
      </w:r>
    </w:p>
    <w:p w14:paraId="64A80D93" w14:textId="6C90D0D0" w:rsidR="00B42402" w:rsidRPr="00EC50F7" w:rsidRDefault="00B42402" w:rsidP="00E35937">
      <w:pPr>
        <w:ind w:firstLine="567"/>
        <w:jc w:val="both"/>
        <w:rPr>
          <w:sz w:val="24"/>
          <w:szCs w:val="24"/>
        </w:rPr>
      </w:pPr>
      <w:r w:rsidRPr="00EC50F7">
        <w:rPr>
          <w:iCs/>
          <w:sz w:val="24"/>
          <w:szCs w:val="24"/>
        </w:rPr>
        <w:t>Kopumā atbalstīt nodokļu ieņēmumus, kas tiek ieskaitīti pašvaldību budžetos 202</w:t>
      </w:r>
      <w:r w:rsidR="00A515FF" w:rsidRPr="00EC50F7">
        <w:rPr>
          <w:iCs/>
          <w:sz w:val="24"/>
          <w:szCs w:val="24"/>
        </w:rPr>
        <w:t>5</w:t>
      </w:r>
      <w:r w:rsidRPr="00EC50F7">
        <w:rPr>
          <w:iCs/>
          <w:sz w:val="24"/>
          <w:szCs w:val="24"/>
        </w:rPr>
        <w:t>. gadā atbilstoši protokola 1.pielikumā minētajam apmēram</w:t>
      </w:r>
      <w:r w:rsidR="00A515FF" w:rsidRPr="00EC50F7">
        <w:rPr>
          <w:iCs/>
          <w:sz w:val="24"/>
          <w:szCs w:val="24"/>
        </w:rPr>
        <w:t>.</w:t>
      </w:r>
      <w:r w:rsidRPr="00EC50F7">
        <w:rPr>
          <w:sz w:val="24"/>
          <w:szCs w:val="24"/>
        </w:rPr>
        <w:t xml:space="preserve"> </w:t>
      </w:r>
    </w:p>
    <w:p w14:paraId="11F924E1" w14:textId="77777777" w:rsidR="00686189" w:rsidRDefault="00686189" w:rsidP="00E35937">
      <w:pPr>
        <w:pStyle w:val="ListParagraph"/>
        <w:ind w:left="0"/>
        <w:jc w:val="center"/>
        <w:rPr>
          <w:b/>
          <w:sz w:val="24"/>
          <w:szCs w:val="24"/>
        </w:rPr>
      </w:pPr>
    </w:p>
    <w:p w14:paraId="47B0B6E2" w14:textId="3878EBC1" w:rsidR="00436629" w:rsidRPr="00EC50F7" w:rsidRDefault="00492A97" w:rsidP="00E35937">
      <w:pPr>
        <w:pStyle w:val="ListParagraph"/>
        <w:ind w:left="0"/>
        <w:jc w:val="center"/>
        <w:rPr>
          <w:b/>
          <w:sz w:val="24"/>
          <w:szCs w:val="24"/>
        </w:rPr>
      </w:pPr>
      <w:r w:rsidRPr="00EC50F7">
        <w:rPr>
          <w:b/>
          <w:sz w:val="24"/>
          <w:szCs w:val="24"/>
        </w:rPr>
        <w:t>3</w:t>
      </w:r>
      <w:r w:rsidR="00F22EBD" w:rsidRPr="00EC50F7">
        <w:rPr>
          <w:b/>
          <w:sz w:val="24"/>
          <w:szCs w:val="24"/>
        </w:rPr>
        <w:t xml:space="preserve">. </w:t>
      </w:r>
      <w:r w:rsidR="00436629" w:rsidRPr="00EC50F7">
        <w:rPr>
          <w:b/>
          <w:sz w:val="24"/>
          <w:szCs w:val="24"/>
        </w:rPr>
        <w:t>Par pašvaldību aizņēmumiem</w:t>
      </w:r>
      <w:r w:rsidR="005A6FA7" w:rsidRPr="00EC50F7">
        <w:rPr>
          <w:b/>
          <w:sz w:val="24"/>
          <w:szCs w:val="24"/>
        </w:rPr>
        <w:t xml:space="preserve"> un galvojumiem </w:t>
      </w:r>
    </w:p>
    <w:p w14:paraId="1D7BDE85" w14:textId="77777777" w:rsidR="00E9127F" w:rsidRPr="00EC50F7" w:rsidRDefault="00E9127F" w:rsidP="00E35937">
      <w:pPr>
        <w:ind w:firstLine="567"/>
        <w:jc w:val="both"/>
        <w:rPr>
          <w:rFonts w:eastAsia="Calibri"/>
          <w:b/>
          <w:bCs/>
          <w:color w:val="000000" w:themeColor="text1"/>
          <w:sz w:val="24"/>
          <w:szCs w:val="24"/>
        </w:rPr>
      </w:pPr>
    </w:p>
    <w:p w14:paraId="38BC35C7" w14:textId="7BF60524" w:rsidR="005466CC" w:rsidRPr="00020B77" w:rsidRDefault="005466CC" w:rsidP="009E6B34">
      <w:pPr>
        <w:ind w:firstLine="567"/>
        <w:jc w:val="both"/>
        <w:rPr>
          <w:b/>
          <w:bCs/>
          <w:sz w:val="24"/>
          <w:szCs w:val="24"/>
        </w:rPr>
      </w:pPr>
      <w:bookmarkStart w:id="7" w:name="_Hlk177634315"/>
      <w:r w:rsidRPr="00020B77">
        <w:rPr>
          <w:b/>
          <w:bCs/>
          <w:sz w:val="24"/>
          <w:szCs w:val="24"/>
        </w:rPr>
        <w:t xml:space="preserve">Puses vienojas: </w:t>
      </w:r>
    </w:p>
    <w:p w14:paraId="3EF2A414" w14:textId="02D8E5C1" w:rsidR="00CE36BD" w:rsidRPr="00020B77" w:rsidRDefault="00CE36BD" w:rsidP="00CE36BD">
      <w:pPr>
        <w:pStyle w:val="ListParagraph"/>
        <w:numPr>
          <w:ilvl w:val="0"/>
          <w:numId w:val="2"/>
        </w:numPr>
        <w:tabs>
          <w:tab w:val="left" w:pos="993"/>
        </w:tabs>
        <w:ind w:left="0" w:firstLine="567"/>
        <w:jc w:val="both"/>
        <w:rPr>
          <w:sz w:val="24"/>
          <w:szCs w:val="24"/>
        </w:rPr>
      </w:pPr>
      <w:r w:rsidRPr="00020B77">
        <w:rPr>
          <w:bCs/>
          <w:sz w:val="24"/>
          <w:szCs w:val="24"/>
        </w:rPr>
        <w:t xml:space="preserve">Noteikt </w:t>
      </w:r>
      <w:r w:rsidRPr="00020B77">
        <w:rPr>
          <w:rFonts w:eastAsia="Calibri"/>
          <w:sz w:val="24"/>
          <w:szCs w:val="24"/>
        </w:rPr>
        <w:t>pašvaldību ikgadējo pieļaujamo aizņēmuma palielinājumu 2025., 2026. un 2027. gadā 1</w:t>
      </w:r>
      <w:r w:rsidR="00203BF3" w:rsidRPr="00020B77">
        <w:rPr>
          <w:rFonts w:eastAsia="Calibri"/>
          <w:sz w:val="24"/>
          <w:szCs w:val="24"/>
        </w:rPr>
        <w:t>6</w:t>
      </w:r>
      <w:r w:rsidRPr="00020B77">
        <w:rPr>
          <w:rFonts w:eastAsia="Calibri"/>
          <w:sz w:val="24"/>
          <w:szCs w:val="24"/>
        </w:rPr>
        <w:t xml:space="preserve">8 milj. </w:t>
      </w:r>
      <w:proofErr w:type="spellStart"/>
      <w:r w:rsidRPr="00020B77">
        <w:rPr>
          <w:rFonts w:eastAsia="Calibri"/>
          <w:i/>
          <w:sz w:val="24"/>
          <w:szCs w:val="24"/>
        </w:rPr>
        <w:t>euro</w:t>
      </w:r>
      <w:proofErr w:type="spellEnd"/>
      <w:r w:rsidRPr="00020B77">
        <w:rPr>
          <w:rFonts w:eastAsia="Calibri"/>
          <w:sz w:val="24"/>
          <w:szCs w:val="24"/>
        </w:rPr>
        <w:t xml:space="preserve">. </w:t>
      </w:r>
      <w:r w:rsidRPr="00020B77">
        <w:rPr>
          <w:sz w:val="24"/>
          <w:szCs w:val="24"/>
        </w:rPr>
        <w:t xml:space="preserve">Sagatavojot likumu par valsts budžetu 2026. gadam un budžeta ietvaru 2026., 2027. un 2028. gadam, kopējais aizņēmumu pieļaujamais palielinājums tiek precizēts. </w:t>
      </w:r>
    </w:p>
    <w:p w14:paraId="7D8D6E3A" w14:textId="77777777" w:rsidR="00CE36BD" w:rsidRPr="00020B77" w:rsidRDefault="00CE36BD" w:rsidP="00CE36BD">
      <w:pPr>
        <w:pStyle w:val="ListParagraph"/>
        <w:numPr>
          <w:ilvl w:val="0"/>
          <w:numId w:val="2"/>
        </w:numPr>
        <w:tabs>
          <w:tab w:val="left" w:pos="993"/>
        </w:tabs>
        <w:ind w:hanging="153"/>
        <w:jc w:val="both"/>
        <w:rPr>
          <w:sz w:val="24"/>
          <w:szCs w:val="24"/>
        </w:rPr>
      </w:pPr>
      <w:r w:rsidRPr="00020B77">
        <w:rPr>
          <w:rFonts w:eastAsia="Calibri"/>
          <w:sz w:val="24"/>
          <w:szCs w:val="24"/>
        </w:rPr>
        <w:t>Noteikt galvenās pašvaldību aizņēmumu prioritātes 2025. – 2027. gadam:</w:t>
      </w:r>
    </w:p>
    <w:p w14:paraId="35CA948B" w14:textId="77777777" w:rsidR="00CE36BD" w:rsidRPr="00020B77" w:rsidRDefault="00CE36BD" w:rsidP="00CE36BD">
      <w:pPr>
        <w:ind w:left="993" w:hanging="426"/>
        <w:jc w:val="both"/>
        <w:rPr>
          <w:sz w:val="24"/>
          <w:szCs w:val="24"/>
          <w:lang w:eastAsia="lv-LV"/>
        </w:rPr>
      </w:pPr>
      <w:r w:rsidRPr="00020B77">
        <w:rPr>
          <w:sz w:val="24"/>
          <w:szCs w:val="24"/>
          <w:lang w:eastAsia="lv-LV"/>
        </w:rPr>
        <w:lastRenderedPageBreak/>
        <w:t xml:space="preserve">2.1. aizņēmumi </w:t>
      </w:r>
      <w:bookmarkStart w:id="8" w:name="_Hlk177458438"/>
      <w:bookmarkStart w:id="9" w:name="_Hlk148469588"/>
      <w:r w:rsidRPr="00020B77">
        <w:rPr>
          <w:sz w:val="24"/>
          <w:szCs w:val="24"/>
          <w:lang w:eastAsia="lv-LV"/>
        </w:rPr>
        <w:t xml:space="preserve">Eiropas Savienības </w:t>
      </w:r>
      <w:bookmarkEnd w:id="8"/>
      <w:r w:rsidRPr="00020B77">
        <w:rPr>
          <w:sz w:val="24"/>
          <w:szCs w:val="24"/>
          <w:lang w:eastAsia="lv-LV"/>
        </w:rPr>
        <w:t xml:space="preserve">un pārējās ārvalstu finanšu palīdzības (turpmāk – ES) līdzfinansētiem projektiem </w:t>
      </w:r>
      <w:bookmarkEnd w:id="9"/>
      <w:r w:rsidRPr="00020B77">
        <w:rPr>
          <w:sz w:val="24"/>
          <w:szCs w:val="24"/>
          <w:lang w:eastAsia="lv-LV"/>
        </w:rPr>
        <w:t>ar aizņēmuma apmēru, kas nepārsniedz projekta attiecināmo izmaksu kopējo apmēru.</w:t>
      </w:r>
    </w:p>
    <w:p w14:paraId="37B15A82" w14:textId="77777777" w:rsidR="00CE36BD" w:rsidRPr="00020B77" w:rsidRDefault="00CE36BD" w:rsidP="00CE36BD">
      <w:pPr>
        <w:ind w:left="993" w:hanging="426"/>
        <w:jc w:val="both"/>
        <w:rPr>
          <w:sz w:val="24"/>
          <w:szCs w:val="24"/>
          <w:lang w:eastAsia="lv-LV"/>
        </w:rPr>
      </w:pPr>
      <w:r w:rsidRPr="00020B77">
        <w:rPr>
          <w:sz w:val="24"/>
          <w:szCs w:val="24"/>
        </w:rPr>
        <w:t>2.2. aizņēmumi</w:t>
      </w:r>
      <w:r w:rsidRPr="00020B77">
        <w:rPr>
          <w:sz w:val="24"/>
          <w:szCs w:val="24"/>
          <w:lang w:eastAsia="lv-LV"/>
        </w:rPr>
        <w:t xml:space="preserve"> </w:t>
      </w:r>
      <w:bookmarkStart w:id="10" w:name="_Hlk148469613"/>
      <w:r w:rsidRPr="00020B77">
        <w:rPr>
          <w:sz w:val="24"/>
          <w:szCs w:val="24"/>
          <w:lang w:eastAsia="lv-LV"/>
        </w:rPr>
        <w:t xml:space="preserve">ES Atveseļošanas fonda (turpmāk – AF) finansētiem </w:t>
      </w:r>
      <w:r w:rsidRPr="00020B77">
        <w:rPr>
          <w:sz w:val="24"/>
          <w:szCs w:val="24"/>
        </w:rPr>
        <w:t xml:space="preserve"> </w:t>
      </w:r>
      <w:r w:rsidRPr="00020B77">
        <w:rPr>
          <w:sz w:val="24"/>
          <w:szCs w:val="24"/>
          <w:lang w:eastAsia="lv-LV"/>
        </w:rPr>
        <w:t>projektiem</w:t>
      </w:r>
      <w:bookmarkEnd w:id="10"/>
      <w:r w:rsidRPr="00020B77">
        <w:rPr>
          <w:sz w:val="24"/>
          <w:szCs w:val="24"/>
          <w:lang w:eastAsia="lv-LV"/>
        </w:rPr>
        <w:t xml:space="preserve">, ar aizņēmuma apmēru, kas ne vairāk kā par 10% pārsniedz projekta AF finansējuma apmēru, un pievienotās vērtības nodokļa izmaksām (turpmāk - PVN). </w:t>
      </w:r>
      <w:bookmarkStart w:id="11" w:name="_Hlk148005043"/>
      <w:r w:rsidRPr="00020B77">
        <w:rPr>
          <w:sz w:val="24"/>
          <w:szCs w:val="24"/>
          <w:lang w:eastAsia="lv-LV"/>
        </w:rPr>
        <w:t>Pašvaldībām AF finansēto projektu īstenošanai (saskaņotajām projekta aktivitātēm)  kopējie pieejamie resursi ir aizņēmums ne vairāk kā 110% apmērā no AF finansējuma, aizņēmums projekta PVN izmaksām, avanss no CFLA (atbilstoši Ministru kabineta noteikumos par attiecīgo AF aktivitāti noteiktajam apmēram)</w:t>
      </w:r>
      <w:bookmarkEnd w:id="11"/>
      <w:r w:rsidRPr="00020B77">
        <w:rPr>
          <w:sz w:val="24"/>
          <w:szCs w:val="24"/>
          <w:lang w:eastAsia="lv-LV"/>
        </w:rPr>
        <w:t xml:space="preserve"> un, ja nepieciešams, aizņēmums prioritārā investīciju projekta īstenošanai. </w:t>
      </w:r>
    </w:p>
    <w:p w14:paraId="29EA080B" w14:textId="6C5B1A90" w:rsidR="00CE36BD" w:rsidRPr="00020B77" w:rsidRDefault="00CE36BD" w:rsidP="00CE36BD">
      <w:pPr>
        <w:ind w:left="993" w:hanging="426"/>
        <w:jc w:val="both"/>
        <w:rPr>
          <w:sz w:val="24"/>
          <w:szCs w:val="24"/>
          <w:lang w:eastAsia="lv-LV"/>
        </w:rPr>
      </w:pPr>
      <w:r w:rsidRPr="00020B77">
        <w:rPr>
          <w:sz w:val="24"/>
          <w:szCs w:val="24"/>
          <w:lang w:eastAsia="lv-LV"/>
        </w:rPr>
        <w:t>2.3.</w:t>
      </w:r>
      <w:r w:rsidR="009E6B34">
        <w:rPr>
          <w:sz w:val="24"/>
          <w:szCs w:val="24"/>
          <w:lang w:eastAsia="lv-LV"/>
        </w:rPr>
        <w:t xml:space="preserve"> </w:t>
      </w:r>
      <w:r w:rsidRPr="00020B77">
        <w:rPr>
          <w:sz w:val="24"/>
          <w:szCs w:val="24"/>
        </w:rPr>
        <w:t>Rīgas valstspilsētas pašvaldības projekts “Satiksmes pārvads no Tvaika ielas uz Kundziņsalu” mērķu sasniegšanai atbilstoši Ministru kabineta 2024.</w:t>
      </w:r>
      <w:r w:rsidR="009E6B34">
        <w:rPr>
          <w:sz w:val="24"/>
          <w:szCs w:val="24"/>
        </w:rPr>
        <w:t xml:space="preserve"> </w:t>
      </w:r>
      <w:r w:rsidRPr="00020B77">
        <w:rPr>
          <w:sz w:val="24"/>
          <w:szCs w:val="24"/>
        </w:rPr>
        <w:t xml:space="preserve">gada </w:t>
      </w:r>
      <w:r w:rsidR="00750520">
        <w:rPr>
          <w:sz w:val="24"/>
          <w:szCs w:val="24"/>
        </w:rPr>
        <w:t>9</w:t>
      </w:r>
      <w:r w:rsidRPr="00020B77">
        <w:rPr>
          <w:sz w:val="24"/>
          <w:szCs w:val="24"/>
        </w:rPr>
        <w:t>.</w:t>
      </w:r>
      <w:r w:rsidR="009E6B34">
        <w:rPr>
          <w:sz w:val="24"/>
          <w:szCs w:val="24"/>
        </w:rPr>
        <w:t xml:space="preserve"> </w:t>
      </w:r>
      <w:r w:rsidRPr="00020B77">
        <w:rPr>
          <w:sz w:val="24"/>
          <w:szCs w:val="24"/>
        </w:rPr>
        <w:t xml:space="preserve">jūlija sēdes </w:t>
      </w:r>
      <w:r w:rsidRPr="00020B77">
        <w:rPr>
          <w:sz w:val="24"/>
          <w:szCs w:val="24"/>
          <w:lang w:eastAsia="lv-LV" w:bidi="lo-LA"/>
        </w:rPr>
        <w:t>Nr.</w:t>
      </w:r>
      <w:r w:rsidR="009E6B34">
        <w:rPr>
          <w:sz w:val="24"/>
          <w:szCs w:val="24"/>
          <w:lang w:eastAsia="lv-LV" w:bidi="lo-LA"/>
        </w:rPr>
        <w:t xml:space="preserve"> </w:t>
      </w:r>
      <w:r w:rsidRPr="00020B77">
        <w:rPr>
          <w:sz w:val="24"/>
          <w:szCs w:val="24"/>
          <w:lang w:eastAsia="lv-LV" w:bidi="lo-LA"/>
        </w:rPr>
        <w:t xml:space="preserve">28 </w:t>
      </w:r>
      <w:r w:rsidRPr="00020B77">
        <w:rPr>
          <w:sz w:val="24"/>
          <w:szCs w:val="24"/>
          <w:shd w:val="clear" w:color="auto" w:fill="FFFFFF"/>
        </w:rPr>
        <w:t xml:space="preserve">57.§ </w:t>
      </w:r>
      <w:r w:rsidRPr="00020B77">
        <w:rPr>
          <w:sz w:val="24"/>
          <w:szCs w:val="24"/>
          <w:lang w:eastAsia="lv-LV" w:bidi="lo-LA"/>
        </w:rPr>
        <w:t>lēmuma</w:t>
      </w:r>
      <w:r w:rsidRPr="00020B77">
        <w:rPr>
          <w:sz w:val="24"/>
          <w:szCs w:val="24"/>
          <w:shd w:val="clear" w:color="auto" w:fill="FFFFFF"/>
        </w:rPr>
        <w:t xml:space="preserve"> 2.</w:t>
      </w:r>
      <w:r w:rsidR="009E6B34">
        <w:rPr>
          <w:sz w:val="24"/>
          <w:szCs w:val="24"/>
          <w:shd w:val="clear" w:color="auto" w:fill="FFFFFF"/>
        </w:rPr>
        <w:t xml:space="preserve"> </w:t>
      </w:r>
      <w:r w:rsidRPr="00020B77">
        <w:rPr>
          <w:sz w:val="24"/>
          <w:szCs w:val="24"/>
          <w:shd w:val="clear" w:color="auto" w:fill="FFFFFF"/>
        </w:rPr>
        <w:t xml:space="preserve">punktā noteiktajiem nosacījumiem: aizņēmums </w:t>
      </w:r>
      <w:r w:rsidRPr="00020B77">
        <w:rPr>
          <w:sz w:val="24"/>
          <w:szCs w:val="24"/>
        </w:rPr>
        <w:t xml:space="preserve">2025. gadā 29,19 milj. </w:t>
      </w:r>
      <w:proofErr w:type="spellStart"/>
      <w:r w:rsidRPr="00020B77">
        <w:rPr>
          <w:i/>
          <w:iCs/>
          <w:sz w:val="24"/>
          <w:szCs w:val="24"/>
        </w:rPr>
        <w:t>euro</w:t>
      </w:r>
      <w:proofErr w:type="spellEnd"/>
      <w:r w:rsidRPr="00020B77">
        <w:rPr>
          <w:sz w:val="24"/>
          <w:szCs w:val="24"/>
        </w:rPr>
        <w:t xml:space="preserve"> un 2026.</w:t>
      </w:r>
      <w:r w:rsidR="009E6B34">
        <w:rPr>
          <w:sz w:val="24"/>
          <w:szCs w:val="24"/>
        </w:rPr>
        <w:t xml:space="preserve"> </w:t>
      </w:r>
      <w:r w:rsidRPr="00020B77">
        <w:rPr>
          <w:sz w:val="24"/>
          <w:szCs w:val="24"/>
        </w:rPr>
        <w:t xml:space="preserve">gadā  6,88 milj. </w:t>
      </w:r>
      <w:proofErr w:type="spellStart"/>
      <w:r w:rsidRPr="00020B77">
        <w:rPr>
          <w:i/>
          <w:iCs/>
          <w:sz w:val="24"/>
          <w:szCs w:val="24"/>
        </w:rPr>
        <w:t>euro</w:t>
      </w:r>
      <w:proofErr w:type="spellEnd"/>
      <w:r w:rsidRPr="00020B77">
        <w:rPr>
          <w:sz w:val="24"/>
          <w:szCs w:val="24"/>
        </w:rPr>
        <w:t xml:space="preserve"> ar nosacījumu, ka Rīgas vals</w:t>
      </w:r>
      <w:r w:rsidR="00B00125">
        <w:rPr>
          <w:sz w:val="24"/>
          <w:szCs w:val="24"/>
        </w:rPr>
        <w:t>ts</w:t>
      </w:r>
      <w:r w:rsidRPr="00020B77">
        <w:rPr>
          <w:sz w:val="24"/>
          <w:szCs w:val="24"/>
        </w:rPr>
        <w:t>pilsētas pašvaldība 2025. un 2026.</w:t>
      </w:r>
      <w:r w:rsidR="009E6B34">
        <w:rPr>
          <w:sz w:val="24"/>
          <w:szCs w:val="24"/>
        </w:rPr>
        <w:t xml:space="preserve"> </w:t>
      </w:r>
      <w:r w:rsidRPr="00020B77">
        <w:rPr>
          <w:sz w:val="24"/>
          <w:szCs w:val="24"/>
        </w:rPr>
        <w:t>gadā atmaksā iepriekš saņemtos aizņēmumus vismaz šajā punktā minētajos apmēros, tādējādi nodrošinot neitrālu ietekmi uz pašvaldību kopējo aizņēmumu limitu</w:t>
      </w:r>
      <w:r w:rsidRPr="00020B77">
        <w:rPr>
          <w:rStyle w:val="FootnoteReference"/>
          <w:sz w:val="24"/>
          <w:szCs w:val="24"/>
        </w:rPr>
        <w:footnoteReference w:id="2"/>
      </w:r>
      <w:r w:rsidRPr="00020B77">
        <w:rPr>
          <w:sz w:val="24"/>
          <w:szCs w:val="24"/>
        </w:rPr>
        <w:t xml:space="preserve">. </w:t>
      </w:r>
    </w:p>
    <w:p w14:paraId="1243472B" w14:textId="7CFB9A03" w:rsidR="00CE36BD" w:rsidRPr="00020B77" w:rsidRDefault="00CE36BD" w:rsidP="00CE36BD">
      <w:pPr>
        <w:ind w:left="993" w:hanging="426"/>
        <w:jc w:val="both"/>
        <w:rPr>
          <w:sz w:val="24"/>
          <w:szCs w:val="24"/>
          <w:lang w:eastAsia="lv-LV"/>
        </w:rPr>
      </w:pPr>
      <w:r w:rsidRPr="00020B77">
        <w:rPr>
          <w:sz w:val="24"/>
          <w:szCs w:val="24"/>
          <w:lang w:eastAsia="lv-LV"/>
        </w:rPr>
        <w:t>2.4.</w:t>
      </w:r>
      <w:r w:rsidR="009E6B34">
        <w:rPr>
          <w:sz w:val="24"/>
          <w:szCs w:val="24"/>
          <w:lang w:eastAsia="lv-LV"/>
        </w:rPr>
        <w:t xml:space="preserve"> </w:t>
      </w:r>
      <w:r w:rsidRPr="00020B77">
        <w:rPr>
          <w:sz w:val="24"/>
          <w:szCs w:val="24"/>
          <w:lang w:eastAsia="lv-LV"/>
        </w:rPr>
        <w:t xml:space="preserve">aizņēmumi </w:t>
      </w:r>
      <w:r w:rsidR="005466CC" w:rsidRPr="00020B77">
        <w:rPr>
          <w:sz w:val="24"/>
          <w:szCs w:val="24"/>
        </w:rPr>
        <w:t>Emisijas kvotu izsoļu ieņēmumu instrumentu</w:t>
      </w:r>
      <w:r w:rsidR="005466CC" w:rsidRPr="00020B77">
        <w:rPr>
          <w:i/>
          <w:iCs/>
          <w:sz w:val="24"/>
          <w:szCs w:val="24"/>
        </w:rPr>
        <w:t xml:space="preserve"> </w:t>
      </w:r>
      <w:r w:rsidRPr="00020B77">
        <w:rPr>
          <w:sz w:val="24"/>
          <w:szCs w:val="24"/>
          <w:lang w:eastAsia="lv-LV"/>
        </w:rPr>
        <w:t xml:space="preserve">līdzfinansētiem projektiem ar aizņēmuma apmēru, kas nepārsniedz projekta attiecināmo izmaksu kopējo apmēru. </w:t>
      </w:r>
    </w:p>
    <w:p w14:paraId="3A0E06CD" w14:textId="77777777" w:rsidR="00CE36BD" w:rsidRPr="00020B77" w:rsidRDefault="00CE36BD" w:rsidP="00CE36BD">
      <w:pPr>
        <w:ind w:left="993" w:hanging="426"/>
        <w:jc w:val="both"/>
        <w:rPr>
          <w:sz w:val="24"/>
          <w:szCs w:val="24"/>
          <w:lang w:eastAsia="lv-LV"/>
        </w:rPr>
      </w:pPr>
      <w:r w:rsidRPr="00020B77">
        <w:rPr>
          <w:sz w:val="24"/>
          <w:szCs w:val="24"/>
          <w:lang w:eastAsia="lv-LV"/>
        </w:rPr>
        <w:t xml:space="preserve">2.5. aizņēmumi </w:t>
      </w:r>
      <w:bookmarkStart w:id="13" w:name="_Hlk123651071"/>
      <w:r w:rsidRPr="00020B77">
        <w:rPr>
          <w:sz w:val="24"/>
          <w:szCs w:val="24"/>
          <w:lang w:eastAsia="lv-LV"/>
        </w:rPr>
        <w:t>jaunas pirmsskolas izglītības iestādes būvniecības vai esošas pirmsskolas izglītības iestādes paplašināšanas investīciju projektiem</w:t>
      </w:r>
      <w:bookmarkEnd w:id="13"/>
      <w:r w:rsidRPr="00020B77">
        <w:rPr>
          <w:sz w:val="24"/>
          <w:szCs w:val="24"/>
          <w:lang w:eastAsia="lv-LV"/>
        </w:rPr>
        <w:t xml:space="preserve">, lai mazinātu </w:t>
      </w:r>
      <w:r w:rsidRPr="00020B77">
        <w:rPr>
          <w:sz w:val="24"/>
          <w:szCs w:val="24"/>
        </w:rPr>
        <w:t>pašvaldībā reģistrēto bērnu rindu uz vietām pirmsskolas izglītības iestādēs</w:t>
      </w:r>
      <w:r w:rsidRPr="00020B77">
        <w:rPr>
          <w:rFonts w:eastAsia="Calibri"/>
          <w:sz w:val="24"/>
          <w:szCs w:val="24"/>
        </w:rPr>
        <w:t xml:space="preserve">. </w:t>
      </w:r>
      <w:r w:rsidRPr="00020B77">
        <w:rPr>
          <w:sz w:val="24"/>
          <w:szCs w:val="24"/>
          <w:lang w:eastAsia="lv-LV"/>
        </w:rPr>
        <w:t xml:space="preserve">Pašvaldības budžeta līdzfinansējums ne mazāk kā 10% un </w:t>
      </w:r>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par projekta atbilstību Ministru kabineta </w:t>
      </w:r>
      <w:r w:rsidRPr="00020B77">
        <w:rPr>
          <w:sz w:val="24"/>
          <w:szCs w:val="24"/>
        </w:rPr>
        <w:t xml:space="preserve">apstiprinātiem </w:t>
      </w:r>
      <w:bookmarkStart w:id="14" w:name="_Hlk125027011"/>
      <w:r w:rsidRPr="00020B77">
        <w:rPr>
          <w:sz w:val="24"/>
          <w:szCs w:val="24"/>
        </w:rPr>
        <w:t>projekta vērtēšanas kritērijiem</w:t>
      </w:r>
      <w:bookmarkEnd w:id="14"/>
      <w:r w:rsidRPr="00020B77">
        <w:rPr>
          <w:sz w:val="24"/>
          <w:szCs w:val="24"/>
        </w:rPr>
        <w:t xml:space="preserve">. </w:t>
      </w:r>
    </w:p>
    <w:p w14:paraId="4727B991" w14:textId="77777777" w:rsidR="00CE36BD" w:rsidRPr="00020B77" w:rsidRDefault="00CE36BD" w:rsidP="00CE36BD">
      <w:pPr>
        <w:pStyle w:val="ListParagraph"/>
        <w:numPr>
          <w:ilvl w:val="0"/>
          <w:numId w:val="2"/>
        </w:numPr>
        <w:tabs>
          <w:tab w:val="left" w:pos="491"/>
        </w:tabs>
        <w:spacing w:after="60"/>
        <w:ind w:left="0" w:firstLine="491"/>
        <w:jc w:val="both"/>
        <w:rPr>
          <w:sz w:val="24"/>
          <w:szCs w:val="24"/>
          <w:lang w:eastAsia="lv-LV"/>
        </w:rPr>
      </w:pPr>
      <w:r w:rsidRPr="00020B77">
        <w:rPr>
          <w:sz w:val="24"/>
          <w:szCs w:val="24"/>
          <w:lang w:eastAsia="lv-LV"/>
        </w:rPr>
        <w:t xml:space="preserve">Lai nodrošinātu ES līdzfinansēto projektu un AF finansēto projektu sekmīgu īstenošanu, pašvaldību aizņēmuma limita palielināšanas iespējas minētajiem projektiem, ir izskatāmas normatīvajos aktos noteiktajā kārtībā, ievērojot ilgtspējīgu finanšu politiku. </w:t>
      </w:r>
    </w:p>
    <w:p w14:paraId="5A06DA5F" w14:textId="77777777" w:rsidR="00CE36BD" w:rsidRPr="00020B77" w:rsidRDefault="00CE36BD" w:rsidP="00CE36BD">
      <w:pPr>
        <w:pStyle w:val="ListParagraph"/>
        <w:numPr>
          <w:ilvl w:val="0"/>
          <w:numId w:val="2"/>
        </w:numPr>
        <w:tabs>
          <w:tab w:val="left" w:pos="491"/>
        </w:tabs>
        <w:spacing w:after="60"/>
        <w:ind w:left="0" w:firstLine="491"/>
        <w:jc w:val="both"/>
        <w:rPr>
          <w:sz w:val="24"/>
          <w:szCs w:val="24"/>
          <w:lang w:eastAsia="lv-LV"/>
        </w:rPr>
      </w:pPr>
      <w:r w:rsidRPr="00020B77">
        <w:rPr>
          <w:rFonts w:eastAsia="Calibri"/>
          <w:sz w:val="24"/>
          <w:szCs w:val="24"/>
        </w:rPr>
        <w:t xml:space="preserve">Lai nodrošinātu fiskāli atbildīgu pašvaldību saistību uzņemšanos un nodrošinātu augstas gatavības lietderīgu projektu īstenošanu, ņemot vērā pašvaldībām noteikto pieļaujamo kopējo aizņēmumu palielinājumu, papildus vidējā termiņa aizņēmuma prioritātēm </w:t>
      </w:r>
      <w:r w:rsidRPr="00020B77">
        <w:rPr>
          <w:sz w:val="24"/>
          <w:szCs w:val="24"/>
          <w:lang w:eastAsia="lv-LV"/>
        </w:rPr>
        <w:t xml:space="preserve">2025. gadā noteikt  aizņēmumus: </w:t>
      </w:r>
    </w:p>
    <w:p w14:paraId="53F46187" w14:textId="76723354"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lang w:eastAsia="lv-LV"/>
        </w:rPr>
        <w:t>izglītības iestādes investīciju projektu īstenošanai ilgtspējīgas pamatizglītības un vidējās izglītības funkcijas īstenošanai, kā arī skolu tīkla sakārtošanai</w:t>
      </w:r>
      <w:r w:rsidR="00D360AA" w:rsidRPr="00020B77">
        <w:rPr>
          <w:sz w:val="24"/>
          <w:szCs w:val="24"/>
          <w:lang w:eastAsia="lv-LV"/>
        </w:rPr>
        <w:t>. P</w:t>
      </w:r>
      <w:r w:rsidRPr="00020B77">
        <w:rPr>
          <w:sz w:val="24"/>
          <w:szCs w:val="24"/>
          <w:lang w:eastAsia="lv-LV"/>
        </w:rPr>
        <w:t>ašvaldības budžeta līdzfinansējum</w:t>
      </w:r>
      <w:r w:rsidR="00FE7557">
        <w:rPr>
          <w:sz w:val="24"/>
          <w:szCs w:val="24"/>
          <w:lang w:eastAsia="lv-LV"/>
        </w:rPr>
        <w:t>s</w:t>
      </w:r>
      <w:r w:rsidRPr="00020B77">
        <w:rPr>
          <w:sz w:val="24"/>
          <w:szCs w:val="24"/>
          <w:lang w:eastAsia="lv-LV"/>
        </w:rPr>
        <w:t xml:space="preserve"> ne mazāk kā 10%</w:t>
      </w:r>
      <w:r w:rsidR="00C235C3" w:rsidRPr="00020B77">
        <w:rPr>
          <w:sz w:val="24"/>
          <w:szCs w:val="24"/>
          <w:lang w:eastAsia="lv-LV"/>
        </w:rPr>
        <w:t xml:space="preserve">, izņemot jaunas izglītības iestādes būvniecības gadījumā, </w:t>
      </w:r>
      <w:r w:rsidRPr="00020B77">
        <w:rPr>
          <w:sz w:val="24"/>
          <w:szCs w:val="24"/>
          <w:lang w:eastAsia="lv-LV"/>
        </w:rPr>
        <w:t xml:space="preserve"> un </w:t>
      </w:r>
      <w:r w:rsidRPr="00020B77">
        <w:rPr>
          <w:sz w:val="24"/>
          <w:szCs w:val="24"/>
          <w:shd w:val="clear" w:color="auto" w:fill="FFFFFF"/>
        </w:rPr>
        <w:t>Izglītības un zinātnes ministrijas pozitīv</w:t>
      </w:r>
      <w:r w:rsidR="00FE7557">
        <w:rPr>
          <w:sz w:val="24"/>
          <w:szCs w:val="24"/>
          <w:shd w:val="clear" w:color="auto" w:fill="FFFFFF"/>
        </w:rPr>
        <w:t>s</w:t>
      </w:r>
      <w:r w:rsidRPr="00020B77">
        <w:rPr>
          <w:sz w:val="24"/>
          <w:szCs w:val="24"/>
          <w:shd w:val="clear" w:color="auto" w:fill="FFFFFF"/>
        </w:rPr>
        <w:t xml:space="preserve"> atzinum</w:t>
      </w:r>
      <w:r w:rsidR="00FE7557">
        <w:rPr>
          <w:sz w:val="24"/>
          <w:szCs w:val="24"/>
          <w:shd w:val="clear" w:color="auto" w:fill="FFFFFF"/>
        </w:rPr>
        <w:t>s</w:t>
      </w:r>
      <w:r w:rsidRPr="00020B77">
        <w:rPr>
          <w:sz w:val="24"/>
          <w:szCs w:val="24"/>
          <w:shd w:val="clear" w:color="auto" w:fill="FFFFFF"/>
        </w:rPr>
        <w:t xml:space="preserve"> par projekta atbilstību Ministru kabineta apstiprinātiem </w:t>
      </w:r>
      <w:r w:rsidRPr="00020B77">
        <w:rPr>
          <w:sz w:val="24"/>
          <w:szCs w:val="24"/>
        </w:rPr>
        <w:t xml:space="preserve">projekta vērtēšanas kritērijiem. </w:t>
      </w:r>
    </w:p>
    <w:p w14:paraId="614E4AE9" w14:textId="77777777"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lang w:eastAsia="lv-LV"/>
        </w:rPr>
        <w:t xml:space="preserve">pirmsskolas izglītības iestāžu infrastruktūras investīciju projektiem. Pašvaldības budžeta līdzfinansējums ne mazāk kā 10% un </w:t>
      </w:r>
      <w:bookmarkStart w:id="15" w:name="_Hlk147822846"/>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w:t>
      </w:r>
      <w:bookmarkEnd w:id="15"/>
      <w:r w:rsidRPr="00020B77">
        <w:rPr>
          <w:sz w:val="24"/>
          <w:szCs w:val="24"/>
          <w:lang w:eastAsia="lv-LV"/>
        </w:rPr>
        <w:t xml:space="preserve">par projekta atbilstību Ministru kabineta </w:t>
      </w:r>
      <w:r w:rsidRPr="00020B77">
        <w:rPr>
          <w:sz w:val="24"/>
          <w:szCs w:val="24"/>
        </w:rPr>
        <w:t xml:space="preserve">apstiprinātiem projekta vērtēšanas kritērijiem. </w:t>
      </w:r>
      <w:bookmarkStart w:id="16" w:name="_Hlk148343776"/>
    </w:p>
    <w:bookmarkEnd w:id="16"/>
    <w:p w14:paraId="139CC8CE" w14:textId="77777777"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lang w:eastAsia="lv-LV"/>
        </w:rPr>
        <w:t>transporta iegādei skolēnu pārvadāšanai</w:t>
      </w:r>
      <w:r w:rsidRPr="00020B77">
        <w:rPr>
          <w:b/>
          <w:bCs/>
          <w:sz w:val="24"/>
          <w:szCs w:val="24"/>
          <w:lang w:eastAsia="lv-LV"/>
        </w:rPr>
        <w:t xml:space="preserve"> </w:t>
      </w:r>
      <w:r w:rsidRPr="00020B77">
        <w:rPr>
          <w:rFonts w:eastAsia="Calibri"/>
          <w:sz w:val="24"/>
          <w:szCs w:val="24"/>
        </w:rPr>
        <w:t xml:space="preserve">ar atmaksas termiņu līdz septiņiem gadiem no aizdevuma līguma noslēgšanas dienas un </w:t>
      </w:r>
      <w:r w:rsidRPr="00020B77">
        <w:rPr>
          <w:sz w:val="24"/>
          <w:szCs w:val="24"/>
          <w:lang w:eastAsia="lv-LV"/>
        </w:rPr>
        <w:t xml:space="preserve">ar pašvaldības budžeta līdzfinansējumu ne mazāk kā 10%. </w:t>
      </w:r>
    </w:p>
    <w:p w14:paraId="00D0397E" w14:textId="77777777"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rPr>
        <w:t>iekšējās drošības investīciju projektu īstenošanai- policijas infrastruktūras izveidei un uzlabošanai.</w:t>
      </w:r>
      <w:r w:rsidRPr="00020B77">
        <w:rPr>
          <w:sz w:val="24"/>
          <w:szCs w:val="24"/>
          <w:lang w:eastAsia="lv-LV"/>
        </w:rPr>
        <w:t xml:space="preserve"> Pašvaldības budžeta līdzfinansējums ne mazāk kā 15% un </w:t>
      </w:r>
      <w:r w:rsidRPr="00020B77">
        <w:rPr>
          <w:sz w:val="24"/>
          <w:szCs w:val="24"/>
        </w:rPr>
        <w:t>Viedās administrācijas</w:t>
      </w:r>
      <w:r w:rsidRPr="00020B77">
        <w:rPr>
          <w:sz w:val="36"/>
          <w:szCs w:val="36"/>
        </w:rPr>
        <w:t xml:space="preserve"> </w:t>
      </w:r>
      <w:r w:rsidRPr="00020B77">
        <w:rPr>
          <w:sz w:val="24"/>
          <w:szCs w:val="24"/>
          <w:lang w:eastAsia="lv-LV"/>
        </w:rPr>
        <w:t xml:space="preserve">un reģionālās attīstības ministrijas pozitīvs atzinums par </w:t>
      </w:r>
      <w:r w:rsidRPr="00020B77">
        <w:rPr>
          <w:rFonts w:eastAsia="Calibri"/>
          <w:sz w:val="24"/>
          <w:szCs w:val="24"/>
        </w:rPr>
        <w:t xml:space="preserve">attiecīgā </w:t>
      </w:r>
      <w:r w:rsidRPr="00020B77">
        <w:rPr>
          <w:rFonts w:eastAsia="Calibri"/>
          <w:sz w:val="24"/>
          <w:szCs w:val="24"/>
        </w:rPr>
        <w:lastRenderedPageBreak/>
        <w:t>projekta atbilstību pašvaldības attīstības programmai</w:t>
      </w:r>
      <w:r w:rsidRPr="00020B77">
        <w:rPr>
          <w:sz w:val="24"/>
          <w:szCs w:val="24"/>
          <w:lang w:eastAsia="lv-LV"/>
        </w:rPr>
        <w:t xml:space="preserve"> un projekta nepieciešamību autonomās funkcijas nodrošināšanai.</w:t>
      </w:r>
    </w:p>
    <w:p w14:paraId="4F3A4228" w14:textId="4F81FD7F"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rPr>
        <w:t>ceļu būvniecības projektiem</w:t>
      </w:r>
      <w:r w:rsidRPr="00020B77">
        <w:rPr>
          <w:rStyle w:val="FootnoteReference"/>
          <w:sz w:val="24"/>
          <w:szCs w:val="24"/>
        </w:rPr>
        <w:footnoteReference w:id="3"/>
      </w:r>
      <w:r w:rsidRPr="00020B77">
        <w:rPr>
          <w:sz w:val="24"/>
          <w:szCs w:val="24"/>
        </w:rPr>
        <w:t xml:space="preserve">, tajā skaitā projektā paredzēto  inženiertīklu būvniecībai,  ar pašvaldības budžeta līdzfinansējumu ne mazāk kā 15%. Satiksmes ministrija sniedz atzinumu par ceļu būvniecības projektu (izņemot par būvprojektā paredzēto, bet ceļa funkcijā neiekļauto inženiertīklu būvniecību) atbilstību apstiprinātiem projektu vērtēšanas nosacījumiem. </w:t>
      </w:r>
    </w:p>
    <w:p w14:paraId="0908D8E5" w14:textId="41184CE9" w:rsidR="00CE36BD" w:rsidRPr="00020B77" w:rsidRDefault="00CE36BD" w:rsidP="00CE36BD">
      <w:pPr>
        <w:pStyle w:val="ListParagraph"/>
        <w:numPr>
          <w:ilvl w:val="1"/>
          <w:numId w:val="11"/>
        </w:numPr>
        <w:ind w:left="993" w:hanging="426"/>
        <w:jc w:val="both"/>
        <w:rPr>
          <w:sz w:val="24"/>
          <w:szCs w:val="24"/>
          <w:lang w:eastAsia="lv-LV"/>
        </w:rPr>
      </w:pPr>
      <w:r w:rsidRPr="00020B77">
        <w:rPr>
          <w:rFonts w:eastAsia="Calibri"/>
          <w:sz w:val="24"/>
          <w:szCs w:val="24"/>
        </w:rPr>
        <w:t>meliorācijas sistēmu sakārtošanas</w:t>
      </w:r>
      <w:r w:rsidR="00C235C3" w:rsidRPr="00020B77">
        <w:rPr>
          <w:rFonts w:eastAsia="Calibri"/>
          <w:sz w:val="24"/>
          <w:szCs w:val="24"/>
        </w:rPr>
        <w:t xml:space="preserve">, </w:t>
      </w:r>
      <w:r w:rsidRPr="00020B77">
        <w:rPr>
          <w:rFonts w:eastAsia="Calibri"/>
          <w:sz w:val="24"/>
          <w:szCs w:val="24"/>
        </w:rPr>
        <w:t>rekonstrukcijas</w:t>
      </w:r>
      <w:r w:rsidR="00C235C3" w:rsidRPr="00020B77">
        <w:rPr>
          <w:rFonts w:eastAsia="Calibri"/>
          <w:sz w:val="24"/>
          <w:szCs w:val="24"/>
        </w:rPr>
        <w:t xml:space="preserve"> investīciju projektiem</w:t>
      </w:r>
      <w:r w:rsidR="00D360AA" w:rsidRPr="00020B77">
        <w:rPr>
          <w:rFonts w:eastAsia="Calibri"/>
          <w:sz w:val="24"/>
          <w:szCs w:val="24"/>
        </w:rPr>
        <w:t xml:space="preserve">, kā arī </w:t>
      </w:r>
      <w:r w:rsidR="00C235C3" w:rsidRPr="00020B77">
        <w:rPr>
          <w:rFonts w:eastAsia="Calibri"/>
          <w:sz w:val="24"/>
          <w:szCs w:val="24"/>
        </w:rPr>
        <w:t xml:space="preserve">pilsētu  lietus, ūdens kanalizācijas sistēmas investīciju </w:t>
      </w:r>
      <w:r w:rsidRPr="00020B77">
        <w:rPr>
          <w:rFonts w:eastAsia="Calibri"/>
          <w:sz w:val="24"/>
          <w:szCs w:val="24"/>
        </w:rPr>
        <w:t>projektiem</w:t>
      </w:r>
      <w:r w:rsidR="00C235C3" w:rsidRPr="00020B77">
        <w:rPr>
          <w:rFonts w:eastAsia="Calibri"/>
          <w:sz w:val="24"/>
          <w:szCs w:val="24"/>
        </w:rPr>
        <w:t xml:space="preserve">. </w:t>
      </w:r>
      <w:r w:rsidRPr="00020B77">
        <w:rPr>
          <w:sz w:val="24"/>
          <w:szCs w:val="24"/>
          <w:lang w:eastAsia="lv-LV"/>
        </w:rPr>
        <w:t xml:space="preserve">Pašvaldības budžeta līdzfinansējums ne mazāk kā 15% un </w:t>
      </w:r>
      <w:r w:rsidRPr="00020B77">
        <w:rPr>
          <w:sz w:val="24"/>
          <w:szCs w:val="24"/>
        </w:rPr>
        <w:t xml:space="preserve">Zemkopības ministrijas </w:t>
      </w:r>
      <w:r w:rsidRPr="00020B77">
        <w:rPr>
          <w:sz w:val="24"/>
          <w:szCs w:val="24"/>
          <w:lang w:eastAsia="lv-LV"/>
        </w:rPr>
        <w:t>pozitīvs atzinum</w:t>
      </w:r>
      <w:r w:rsidR="00B0525D" w:rsidRPr="00020B77">
        <w:rPr>
          <w:sz w:val="24"/>
          <w:szCs w:val="24"/>
          <w:lang w:eastAsia="lv-LV"/>
        </w:rPr>
        <w:t xml:space="preserve">s par pašvaldības </w:t>
      </w:r>
      <w:r w:rsidR="00B0525D" w:rsidRPr="00020B77">
        <w:rPr>
          <w:rFonts w:eastAsia="Calibri"/>
          <w:sz w:val="24"/>
          <w:szCs w:val="24"/>
        </w:rPr>
        <w:t>meliorācijas sistēmas</w:t>
      </w:r>
      <w:r w:rsidR="00C235C3" w:rsidRPr="00020B77">
        <w:rPr>
          <w:rFonts w:eastAsia="Calibri"/>
          <w:sz w:val="24"/>
          <w:szCs w:val="24"/>
        </w:rPr>
        <w:t xml:space="preserve"> un pilsētu lietus, ūdens kanalizācijas sistēmas</w:t>
      </w:r>
      <w:r w:rsidR="00B0525D" w:rsidRPr="00020B77">
        <w:rPr>
          <w:rFonts w:eastAsia="Calibri"/>
          <w:sz w:val="24"/>
          <w:szCs w:val="24"/>
        </w:rPr>
        <w:t xml:space="preserve"> iekļaušanos kopējā meliorācijas sistēmā un funkcionalitātes nodrošināšanu attiecīgajā pašvaldības teritorijā. </w:t>
      </w:r>
    </w:p>
    <w:p w14:paraId="33757866" w14:textId="357EE4CD" w:rsidR="00CE36BD" w:rsidRPr="00020B77" w:rsidRDefault="00CE36BD" w:rsidP="00CE36BD">
      <w:pPr>
        <w:pStyle w:val="ListParagraph"/>
        <w:numPr>
          <w:ilvl w:val="1"/>
          <w:numId w:val="11"/>
        </w:numPr>
        <w:ind w:left="993" w:hanging="426"/>
        <w:jc w:val="both"/>
        <w:rPr>
          <w:sz w:val="24"/>
          <w:szCs w:val="24"/>
          <w:lang w:eastAsia="lv-LV"/>
        </w:rPr>
      </w:pPr>
      <w:r w:rsidRPr="00020B77">
        <w:rPr>
          <w:sz w:val="24"/>
          <w:szCs w:val="24"/>
          <w:lang w:eastAsia="lv-LV"/>
        </w:rPr>
        <w:t xml:space="preserve">pašvaldības ne vairāk kā četriem noteiktiem prioritāriem investīciju projektiem ar aizņēmumu kopsummu ne vairāk kā 1,5 milj. </w:t>
      </w:r>
      <w:proofErr w:type="spellStart"/>
      <w:r w:rsidRPr="00020B77">
        <w:rPr>
          <w:i/>
          <w:iCs/>
          <w:sz w:val="24"/>
          <w:szCs w:val="24"/>
          <w:lang w:eastAsia="lv-LV"/>
        </w:rPr>
        <w:t>euro</w:t>
      </w:r>
      <w:proofErr w:type="spellEnd"/>
      <w:r w:rsidRPr="00020B77">
        <w:rPr>
          <w:sz w:val="24"/>
          <w:szCs w:val="24"/>
          <w:lang w:eastAsia="lv-LV"/>
        </w:rPr>
        <w:t xml:space="preserve"> apmērā, bet Rīgas</w:t>
      </w:r>
      <w:r w:rsidRPr="00020B77">
        <w:rPr>
          <w:sz w:val="24"/>
          <w:szCs w:val="24"/>
        </w:rPr>
        <w:t xml:space="preserve"> valstspilsētas pašvaldībai kā galvaspilsētai ar aizņēmumu </w:t>
      </w:r>
      <w:r w:rsidRPr="00020B77">
        <w:rPr>
          <w:sz w:val="24"/>
          <w:szCs w:val="24"/>
          <w:lang w:eastAsia="lv-LV"/>
        </w:rPr>
        <w:t xml:space="preserve">kopsummu ne vairāk kā </w:t>
      </w:r>
      <w:r w:rsidR="005466CC" w:rsidRPr="00020B77">
        <w:rPr>
          <w:sz w:val="24"/>
          <w:szCs w:val="24"/>
          <w:lang w:eastAsia="lv-LV"/>
        </w:rPr>
        <w:t>8</w:t>
      </w:r>
      <w:r w:rsidRPr="00020B77">
        <w:rPr>
          <w:sz w:val="24"/>
          <w:szCs w:val="24"/>
          <w:lang w:eastAsia="lv-LV"/>
        </w:rPr>
        <w:t xml:space="preserve"> milj. </w:t>
      </w:r>
      <w:proofErr w:type="spellStart"/>
      <w:r w:rsidRPr="00020B77">
        <w:rPr>
          <w:i/>
          <w:iCs/>
          <w:sz w:val="24"/>
          <w:szCs w:val="24"/>
          <w:lang w:eastAsia="lv-LV"/>
        </w:rPr>
        <w:t>euro</w:t>
      </w:r>
      <w:proofErr w:type="spellEnd"/>
      <w:r w:rsidRPr="00020B77">
        <w:rPr>
          <w:sz w:val="24"/>
          <w:szCs w:val="24"/>
          <w:lang w:eastAsia="lv-LV"/>
        </w:rPr>
        <w:t xml:space="preserve"> apmērā. Nosacījumi: </w:t>
      </w:r>
    </w:p>
    <w:p w14:paraId="3C98A52A" w14:textId="7391A844" w:rsidR="00CE36BD" w:rsidRPr="00020B77" w:rsidRDefault="00CE36BD" w:rsidP="00CE36BD">
      <w:pPr>
        <w:pStyle w:val="ListParagraph"/>
        <w:numPr>
          <w:ilvl w:val="0"/>
          <w:numId w:val="22"/>
        </w:numPr>
        <w:jc w:val="both"/>
        <w:rPr>
          <w:sz w:val="24"/>
          <w:szCs w:val="24"/>
          <w:lang w:eastAsia="lv-LV"/>
        </w:rPr>
      </w:pPr>
      <w:r w:rsidRPr="00020B77">
        <w:rPr>
          <w:sz w:val="24"/>
          <w:szCs w:val="24"/>
          <w:lang w:eastAsia="lv-LV"/>
        </w:rPr>
        <w:t>pašvaldības budžeta līdzfinansējums ne mazāk kā 1</w:t>
      </w:r>
      <w:r w:rsidR="00203BF3" w:rsidRPr="00020B77">
        <w:rPr>
          <w:sz w:val="24"/>
          <w:szCs w:val="24"/>
          <w:lang w:eastAsia="lv-LV"/>
        </w:rPr>
        <w:t>0</w:t>
      </w:r>
      <w:r w:rsidRPr="00020B77">
        <w:rPr>
          <w:sz w:val="24"/>
          <w:szCs w:val="24"/>
          <w:lang w:eastAsia="lv-LV"/>
        </w:rPr>
        <w:t>%.</w:t>
      </w:r>
    </w:p>
    <w:p w14:paraId="47051A5E" w14:textId="77777777" w:rsidR="00CE36BD" w:rsidRPr="00020B77" w:rsidRDefault="00CE36BD" w:rsidP="00CE36BD">
      <w:pPr>
        <w:pStyle w:val="ListParagraph"/>
        <w:numPr>
          <w:ilvl w:val="0"/>
          <w:numId w:val="22"/>
        </w:numPr>
        <w:jc w:val="both"/>
        <w:rPr>
          <w:sz w:val="24"/>
          <w:szCs w:val="24"/>
          <w:lang w:eastAsia="lv-LV"/>
        </w:rPr>
      </w:pPr>
      <w:r w:rsidRPr="00020B77">
        <w:rPr>
          <w:sz w:val="24"/>
          <w:szCs w:val="24"/>
          <w:lang w:eastAsia="lv-LV"/>
        </w:rPr>
        <w:t xml:space="preserve">pašvaldības domes lēmums, kas apliecina attiecīgā projekta atbilstību pašvaldības attīstības programmai un lietderīgu investīciju īstenošanu pašvaldības autonomās funkcijas nodrošināšanai. </w:t>
      </w:r>
    </w:p>
    <w:p w14:paraId="29D16762" w14:textId="3B9726A2" w:rsidR="00CE36BD" w:rsidRPr="00020B77" w:rsidRDefault="00CE36BD" w:rsidP="00CE36BD">
      <w:pPr>
        <w:pStyle w:val="ListParagraph"/>
        <w:numPr>
          <w:ilvl w:val="0"/>
          <w:numId w:val="22"/>
        </w:numPr>
        <w:jc w:val="both"/>
        <w:rPr>
          <w:sz w:val="24"/>
          <w:szCs w:val="24"/>
          <w:lang w:eastAsia="lv-LV"/>
        </w:rPr>
      </w:pPr>
      <w:r w:rsidRPr="00020B77">
        <w:rPr>
          <w:sz w:val="24"/>
          <w:szCs w:val="24"/>
          <w:lang w:eastAsia="lv-LV"/>
        </w:rPr>
        <w:t>aizņēmums piešķirams ar izmaksu 2025. un 2026. gadā, nosakot, ka pašvaldība 2025.</w:t>
      </w:r>
      <w:r w:rsidR="009E6B34">
        <w:rPr>
          <w:sz w:val="24"/>
          <w:szCs w:val="24"/>
          <w:lang w:eastAsia="lv-LV"/>
        </w:rPr>
        <w:t xml:space="preserve"> </w:t>
      </w:r>
      <w:r w:rsidRPr="00020B77">
        <w:rPr>
          <w:sz w:val="24"/>
          <w:szCs w:val="24"/>
          <w:lang w:eastAsia="lv-LV"/>
        </w:rPr>
        <w:t xml:space="preserve">gadā neapgūto aizņēmuma daļu </w:t>
      </w:r>
      <w:r w:rsidRPr="00020B77">
        <w:rPr>
          <w:sz w:val="24"/>
          <w:szCs w:val="24"/>
        </w:rPr>
        <w:t xml:space="preserve">nodrošina no pašvaldības 2026. gada budžeta līdzekļiem. </w:t>
      </w:r>
    </w:p>
    <w:p w14:paraId="6177EF45" w14:textId="16281F98" w:rsidR="00CE36BD" w:rsidRPr="00020B77" w:rsidRDefault="00CE36BD" w:rsidP="00CE36BD">
      <w:pPr>
        <w:pStyle w:val="ListParagraph"/>
        <w:numPr>
          <w:ilvl w:val="0"/>
          <w:numId w:val="22"/>
        </w:numPr>
        <w:jc w:val="both"/>
        <w:rPr>
          <w:sz w:val="24"/>
          <w:szCs w:val="24"/>
          <w:lang w:eastAsia="lv-LV"/>
        </w:rPr>
      </w:pPr>
      <w:r w:rsidRPr="00020B77">
        <w:rPr>
          <w:sz w:val="24"/>
          <w:szCs w:val="24"/>
        </w:rPr>
        <w:t xml:space="preserve">aizņēmumu var izmantot pašvaldības investīciju projekta vai tā kārtas īstenošanai (turpināšanai, pabeigšanai), tajā skaitā </w:t>
      </w:r>
      <w:r w:rsidRPr="00020B77">
        <w:rPr>
          <w:sz w:val="24"/>
          <w:szCs w:val="24"/>
          <w:lang w:eastAsia="lv-LV"/>
        </w:rPr>
        <w:t xml:space="preserve">ES līdzfinansēto projektu un  AF finansēto projektu īstenošanai. </w:t>
      </w:r>
    </w:p>
    <w:p w14:paraId="51230DA5" w14:textId="6927EC0A" w:rsidR="00CE36BD" w:rsidRPr="00020B77" w:rsidRDefault="00CE36BD" w:rsidP="00CE36BD">
      <w:pPr>
        <w:pStyle w:val="ListParagraph"/>
        <w:numPr>
          <w:ilvl w:val="0"/>
          <w:numId w:val="22"/>
        </w:numPr>
        <w:jc w:val="both"/>
        <w:rPr>
          <w:sz w:val="24"/>
          <w:szCs w:val="24"/>
          <w:lang w:eastAsia="lv-LV"/>
        </w:rPr>
      </w:pPr>
      <w:r w:rsidRPr="00020B77">
        <w:rPr>
          <w:sz w:val="24"/>
          <w:szCs w:val="24"/>
          <w:lang w:eastAsia="lv-LV"/>
        </w:rPr>
        <w:t>aizņēmumu nav iespējams saņemt pašvaldības budžeta līdzfinansējuma daļas nodrošināšanai 2.5., 4.1.</w:t>
      </w:r>
      <w:r w:rsidR="009E6B34">
        <w:rPr>
          <w:sz w:val="24"/>
          <w:szCs w:val="24"/>
          <w:lang w:eastAsia="lv-LV"/>
        </w:rPr>
        <w:t xml:space="preserve"> – </w:t>
      </w:r>
      <w:r w:rsidRPr="00020B77">
        <w:rPr>
          <w:sz w:val="24"/>
          <w:szCs w:val="24"/>
          <w:lang w:eastAsia="lv-LV"/>
        </w:rPr>
        <w:t xml:space="preserve">4.6.punktā  minētajos investīciju projektos. </w:t>
      </w:r>
    </w:p>
    <w:p w14:paraId="48CF5C24" w14:textId="77777777" w:rsidR="00CE36BD" w:rsidRPr="00020B77" w:rsidRDefault="00CE36BD" w:rsidP="00CE36BD">
      <w:pPr>
        <w:pStyle w:val="ListParagraph"/>
        <w:numPr>
          <w:ilvl w:val="1"/>
          <w:numId w:val="11"/>
        </w:numPr>
        <w:ind w:left="993" w:hanging="426"/>
        <w:jc w:val="both"/>
        <w:rPr>
          <w:sz w:val="24"/>
          <w:szCs w:val="24"/>
          <w:lang w:eastAsia="lv-LV"/>
        </w:rPr>
      </w:pPr>
      <w:r w:rsidRPr="00020B77">
        <w:rPr>
          <w:rFonts w:eastAsia="Calibri"/>
          <w:sz w:val="24"/>
          <w:szCs w:val="24"/>
        </w:rPr>
        <w:t xml:space="preserve">budžeta un finanšu vadībai ar atmaksas termiņu līdz  trīs gadiem no aizdevuma līguma noslēgšanas dienas. </w:t>
      </w:r>
    </w:p>
    <w:p w14:paraId="560EABD1" w14:textId="1618F527" w:rsidR="00CE36BD" w:rsidRPr="00020B77" w:rsidRDefault="00CE36BD" w:rsidP="00CE36BD">
      <w:pPr>
        <w:pStyle w:val="ListParagraph"/>
        <w:numPr>
          <w:ilvl w:val="0"/>
          <w:numId w:val="11"/>
        </w:numPr>
        <w:tabs>
          <w:tab w:val="left" w:pos="851"/>
        </w:tabs>
        <w:spacing w:after="60"/>
        <w:ind w:left="0" w:firstLine="567"/>
        <w:jc w:val="both"/>
        <w:rPr>
          <w:sz w:val="24"/>
          <w:szCs w:val="24"/>
          <w:lang w:eastAsia="lv-LV"/>
        </w:rPr>
      </w:pPr>
      <w:r w:rsidRPr="00020B77">
        <w:rPr>
          <w:sz w:val="24"/>
          <w:szCs w:val="24"/>
          <w:lang w:eastAsia="lv-LV"/>
        </w:rPr>
        <w:t xml:space="preserve">Aizņēmuma pieprasījumi 4.1. </w:t>
      </w:r>
      <w:r w:rsidR="009E6B34">
        <w:rPr>
          <w:sz w:val="24"/>
          <w:szCs w:val="24"/>
          <w:lang w:eastAsia="lv-LV"/>
        </w:rPr>
        <w:t xml:space="preserve">– </w:t>
      </w:r>
      <w:r w:rsidRPr="00020B77">
        <w:rPr>
          <w:sz w:val="24"/>
          <w:szCs w:val="24"/>
          <w:lang w:eastAsia="lv-LV"/>
        </w:rPr>
        <w:t xml:space="preserve">4.6.punktā minētajiem investīciju projektiem jāiesniedz, ievērojot normatīvajos aktos noteiktos nosacījumus un kārtību, ne vēlāk kā līdz 2025. gada 1. septembrim. </w:t>
      </w:r>
    </w:p>
    <w:p w14:paraId="0BE2497F" w14:textId="5A8FB2BF" w:rsidR="00CE36BD" w:rsidRPr="00020B77" w:rsidRDefault="00CE36BD" w:rsidP="00CE36BD">
      <w:pPr>
        <w:pStyle w:val="ListParagraph"/>
        <w:numPr>
          <w:ilvl w:val="0"/>
          <w:numId w:val="11"/>
        </w:numPr>
        <w:tabs>
          <w:tab w:val="left" w:pos="851"/>
        </w:tabs>
        <w:spacing w:after="60"/>
        <w:ind w:left="0" w:firstLine="567"/>
        <w:jc w:val="both"/>
        <w:rPr>
          <w:sz w:val="24"/>
          <w:szCs w:val="24"/>
          <w:lang w:eastAsia="lv-LV"/>
        </w:rPr>
      </w:pPr>
      <w:r w:rsidRPr="00020B77">
        <w:rPr>
          <w:sz w:val="24"/>
          <w:szCs w:val="24"/>
          <w:lang w:eastAsia="lv-LV"/>
        </w:rPr>
        <w:t xml:space="preserve">Aizņēmumi 4. punktā minētajiem investīciju projektiem un aizņēmumam budžeta un finanšu vadībai tiek nodrošināti likumā </w:t>
      </w:r>
      <w:r w:rsidRPr="00020B77">
        <w:rPr>
          <w:sz w:val="24"/>
          <w:szCs w:val="24"/>
        </w:rPr>
        <w:t>par valsts budžetu 2025. gadam un budžeta ietvaru 2025, 2026. un 2027. gadam</w:t>
      </w:r>
      <w:r w:rsidRPr="00020B77">
        <w:rPr>
          <w:sz w:val="24"/>
          <w:szCs w:val="24"/>
          <w:lang w:eastAsia="lv-LV"/>
        </w:rPr>
        <w:t xml:space="preserve"> noteiktā kopējā  pieļaujamā aizņēmuma limita ietvaros.</w:t>
      </w:r>
    </w:p>
    <w:p w14:paraId="032A3514" w14:textId="2977FE3A" w:rsidR="00CE36BD" w:rsidRPr="00020B77" w:rsidRDefault="00CE36BD" w:rsidP="00CE36BD">
      <w:pPr>
        <w:pStyle w:val="ListParagraph"/>
        <w:numPr>
          <w:ilvl w:val="0"/>
          <w:numId w:val="11"/>
        </w:numPr>
        <w:tabs>
          <w:tab w:val="left" w:pos="851"/>
        </w:tabs>
        <w:spacing w:after="60"/>
        <w:ind w:left="0" w:firstLine="567"/>
        <w:jc w:val="both"/>
        <w:rPr>
          <w:sz w:val="24"/>
          <w:szCs w:val="24"/>
          <w:lang w:eastAsia="lv-LV"/>
        </w:rPr>
      </w:pPr>
      <w:r w:rsidRPr="00020B77">
        <w:rPr>
          <w:rFonts w:eastAsia="Calibri"/>
          <w:sz w:val="24"/>
          <w:szCs w:val="24"/>
        </w:rPr>
        <w:t xml:space="preserve">Pašvaldībām 2025. </w:t>
      </w:r>
      <w:r w:rsidR="009E6B34">
        <w:rPr>
          <w:rFonts w:eastAsia="Calibri"/>
          <w:sz w:val="24"/>
          <w:szCs w:val="24"/>
        </w:rPr>
        <w:t xml:space="preserve">– </w:t>
      </w:r>
      <w:r w:rsidRPr="00020B77">
        <w:rPr>
          <w:rFonts w:eastAsia="Calibri"/>
          <w:sz w:val="24"/>
          <w:szCs w:val="24"/>
        </w:rPr>
        <w:t xml:space="preserve">2027. gadā  ikgadējā </w:t>
      </w:r>
      <w:r w:rsidRPr="00020B77">
        <w:rPr>
          <w:sz w:val="24"/>
          <w:szCs w:val="24"/>
          <w:lang w:eastAsia="lv-LV"/>
        </w:rPr>
        <w:t xml:space="preserve">kopējā aizņēmuma palielinājuma ietvaros tiek </w:t>
      </w:r>
      <w:r w:rsidRPr="00020B77">
        <w:rPr>
          <w:rFonts w:eastAsia="Calibri"/>
          <w:sz w:val="24"/>
          <w:szCs w:val="24"/>
        </w:rPr>
        <w:t>nodrošināt</w:t>
      </w:r>
      <w:r w:rsidR="00B00125">
        <w:rPr>
          <w:rFonts w:eastAsia="Calibri"/>
          <w:sz w:val="24"/>
          <w:szCs w:val="24"/>
        </w:rPr>
        <w:t>a</w:t>
      </w:r>
      <w:r w:rsidRPr="00020B77">
        <w:rPr>
          <w:rFonts w:eastAsia="Calibri"/>
          <w:sz w:val="24"/>
          <w:szCs w:val="24"/>
        </w:rPr>
        <w:t xml:space="preserve"> iepriekšējos gados piešķirto vidējā termiņa aizdevumu izmaks</w:t>
      </w:r>
      <w:r w:rsidR="00B00125">
        <w:rPr>
          <w:rFonts w:eastAsia="Calibri"/>
          <w:sz w:val="24"/>
          <w:szCs w:val="24"/>
        </w:rPr>
        <w:t>a</w:t>
      </w:r>
      <w:r w:rsidRPr="00020B77">
        <w:rPr>
          <w:rFonts w:eastAsia="Calibri"/>
          <w:sz w:val="24"/>
          <w:szCs w:val="24"/>
        </w:rPr>
        <w:t xml:space="preserve"> atbilstoši aizdevumu līgumos noteiktajiem </w:t>
      </w:r>
      <w:r w:rsidRPr="00020B77">
        <w:rPr>
          <w:rFonts w:eastAsia="Calibri"/>
          <w:color w:val="000000" w:themeColor="text1"/>
          <w:sz w:val="24"/>
          <w:szCs w:val="24"/>
        </w:rPr>
        <w:t xml:space="preserve">nosacījumiem. </w:t>
      </w:r>
    </w:p>
    <w:p w14:paraId="0542ECA1" w14:textId="01C6DDBC" w:rsidR="00CE36BD" w:rsidRPr="00020B77" w:rsidRDefault="00CE36BD" w:rsidP="001C59DE">
      <w:pPr>
        <w:pStyle w:val="ListParagraph"/>
        <w:numPr>
          <w:ilvl w:val="0"/>
          <w:numId w:val="11"/>
        </w:numPr>
        <w:tabs>
          <w:tab w:val="left" w:pos="851"/>
          <w:tab w:val="left" w:pos="993"/>
        </w:tabs>
        <w:ind w:left="0" w:firstLine="567"/>
        <w:jc w:val="both"/>
        <w:rPr>
          <w:sz w:val="24"/>
          <w:szCs w:val="24"/>
          <w:lang w:eastAsia="lv-LV"/>
        </w:rPr>
      </w:pPr>
      <w:r w:rsidRPr="00020B77">
        <w:rPr>
          <w:sz w:val="24"/>
          <w:szCs w:val="24"/>
          <w:lang w:eastAsia="lv-LV"/>
        </w:rPr>
        <w:t xml:space="preserve">Pašvaldībām, kuras vairākkārtīgi nav iesniegušas informāciju par </w:t>
      </w:r>
      <w:r w:rsidRPr="00020B77">
        <w:rPr>
          <w:sz w:val="24"/>
          <w:szCs w:val="24"/>
          <w:shd w:val="clear" w:color="auto" w:fill="FFFFFF"/>
        </w:rPr>
        <w:t xml:space="preserve">neapgūtā aizņēmuma apmēru un neapgūšanas iemesliem </w:t>
      </w:r>
      <w:r w:rsidRPr="00020B77">
        <w:rPr>
          <w:sz w:val="24"/>
          <w:szCs w:val="24"/>
          <w:lang w:eastAsia="lv-LV"/>
        </w:rPr>
        <w:t xml:space="preserve">atbilstoši </w:t>
      </w:r>
      <w:r w:rsidRPr="00020B77">
        <w:rPr>
          <w:sz w:val="24"/>
          <w:szCs w:val="24"/>
          <w:lang w:eastAsia="lv-LV" w:bidi="lo-LA"/>
        </w:rPr>
        <w:t>Ministru kabineta  2019.</w:t>
      </w:r>
      <w:r w:rsidR="001C59DE">
        <w:rPr>
          <w:sz w:val="24"/>
          <w:szCs w:val="24"/>
          <w:lang w:eastAsia="lv-LV" w:bidi="lo-LA"/>
        </w:rPr>
        <w:t xml:space="preserve"> </w:t>
      </w:r>
      <w:r w:rsidRPr="00020B77">
        <w:rPr>
          <w:sz w:val="24"/>
          <w:szCs w:val="24"/>
          <w:lang w:eastAsia="lv-LV" w:bidi="lo-LA"/>
        </w:rPr>
        <w:t>gada 10.</w:t>
      </w:r>
      <w:r w:rsidR="001C59DE">
        <w:rPr>
          <w:sz w:val="24"/>
          <w:szCs w:val="24"/>
          <w:lang w:eastAsia="lv-LV" w:bidi="lo-LA"/>
        </w:rPr>
        <w:t xml:space="preserve"> </w:t>
      </w:r>
      <w:r w:rsidRPr="00020B77">
        <w:rPr>
          <w:sz w:val="24"/>
          <w:szCs w:val="24"/>
          <w:lang w:eastAsia="lv-LV" w:bidi="lo-LA"/>
        </w:rPr>
        <w:lastRenderedPageBreak/>
        <w:t>decembra noteikumu Nr.</w:t>
      </w:r>
      <w:r w:rsidR="001C59DE">
        <w:rPr>
          <w:sz w:val="24"/>
          <w:szCs w:val="24"/>
          <w:lang w:eastAsia="lv-LV" w:bidi="lo-LA"/>
        </w:rPr>
        <w:t xml:space="preserve"> </w:t>
      </w:r>
      <w:r w:rsidRPr="00020B77">
        <w:rPr>
          <w:sz w:val="24"/>
          <w:szCs w:val="24"/>
          <w:lang w:eastAsia="lv-LV" w:bidi="lo-LA"/>
        </w:rPr>
        <w:t>590 “Noteikumi par pašvaldību aizņēmumiem un galvojumiem”  10.</w:t>
      </w:r>
      <w:r w:rsidR="001C59DE">
        <w:rPr>
          <w:sz w:val="24"/>
          <w:szCs w:val="24"/>
          <w:lang w:eastAsia="lv-LV" w:bidi="lo-LA"/>
        </w:rPr>
        <w:t xml:space="preserve"> </w:t>
      </w:r>
      <w:r w:rsidRPr="00020B77">
        <w:rPr>
          <w:sz w:val="24"/>
          <w:szCs w:val="24"/>
          <w:lang w:eastAsia="lv-LV" w:bidi="lo-LA"/>
        </w:rPr>
        <w:t xml:space="preserve">punktam, tādējādi nedodot iespēju saņemt aizņēmumus citiem investīciju projektiem, jautājums par jaunu aizņēmumu piešķiršanu var tikt izskatīts pēc piešķirto aizņēmumu apguves. </w:t>
      </w:r>
    </w:p>
    <w:p w14:paraId="737C7DFB" w14:textId="09C2CB75" w:rsidR="00CE36BD" w:rsidRPr="00EC50F7" w:rsidRDefault="00CE36BD" w:rsidP="001C59DE">
      <w:pPr>
        <w:tabs>
          <w:tab w:val="left" w:pos="993"/>
        </w:tabs>
        <w:ind w:firstLine="567"/>
        <w:jc w:val="both"/>
        <w:rPr>
          <w:rFonts w:eastAsia="Calibri"/>
          <w:b/>
          <w:bCs/>
          <w:sz w:val="24"/>
          <w:szCs w:val="24"/>
        </w:rPr>
      </w:pPr>
      <w:r w:rsidRPr="00020B77">
        <w:rPr>
          <w:bCs/>
          <w:sz w:val="24"/>
          <w:szCs w:val="24"/>
          <w:lang w:eastAsia="lv-LV"/>
        </w:rPr>
        <w:t xml:space="preserve">11. Ja pašvaldībai  ikgadējais saistību apmērs kādā no saistību izpildes gadiem pārsniedz 20%, jaunus aizņēmumus vai galvojumus var saņemt tikai ES vai AF projektiem ES līdzfinansējuma vai AF finansējuma  daļai, ar nosacījumu, ka pašvaldība spēj pildīt savas saistības pret kreditoriem un tai nav kavēti maksājumi. Ikgadējo saistību apmēru (aizņēmumu, galvojumu, citu ilgtermiņa saistību atmaksājamo summu) rēķina pret kārtējā gada plānotajiem ieņēmumiem bez valsts budžeta transfertiem noteiktam mērķim, tajā skaitā bez valsts budžeta transfertiem ES un citas ārvalstu finanšu palīdzības līdzfinansētiem projektiem noteiktu mērķu (izdevumu) segšanai, un iemaksām </w:t>
      </w:r>
      <w:r w:rsidR="001177BC" w:rsidRPr="00020B77">
        <w:rPr>
          <w:bCs/>
          <w:sz w:val="24"/>
          <w:szCs w:val="24"/>
          <w:lang w:eastAsia="lv-LV"/>
        </w:rPr>
        <w:t>p</w:t>
      </w:r>
      <w:r w:rsidRPr="00020B77">
        <w:rPr>
          <w:bCs/>
          <w:sz w:val="24"/>
          <w:szCs w:val="24"/>
          <w:lang w:eastAsia="lv-LV"/>
        </w:rPr>
        <w:t>ašvaldību finanšu izlīdzināšanas fondā.</w:t>
      </w:r>
      <w:r w:rsidRPr="00EC50F7">
        <w:rPr>
          <w:bCs/>
          <w:sz w:val="24"/>
          <w:szCs w:val="24"/>
          <w:lang w:eastAsia="lv-LV"/>
        </w:rPr>
        <w:t xml:space="preserve"> </w:t>
      </w:r>
    </w:p>
    <w:p w14:paraId="09F9FE70" w14:textId="77777777" w:rsidR="00CE36BD" w:rsidRPr="00EC50F7" w:rsidRDefault="00CE36BD" w:rsidP="008D0182">
      <w:pPr>
        <w:tabs>
          <w:tab w:val="left" w:pos="851"/>
        </w:tabs>
        <w:jc w:val="both"/>
        <w:rPr>
          <w:b/>
          <w:bCs/>
          <w:sz w:val="24"/>
          <w:szCs w:val="24"/>
          <w:lang w:eastAsia="lv-LV"/>
        </w:rPr>
      </w:pPr>
    </w:p>
    <w:p w14:paraId="56A2C768" w14:textId="77777777" w:rsidR="00CE36BD" w:rsidRPr="00EC50F7" w:rsidRDefault="00CE36BD" w:rsidP="008D0182">
      <w:pPr>
        <w:tabs>
          <w:tab w:val="left" w:pos="851"/>
        </w:tabs>
        <w:ind w:left="567"/>
        <w:jc w:val="both"/>
        <w:rPr>
          <w:b/>
          <w:bCs/>
          <w:sz w:val="24"/>
          <w:szCs w:val="24"/>
          <w:lang w:eastAsia="lv-LV"/>
        </w:rPr>
      </w:pPr>
      <w:r w:rsidRPr="00EC50F7">
        <w:rPr>
          <w:b/>
          <w:bCs/>
          <w:sz w:val="24"/>
          <w:szCs w:val="24"/>
          <w:lang w:eastAsia="lv-LV"/>
        </w:rPr>
        <w:t xml:space="preserve">Puses vienojas: </w:t>
      </w:r>
    </w:p>
    <w:p w14:paraId="494B523E" w14:textId="77777777" w:rsidR="00CE36BD" w:rsidRPr="00EC50F7" w:rsidRDefault="00CE36BD" w:rsidP="008D0182">
      <w:pPr>
        <w:pStyle w:val="ListParagraph"/>
        <w:numPr>
          <w:ilvl w:val="0"/>
          <w:numId w:val="27"/>
        </w:numPr>
        <w:tabs>
          <w:tab w:val="left" w:pos="491"/>
        </w:tabs>
        <w:ind w:left="0" w:firstLine="491"/>
        <w:jc w:val="both"/>
        <w:rPr>
          <w:sz w:val="24"/>
          <w:szCs w:val="24"/>
          <w:lang w:eastAsia="lv-LV"/>
        </w:rPr>
      </w:pPr>
      <w:r w:rsidRPr="00EC50F7">
        <w:rPr>
          <w:sz w:val="24"/>
          <w:szCs w:val="24"/>
          <w:lang w:eastAsia="lv-LV"/>
        </w:rPr>
        <w:t xml:space="preserve">Aizņēmumi pašvaldības finanšu stabilizācijai  tiek nodrošināti likumā </w:t>
      </w:r>
      <w:r w:rsidRPr="00EC50F7">
        <w:rPr>
          <w:sz w:val="24"/>
          <w:szCs w:val="24"/>
        </w:rPr>
        <w:t>par valsts budžetu 2025. gadam un budžeta ietvaru 2025, 2026. un 2027. gadam</w:t>
      </w:r>
      <w:r w:rsidRPr="00EC50F7">
        <w:rPr>
          <w:sz w:val="24"/>
          <w:szCs w:val="24"/>
          <w:lang w:eastAsia="lv-LV"/>
        </w:rPr>
        <w:t xml:space="preserve"> noteiktā kopējā  pieļaujamā aizņēmuma limita ietvaros.</w:t>
      </w:r>
    </w:p>
    <w:p w14:paraId="11A24782" w14:textId="53B04246" w:rsidR="00CE36BD" w:rsidRPr="00EC50F7" w:rsidRDefault="00CE36BD" w:rsidP="008D0182">
      <w:pPr>
        <w:pStyle w:val="ListParagraph"/>
        <w:numPr>
          <w:ilvl w:val="0"/>
          <w:numId w:val="27"/>
        </w:numPr>
        <w:tabs>
          <w:tab w:val="left" w:pos="491"/>
        </w:tabs>
        <w:ind w:left="0" w:firstLine="491"/>
        <w:jc w:val="both"/>
        <w:rPr>
          <w:sz w:val="24"/>
          <w:szCs w:val="24"/>
          <w:lang w:eastAsia="lv-LV"/>
        </w:rPr>
      </w:pPr>
      <w:r w:rsidRPr="00EC50F7">
        <w:rPr>
          <w:sz w:val="24"/>
          <w:szCs w:val="24"/>
          <w:lang w:eastAsia="lv-LV"/>
        </w:rPr>
        <w:t xml:space="preserve">Finanšu ministrijai Likumā par budžetu  un finanšu vadību iekļaut jaunu sadaļu par </w:t>
      </w:r>
      <w:r w:rsidRPr="00EC50F7">
        <w:rPr>
          <w:rFonts w:eastAsiaTheme="minorHAnsi"/>
          <w:kern w:val="2"/>
          <w:sz w:val="24"/>
          <w:szCs w:val="24"/>
          <w:shd w:val="clear" w:color="auto" w:fill="FFFFFF"/>
          <w14:ligatures w14:val="standardContextual"/>
        </w:rPr>
        <w:t>pašvaldību finanšu stabilizāciju un valsts budžeta aizdevumu pašvaldības finanšu situācijas stabilizēšanai</w:t>
      </w:r>
      <w:r w:rsidRPr="00EC50F7">
        <w:rPr>
          <w:sz w:val="24"/>
          <w:szCs w:val="24"/>
          <w:lang w:eastAsia="lv-LV"/>
        </w:rPr>
        <w:t xml:space="preserve"> ar mērķi </w:t>
      </w:r>
      <w:r w:rsidRPr="00EC50F7">
        <w:rPr>
          <w:sz w:val="24"/>
          <w:szCs w:val="24"/>
          <w:shd w:val="clear" w:color="auto" w:fill="FFFFFF"/>
        </w:rPr>
        <w:t xml:space="preserve">atteikties no novecojušā regulējuma likumā “Par pašvaldību finanšu stabilizēšanu un pašvaldību finansiālās darbības uzraudzību”  un noteikt jaunāku un aktuālāku regulējumu pašvaldību finanšu stabilizācijas procesa uzsākšanai, procesa uzraudzībai  un procesa izbeigšanai, ņemot vērā gan </w:t>
      </w:r>
      <w:r w:rsidRPr="00EC50F7">
        <w:rPr>
          <w:sz w:val="24"/>
          <w:szCs w:val="24"/>
        </w:rPr>
        <w:t xml:space="preserve">administratīvi teritoriālo reformu, kā rezultātā ir izveidotas lielākas pašvaldības, gan </w:t>
      </w:r>
      <w:r w:rsidRPr="00EC50F7">
        <w:rPr>
          <w:sz w:val="24"/>
          <w:szCs w:val="24"/>
          <w:shd w:val="clear" w:color="auto" w:fill="FFFFFF"/>
        </w:rPr>
        <w:t xml:space="preserve">tehniskās </w:t>
      </w:r>
      <w:proofErr w:type="spellStart"/>
      <w:r w:rsidRPr="00EC50F7">
        <w:rPr>
          <w:sz w:val="24"/>
          <w:szCs w:val="24"/>
          <w:shd w:val="clear" w:color="auto" w:fill="FFFFFF"/>
        </w:rPr>
        <w:t>digitalizācijas</w:t>
      </w:r>
      <w:proofErr w:type="spellEnd"/>
      <w:r w:rsidRPr="00EC50F7">
        <w:rPr>
          <w:sz w:val="24"/>
          <w:szCs w:val="24"/>
          <w:shd w:val="clear" w:color="auto" w:fill="FFFFFF"/>
        </w:rPr>
        <w:t xml:space="preserve"> iespējas Valsts kases sistēmā. </w:t>
      </w:r>
      <w:r w:rsidRPr="00EC50F7">
        <w:rPr>
          <w:color w:val="000000"/>
          <w:sz w:val="24"/>
          <w:szCs w:val="24"/>
        </w:rPr>
        <w:t>Likumprojektu iekļaut 2025. gada budžetu pavadošo likumprojektu paketē.</w:t>
      </w:r>
    </w:p>
    <w:p w14:paraId="0722D958" w14:textId="77777777" w:rsidR="00CE36BD" w:rsidRPr="00EC50F7" w:rsidRDefault="00CE36BD" w:rsidP="008D0182">
      <w:pPr>
        <w:jc w:val="both"/>
        <w:rPr>
          <w:b/>
          <w:bCs/>
          <w:sz w:val="24"/>
          <w:szCs w:val="24"/>
        </w:rPr>
      </w:pPr>
    </w:p>
    <w:p w14:paraId="5EF8A928" w14:textId="77777777" w:rsidR="00CE36BD" w:rsidRPr="00EC50F7" w:rsidRDefault="00CE36BD" w:rsidP="008D0182">
      <w:pPr>
        <w:ind w:left="567"/>
        <w:jc w:val="both"/>
        <w:rPr>
          <w:b/>
          <w:bCs/>
          <w:sz w:val="24"/>
          <w:szCs w:val="24"/>
        </w:rPr>
      </w:pPr>
      <w:r w:rsidRPr="00EC50F7">
        <w:rPr>
          <w:b/>
          <w:bCs/>
          <w:sz w:val="24"/>
          <w:szCs w:val="24"/>
        </w:rPr>
        <w:t xml:space="preserve">Puses vienojas: </w:t>
      </w:r>
    </w:p>
    <w:p w14:paraId="33D91D0E" w14:textId="0674D30A" w:rsidR="00D24354" w:rsidRDefault="00CE36BD" w:rsidP="00203BF3">
      <w:pPr>
        <w:ind w:firstLine="567"/>
        <w:jc w:val="both"/>
        <w:rPr>
          <w:b/>
          <w:bCs/>
          <w:sz w:val="24"/>
          <w:szCs w:val="24"/>
          <w:highlight w:val="yellow"/>
        </w:rPr>
      </w:pPr>
      <w:r w:rsidRPr="00EC50F7">
        <w:rPr>
          <w:sz w:val="24"/>
          <w:szCs w:val="24"/>
        </w:rPr>
        <w:t>Rīgas valstspilsētas pašvaldībai, lai īstenotu investīciju projektus, ir iespēja veikt obligāciju emitēšanu 2025.</w:t>
      </w:r>
      <w:r w:rsidR="001C59DE">
        <w:rPr>
          <w:sz w:val="24"/>
          <w:szCs w:val="24"/>
        </w:rPr>
        <w:t xml:space="preserve"> – </w:t>
      </w:r>
      <w:r w:rsidRPr="00EC50F7">
        <w:rPr>
          <w:sz w:val="24"/>
          <w:szCs w:val="24"/>
        </w:rPr>
        <w:t xml:space="preserve">2027. gada periodā, ievērojot </w:t>
      </w:r>
      <w:r w:rsidRPr="00EC50F7">
        <w:rPr>
          <w:sz w:val="24"/>
          <w:szCs w:val="24"/>
          <w:lang w:eastAsia="lv-LV"/>
        </w:rPr>
        <w:t xml:space="preserve">likumā </w:t>
      </w:r>
      <w:r w:rsidRPr="00EC50F7">
        <w:rPr>
          <w:sz w:val="24"/>
          <w:szCs w:val="24"/>
        </w:rPr>
        <w:t>par valsts budžetu 2025. gadam un budžeta ietvaru 2025, 2026. un 2027. gadam</w:t>
      </w:r>
      <w:r w:rsidRPr="00EC50F7">
        <w:rPr>
          <w:sz w:val="24"/>
          <w:szCs w:val="24"/>
          <w:lang w:eastAsia="lv-LV"/>
        </w:rPr>
        <w:t xml:space="preserve"> noteiktos nosacījumus. </w:t>
      </w:r>
    </w:p>
    <w:p w14:paraId="4B67F963" w14:textId="77777777" w:rsidR="00D24354" w:rsidRDefault="00D24354" w:rsidP="00203BF3">
      <w:pPr>
        <w:ind w:firstLine="567"/>
        <w:jc w:val="both"/>
        <w:rPr>
          <w:b/>
          <w:bCs/>
          <w:sz w:val="24"/>
          <w:szCs w:val="24"/>
          <w:highlight w:val="yellow"/>
        </w:rPr>
      </w:pPr>
    </w:p>
    <w:p w14:paraId="6ABC2CB0" w14:textId="7E9C7963" w:rsidR="005466CC" w:rsidRPr="005466CC" w:rsidRDefault="000C1990" w:rsidP="00203BF3">
      <w:pPr>
        <w:ind w:firstLine="567"/>
        <w:jc w:val="both"/>
        <w:rPr>
          <w:b/>
          <w:bCs/>
          <w:sz w:val="24"/>
          <w:szCs w:val="24"/>
        </w:rPr>
      </w:pPr>
      <w:r>
        <w:rPr>
          <w:b/>
          <w:bCs/>
          <w:sz w:val="24"/>
          <w:szCs w:val="24"/>
        </w:rPr>
        <w:t>Puses vienojas:</w:t>
      </w:r>
    </w:p>
    <w:p w14:paraId="7F0457B5" w14:textId="5F9C777E" w:rsidR="00203BF3" w:rsidRPr="005466CC" w:rsidRDefault="00203BF3" w:rsidP="00203BF3">
      <w:pPr>
        <w:ind w:firstLine="567"/>
        <w:jc w:val="both"/>
        <w:rPr>
          <w:sz w:val="24"/>
          <w:szCs w:val="24"/>
          <w:lang w:eastAsia="lv-LV"/>
        </w:rPr>
      </w:pPr>
      <w:r w:rsidRPr="005466CC">
        <w:rPr>
          <w:sz w:val="24"/>
          <w:szCs w:val="24"/>
        </w:rPr>
        <w:t>Valsts kase, pamatojoties uz pašvaldības iesniegumu, veic grozījumus vienā vai vairākos valsts aizdevuma investīciju projektiem līgumos, samazinot 2025. gada pamatsummas maksājumus līdz 30% no 2025. gada pamatsummu kopējā apmēra, nepagarinot aizdevuma atmaksas termiņu un precizējot aizdevuma atmaksas grafiku, ievērojot šādus nosacījumus:</w:t>
      </w:r>
    </w:p>
    <w:p w14:paraId="64A5AEE4" w14:textId="77777777" w:rsidR="00203BF3" w:rsidRPr="005466CC" w:rsidRDefault="00203BF3" w:rsidP="00203BF3">
      <w:pPr>
        <w:ind w:firstLine="567"/>
        <w:jc w:val="both"/>
        <w:rPr>
          <w:sz w:val="24"/>
          <w:szCs w:val="24"/>
        </w:rPr>
      </w:pPr>
      <w:r w:rsidRPr="005466CC">
        <w:rPr>
          <w:sz w:val="24"/>
          <w:szCs w:val="24"/>
        </w:rPr>
        <w:t>1) līdz 2025. gada 1. martam pašvaldība ir iesniegusi domes lēmumu par grozījumiem aizdevuma atmaksas grafikā;</w:t>
      </w:r>
    </w:p>
    <w:p w14:paraId="43334FA6" w14:textId="77777777" w:rsidR="00203BF3" w:rsidRPr="005466CC" w:rsidRDefault="00203BF3" w:rsidP="00203BF3">
      <w:pPr>
        <w:ind w:firstLine="567"/>
        <w:jc w:val="both"/>
        <w:rPr>
          <w:sz w:val="24"/>
          <w:szCs w:val="24"/>
        </w:rPr>
      </w:pPr>
      <w:r w:rsidRPr="005466CC">
        <w:rPr>
          <w:sz w:val="24"/>
          <w:szCs w:val="24"/>
        </w:rPr>
        <w:t>2) domes lēmumā ir sniegts apliecinājums, ka dome ir izvērtējusi ekonomisko pamatojumu pamatsummas pārcelšanai, pašvaldības finanšu situāciju ilgtermiņā, iespējamos finanšu riskus un turpmākajos gados no pašvaldības budžeta nodrošinās aizdevumu pamatsummu atmaksu atbilstoši aizdevumu atmaksas grafikiem;</w:t>
      </w:r>
    </w:p>
    <w:p w14:paraId="6F7731A9" w14:textId="77777777" w:rsidR="00203BF3" w:rsidRPr="005466CC" w:rsidRDefault="00203BF3" w:rsidP="00203BF3">
      <w:pPr>
        <w:ind w:firstLine="567"/>
        <w:jc w:val="both"/>
        <w:rPr>
          <w:sz w:val="24"/>
          <w:szCs w:val="24"/>
        </w:rPr>
      </w:pPr>
      <w:r w:rsidRPr="005466CC">
        <w:rPr>
          <w:sz w:val="24"/>
          <w:szCs w:val="24"/>
        </w:rPr>
        <w:t>3) katra atsevišķa aizdevuma atlikums nav mazāks par 10 000</w:t>
      </w:r>
      <w:r w:rsidRPr="005466CC">
        <w:rPr>
          <w:i/>
          <w:iCs/>
          <w:sz w:val="24"/>
          <w:szCs w:val="24"/>
        </w:rPr>
        <w:t xml:space="preserve"> </w:t>
      </w:r>
      <w:proofErr w:type="spellStart"/>
      <w:r w:rsidRPr="005466CC">
        <w:rPr>
          <w:i/>
          <w:iCs/>
          <w:sz w:val="24"/>
          <w:szCs w:val="24"/>
        </w:rPr>
        <w:t>euro</w:t>
      </w:r>
      <w:proofErr w:type="spellEnd"/>
      <w:r w:rsidRPr="005466CC">
        <w:rPr>
          <w:sz w:val="24"/>
          <w:szCs w:val="24"/>
        </w:rPr>
        <w:t>;</w:t>
      </w:r>
    </w:p>
    <w:p w14:paraId="1BB0AD1B" w14:textId="0EFBE093" w:rsidR="0008593E" w:rsidRDefault="00203BF3" w:rsidP="0008593E">
      <w:pPr>
        <w:ind w:firstLine="567"/>
        <w:jc w:val="both"/>
        <w:rPr>
          <w:bCs/>
          <w:sz w:val="24"/>
          <w:szCs w:val="24"/>
          <w:lang w:eastAsia="lv-LV"/>
        </w:rPr>
      </w:pPr>
      <w:r w:rsidRPr="005466CC">
        <w:rPr>
          <w:sz w:val="24"/>
          <w:szCs w:val="24"/>
        </w:rPr>
        <w:t xml:space="preserve">4) </w:t>
      </w:r>
      <w:r w:rsidR="00B0525D" w:rsidRPr="005466CC">
        <w:rPr>
          <w:sz w:val="24"/>
          <w:szCs w:val="24"/>
        </w:rPr>
        <w:t xml:space="preserve">aizdevuma pamatsummas maksājums veicams turpmākajos gados, nodrošinot, ka pašvaldības  uzņemto saistību </w:t>
      </w:r>
      <w:r w:rsidR="00B0525D" w:rsidRPr="005466CC">
        <w:rPr>
          <w:bCs/>
          <w:sz w:val="24"/>
          <w:szCs w:val="24"/>
          <w:lang w:eastAsia="lv-LV"/>
        </w:rPr>
        <w:t xml:space="preserve">(aizņēmumi, galvojumi, citas ilgtermiņa saistības) </w:t>
      </w:r>
      <w:r w:rsidR="00B0525D" w:rsidRPr="005466CC">
        <w:rPr>
          <w:sz w:val="24"/>
          <w:szCs w:val="24"/>
        </w:rPr>
        <w:t>apmērs nevienā no</w:t>
      </w:r>
      <w:r w:rsidR="00FF5340" w:rsidRPr="005466CC">
        <w:rPr>
          <w:sz w:val="24"/>
          <w:szCs w:val="24"/>
        </w:rPr>
        <w:t xml:space="preserve"> saistību izpildes</w:t>
      </w:r>
      <w:r w:rsidR="00B0525D" w:rsidRPr="005466CC">
        <w:rPr>
          <w:sz w:val="24"/>
          <w:szCs w:val="24"/>
        </w:rPr>
        <w:t xml:space="preserve"> gadiem nepārsniedz 20% no 2025.</w:t>
      </w:r>
      <w:r w:rsidR="001177BC" w:rsidRPr="005466CC">
        <w:rPr>
          <w:sz w:val="24"/>
          <w:szCs w:val="24"/>
        </w:rPr>
        <w:t xml:space="preserve"> </w:t>
      </w:r>
      <w:r w:rsidR="00B0525D" w:rsidRPr="005466CC">
        <w:rPr>
          <w:sz w:val="24"/>
          <w:szCs w:val="24"/>
        </w:rPr>
        <w:t xml:space="preserve">gada plānotajiem pamatbudžeta ieņēmumiem </w:t>
      </w:r>
      <w:r w:rsidR="00B0525D" w:rsidRPr="005466CC">
        <w:rPr>
          <w:bCs/>
          <w:sz w:val="24"/>
          <w:szCs w:val="24"/>
          <w:lang w:eastAsia="lv-LV"/>
        </w:rPr>
        <w:t xml:space="preserve">bez valsts budžeta transfertiem noteiktam mērķim un iemaksām </w:t>
      </w:r>
      <w:r w:rsidR="001177BC" w:rsidRPr="005466CC">
        <w:rPr>
          <w:bCs/>
          <w:sz w:val="24"/>
          <w:szCs w:val="24"/>
          <w:lang w:eastAsia="lv-LV"/>
        </w:rPr>
        <w:t>p</w:t>
      </w:r>
      <w:r w:rsidR="00B0525D" w:rsidRPr="005466CC">
        <w:rPr>
          <w:bCs/>
          <w:sz w:val="24"/>
          <w:szCs w:val="24"/>
          <w:lang w:eastAsia="lv-LV"/>
        </w:rPr>
        <w:t>ašvaldību finanšu izlīdzināšanas fondā</w:t>
      </w:r>
      <w:r w:rsidR="00EC7467">
        <w:rPr>
          <w:bCs/>
          <w:sz w:val="24"/>
          <w:szCs w:val="24"/>
          <w:lang w:eastAsia="lv-LV"/>
        </w:rPr>
        <w:t>;</w:t>
      </w:r>
    </w:p>
    <w:p w14:paraId="13855E64" w14:textId="38E80222" w:rsidR="00D128C2" w:rsidRPr="000C1990" w:rsidRDefault="00D128C2" w:rsidP="00D128C2">
      <w:pPr>
        <w:ind w:firstLine="567"/>
        <w:jc w:val="both"/>
        <w:rPr>
          <w:color w:val="FF0000"/>
          <w:sz w:val="24"/>
          <w:szCs w:val="24"/>
        </w:rPr>
      </w:pPr>
      <w:r w:rsidRPr="000521D7">
        <w:rPr>
          <w:sz w:val="24"/>
          <w:szCs w:val="24"/>
        </w:rPr>
        <w:t>Jautājumu par  attiecīgajai pašvaldībai nepieciešamo 2025.</w:t>
      </w:r>
      <w:r w:rsidR="001C59DE" w:rsidRPr="000521D7">
        <w:rPr>
          <w:sz w:val="24"/>
          <w:szCs w:val="24"/>
        </w:rPr>
        <w:t xml:space="preserve"> </w:t>
      </w:r>
      <w:r w:rsidRPr="000521D7">
        <w:rPr>
          <w:sz w:val="24"/>
          <w:szCs w:val="24"/>
        </w:rPr>
        <w:t>gada  aizņēmumu pamatsummas maksājumu samazināšanu lielākā apmērā, izskata  normatīvajos aktos noteiktajā kārtībā, ja ir iesniegts domē apstiprināts rīcības plāns pašvaldības izdevumu optimizācijai un procesu centralizācijai vidējā termiņā</w:t>
      </w:r>
      <w:r w:rsidRPr="000521D7">
        <w:rPr>
          <w:color w:val="FF0000"/>
          <w:sz w:val="24"/>
          <w:szCs w:val="24"/>
        </w:rPr>
        <w:t>.</w:t>
      </w:r>
    </w:p>
    <w:p w14:paraId="77942AB5" w14:textId="77777777" w:rsidR="00B0525D" w:rsidRDefault="00B0525D" w:rsidP="00B0525D">
      <w:pPr>
        <w:tabs>
          <w:tab w:val="left" w:pos="851"/>
        </w:tabs>
        <w:jc w:val="both"/>
        <w:rPr>
          <w:b/>
          <w:bCs/>
          <w:sz w:val="24"/>
          <w:szCs w:val="24"/>
          <w:lang w:eastAsia="lv-LV"/>
        </w:rPr>
      </w:pPr>
    </w:p>
    <w:p w14:paraId="79C27CB0" w14:textId="4D54BBF0" w:rsidR="00D24354" w:rsidRPr="000C1990" w:rsidRDefault="00D24354" w:rsidP="00D24354">
      <w:pPr>
        <w:ind w:firstLine="567"/>
        <w:jc w:val="both"/>
        <w:rPr>
          <w:b/>
          <w:sz w:val="24"/>
          <w:szCs w:val="24"/>
          <w:lang w:eastAsia="lv-LV"/>
        </w:rPr>
      </w:pPr>
      <w:r w:rsidRPr="000C1990">
        <w:rPr>
          <w:b/>
          <w:sz w:val="24"/>
          <w:szCs w:val="24"/>
          <w:lang w:eastAsia="lv-LV"/>
        </w:rPr>
        <w:lastRenderedPageBreak/>
        <w:t>Puses vienojas:</w:t>
      </w:r>
    </w:p>
    <w:p w14:paraId="70BCDAE6" w14:textId="1EB06256" w:rsidR="00D24354" w:rsidRPr="000C1990" w:rsidRDefault="00D24354" w:rsidP="00D24354">
      <w:pPr>
        <w:ind w:firstLine="567"/>
        <w:jc w:val="both"/>
        <w:rPr>
          <w:bCs/>
          <w:sz w:val="24"/>
          <w:szCs w:val="24"/>
          <w:lang w:eastAsia="lv-LV"/>
        </w:rPr>
      </w:pPr>
      <w:r w:rsidRPr="000C1990">
        <w:rPr>
          <w:bCs/>
          <w:sz w:val="24"/>
          <w:szCs w:val="24"/>
          <w:lang w:eastAsia="lv-LV"/>
        </w:rPr>
        <w:t xml:space="preserve">Izprotot situāciju ar augstajām aizdevumu procentu likmēm, tika meklēta iespēja kā pašvaldībām mazināt šo finanšu resursu izmaksas. </w:t>
      </w:r>
    </w:p>
    <w:p w14:paraId="00C58EA7" w14:textId="433E6B0E" w:rsidR="00D24354" w:rsidRDefault="00D24354" w:rsidP="00D24354">
      <w:pPr>
        <w:ind w:firstLine="567"/>
        <w:jc w:val="both"/>
        <w:rPr>
          <w:sz w:val="24"/>
          <w:szCs w:val="24"/>
        </w:rPr>
      </w:pPr>
      <w:r w:rsidRPr="000C1990">
        <w:rPr>
          <w:bCs/>
          <w:sz w:val="24"/>
          <w:szCs w:val="24"/>
          <w:lang w:eastAsia="lv-LV"/>
        </w:rPr>
        <w:t>Jauniem aizņēmumiem no Valsts kases pašvaldībām nepiemērot apkalpošanas maksu, kas šobrīd ir noteikta 0,25%.</w:t>
      </w:r>
      <w:r w:rsidRPr="00D24354">
        <w:rPr>
          <w:bCs/>
          <w:sz w:val="24"/>
          <w:szCs w:val="24"/>
          <w:lang w:eastAsia="lv-LV"/>
        </w:rPr>
        <w:t xml:space="preserve"> </w:t>
      </w:r>
    </w:p>
    <w:p w14:paraId="34D5A091" w14:textId="77777777" w:rsidR="00EA045B" w:rsidRDefault="00EA045B" w:rsidP="008D0182">
      <w:pPr>
        <w:pStyle w:val="paragraph"/>
        <w:tabs>
          <w:tab w:val="left" w:pos="709"/>
          <w:tab w:val="left" w:pos="993"/>
        </w:tabs>
        <w:ind w:firstLine="567"/>
        <w:jc w:val="both"/>
        <w:rPr>
          <w:b/>
          <w:bCs/>
        </w:rPr>
      </w:pPr>
    </w:p>
    <w:p w14:paraId="0A12CFDA" w14:textId="4F3B666F" w:rsidR="009D3AED" w:rsidRPr="00EC50F7" w:rsidRDefault="009D3AED" w:rsidP="008D0182">
      <w:pPr>
        <w:pStyle w:val="paragraph"/>
        <w:tabs>
          <w:tab w:val="left" w:pos="709"/>
          <w:tab w:val="left" w:pos="993"/>
        </w:tabs>
        <w:ind w:firstLine="567"/>
        <w:jc w:val="both"/>
        <w:rPr>
          <w:b/>
          <w:bCs/>
        </w:rPr>
      </w:pPr>
      <w:r w:rsidRPr="00EC50F7">
        <w:rPr>
          <w:b/>
          <w:bCs/>
        </w:rPr>
        <w:t xml:space="preserve">Puses vienojas: </w:t>
      </w:r>
      <w:bookmarkEnd w:id="7"/>
    </w:p>
    <w:p w14:paraId="297BFE54" w14:textId="77777777" w:rsidR="004A1EE2" w:rsidRPr="00EC50F7" w:rsidRDefault="009D3AED" w:rsidP="008D0182">
      <w:pPr>
        <w:pStyle w:val="paragraph"/>
        <w:tabs>
          <w:tab w:val="left" w:pos="993"/>
        </w:tabs>
        <w:ind w:firstLine="567"/>
        <w:jc w:val="both"/>
        <w:rPr>
          <w:b/>
          <w:bCs/>
        </w:rPr>
      </w:pPr>
      <w:r w:rsidRPr="00EC50F7">
        <w:t>Valsts kasei sagatavot un līdz 2024.</w:t>
      </w:r>
      <w:r w:rsidR="00E03397" w:rsidRPr="00EC50F7">
        <w:t xml:space="preserve"> </w:t>
      </w:r>
      <w:r w:rsidRPr="00EC50F7">
        <w:t>gada 30.</w:t>
      </w:r>
      <w:r w:rsidR="00E03397" w:rsidRPr="00EC50F7">
        <w:t xml:space="preserve"> </w:t>
      </w:r>
      <w:r w:rsidRPr="00EC50F7">
        <w:t>decembrim iesniegt Ministru kabinetā grozījumus Ministru kabineta 2021.</w:t>
      </w:r>
      <w:r w:rsidR="00E03397" w:rsidRPr="00EC50F7">
        <w:t xml:space="preserve"> </w:t>
      </w:r>
      <w:r w:rsidRPr="00EC50F7">
        <w:t>gada 21.</w:t>
      </w:r>
      <w:r w:rsidR="00E03397" w:rsidRPr="00EC50F7">
        <w:t xml:space="preserve"> </w:t>
      </w:r>
      <w:r w:rsidRPr="00EC50F7">
        <w:t>decembra noteikumos Nr.</w:t>
      </w:r>
      <w:r w:rsidR="00E03397" w:rsidRPr="00EC50F7">
        <w:t xml:space="preserve"> </w:t>
      </w:r>
      <w:r w:rsidRPr="00EC50F7">
        <w:t>888 “</w:t>
      </w:r>
      <w:r w:rsidRPr="00EC50F7">
        <w:rPr>
          <w:shd w:val="clear" w:color="auto" w:fill="FFFFFF"/>
        </w:rPr>
        <w:t>Kārtība, kādā ministrijas un citas centrālās valsts iestādes iekļauj gadskārtējā valsts budžeta likumprojektā valsts aizdevumu pieprasījumus, un valsts aizdevumu izsniegšanas un apkalpošanas kārtība</w:t>
      </w:r>
      <w:r w:rsidRPr="00EC50F7">
        <w:t>”, nosakot, ka no 2025.</w:t>
      </w:r>
      <w:r w:rsidR="00E03397" w:rsidRPr="00EC50F7">
        <w:t xml:space="preserve"> </w:t>
      </w:r>
      <w:r w:rsidRPr="00EC50F7">
        <w:t xml:space="preserve">gada pēc pašvaldības pieprasījuma Valsts kase pārskata izsniegtajiem valsts aizdevumiem procentu likmi reizi divos gados pie nosacījuma, ka starpība starp iepriekš noteikto valsts aizdevuma procentu likmi un to likmi, ko piemēro no valsts budžeta izsniedzamajiem aizdevumiem atbilstošajā valūtā, ir lielāka par 1%. Vienlaikus Valsts kasei izvērtēt iespēju mainīt nosacījumu par starpību starp procentu likmēm, to samazinot. Minētos pasākumus nepieciešamības gadījumā var noteikt kā terminētus. </w:t>
      </w:r>
    </w:p>
    <w:p w14:paraId="2BBC57C8" w14:textId="77777777" w:rsidR="00CE36BD" w:rsidRPr="00EC50F7" w:rsidRDefault="00CE36BD" w:rsidP="00415853">
      <w:pPr>
        <w:pStyle w:val="paragraph"/>
        <w:tabs>
          <w:tab w:val="left" w:pos="567"/>
          <w:tab w:val="left" w:pos="993"/>
        </w:tabs>
        <w:ind w:firstLine="709"/>
        <w:jc w:val="both"/>
        <w:rPr>
          <w:b/>
          <w:bCs/>
        </w:rPr>
      </w:pPr>
    </w:p>
    <w:p w14:paraId="796D6479" w14:textId="352A1D8C" w:rsidR="00415853" w:rsidRPr="00EC50F7" w:rsidRDefault="004A1EE2" w:rsidP="00415853">
      <w:pPr>
        <w:pStyle w:val="paragraph"/>
        <w:tabs>
          <w:tab w:val="left" w:pos="567"/>
          <w:tab w:val="left" w:pos="993"/>
        </w:tabs>
        <w:ind w:firstLine="709"/>
        <w:jc w:val="both"/>
        <w:rPr>
          <w:b/>
          <w:bCs/>
        </w:rPr>
      </w:pPr>
      <w:r w:rsidRPr="00EC50F7">
        <w:rPr>
          <w:b/>
          <w:bCs/>
        </w:rPr>
        <w:t>Puses vienojas:</w:t>
      </w:r>
    </w:p>
    <w:p w14:paraId="0B88892D" w14:textId="40398342" w:rsidR="009D3AED" w:rsidRPr="00EC50F7" w:rsidRDefault="009D3AED" w:rsidP="00415853">
      <w:pPr>
        <w:pStyle w:val="paragraph"/>
        <w:tabs>
          <w:tab w:val="left" w:pos="567"/>
          <w:tab w:val="left" w:pos="993"/>
        </w:tabs>
        <w:ind w:firstLine="709"/>
        <w:jc w:val="both"/>
        <w:rPr>
          <w:b/>
          <w:bCs/>
        </w:rPr>
      </w:pPr>
      <w:r w:rsidRPr="00EC50F7">
        <w:t xml:space="preserve">Viedās administrācijas un reģionālās attīstības ministrijai sagatavot grozījumus </w:t>
      </w:r>
      <w:r w:rsidRPr="00EC50F7">
        <w:rPr>
          <w:color w:val="000000"/>
        </w:rPr>
        <w:t>Reģionālās attīstības likuma</w:t>
      </w:r>
      <w:r w:rsidR="00E03397" w:rsidRPr="00EC50F7">
        <w:rPr>
          <w:color w:val="000000"/>
        </w:rPr>
        <w:t xml:space="preserve"> </w:t>
      </w:r>
      <w:r w:rsidRPr="00EC50F7">
        <w:rPr>
          <w:color w:val="000000"/>
        </w:rPr>
        <w:t>14.</w:t>
      </w:r>
      <w:r w:rsidR="00E03397" w:rsidRPr="00EC50F7">
        <w:rPr>
          <w:color w:val="000000"/>
        </w:rPr>
        <w:t xml:space="preserve"> </w:t>
      </w:r>
      <w:r w:rsidRPr="00EC50F7">
        <w:rPr>
          <w:color w:val="000000"/>
        </w:rPr>
        <w:t>panta 8.</w:t>
      </w:r>
      <w:r w:rsidR="00E03397" w:rsidRPr="00EC50F7">
        <w:rPr>
          <w:color w:val="000000"/>
        </w:rPr>
        <w:t xml:space="preserve"> </w:t>
      </w:r>
      <w:r w:rsidRPr="00EC50F7">
        <w:rPr>
          <w:color w:val="000000"/>
        </w:rPr>
        <w:t>punktā, vārdu “valsts aizdevuma saņemšanai</w:t>
      </w:r>
      <w:r w:rsidR="00E03397" w:rsidRPr="00EC50F7">
        <w:rPr>
          <w:color w:val="000000"/>
        </w:rPr>
        <w:t>”</w:t>
      </w:r>
      <w:r w:rsidRPr="00EC50F7">
        <w:rPr>
          <w:color w:val="000000"/>
        </w:rPr>
        <w:t xml:space="preserve"> aizstājot ar vārdiem “aizdevuma saņemšanai”, lai nodrošinātu likumā “Par pašvaldību budžetiem” paredzēto iespēju pašvaldībām izvēlēties ņemt aizņēmumu, noslēdzot aizņēmuma līgumu ar Valsts kasi vai citu aizdevēju, ja cita aizdevēja aizdevuma nosacījumi ir izdevīgāki nekā no valsts budžeta izsniedzamo aizdevumu nosacījumi. Likumprojektu iekļaut 2025.</w:t>
      </w:r>
      <w:r w:rsidR="00E03397" w:rsidRPr="00EC50F7">
        <w:rPr>
          <w:color w:val="000000"/>
        </w:rPr>
        <w:t xml:space="preserve"> </w:t>
      </w:r>
      <w:r w:rsidRPr="00EC50F7">
        <w:rPr>
          <w:color w:val="000000"/>
        </w:rPr>
        <w:t>gada budžetu pavadošo likumprojektu paketē.</w:t>
      </w:r>
    </w:p>
    <w:p w14:paraId="17233947" w14:textId="77777777" w:rsidR="00345D2F" w:rsidRDefault="00345D2F" w:rsidP="00345D2F">
      <w:pPr>
        <w:pStyle w:val="paragraph"/>
        <w:tabs>
          <w:tab w:val="left" w:pos="567"/>
          <w:tab w:val="left" w:pos="993"/>
        </w:tabs>
        <w:ind w:firstLine="709"/>
        <w:jc w:val="both"/>
        <w:rPr>
          <w:b/>
          <w:bCs/>
        </w:rPr>
      </w:pPr>
    </w:p>
    <w:p w14:paraId="3F6AA348" w14:textId="7906DB97" w:rsidR="00345D2F" w:rsidRPr="00EC50F7" w:rsidRDefault="00345D2F" w:rsidP="00345D2F">
      <w:pPr>
        <w:pStyle w:val="paragraph"/>
        <w:tabs>
          <w:tab w:val="left" w:pos="567"/>
          <w:tab w:val="left" w:pos="993"/>
        </w:tabs>
        <w:ind w:firstLine="709"/>
        <w:jc w:val="both"/>
        <w:rPr>
          <w:b/>
          <w:bCs/>
        </w:rPr>
      </w:pPr>
      <w:r w:rsidRPr="00EC50F7">
        <w:rPr>
          <w:b/>
          <w:bCs/>
        </w:rPr>
        <w:t>Puses vienojas:</w:t>
      </w:r>
    </w:p>
    <w:p w14:paraId="6673AD94" w14:textId="6A8B8970" w:rsidR="004A1EE2" w:rsidRPr="00345D2F" w:rsidRDefault="00345D2F" w:rsidP="004A1EE2">
      <w:pPr>
        <w:pStyle w:val="paragraph"/>
        <w:tabs>
          <w:tab w:val="left" w:pos="567"/>
          <w:tab w:val="left" w:pos="993"/>
        </w:tabs>
        <w:ind w:firstLine="709"/>
        <w:jc w:val="both"/>
      </w:pPr>
      <w:r w:rsidRPr="00345D2F">
        <w:t>Viedās administrācijas un reģionālās attīstības ministrijai sadarbībā ar Izglītības un zinātnes ministriju, Satiksmes ministriju un Latvijas Pašvaldību savienību pārskatīt Ministru kabineta 2024. gada 5. marta noteikumos Nr. 159 “Kritēriji un kārtība, kādā tiek izvērtēti pašvaldību investīciju projektu pieteikumi valsts budžeta aizdevuma saņemšanai” noteiktos projektu vērtēšanas  kritērijus, lai mazinātu administratīvo slogu projektu vērtēšanas procesā.</w:t>
      </w:r>
    </w:p>
    <w:p w14:paraId="6DE582B4" w14:textId="77777777" w:rsidR="00EC7467" w:rsidRDefault="00EC7467" w:rsidP="00415853">
      <w:pPr>
        <w:pStyle w:val="paragraph"/>
        <w:tabs>
          <w:tab w:val="left" w:pos="567"/>
          <w:tab w:val="left" w:pos="993"/>
        </w:tabs>
        <w:ind w:firstLine="709"/>
        <w:jc w:val="both"/>
        <w:rPr>
          <w:b/>
          <w:bCs/>
        </w:rPr>
      </w:pPr>
    </w:p>
    <w:p w14:paraId="05268603" w14:textId="1247F743" w:rsidR="00415853" w:rsidRPr="00EC50F7" w:rsidRDefault="004A1EE2" w:rsidP="00415853">
      <w:pPr>
        <w:pStyle w:val="paragraph"/>
        <w:tabs>
          <w:tab w:val="left" w:pos="567"/>
          <w:tab w:val="left" w:pos="993"/>
        </w:tabs>
        <w:ind w:firstLine="709"/>
        <w:jc w:val="both"/>
        <w:rPr>
          <w:b/>
          <w:bCs/>
        </w:rPr>
      </w:pPr>
      <w:r w:rsidRPr="00EC50F7">
        <w:rPr>
          <w:b/>
          <w:bCs/>
        </w:rPr>
        <w:t>Puses vienojas:</w:t>
      </w:r>
    </w:p>
    <w:p w14:paraId="599F6D85" w14:textId="48B5E532" w:rsidR="009D3AED" w:rsidRPr="00EC50F7" w:rsidRDefault="009D3AED" w:rsidP="00415853">
      <w:pPr>
        <w:pStyle w:val="paragraph"/>
        <w:tabs>
          <w:tab w:val="left" w:pos="567"/>
          <w:tab w:val="left" w:pos="993"/>
        </w:tabs>
        <w:ind w:firstLine="709"/>
        <w:jc w:val="both"/>
        <w:rPr>
          <w:b/>
          <w:bCs/>
        </w:rPr>
      </w:pPr>
      <w:r w:rsidRPr="00EC50F7">
        <w:t>Saglabāt 2025.</w:t>
      </w:r>
      <w:r w:rsidR="00E03397" w:rsidRPr="00EC50F7">
        <w:t xml:space="preserve"> </w:t>
      </w:r>
      <w:r w:rsidRPr="00EC50F7">
        <w:t xml:space="preserve">gadā noteiktos galvojuma mērķus pašvaldību kapitālsabiedrību aizņēmumiem, tajā skaitā kurināmā iegādei ar pašvaldības galvojumu 100% valsts aizdevumu summai, aizdevuma atmaksas termiņu līdz diviem gadiem un ar atlikto pamatsummas maksājumu līdz vienam gadam no aizdevuma līguma noslēgšanas dienas. </w:t>
      </w:r>
    </w:p>
    <w:p w14:paraId="2CD4C4EF" w14:textId="77777777" w:rsidR="00A816E3" w:rsidRPr="00EC50F7" w:rsidRDefault="00A816E3" w:rsidP="004A1EE2">
      <w:pPr>
        <w:pStyle w:val="paragraph"/>
        <w:tabs>
          <w:tab w:val="left" w:pos="709"/>
          <w:tab w:val="left" w:pos="993"/>
        </w:tabs>
        <w:ind w:firstLine="709"/>
        <w:jc w:val="both"/>
      </w:pPr>
    </w:p>
    <w:p w14:paraId="373C9DF6" w14:textId="5573EC54" w:rsidR="00AE228C" w:rsidRPr="00EC50F7" w:rsidRDefault="00492A97" w:rsidP="00E35937">
      <w:pPr>
        <w:pStyle w:val="ListParagraph"/>
        <w:ind w:left="0"/>
        <w:jc w:val="center"/>
        <w:rPr>
          <w:b/>
          <w:sz w:val="24"/>
          <w:szCs w:val="24"/>
        </w:rPr>
      </w:pPr>
      <w:r w:rsidRPr="00EC50F7">
        <w:rPr>
          <w:b/>
          <w:sz w:val="24"/>
          <w:szCs w:val="24"/>
        </w:rPr>
        <w:t>4</w:t>
      </w:r>
      <w:r w:rsidR="00F22EBD" w:rsidRPr="00EC50F7">
        <w:rPr>
          <w:b/>
          <w:sz w:val="24"/>
          <w:szCs w:val="24"/>
        </w:rPr>
        <w:t xml:space="preserve">. </w:t>
      </w:r>
      <w:r w:rsidR="00AE228C" w:rsidRPr="00EC50F7">
        <w:rPr>
          <w:b/>
          <w:sz w:val="24"/>
          <w:szCs w:val="24"/>
        </w:rPr>
        <w:t xml:space="preserve">Valsts budžeta </w:t>
      </w:r>
      <w:proofErr w:type="spellStart"/>
      <w:r w:rsidR="00AE228C" w:rsidRPr="00EC50F7">
        <w:rPr>
          <w:b/>
          <w:sz w:val="24"/>
          <w:szCs w:val="24"/>
        </w:rPr>
        <w:t>transferti</w:t>
      </w:r>
      <w:proofErr w:type="spellEnd"/>
      <w:r w:rsidR="00AE228C" w:rsidRPr="00EC50F7">
        <w:rPr>
          <w:b/>
          <w:sz w:val="24"/>
          <w:szCs w:val="24"/>
        </w:rPr>
        <w:t xml:space="preserve"> pašvaldībām</w:t>
      </w:r>
    </w:p>
    <w:p w14:paraId="2B84B92A" w14:textId="77777777" w:rsidR="00AE228C" w:rsidRPr="00EC50F7" w:rsidRDefault="00AE228C" w:rsidP="00E35937">
      <w:pPr>
        <w:pStyle w:val="BodyText"/>
        <w:shd w:val="clear" w:color="auto" w:fill="FFFFFF"/>
        <w:ind w:firstLine="567"/>
        <w:jc w:val="left"/>
        <w:rPr>
          <w:rFonts w:ascii="Times New Roman" w:hAnsi="Times New Roman"/>
          <w:b/>
          <w:bCs/>
          <w:sz w:val="24"/>
          <w:szCs w:val="24"/>
          <w:u w:val="single"/>
        </w:rPr>
      </w:pPr>
    </w:p>
    <w:p w14:paraId="1DC04F16" w14:textId="77777777" w:rsidR="00AE228C" w:rsidRPr="00EC50F7" w:rsidRDefault="00AE228C" w:rsidP="00E35937">
      <w:pPr>
        <w:ind w:firstLine="567"/>
        <w:rPr>
          <w:b/>
          <w:iCs/>
          <w:sz w:val="24"/>
          <w:szCs w:val="24"/>
        </w:rPr>
      </w:pPr>
      <w:bookmarkStart w:id="17" w:name="_Hlk177563030"/>
      <w:r w:rsidRPr="00EC50F7">
        <w:rPr>
          <w:b/>
          <w:iCs/>
          <w:sz w:val="24"/>
          <w:szCs w:val="24"/>
        </w:rPr>
        <w:t>Puses vienojas:</w:t>
      </w:r>
    </w:p>
    <w:bookmarkEnd w:id="17"/>
    <w:p w14:paraId="75A6B5C3" w14:textId="481503CD" w:rsidR="00AE228C" w:rsidRPr="00EC50F7" w:rsidRDefault="00AE228C" w:rsidP="00E35937">
      <w:pPr>
        <w:ind w:firstLine="567"/>
        <w:jc w:val="both"/>
        <w:rPr>
          <w:sz w:val="24"/>
          <w:szCs w:val="24"/>
        </w:rPr>
      </w:pPr>
      <w:r w:rsidRPr="00EC50F7">
        <w:rPr>
          <w:iCs/>
          <w:sz w:val="24"/>
          <w:szCs w:val="24"/>
        </w:rPr>
        <w:t xml:space="preserve">Kopumā atbalstīt piedāvāto valsts budžeta finansējuma sadalījumu caur nozaru ministrijām pašvaldību budžetiem </w:t>
      </w:r>
      <w:r w:rsidR="00895326" w:rsidRPr="00EC50F7">
        <w:rPr>
          <w:iCs/>
          <w:sz w:val="24"/>
          <w:szCs w:val="24"/>
        </w:rPr>
        <w:t>202</w:t>
      </w:r>
      <w:r w:rsidR="007A5C72" w:rsidRPr="00EC50F7">
        <w:rPr>
          <w:iCs/>
          <w:sz w:val="24"/>
          <w:szCs w:val="24"/>
        </w:rPr>
        <w:t>5</w:t>
      </w:r>
      <w:r w:rsidR="00895326" w:rsidRPr="00EC50F7">
        <w:rPr>
          <w:iCs/>
          <w:sz w:val="24"/>
          <w:szCs w:val="24"/>
        </w:rPr>
        <w:t>.</w:t>
      </w:r>
      <w:r w:rsidR="00B071FC" w:rsidRPr="00EC50F7">
        <w:rPr>
          <w:iCs/>
          <w:sz w:val="24"/>
          <w:szCs w:val="24"/>
        </w:rPr>
        <w:t xml:space="preserve"> </w:t>
      </w:r>
      <w:r w:rsidR="00895326" w:rsidRPr="00EC50F7">
        <w:rPr>
          <w:iCs/>
          <w:sz w:val="24"/>
          <w:szCs w:val="24"/>
        </w:rPr>
        <w:t xml:space="preserve">gadā </w:t>
      </w:r>
      <w:r w:rsidRPr="00EC50F7">
        <w:rPr>
          <w:iCs/>
          <w:sz w:val="24"/>
          <w:szCs w:val="24"/>
        </w:rPr>
        <w:t>atbilstoši protokola 2.</w:t>
      </w:r>
      <w:r w:rsidR="00B071FC" w:rsidRPr="00EC50F7">
        <w:rPr>
          <w:iCs/>
          <w:sz w:val="24"/>
          <w:szCs w:val="24"/>
        </w:rPr>
        <w:t xml:space="preserve"> </w:t>
      </w:r>
      <w:r w:rsidRPr="00EC50F7">
        <w:rPr>
          <w:iCs/>
          <w:sz w:val="24"/>
          <w:szCs w:val="24"/>
        </w:rPr>
        <w:t>pielikumā minētajam apmēram.</w:t>
      </w:r>
      <w:r w:rsidRPr="00EC50F7">
        <w:rPr>
          <w:sz w:val="24"/>
          <w:szCs w:val="24"/>
        </w:rPr>
        <w:t xml:space="preserve"> </w:t>
      </w:r>
    </w:p>
    <w:p w14:paraId="337F883D" w14:textId="77777777" w:rsidR="00A001E6" w:rsidRPr="00EC50F7" w:rsidRDefault="00A001E6" w:rsidP="00E35937">
      <w:pPr>
        <w:ind w:firstLine="567"/>
        <w:jc w:val="both"/>
        <w:rPr>
          <w:sz w:val="24"/>
          <w:szCs w:val="24"/>
        </w:rPr>
      </w:pPr>
    </w:p>
    <w:p w14:paraId="0838600A" w14:textId="23F13087" w:rsidR="00900FF1" w:rsidRPr="00EC50F7" w:rsidRDefault="00492A97" w:rsidP="00E35937">
      <w:pPr>
        <w:pStyle w:val="ListParagraph"/>
        <w:ind w:left="0"/>
        <w:jc w:val="center"/>
        <w:rPr>
          <w:b/>
          <w:bCs/>
          <w:sz w:val="24"/>
          <w:szCs w:val="24"/>
        </w:rPr>
      </w:pPr>
      <w:r w:rsidRPr="00EC50F7">
        <w:rPr>
          <w:b/>
          <w:bCs/>
          <w:sz w:val="24"/>
          <w:szCs w:val="24"/>
        </w:rPr>
        <w:t>5</w:t>
      </w:r>
      <w:r w:rsidR="00F22EBD" w:rsidRPr="00EC50F7">
        <w:rPr>
          <w:b/>
          <w:bCs/>
          <w:sz w:val="24"/>
          <w:szCs w:val="24"/>
        </w:rPr>
        <w:t xml:space="preserve">. </w:t>
      </w:r>
      <w:r w:rsidR="006D5A3D" w:rsidRPr="00EC50F7">
        <w:rPr>
          <w:b/>
          <w:bCs/>
          <w:sz w:val="24"/>
          <w:szCs w:val="24"/>
        </w:rPr>
        <w:t>Pašvaldību finanšu izlīdzināšana</w:t>
      </w:r>
    </w:p>
    <w:p w14:paraId="49083185" w14:textId="77777777" w:rsidR="00BC702C" w:rsidRPr="00EC50F7" w:rsidRDefault="00BC702C" w:rsidP="00E35937">
      <w:pPr>
        <w:ind w:firstLine="567"/>
        <w:jc w:val="both"/>
        <w:rPr>
          <w:bCs/>
          <w:sz w:val="24"/>
          <w:szCs w:val="24"/>
        </w:rPr>
      </w:pPr>
    </w:p>
    <w:p w14:paraId="2B1AD900" w14:textId="148D0851" w:rsidR="00BC702C" w:rsidRPr="00EC50F7" w:rsidRDefault="00BC702C" w:rsidP="00E35937">
      <w:pPr>
        <w:ind w:firstLine="567"/>
        <w:jc w:val="both"/>
        <w:rPr>
          <w:bCs/>
          <w:sz w:val="24"/>
          <w:szCs w:val="24"/>
        </w:rPr>
      </w:pPr>
      <w:r w:rsidRPr="00EC50F7">
        <w:rPr>
          <w:b/>
          <w:bCs/>
          <w:iCs/>
          <w:sz w:val="24"/>
          <w:szCs w:val="24"/>
        </w:rPr>
        <w:t>Puses vienojas:</w:t>
      </w:r>
    </w:p>
    <w:p w14:paraId="474A9A9F" w14:textId="7AE91575" w:rsidR="00E945DA" w:rsidRDefault="00C0580A" w:rsidP="00E35937">
      <w:pPr>
        <w:ind w:firstLine="567"/>
        <w:jc w:val="both"/>
        <w:rPr>
          <w:bCs/>
          <w:sz w:val="24"/>
          <w:szCs w:val="24"/>
        </w:rPr>
      </w:pPr>
      <w:r w:rsidRPr="00EC50F7">
        <w:rPr>
          <w:bCs/>
          <w:sz w:val="24"/>
          <w:szCs w:val="24"/>
        </w:rPr>
        <w:t>Lai</w:t>
      </w:r>
      <w:r w:rsidR="00E945DA" w:rsidRPr="00EC50F7">
        <w:rPr>
          <w:bCs/>
          <w:sz w:val="24"/>
          <w:szCs w:val="24"/>
        </w:rPr>
        <w:t xml:space="preserve"> </w:t>
      </w:r>
      <w:r w:rsidRPr="00EC50F7">
        <w:rPr>
          <w:bCs/>
          <w:sz w:val="24"/>
          <w:szCs w:val="24"/>
        </w:rPr>
        <w:t xml:space="preserve">kompensētu nodokļu izmaiņu </w:t>
      </w:r>
      <w:r w:rsidR="00167E27" w:rsidRPr="00EC50F7">
        <w:rPr>
          <w:bCs/>
          <w:sz w:val="24"/>
          <w:szCs w:val="24"/>
        </w:rPr>
        <w:t>ietekmi uz pašvaldību budžetiem</w:t>
      </w:r>
      <w:r w:rsidRPr="00EC50F7">
        <w:rPr>
          <w:bCs/>
          <w:sz w:val="24"/>
          <w:szCs w:val="24"/>
        </w:rPr>
        <w:t xml:space="preserve">, </w:t>
      </w:r>
      <w:r w:rsidR="00167E27" w:rsidRPr="00EC50F7">
        <w:rPr>
          <w:bCs/>
          <w:sz w:val="24"/>
          <w:szCs w:val="24"/>
        </w:rPr>
        <w:t>likumprojektā "Par valsts budžetu 2025. gadam un budžeta ietvaru 2025., 2026. un 2027. gadam" paredzēt</w:t>
      </w:r>
      <w:r w:rsidRPr="00EC50F7">
        <w:rPr>
          <w:bCs/>
          <w:sz w:val="24"/>
          <w:szCs w:val="24"/>
        </w:rPr>
        <w:t xml:space="preserve"> valsts </w:t>
      </w:r>
      <w:r w:rsidRPr="00EC50F7">
        <w:rPr>
          <w:bCs/>
          <w:sz w:val="24"/>
          <w:szCs w:val="24"/>
        </w:rPr>
        <w:lastRenderedPageBreak/>
        <w:t>budžeta dotāciju pašvaldībām</w:t>
      </w:r>
      <w:r w:rsidR="00167E27" w:rsidRPr="00EC50F7">
        <w:rPr>
          <w:bCs/>
          <w:sz w:val="24"/>
          <w:szCs w:val="24"/>
        </w:rPr>
        <w:t xml:space="preserve"> </w:t>
      </w:r>
      <w:r w:rsidR="001C59DE">
        <w:rPr>
          <w:bCs/>
          <w:sz w:val="24"/>
          <w:szCs w:val="24"/>
        </w:rPr>
        <w:t xml:space="preserve">67,5 milj. </w:t>
      </w:r>
      <w:proofErr w:type="spellStart"/>
      <w:r w:rsidR="001C59DE" w:rsidRPr="001C59DE">
        <w:rPr>
          <w:bCs/>
          <w:i/>
          <w:iCs/>
          <w:sz w:val="24"/>
          <w:szCs w:val="24"/>
        </w:rPr>
        <w:t>euro</w:t>
      </w:r>
      <w:proofErr w:type="spellEnd"/>
      <w:r w:rsidR="001C59DE">
        <w:rPr>
          <w:bCs/>
          <w:sz w:val="24"/>
          <w:szCs w:val="24"/>
        </w:rPr>
        <w:t xml:space="preserve">, kura </w:t>
      </w:r>
      <w:r w:rsidR="001C59DE" w:rsidRPr="000C1990">
        <w:rPr>
          <w:bCs/>
          <w:sz w:val="24"/>
          <w:szCs w:val="24"/>
        </w:rPr>
        <w:t>tiek sadalīta pašvaldībām pēc IIN koeficientiem 5</w:t>
      </w:r>
      <w:r w:rsidR="001A3840">
        <w:rPr>
          <w:bCs/>
          <w:sz w:val="24"/>
          <w:szCs w:val="24"/>
        </w:rPr>
        <w:t>2</w:t>
      </w:r>
      <w:r w:rsidR="001C59DE" w:rsidRPr="000C1990">
        <w:rPr>
          <w:bCs/>
          <w:sz w:val="24"/>
          <w:szCs w:val="24"/>
        </w:rPr>
        <w:t>,</w:t>
      </w:r>
      <w:r w:rsidR="001A3840">
        <w:rPr>
          <w:bCs/>
          <w:sz w:val="24"/>
          <w:szCs w:val="24"/>
        </w:rPr>
        <w:t>8</w:t>
      </w:r>
      <w:r w:rsidR="001C59DE" w:rsidRPr="000C1990">
        <w:rPr>
          <w:bCs/>
          <w:sz w:val="24"/>
          <w:szCs w:val="24"/>
        </w:rPr>
        <w:t xml:space="preserve"> milj. </w:t>
      </w:r>
      <w:proofErr w:type="spellStart"/>
      <w:r w:rsidR="001C59DE" w:rsidRPr="000C1990">
        <w:rPr>
          <w:bCs/>
          <w:i/>
          <w:iCs/>
          <w:sz w:val="24"/>
          <w:szCs w:val="24"/>
        </w:rPr>
        <w:t>euro</w:t>
      </w:r>
      <w:proofErr w:type="spellEnd"/>
      <w:r w:rsidR="001C59DE" w:rsidRPr="000C1990">
        <w:rPr>
          <w:bCs/>
          <w:sz w:val="24"/>
          <w:szCs w:val="24"/>
        </w:rPr>
        <w:t xml:space="preserve"> apmērā un pašvaldību finanšu izlīdzināšanas (PFI) kritērijiem 14,7 milj</w:t>
      </w:r>
      <w:r w:rsidR="001C59DE" w:rsidRPr="000C1990">
        <w:rPr>
          <w:bCs/>
          <w:i/>
          <w:iCs/>
          <w:sz w:val="24"/>
          <w:szCs w:val="24"/>
        </w:rPr>
        <w:t xml:space="preserve">. </w:t>
      </w:r>
      <w:proofErr w:type="spellStart"/>
      <w:r w:rsidR="001C59DE" w:rsidRPr="000C1990">
        <w:rPr>
          <w:bCs/>
          <w:i/>
          <w:iCs/>
          <w:sz w:val="24"/>
          <w:szCs w:val="24"/>
        </w:rPr>
        <w:t>euro</w:t>
      </w:r>
      <w:proofErr w:type="spellEnd"/>
      <w:r w:rsidR="001C59DE" w:rsidRPr="000C1990">
        <w:rPr>
          <w:bCs/>
          <w:sz w:val="24"/>
          <w:szCs w:val="24"/>
        </w:rPr>
        <w:t xml:space="preserve"> apmērā, nodrošinot reģionāli sabalansētu finansējuma pieaugumu pašvaldībām. </w:t>
      </w:r>
      <w:r w:rsidR="001A3840">
        <w:rPr>
          <w:bCs/>
          <w:sz w:val="24"/>
          <w:szCs w:val="24"/>
        </w:rPr>
        <w:t xml:space="preserve">Paredzēt papildu valsts budžeta dotāciju </w:t>
      </w:r>
      <w:r w:rsidRPr="000C1990">
        <w:rPr>
          <w:bCs/>
          <w:sz w:val="24"/>
          <w:szCs w:val="24"/>
        </w:rPr>
        <w:t>2</w:t>
      </w:r>
      <w:r w:rsidR="0012466A" w:rsidRPr="000C1990">
        <w:rPr>
          <w:bCs/>
          <w:sz w:val="24"/>
          <w:szCs w:val="24"/>
        </w:rPr>
        <w:t>,5</w:t>
      </w:r>
      <w:r w:rsidRPr="000C1990">
        <w:rPr>
          <w:bCs/>
          <w:sz w:val="24"/>
          <w:szCs w:val="24"/>
        </w:rPr>
        <w:t xml:space="preserve"> milj. </w:t>
      </w:r>
      <w:proofErr w:type="spellStart"/>
      <w:r w:rsidRPr="000C1990">
        <w:rPr>
          <w:bCs/>
          <w:i/>
          <w:iCs/>
          <w:sz w:val="24"/>
          <w:szCs w:val="24"/>
        </w:rPr>
        <w:t>euro</w:t>
      </w:r>
      <w:proofErr w:type="spellEnd"/>
      <w:r w:rsidRPr="000C1990">
        <w:rPr>
          <w:bCs/>
          <w:i/>
          <w:iCs/>
          <w:sz w:val="24"/>
          <w:szCs w:val="24"/>
        </w:rPr>
        <w:t xml:space="preserve"> </w:t>
      </w:r>
      <w:r w:rsidRPr="000C1990">
        <w:rPr>
          <w:bCs/>
          <w:sz w:val="24"/>
          <w:szCs w:val="24"/>
        </w:rPr>
        <w:t xml:space="preserve">ES ārējās robežas </w:t>
      </w:r>
      <w:r w:rsidR="00E10974">
        <w:rPr>
          <w:bCs/>
          <w:sz w:val="24"/>
          <w:szCs w:val="24"/>
        </w:rPr>
        <w:t xml:space="preserve">piecām </w:t>
      </w:r>
      <w:r w:rsidRPr="000C1990">
        <w:rPr>
          <w:bCs/>
          <w:sz w:val="24"/>
          <w:szCs w:val="24"/>
        </w:rPr>
        <w:t>pašvaldībām drošības stiprināšanai</w:t>
      </w:r>
      <w:r w:rsidR="00167E27" w:rsidRPr="000C1990">
        <w:rPr>
          <w:bCs/>
          <w:sz w:val="24"/>
          <w:szCs w:val="24"/>
        </w:rPr>
        <w:t>.</w:t>
      </w:r>
      <w:r w:rsidR="00E945DA" w:rsidRPr="00EC50F7">
        <w:rPr>
          <w:bCs/>
          <w:sz w:val="24"/>
          <w:szCs w:val="24"/>
        </w:rPr>
        <w:t xml:space="preserve"> </w:t>
      </w:r>
      <w:r w:rsidR="00E10974">
        <w:rPr>
          <w:bCs/>
          <w:sz w:val="24"/>
          <w:szCs w:val="24"/>
        </w:rPr>
        <w:t xml:space="preserve">Papildu </w:t>
      </w:r>
      <w:r w:rsidR="00E945DA" w:rsidRPr="00EC50F7">
        <w:rPr>
          <w:bCs/>
          <w:sz w:val="24"/>
          <w:szCs w:val="24"/>
        </w:rPr>
        <w:t>finansējum</w:t>
      </w:r>
      <w:r w:rsidR="00E10974">
        <w:rPr>
          <w:bCs/>
          <w:sz w:val="24"/>
          <w:szCs w:val="24"/>
        </w:rPr>
        <w:t>u</w:t>
      </w:r>
      <w:r w:rsidR="00E945DA" w:rsidRPr="00EC50F7">
        <w:rPr>
          <w:bCs/>
          <w:sz w:val="24"/>
          <w:szCs w:val="24"/>
        </w:rPr>
        <w:t xml:space="preserve"> tiek </w:t>
      </w:r>
      <w:r w:rsidR="00E10974">
        <w:rPr>
          <w:bCs/>
          <w:sz w:val="24"/>
          <w:szCs w:val="24"/>
        </w:rPr>
        <w:t xml:space="preserve">piedāvāts </w:t>
      </w:r>
      <w:r w:rsidR="00E945DA" w:rsidRPr="00EC50F7">
        <w:rPr>
          <w:bCs/>
          <w:sz w:val="24"/>
          <w:szCs w:val="24"/>
        </w:rPr>
        <w:t>sadalīt proporcionāli katras pašvaldības ārējās robežas kilometru garumam</w:t>
      </w:r>
      <w:r w:rsidR="00E10974">
        <w:rPr>
          <w:bCs/>
          <w:sz w:val="24"/>
          <w:szCs w:val="24"/>
        </w:rPr>
        <w:t>, tai skaitā:</w:t>
      </w:r>
    </w:p>
    <w:p w14:paraId="522ECE15" w14:textId="77777777" w:rsidR="00E10974" w:rsidRPr="000C1990" w:rsidRDefault="00E10974" w:rsidP="00E10974">
      <w:pPr>
        <w:ind w:firstLine="567"/>
        <w:rPr>
          <w:bCs/>
          <w:sz w:val="24"/>
          <w:szCs w:val="24"/>
        </w:rPr>
      </w:pPr>
      <w:r w:rsidRPr="000C1990">
        <w:rPr>
          <w:bCs/>
          <w:sz w:val="24"/>
          <w:szCs w:val="24"/>
        </w:rPr>
        <w:t>Augšdaugavas novadam – 220 537</w:t>
      </w:r>
      <w:r w:rsidRPr="000C1990">
        <w:rPr>
          <w:bCs/>
          <w:sz w:val="24"/>
          <w:szCs w:val="24"/>
        </w:rPr>
        <w:tab/>
      </w:r>
    </w:p>
    <w:p w14:paraId="68A4CECC" w14:textId="77777777" w:rsidR="00E10974" w:rsidRPr="000C1990" w:rsidRDefault="00E10974" w:rsidP="00E10974">
      <w:pPr>
        <w:ind w:firstLine="567"/>
        <w:rPr>
          <w:bCs/>
          <w:sz w:val="24"/>
          <w:szCs w:val="24"/>
        </w:rPr>
      </w:pPr>
      <w:r w:rsidRPr="000C1990">
        <w:rPr>
          <w:bCs/>
          <w:sz w:val="24"/>
          <w:szCs w:val="24"/>
        </w:rPr>
        <w:t>Alūksnes novadam – 319 137</w:t>
      </w:r>
      <w:r w:rsidRPr="000C1990">
        <w:rPr>
          <w:bCs/>
          <w:sz w:val="24"/>
          <w:szCs w:val="24"/>
        </w:rPr>
        <w:tab/>
      </w:r>
    </w:p>
    <w:p w14:paraId="159E59C7" w14:textId="77777777" w:rsidR="00E10974" w:rsidRPr="000C1990" w:rsidRDefault="00E10974" w:rsidP="00E10974">
      <w:pPr>
        <w:ind w:firstLine="567"/>
        <w:rPr>
          <w:bCs/>
          <w:sz w:val="24"/>
          <w:szCs w:val="24"/>
        </w:rPr>
      </w:pPr>
      <w:r w:rsidRPr="000C1990">
        <w:rPr>
          <w:bCs/>
          <w:sz w:val="24"/>
          <w:szCs w:val="24"/>
        </w:rPr>
        <w:t>Balvu novadam – 484 247</w:t>
      </w:r>
      <w:r w:rsidRPr="000C1990">
        <w:rPr>
          <w:bCs/>
          <w:sz w:val="24"/>
          <w:szCs w:val="24"/>
        </w:rPr>
        <w:tab/>
      </w:r>
    </w:p>
    <w:p w14:paraId="76E6EFD2" w14:textId="77777777" w:rsidR="00E10974" w:rsidRPr="000C1990" w:rsidRDefault="00E10974" w:rsidP="00E10974">
      <w:pPr>
        <w:ind w:firstLine="567"/>
        <w:rPr>
          <w:bCs/>
          <w:sz w:val="24"/>
          <w:szCs w:val="24"/>
        </w:rPr>
      </w:pPr>
      <w:r w:rsidRPr="000C1990">
        <w:rPr>
          <w:bCs/>
          <w:sz w:val="24"/>
          <w:szCs w:val="24"/>
        </w:rPr>
        <w:t>Krāslavas novadam – 653 442</w:t>
      </w:r>
      <w:r w:rsidRPr="000C1990">
        <w:rPr>
          <w:bCs/>
          <w:sz w:val="24"/>
          <w:szCs w:val="24"/>
        </w:rPr>
        <w:tab/>
      </w:r>
    </w:p>
    <w:p w14:paraId="148B44E7" w14:textId="2EBF524C" w:rsidR="00E10974" w:rsidRDefault="00E10974" w:rsidP="00E10974">
      <w:pPr>
        <w:ind w:firstLine="567"/>
        <w:rPr>
          <w:bCs/>
          <w:sz w:val="24"/>
          <w:szCs w:val="24"/>
        </w:rPr>
      </w:pPr>
      <w:r w:rsidRPr="000C1990">
        <w:rPr>
          <w:bCs/>
          <w:sz w:val="24"/>
          <w:szCs w:val="24"/>
        </w:rPr>
        <w:t>Ludzas novadam – 822</w:t>
      </w:r>
      <w:r>
        <w:rPr>
          <w:bCs/>
          <w:sz w:val="24"/>
          <w:szCs w:val="24"/>
        </w:rPr>
        <w:t> </w:t>
      </w:r>
      <w:r w:rsidRPr="000C1990">
        <w:rPr>
          <w:bCs/>
          <w:sz w:val="24"/>
          <w:szCs w:val="24"/>
        </w:rPr>
        <w:t>637</w:t>
      </w:r>
    </w:p>
    <w:p w14:paraId="027EDABF" w14:textId="3729BE51" w:rsidR="00E945DA" w:rsidRPr="00EC50F7" w:rsidRDefault="00B542E0" w:rsidP="00E35937">
      <w:pPr>
        <w:ind w:firstLine="567"/>
        <w:jc w:val="both"/>
        <w:rPr>
          <w:bCs/>
          <w:sz w:val="24"/>
          <w:szCs w:val="24"/>
        </w:rPr>
      </w:pPr>
      <w:r w:rsidRPr="00EC50F7">
        <w:rPr>
          <w:bCs/>
          <w:sz w:val="24"/>
          <w:szCs w:val="24"/>
        </w:rPr>
        <w:t xml:space="preserve">2025. gadā PFI aprēķins tiek veikts ievērojot spēkā esošo likumu un </w:t>
      </w:r>
      <w:r w:rsidR="00E945DA" w:rsidRPr="00EC50F7">
        <w:rPr>
          <w:bCs/>
          <w:sz w:val="24"/>
          <w:szCs w:val="24"/>
        </w:rPr>
        <w:t xml:space="preserve">tiek turpināts darbs pie PFI sistēmas pilnveides. </w:t>
      </w:r>
    </w:p>
    <w:p w14:paraId="2E4E7F5E" w14:textId="77777777" w:rsidR="00BC702C" w:rsidRPr="00EC50F7" w:rsidRDefault="00BC702C" w:rsidP="00E35937">
      <w:pPr>
        <w:ind w:firstLine="567"/>
        <w:jc w:val="both"/>
        <w:rPr>
          <w:bCs/>
          <w:sz w:val="24"/>
          <w:szCs w:val="24"/>
        </w:rPr>
      </w:pPr>
    </w:p>
    <w:p w14:paraId="4FA95E20" w14:textId="77777777" w:rsidR="00BC702C" w:rsidRPr="00EC50F7" w:rsidRDefault="00BC702C"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5F71A47A" w14:textId="6B87B208" w:rsidR="00E2679F" w:rsidRPr="00EC50F7" w:rsidRDefault="00E2679F" w:rsidP="00E2679F">
      <w:pPr>
        <w:shd w:val="clear" w:color="auto" w:fill="FFFFFF" w:themeFill="background1"/>
        <w:ind w:firstLine="567"/>
        <w:jc w:val="both"/>
        <w:rPr>
          <w:sz w:val="24"/>
          <w:szCs w:val="24"/>
        </w:rPr>
      </w:pPr>
      <w:r w:rsidRPr="00EC50F7">
        <w:rPr>
          <w:sz w:val="24"/>
          <w:szCs w:val="24"/>
        </w:rPr>
        <w:t xml:space="preserve">Vidējā termiņā palielināt valsts budžeta līdzdalību PFI sistēmā vismaz par 100 milj. </w:t>
      </w:r>
      <w:proofErr w:type="spellStart"/>
      <w:r w:rsidRPr="00EC50F7">
        <w:rPr>
          <w:i/>
          <w:iCs/>
          <w:sz w:val="24"/>
          <w:szCs w:val="24"/>
        </w:rPr>
        <w:t>euro</w:t>
      </w:r>
      <w:proofErr w:type="spellEnd"/>
      <w:r w:rsidRPr="00EC50F7">
        <w:rPr>
          <w:i/>
          <w:iCs/>
          <w:sz w:val="24"/>
          <w:szCs w:val="24"/>
        </w:rPr>
        <w:t xml:space="preserve"> </w:t>
      </w:r>
      <w:r w:rsidRPr="00EC50F7">
        <w:rPr>
          <w:sz w:val="24"/>
          <w:szCs w:val="24"/>
        </w:rPr>
        <w:t xml:space="preserve">ar mērķi mazināt reģionu ekonomisko atšķirību sekas, palielinot ieņēmumus pašvaldībām ar zemākiem pašu ieņēmumiem. </w:t>
      </w:r>
    </w:p>
    <w:p w14:paraId="2F8CCE03" w14:textId="6D348FD0" w:rsidR="00BC702C" w:rsidRPr="00EC50F7" w:rsidRDefault="00E2679F" w:rsidP="00E2679F">
      <w:pPr>
        <w:shd w:val="clear" w:color="auto" w:fill="FFFFFF" w:themeFill="background1"/>
        <w:ind w:firstLine="567"/>
        <w:jc w:val="both"/>
        <w:rPr>
          <w:sz w:val="24"/>
          <w:szCs w:val="24"/>
        </w:rPr>
      </w:pPr>
      <w:r w:rsidRPr="00EC50F7">
        <w:rPr>
          <w:sz w:val="24"/>
          <w:szCs w:val="24"/>
        </w:rPr>
        <w:t>Valsts budžeta dotācija PFI fondam gandrīz nav mainījusies kopš 2016. gada. 2024. gadā valsts līdzdalība PFI fondā veido tikai 16,2%.</w:t>
      </w:r>
    </w:p>
    <w:p w14:paraId="47C82181" w14:textId="77777777" w:rsidR="00BC702C" w:rsidRPr="00EC50F7" w:rsidRDefault="00BC702C" w:rsidP="00E35937">
      <w:pPr>
        <w:shd w:val="clear" w:color="auto" w:fill="FFFFFF" w:themeFill="background1"/>
        <w:ind w:firstLine="567"/>
        <w:jc w:val="both"/>
        <w:rPr>
          <w:b/>
          <w:bCs/>
          <w:sz w:val="24"/>
          <w:szCs w:val="24"/>
        </w:rPr>
      </w:pPr>
    </w:p>
    <w:p w14:paraId="63BA3897" w14:textId="3DE0FBD8" w:rsidR="00BC702C" w:rsidRPr="00EC50F7" w:rsidRDefault="00E10974" w:rsidP="00E35937">
      <w:pPr>
        <w:shd w:val="clear" w:color="auto" w:fill="FFFFFF" w:themeFill="background1"/>
        <w:ind w:firstLine="567"/>
        <w:jc w:val="both"/>
        <w:rPr>
          <w:iCs/>
          <w:sz w:val="24"/>
          <w:szCs w:val="24"/>
        </w:rPr>
      </w:pPr>
      <w:r>
        <w:rPr>
          <w:b/>
          <w:bCs/>
          <w:sz w:val="24"/>
          <w:szCs w:val="24"/>
        </w:rPr>
        <w:t>Ministru kabineta viedoklis:</w:t>
      </w:r>
    </w:p>
    <w:p w14:paraId="2F7571E7" w14:textId="327C0577" w:rsidR="0012466A" w:rsidRDefault="00BC702C" w:rsidP="00E10974">
      <w:pPr>
        <w:ind w:firstLine="567"/>
        <w:jc w:val="both"/>
        <w:rPr>
          <w:bCs/>
          <w:sz w:val="24"/>
          <w:szCs w:val="24"/>
        </w:rPr>
      </w:pPr>
      <w:r w:rsidRPr="00EC50F7">
        <w:rPr>
          <w:bCs/>
          <w:sz w:val="24"/>
          <w:szCs w:val="24"/>
        </w:rPr>
        <w:t xml:space="preserve">Atbilstoši pašvaldību finanšu izlīdzināšanas aprēķinam 2025. gadam, tiek nodrošināts, ka </w:t>
      </w:r>
      <w:r w:rsidR="00FF5340" w:rsidRPr="00EC50F7">
        <w:rPr>
          <w:bCs/>
          <w:sz w:val="24"/>
          <w:szCs w:val="24"/>
        </w:rPr>
        <w:t>visām pašvaldībām tiek prognozēts izlīdzināmo ieņēmumu pieaugums</w:t>
      </w:r>
      <w:r w:rsidRPr="00EC50F7">
        <w:rPr>
          <w:bCs/>
          <w:sz w:val="24"/>
          <w:szCs w:val="24"/>
        </w:rPr>
        <w:t>, savukārt vidējais pašvaldību izlīdzināto ieņēmumu pieaugums ir 10,</w:t>
      </w:r>
      <w:r w:rsidR="001C59DE">
        <w:rPr>
          <w:bCs/>
          <w:sz w:val="24"/>
          <w:szCs w:val="24"/>
        </w:rPr>
        <w:t>3</w:t>
      </w:r>
      <w:r w:rsidRPr="00EC50F7">
        <w:rPr>
          <w:bCs/>
          <w:sz w:val="24"/>
          <w:szCs w:val="24"/>
        </w:rPr>
        <w:t>% pret 2024. gadam apstiprināto.</w:t>
      </w:r>
      <w:r w:rsidR="00777C33" w:rsidRPr="00EC50F7">
        <w:rPr>
          <w:bCs/>
          <w:sz w:val="24"/>
          <w:szCs w:val="24"/>
        </w:rPr>
        <w:t xml:space="preserve"> Izlīdzināto ieņēmumu kopā ar finansējumu ES ārēj</w:t>
      </w:r>
      <w:r w:rsidR="00BD0CC8">
        <w:rPr>
          <w:bCs/>
          <w:sz w:val="24"/>
          <w:szCs w:val="24"/>
        </w:rPr>
        <w:t>ās</w:t>
      </w:r>
      <w:r w:rsidR="00777C33" w:rsidRPr="00EC50F7">
        <w:rPr>
          <w:bCs/>
          <w:sz w:val="24"/>
          <w:szCs w:val="24"/>
        </w:rPr>
        <w:t xml:space="preserve"> robežas drošības stiprināšanai </w:t>
      </w:r>
      <w:r w:rsidR="00387A9B" w:rsidRPr="000C1990">
        <w:rPr>
          <w:bCs/>
          <w:sz w:val="24"/>
          <w:szCs w:val="24"/>
        </w:rPr>
        <w:t>2</w:t>
      </w:r>
      <w:r w:rsidR="0012466A" w:rsidRPr="000C1990">
        <w:rPr>
          <w:bCs/>
          <w:sz w:val="24"/>
          <w:szCs w:val="24"/>
        </w:rPr>
        <w:t>,5</w:t>
      </w:r>
      <w:r w:rsidR="00387A9B" w:rsidRPr="000C1990">
        <w:rPr>
          <w:bCs/>
          <w:sz w:val="24"/>
          <w:szCs w:val="24"/>
        </w:rPr>
        <w:t xml:space="preserve"> milj.</w:t>
      </w:r>
      <w:r w:rsidR="00387A9B" w:rsidRPr="00EC50F7">
        <w:rPr>
          <w:bCs/>
          <w:sz w:val="24"/>
          <w:szCs w:val="24"/>
        </w:rPr>
        <w:t xml:space="preserve"> </w:t>
      </w:r>
      <w:proofErr w:type="spellStart"/>
      <w:r w:rsidR="00387A9B" w:rsidRPr="00D26EC3">
        <w:rPr>
          <w:bCs/>
          <w:i/>
          <w:iCs/>
          <w:sz w:val="24"/>
          <w:szCs w:val="24"/>
        </w:rPr>
        <w:t>euro</w:t>
      </w:r>
      <w:proofErr w:type="spellEnd"/>
      <w:r w:rsidR="00387A9B" w:rsidRPr="00EC50F7">
        <w:rPr>
          <w:bCs/>
          <w:sz w:val="24"/>
          <w:szCs w:val="24"/>
        </w:rPr>
        <w:t xml:space="preserve"> apmērā </w:t>
      </w:r>
      <w:r w:rsidR="00777C33" w:rsidRPr="00EC50F7">
        <w:rPr>
          <w:bCs/>
          <w:sz w:val="24"/>
          <w:szCs w:val="24"/>
        </w:rPr>
        <w:t>pieaugums ir 10,</w:t>
      </w:r>
      <w:r w:rsidR="001C59DE">
        <w:rPr>
          <w:bCs/>
          <w:sz w:val="24"/>
          <w:szCs w:val="24"/>
        </w:rPr>
        <w:t>4</w:t>
      </w:r>
      <w:r w:rsidR="00777C33" w:rsidRPr="00EC50F7">
        <w:rPr>
          <w:bCs/>
          <w:sz w:val="24"/>
          <w:szCs w:val="24"/>
        </w:rPr>
        <w:t>% pret 2024. gadam apstiprināto.</w:t>
      </w:r>
    </w:p>
    <w:p w14:paraId="51BF6112" w14:textId="77777777" w:rsidR="00D24354" w:rsidRDefault="00D24354" w:rsidP="00E35937">
      <w:pPr>
        <w:ind w:firstLine="567"/>
        <w:rPr>
          <w:b/>
          <w:iCs/>
          <w:sz w:val="24"/>
          <w:szCs w:val="24"/>
        </w:rPr>
      </w:pPr>
    </w:p>
    <w:p w14:paraId="648CE52D" w14:textId="6ED73955" w:rsidR="00BC702C" w:rsidRPr="00EC50F7" w:rsidRDefault="00BC702C" w:rsidP="00E35937">
      <w:pPr>
        <w:ind w:firstLine="567"/>
        <w:rPr>
          <w:b/>
          <w:iCs/>
          <w:sz w:val="24"/>
          <w:szCs w:val="24"/>
        </w:rPr>
      </w:pPr>
      <w:r w:rsidRPr="00EC50F7">
        <w:rPr>
          <w:b/>
          <w:iCs/>
          <w:sz w:val="24"/>
          <w:szCs w:val="24"/>
        </w:rPr>
        <w:t>Puses vienojas:</w:t>
      </w:r>
    </w:p>
    <w:p w14:paraId="3C534CD4" w14:textId="5BE8041F" w:rsidR="00247489" w:rsidRPr="00EC50F7" w:rsidRDefault="00CA6A60" w:rsidP="00E35937">
      <w:pPr>
        <w:pStyle w:val="ListParagraph"/>
        <w:ind w:left="0" w:firstLine="567"/>
        <w:jc w:val="both"/>
        <w:rPr>
          <w:bCs/>
          <w:sz w:val="24"/>
          <w:szCs w:val="24"/>
        </w:rPr>
      </w:pPr>
      <w:r w:rsidRPr="00EC50F7">
        <w:rPr>
          <w:bCs/>
          <w:sz w:val="24"/>
          <w:szCs w:val="24"/>
        </w:rPr>
        <w:t xml:space="preserve">Dotācijas apmēru par personu, kura ievietota sociālās aprūpes centrā līdz 1998. gada 1. janvārim, noteikt </w:t>
      </w:r>
      <w:r w:rsidR="005E6919" w:rsidRPr="00EC50F7">
        <w:rPr>
          <w:bCs/>
          <w:sz w:val="24"/>
          <w:szCs w:val="24"/>
        </w:rPr>
        <w:t>9</w:t>
      </w:r>
      <w:r w:rsidRPr="00EC50F7">
        <w:rPr>
          <w:bCs/>
          <w:sz w:val="24"/>
          <w:szCs w:val="24"/>
        </w:rPr>
        <w:t xml:space="preserve"> </w:t>
      </w:r>
      <w:r w:rsidR="005E6919" w:rsidRPr="00EC50F7">
        <w:rPr>
          <w:bCs/>
          <w:sz w:val="24"/>
          <w:szCs w:val="24"/>
        </w:rPr>
        <w:t>576</w:t>
      </w:r>
      <w:r w:rsidRPr="00EC50F7">
        <w:rPr>
          <w:bCs/>
          <w:sz w:val="24"/>
          <w:szCs w:val="24"/>
        </w:rPr>
        <w:t xml:space="preserve"> </w:t>
      </w:r>
      <w:proofErr w:type="spellStart"/>
      <w:r w:rsidRPr="00EC50F7">
        <w:rPr>
          <w:bCs/>
          <w:i/>
          <w:iCs/>
          <w:sz w:val="24"/>
          <w:szCs w:val="24"/>
        </w:rPr>
        <w:t>euro</w:t>
      </w:r>
      <w:proofErr w:type="spellEnd"/>
      <w:r w:rsidRPr="00EC50F7">
        <w:rPr>
          <w:bCs/>
          <w:sz w:val="24"/>
          <w:szCs w:val="24"/>
        </w:rPr>
        <w:t xml:space="preserve"> apmērā (79</w:t>
      </w:r>
      <w:r w:rsidR="00643A1F" w:rsidRPr="00EC50F7">
        <w:rPr>
          <w:bCs/>
          <w:sz w:val="24"/>
          <w:szCs w:val="24"/>
        </w:rPr>
        <w:t>8</w:t>
      </w:r>
      <w:r w:rsidRPr="00EC50F7">
        <w:rPr>
          <w:bCs/>
          <w:sz w:val="24"/>
          <w:szCs w:val="24"/>
        </w:rPr>
        <w:t xml:space="preserve"> </w:t>
      </w:r>
      <w:proofErr w:type="spellStart"/>
      <w:r w:rsidRPr="00EC50F7">
        <w:rPr>
          <w:bCs/>
          <w:i/>
          <w:iCs/>
          <w:sz w:val="24"/>
          <w:szCs w:val="24"/>
        </w:rPr>
        <w:t>euro</w:t>
      </w:r>
      <w:proofErr w:type="spellEnd"/>
      <w:r w:rsidRPr="00EC50F7">
        <w:rPr>
          <w:bCs/>
          <w:sz w:val="24"/>
          <w:szCs w:val="24"/>
        </w:rPr>
        <w:t xml:space="preserve"> mēnesī). Dotācijas apmērs par vienu personu tiek palielināts par </w:t>
      </w:r>
      <w:r w:rsidR="00643A1F" w:rsidRPr="00EC50F7">
        <w:rPr>
          <w:bCs/>
          <w:sz w:val="24"/>
          <w:szCs w:val="24"/>
        </w:rPr>
        <w:t>9</w:t>
      </w:r>
      <w:r w:rsidRPr="00EC50F7">
        <w:rPr>
          <w:bCs/>
          <w:sz w:val="24"/>
          <w:szCs w:val="24"/>
        </w:rPr>
        <w:t>,5%, salīdzinot ar 202</w:t>
      </w:r>
      <w:r w:rsidR="00643A1F" w:rsidRPr="00EC50F7">
        <w:rPr>
          <w:bCs/>
          <w:sz w:val="24"/>
          <w:szCs w:val="24"/>
        </w:rPr>
        <w:t>4</w:t>
      </w:r>
      <w:r w:rsidRPr="00EC50F7">
        <w:rPr>
          <w:bCs/>
          <w:sz w:val="24"/>
          <w:szCs w:val="24"/>
        </w:rPr>
        <w:t>. gadu.</w:t>
      </w:r>
    </w:p>
    <w:p w14:paraId="673A052C" w14:textId="77777777" w:rsidR="003F5504" w:rsidRDefault="003F5504" w:rsidP="00E35937">
      <w:pPr>
        <w:pStyle w:val="ListParagraph"/>
        <w:ind w:left="0"/>
        <w:jc w:val="center"/>
        <w:rPr>
          <w:b/>
          <w:sz w:val="24"/>
          <w:szCs w:val="24"/>
        </w:rPr>
      </w:pPr>
    </w:p>
    <w:p w14:paraId="32936390" w14:textId="3448C854" w:rsidR="00E570C4" w:rsidRPr="00EC50F7" w:rsidRDefault="00492A97" w:rsidP="00E35937">
      <w:pPr>
        <w:pStyle w:val="ListParagraph"/>
        <w:ind w:left="0"/>
        <w:jc w:val="center"/>
        <w:rPr>
          <w:b/>
          <w:sz w:val="24"/>
          <w:szCs w:val="24"/>
        </w:rPr>
      </w:pPr>
      <w:r w:rsidRPr="00EC50F7">
        <w:rPr>
          <w:b/>
          <w:sz w:val="24"/>
          <w:szCs w:val="24"/>
        </w:rPr>
        <w:t>6</w:t>
      </w:r>
      <w:r w:rsidR="00E570C4" w:rsidRPr="00EC50F7">
        <w:rPr>
          <w:b/>
          <w:sz w:val="24"/>
          <w:szCs w:val="24"/>
        </w:rPr>
        <w:t>. Nozaru ministriju jautājumi</w:t>
      </w:r>
    </w:p>
    <w:p w14:paraId="21D608BF" w14:textId="77777777" w:rsidR="005F3795" w:rsidRPr="00EC50F7" w:rsidRDefault="005F3795" w:rsidP="00E35937">
      <w:pPr>
        <w:pStyle w:val="ListParagraph"/>
        <w:ind w:left="0"/>
        <w:jc w:val="center"/>
        <w:rPr>
          <w:rFonts w:eastAsia="Calibri"/>
          <w:b/>
          <w:sz w:val="28"/>
          <w:szCs w:val="28"/>
        </w:rPr>
      </w:pPr>
    </w:p>
    <w:p w14:paraId="1C106329" w14:textId="0E538CF2" w:rsidR="00F60DFB" w:rsidRPr="00EC50F7" w:rsidRDefault="00F60DFB" w:rsidP="00E35937">
      <w:pPr>
        <w:ind w:firstLine="567"/>
        <w:jc w:val="both"/>
        <w:rPr>
          <w:b/>
          <w:sz w:val="24"/>
          <w:szCs w:val="24"/>
          <w:u w:val="single"/>
        </w:rPr>
      </w:pPr>
      <w:r w:rsidRPr="00EC50F7">
        <w:rPr>
          <w:b/>
          <w:sz w:val="24"/>
          <w:szCs w:val="24"/>
          <w:u w:val="single"/>
        </w:rPr>
        <w:t>Ekonomikas ministrijas jomā:</w:t>
      </w:r>
    </w:p>
    <w:p w14:paraId="67B74EF7" w14:textId="77777777" w:rsidR="00F60DFB" w:rsidRPr="00EC50F7" w:rsidRDefault="00F60DFB" w:rsidP="00E35937">
      <w:pPr>
        <w:ind w:firstLine="567"/>
        <w:jc w:val="both"/>
        <w:rPr>
          <w:b/>
          <w:sz w:val="24"/>
          <w:szCs w:val="24"/>
          <w:u w:val="single"/>
        </w:rPr>
      </w:pPr>
    </w:p>
    <w:p w14:paraId="06F75A55" w14:textId="77777777" w:rsidR="00F60DFB" w:rsidRPr="00EC50F7" w:rsidRDefault="00F60DFB"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06072147" w14:textId="693FA543" w:rsidR="00F60DFB" w:rsidRPr="00EC50F7" w:rsidRDefault="00F60DFB" w:rsidP="00E35937">
      <w:pPr>
        <w:ind w:firstLine="567"/>
        <w:jc w:val="both"/>
        <w:rPr>
          <w:sz w:val="24"/>
          <w:szCs w:val="24"/>
        </w:rPr>
      </w:pPr>
      <w:r w:rsidRPr="00EC50F7">
        <w:rPr>
          <w:sz w:val="24"/>
          <w:szCs w:val="24"/>
        </w:rPr>
        <w:t>Pasākuma “Finansēšanas fonda izveide zemas īres mājokļu būvniecībai” nepārtrauktai īstenošanai rast papildu finansējumu: 2025.</w:t>
      </w:r>
      <w:r w:rsidR="007A5C72" w:rsidRPr="00EC50F7">
        <w:rPr>
          <w:sz w:val="24"/>
          <w:szCs w:val="24"/>
        </w:rPr>
        <w:t xml:space="preserve"> </w:t>
      </w:r>
      <w:r w:rsidRPr="00EC50F7">
        <w:rPr>
          <w:sz w:val="24"/>
          <w:szCs w:val="24"/>
        </w:rPr>
        <w:t xml:space="preserve">gadā papildu 30 milj. </w:t>
      </w:r>
      <w:proofErr w:type="spellStart"/>
      <w:r w:rsidRPr="00EC50F7">
        <w:rPr>
          <w:i/>
          <w:iCs/>
          <w:sz w:val="24"/>
          <w:szCs w:val="24"/>
        </w:rPr>
        <w:t>euro</w:t>
      </w:r>
      <w:proofErr w:type="spellEnd"/>
      <w:r w:rsidRPr="00EC50F7">
        <w:rPr>
          <w:sz w:val="24"/>
          <w:szCs w:val="24"/>
        </w:rPr>
        <w:t>, 2026., 2027. un 2028.</w:t>
      </w:r>
      <w:r w:rsidR="00D010FF" w:rsidRPr="00EC50F7">
        <w:rPr>
          <w:sz w:val="24"/>
          <w:szCs w:val="24"/>
        </w:rPr>
        <w:t xml:space="preserve"> </w:t>
      </w:r>
      <w:r w:rsidRPr="00EC50F7">
        <w:rPr>
          <w:sz w:val="24"/>
          <w:szCs w:val="24"/>
        </w:rPr>
        <w:t xml:space="preserve">gados – ik gadu 50 milj. </w:t>
      </w:r>
      <w:proofErr w:type="spellStart"/>
      <w:r w:rsidRPr="00EC50F7">
        <w:rPr>
          <w:i/>
          <w:iCs/>
          <w:sz w:val="24"/>
          <w:szCs w:val="24"/>
        </w:rPr>
        <w:t>euro</w:t>
      </w:r>
      <w:proofErr w:type="spellEnd"/>
      <w:r w:rsidRPr="00EC50F7">
        <w:rPr>
          <w:sz w:val="24"/>
          <w:szCs w:val="24"/>
        </w:rPr>
        <w:t>.</w:t>
      </w:r>
    </w:p>
    <w:p w14:paraId="5A94485B" w14:textId="75B5F658" w:rsidR="00F60DFB" w:rsidRPr="00EC50F7" w:rsidRDefault="00F60DFB" w:rsidP="00E35937">
      <w:pPr>
        <w:ind w:firstLine="567"/>
        <w:jc w:val="both"/>
        <w:rPr>
          <w:sz w:val="24"/>
          <w:szCs w:val="24"/>
        </w:rPr>
      </w:pPr>
      <w:r w:rsidRPr="00EC50F7">
        <w:rPr>
          <w:sz w:val="24"/>
          <w:szCs w:val="24"/>
        </w:rPr>
        <w:t>Lai sniegtu būtisku pienesumu mājokļu attīstībā, nepieciešams izvērtēt papildus finanšu avotus (2021.</w:t>
      </w:r>
      <w:r w:rsidR="00D010FF" w:rsidRPr="00EC50F7">
        <w:rPr>
          <w:sz w:val="24"/>
          <w:szCs w:val="24"/>
        </w:rPr>
        <w:t xml:space="preserve"> </w:t>
      </w:r>
      <w:r w:rsidRPr="00EC50F7">
        <w:rPr>
          <w:sz w:val="24"/>
          <w:szCs w:val="24"/>
        </w:rPr>
        <w:t>-</w:t>
      </w:r>
      <w:r w:rsidR="00D010FF" w:rsidRPr="00EC50F7">
        <w:rPr>
          <w:sz w:val="24"/>
          <w:szCs w:val="24"/>
        </w:rPr>
        <w:t xml:space="preserve"> </w:t>
      </w:r>
      <w:r w:rsidRPr="00EC50F7">
        <w:rPr>
          <w:sz w:val="24"/>
          <w:szCs w:val="24"/>
        </w:rPr>
        <w:t>2027.</w:t>
      </w:r>
      <w:r w:rsidR="00732B22" w:rsidRPr="00EC50F7">
        <w:rPr>
          <w:sz w:val="24"/>
          <w:szCs w:val="24"/>
        </w:rPr>
        <w:t xml:space="preserve"> </w:t>
      </w:r>
      <w:r w:rsidRPr="00EC50F7">
        <w:rPr>
          <w:sz w:val="24"/>
          <w:szCs w:val="24"/>
        </w:rPr>
        <w:t>gada Eiropas fondu finansējuma piešķīrums, institucionālie investori, pensiju fondu ieguldījumi, publiskā – privātā partnerība, u.c.) zemas īres maksas mājokļu attīstīšanai.</w:t>
      </w:r>
    </w:p>
    <w:p w14:paraId="05A8A14E" w14:textId="4F02C779" w:rsidR="00F60DFB" w:rsidRPr="00EC50F7" w:rsidRDefault="00F60DFB" w:rsidP="00E35937">
      <w:pPr>
        <w:ind w:firstLine="567"/>
        <w:jc w:val="both"/>
        <w:rPr>
          <w:i/>
          <w:iCs/>
          <w:sz w:val="24"/>
          <w:szCs w:val="24"/>
        </w:rPr>
      </w:pPr>
      <w:r w:rsidRPr="00EC50F7">
        <w:rPr>
          <w:i/>
          <w:iCs/>
          <w:sz w:val="24"/>
          <w:szCs w:val="24"/>
        </w:rPr>
        <w:t xml:space="preserve">Pasākuma “Finansēšanas fonda izveide zemas īres mājokļu būvniecībai” atbalsta programmā pieejamais finansējums ir 41,9 milj. </w:t>
      </w:r>
      <w:proofErr w:type="spellStart"/>
      <w:r w:rsidR="00732B22" w:rsidRPr="00EC50F7">
        <w:rPr>
          <w:i/>
          <w:iCs/>
          <w:sz w:val="24"/>
          <w:szCs w:val="24"/>
        </w:rPr>
        <w:t>euro</w:t>
      </w:r>
      <w:proofErr w:type="spellEnd"/>
      <w:r w:rsidRPr="00EC50F7">
        <w:rPr>
          <w:i/>
          <w:iCs/>
          <w:sz w:val="24"/>
          <w:szCs w:val="24"/>
        </w:rPr>
        <w:t>, un tas ir pietiekams 467 dzīvokļu būvniecība</w:t>
      </w:r>
      <w:r w:rsidR="00732B22" w:rsidRPr="00EC50F7">
        <w:rPr>
          <w:i/>
          <w:iCs/>
          <w:sz w:val="24"/>
          <w:szCs w:val="24"/>
        </w:rPr>
        <w:t>i</w:t>
      </w:r>
      <w:r w:rsidRPr="00EC50F7">
        <w:rPr>
          <w:i/>
          <w:iCs/>
          <w:sz w:val="24"/>
          <w:szCs w:val="24"/>
        </w:rPr>
        <w:t xml:space="preserve">. </w:t>
      </w:r>
    </w:p>
    <w:p w14:paraId="3EB9A1CB" w14:textId="77777777" w:rsidR="00202F84" w:rsidRDefault="00202F84" w:rsidP="00E35937">
      <w:pPr>
        <w:widowControl w:val="0"/>
        <w:ind w:firstLine="567"/>
        <w:jc w:val="both"/>
        <w:rPr>
          <w:rFonts w:eastAsia="Calibri"/>
          <w:b/>
          <w:sz w:val="24"/>
          <w:szCs w:val="24"/>
        </w:rPr>
      </w:pPr>
    </w:p>
    <w:p w14:paraId="3D57AA6B" w14:textId="1F489645" w:rsidR="00F60DFB" w:rsidRPr="00EC50F7" w:rsidRDefault="00F60DFB" w:rsidP="00E35937">
      <w:pPr>
        <w:widowControl w:val="0"/>
        <w:ind w:firstLine="567"/>
        <w:jc w:val="both"/>
        <w:rPr>
          <w:rFonts w:eastAsia="Calibri"/>
          <w:b/>
          <w:sz w:val="24"/>
          <w:szCs w:val="24"/>
        </w:rPr>
      </w:pPr>
      <w:r w:rsidRPr="00EC50F7">
        <w:rPr>
          <w:rFonts w:eastAsia="Calibri"/>
          <w:b/>
          <w:sz w:val="24"/>
          <w:szCs w:val="24"/>
        </w:rPr>
        <w:t>Ministru kabineta viedoklis:</w:t>
      </w:r>
    </w:p>
    <w:p w14:paraId="42652560" w14:textId="6495C683" w:rsidR="00F60DFB" w:rsidRPr="00EC50F7" w:rsidRDefault="009532E3" w:rsidP="00E35937">
      <w:pPr>
        <w:ind w:firstLine="567"/>
        <w:jc w:val="both"/>
        <w:rPr>
          <w:sz w:val="24"/>
          <w:szCs w:val="24"/>
        </w:rPr>
      </w:pPr>
      <w:r w:rsidRPr="00EC50F7">
        <w:rPr>
          <w:sz w:val="24"/>
          <w:szCs w:val="24"/>
        </w:rPr>
        <w:t xml:space="preserve">Zemas īres maksas mājokļu būvniecības atbalsta programma ir nozīmīgs instruments pieejamu mājokļu nodrošināšanai reģionos. Tādēļ, ievērojot valsts budžeta iespējas, norādītie </w:t>
      </w:r>
      <w:r w:rsidRPr="00EC50F7">
        <w:rPr>
          <w:sz w:val="24"/>
          <w:szCs w:val="24"/>
        </w:rPr>
        <w:lastRenderedPageBreak/>
        <w:t>līdzekļi var tikt piesaistīti no valsts budžeta tikai daļēji, kā arī fiskāli neitrālu pasākumu rezultātā, piemēram, pārdalot ES fondu līdzekļus.</w:t>
      </w:r>
    </w:p>
    <w:p w14:paraId="12D7CFF7" w14:textId="77777777" w:rsidR="00F25D00" w:rsidRDefault="00F25D00" w:rsidP="009532E3">
      <w:pPr>
        <w:ind w:firstLine="567"/>
        <w:jc w:val="both"/>
        <w:rPr>
          <w:b/>
          <w:bCs/>
          <w:sz w:val="24"/>
          <w:szCs w:val="24"/>
        </w:rPr>
      </w:pPr>
    </w:p>
    <w:p w14:paraId="34ADA19B" w14:textId="408D969D" w:rsidR="009532E3" w:rsidRPr="00EC50F7" w:rsidRDefault="009532E3" w:rsidP="009532E3">
      <w:pPr>
        <w:ind w:firstLine="567"/>
        <w:jc w:val="both"/>
        <w:rPr>
          <w:b/>
          <w:bCs/>
          <w:sz w:val="24"/>
          <w:szCs w:val="24"/>
        </w:rPr>
      </w:pPr>
      <w:r w:rsidRPr="00EC50F7">
        <w:rPr>
          <w:b/>
          <w:bCs/>
          <w:sz w:val="24"/>
          <w:szCs w:val="24"/>
        </w:rPr>
        <w:t>Puses vienojas:</w:t>
      </w:r>
    </w:p>
    <w:p w14:paraId="13987D18" w14:textId="5B828D1B" w:rsidR="009532E3" w:rsidRPr="00EC50F7" w:rsidRDefault="009532E3" w:rsidP="009532E3">
      <w:pPr>
        <w:ind w:firstLine="567"/>
        <w:jc w:val="both"/>
        <w:rPr>
          <w:sz w:val="24"/>
          <w:szCs w:val="24"/>
        </w:rPr>
      </w:pPr>
      <w:r w:rsidRPr="00EC50F7">
        <w:rPr>
          <w:sz w:val="24"/>
          <w:szCs w:val="24"/>
        </w:rPr>
        <w:t xml:space="preserve">Turpināt pasākuma “Finansēšanas fonda izveide zemas īres mājokļu būvniecībai” atbalsta programmā Atveseļošanās fonda pieejamā finansējumā 42,9 milj. </w:t>
      </w:r>
      <w:proofErr w:type="spellStart"/>
      <w:r w:rsidRPr="00EC50F7">
        <w:rPr>
          <w:i/>
          <w:iCs/>
          <w:sz w:val="24"/>
          <w:szCs w:val="24"/>
        </w:rPr>
        <w:t>euro</w:t>
      </w:r>
      <w:proofErr w:type="spellEnd"/>
      <w:r w:rsidRPr="00EC50F7">
        <w:rPr>
          <w:sz w:val="24"/>
          <w:szCs w:val="24"/>
        </w:rPr>
        <w:t xml:space="preserve"> apmērā īstenošanu.  2025. gadā nodrošināt papildu finansējumu pasākumam “Zemas īres maksas mājokļu būvniecībai reģionos” 3 587 930 </w:t>
      </w:r>
      <w:proofErr w:type="spellStart"/>
      <w:r w:rsidRPr="00EC50F7">
        <w:rPr>
          <w:i/>
          <w:iCs/>
          <w:sz w:val="24"/>
          <w:szCs w:val="24"/>
        </w:rPr>
        <w:t>euro</w:t>
      </w:r>
      <w:proofErr w:type="spellEnd"/>
      <w:r w:rsidRPr="00EC50F7">
        <w:rPr>
          <w:sz w:val="24"/>
          <w:szCs w:val="24"/>
        </w:rPr>
        <w:t xml:space="preserve"> apmērā.</w:t>
      </w:r>
    </w:p>
    <w:p w14:paraId="6ECCCBEC" w14:textId="77777777" w:rsidR="009532E3" w:rsidRPr="00EC50F7" w:rsidRDefault="009532E3" w:rsidP="00E35937">
      <w:pPr>
        <w:widowControl w:val="0"/>
        <w:ind w:firstLine="567"/>
        <w:jc w:val="both"/>
        <w:rPr>
          <w:rFonts w:eastAsia="Calibri"/>
          <w:b/>
          <w:sz w:val="24"/>
          <w:szCs w:val="24"/>
          <w:lang w:eastAsia="lv-LV"/>
        </w:rPr>
      </w:pPr>
    </w:p>
    <w:p w14:paraId="098083AE" w14:textId="7BE08149" w:rsidR="00F60DFB" w:rsidRPr="00EC50F7" w:rsidRDefault="00F60DFB"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468F1A5C" w14:textId="019A3D10" w:rsidR="00F60DFB" w:rsidRPr="00EC50F7" w:rsidRDefault="00F60DFB" w:rsidP="00E35937">
      <w:pPr>
        <w:ind w:firstLine="567"/>
        <w:jc w:val="both"/>
        <w:rPr>
          <w:sz w:val="24"/>
          <w:szCs w:val="24"/>
        </w:rPr>
      </w:pPr>
      <w:r w:rsidRPr="00EC50F7">
        <w:rPr>
          <w:sz w:val="24"/>
          <w:szCs w:val="24"/>
        </w:rPr>
        <w:t>Lai C</w:t>
      </w:r>
      <w:r w:rsidR="00732B22" w:rsidRPr="00EC50F7">
        <w:rPr>
          <w:sz w:val="24"/>
          <w:szCs w:val="24"/>
        </w:rPr>
        <w:t xml:space="preserve">entrālā </w:t>
      </w:r>
      <w:r w:rsidRPr="00EC50F7">
        <w:rPr>
          <w:sz w:val="24"/>
          <w:szCs w:val="24"/>
        </w:rPr>
        <w:t>S</w:t>
      </w:r>
      <w:r w:rsidR="00732B22" w:rsidRPr="00EC50F7">
        <w:rPr>
          <w:sz w:val="24"/>
          <w:szCs w:val="24"/>
        </w:rPr>
        <w:t>tatistikas pārvalde</w:t>
      </w:r>
      <w:r w:rsidR="00FF75DF" w:rsidRPr="00EC50F7">
        <w:rPr>
          <w:sz w:val="24"/>
          <w:szCs w:val="24"/>
        </w:rPr>
        <w:t xml:space="preserve"> (turpmāk </w:t>
      </w:r>
      <w:r w:rsidR="00B430BE" w:rsidRPr="00EC50F7">
        <w:rPr>
          <w:sz w:val="24"/>
          <w:szCs w:val="24"/>
        </w:rPr>
        <w:t>–</w:t>
      </w:r>
      <w:r w:rsidR="00FF75DF" w:rsidRPr="00EC50F7">
        <w:rPr>
          <w:sz w:val="24"/>
          <w:szCs w:val="24"/>
        </w:rPr>
        <w:t xml:space="preserve"> C</w:t>
      </w:r>
      <w:r w:rsidR="00B430BE" w:rsidRPr="00EC50F7">
        <w:rPr>
          <w:sz w:val="24"/>
          <w:szCs w:val="24"/>
        </w:rPr>
        <w:t>SP)</w:t>
      </w:r>
      <w:r w:rsidRPr="00EC50F7">
        <w:rPr>
          <w:sz w:val="24"/>
          <w:szCs w:val="24"/>
        </w:rPr>
        <w:t xml:space="preserve"> līdz 2025. gada beigām varētu izveidot datu pārvaldības risinājumu, kurš nodrošinās pašvaldībām un tās mazāko teritoriālo vienību (pagastu un pilsētu) – a) teritoriālas attīstības plānošanas un rezultātu mērīšanas, kā arī pašvaldību attīstības salīdzināšanas rīku; b) klimata politikas datu pieejamību un reģionālo attēlošanu; c) demogrāfijas prognožu sagatavošanu pašvaldībām; d) jaunas teritoriālās statistikas vienību identificēšanu un teritoriālās statistikas nodrošināšanu, nepieciešams izveidot kompetentu atbalsta centru </w:t>
      </w:r>
      <w:proofErr w:type="spellStart"/>
      <w:r w:rsidRPr="00EC50F7">
        <w:rPr>
          <w:sz w:val="24"/>
          <w:szCs w:val="24"/>
        </w:rPr>
        <w:t>pārnozaru</w:t>
      </w:r>
      <w:proofErr w:type="spellEnd"/>
      <w:r w:rsidRPr="00EC50F7">
        <w:rPr>
          <w:sz w:val="24"/>
          <w:szCs w:val="24"/>
        </w:rPr>
        <w:t xml:space="preserve"> datu drošai pieejamībai un datu transformācijas nodrošināšanai, ļaujot veikt efektīvu tālāko datu izmantošanu politikas plānošanai un datos balstītu lēmumu pieņemšanai. Šim mērķim paredzēt CSP papildu finansējumu: 2025.gadā – 4 365 059 </w:t>
      </w:r>
      <w:proofErr w:type="spellStart"/>
      <w:r w:rsidRPr="00EC50F7">
        <w:rPr>
          <w:i/>
          <w:iCs/>
          <w:sz w:val="24"/>
          <w:szCs w:val="24"/>
        </w:rPr>
        <w:t>euro</w:t>
      </w:r>
      <w:proofErr w:type="spellEnd"/>
      <w:r w:rsidRPr="00EC50F7">
        <w:rPr>
          <w:sz w:val="24"/>
          <w:szCs w:val="24"/>
        </w:rPr>
        <w:t>, 2026.gadā – 3 986 065 </w:t>
      </w:r>
      <w:proofErr w:type="spellStart"/>
      <w:r w:rsidRPr="00EC50F7">
        <w:rPr>
          <w:i/>
          <w:iCs/>
          <w:sz w:val="24"/>
          <w:szCs w:val="24"/>
        </w:rPr>
        <w:t>euro</w:t>
      </w:r>
      <w:proofErr w:type="spellEnd"/>
      <w:r w:rsidRPr="00EC50F7">
        <w:rPr>
          <w:sz w:val="24"/>
          <w:szCs w:val="24"/>
        </w:rPr>
        <w:t>, 2027.gadā – 4 200 871 </w:t>
      </w:r>
      <w:proofErr w:type="spellStart"/>
      <w:r w:rsidRPr="00EC50F7">
        <w:rPr>
          <w:i/>
          <w:iCs/>
          <w:sz w:val="24"/>
          <w:szCs w:val="24"/>
        </w:rPr>
        <w:t>euro</w:t>
      </w:r>
      <w:proofErr w:type="spellEnd"/>
      <w:r w:rsidRPr="00EC50F7">
        <w:rPr>
          <w:sz w:val="24"/>
          <w:szCs w:val="24"/>
        </w:rPr>
        <w:t>, 2028.gadā – 4 885658 </w:t>
      </w:r>
      <w:proofErr w:type="spellStart"/>
      <w:r w:rsidRPr="00EC50F7">
        <w:rPr>
          <w:i/>
          <w:iCs/>
          <w:sz w:val="24"/>
          <w:szCs w:val="24"/>
        </w:rPr>
        <w:t>euro</w:t>
      </w:r>
      <w:proofErr w:type="spellEnd"/>
      <w:r w:rsidRPr="00EC50F7">
        <w:rPr>
          <w:sz w:val="24"/>
          <w:szCs w:val="24"/>
        </w:rPr>
        <w:t xml:space="preserve"> un turpmāk katru gadu 5 308 924 </w:t>
      </w:r>
      <w:proofErr w:type="spellStart"/>
      <w:r w:rsidRPr="00EC50F7">
        <w:rPr>
          <w:i/>
          <w:iCs/>
          <w:sz w:val="24"/>
          <w:szCs w:val="24"/>
        </w:rPr>
        <w:t>euro</w:t>
      </w:r>
      <w:proofErr w:type="spellEnd"/>
      <w:r w:rsidRPr="00EC50F7">
        <w:rPr>
          <w:sz w:val="24"/>
          <w:szCs w:val="24"/>
        </w:rPr>
        <w:t xml:space="preserve"> apmērā.</w:t>
      </w:r>
    </w:p>
    <w:p w14:paraId="5CF42725" w14:textId="77777777" w:rsidR="00F60DFB" w:rsidRPr="00EC50F7" w:rsidRDefault="00F60DFB" w:rsidP="00E35937">
      <w:pPr>
        <w:ind w:firstLine="567"/>
        <w:jc w:val="both"/>
        <w:rPr>
          <w:b/>
          <w:sz w:val="24"/>
          <w:szCs w:val="24"/>
          <w:u w:val="single"/>
        </w:rPr>
      </w:pPr>
    </w:p>
    <w:p w14:paraId="3951CF41" w14:textId="77777777" w:rsidR="00F60DFB" w:rsidRPr="00EC50F7" w:rsidRDefault="00F60DFB" w:rsidP="00E35937">
      <w:pPr>
        <w:widowControl w:val="0"/>
        <w:ind w:firstLine="567"/>
        <w:jc w:val="both"/>
        <w:rPr>
          <w:rFonts w:eastAsia="Calibri"/>
          <w:b/>
          <w:sz w:val="24"/>
          <w:szCs w:val="24"/>
        </w:rPr>
      </w:pPr>
      <w:r w:rsidRPr="00EC50F7">
        <w:rPr>
          <w:rFonts w:eastAsia="Calibri"/>
          <w:b/>
          <w:sz w:val="24"/>
          <w:szCs w:val="24"/>
        </w:rPr>
        <w:t>Ministru kabineta viedoklis:</w:t>
      </w:r>
    </w:p>
    <w:p w14:paraId="0130AC9C" w14:textId="63105C72" w:rsidR="00F60DFB" w:rsidRPr="00EC50F7" w:rsidRDefault="009532E3" w:rsidP="009532E3">
      <w:pPr>
        <w:ind w:firstLine="567"/>
        <w:jc w:val="both"/>
        <w:rPr>
          <w:bCs/>
          <w:sz w:val="24"/>
          <w:szCs w:val="24"/>
        </w:rPr>
      </w:pPr>
      <w:r w:rsidRPr="00EC50F7">
        <w:rPr>
          <w:bCs/>
          <w:sz w:val="24"/>
          <w:szCs w:val="24"/>
        </w:rPr>
        <w:t>Ievērojot negatīvo fiskālo telpu 2025. gadam un minimālu fiskālo telpu turpmākajiem gadiem, finansējums datu pārvaldības risinājumam netiek piešķirts.</w:t>
      </w:r>
    </w:p>
    <w:p w14:paraId="023C6BCC" w14:textId="77777777" w:rsidR="00F60DFB" w:rsidRPr="00EC50F7" w:rsidRDefault="00F60DFB" w:rsidP="00E35937">
      <w:pPr>
        <w:ind w:firstLine="567"/>
        <w:jc w:val="both"/>
        <w:rPr>
          <w:b/>
          <w:sz w:val="24"/>
          <w:szCs w:val="24"/>
          <w:u w:val="single"/>
        </w:rPr>
      </w:pPr>
    </w:p>
    <w:p w14:paraId="1FD71C53" w14:textId="77777777" w:rsidR="002E3CFA" w:rsidRPr="00EC50F7" w:rsidRDefault="002E3CFA" w:rsidP="002E3CFA">
      <w:pPr>
        <w:ind w:firstLine="567"/>
        <w:jc w:val="both"/>
        <w:rPr>
          <w:b/>
          <w:sz w:val="24"/>
          <w:szCs w:val="24"/>
        </w:rPr>
      </w:pPr>
      <w:bookmarkStart w:id="18" w:name="_Hlk177650065"/>
      <w:r w:rsidRPr="00EC50F7">
        <w:rPr>
          <w:b/>
          <w:sz w:val="24"/>
          <w:szCs w:val="24"/>
        </w:rPr>
        <w:t>Puses vienojas:</w:t>
      </w:r>
    </w:p>
    <w:p w14:paraId="3A0085A5" w14:textId="1A647BF4" w:rsidR="002E3CFA" w:rsidRPr="00EC50F7" w:rsidRDefault="002E3CFA" w:rsidP="002E3CFA">
      <w:pPr>
        <w:ind w:firstLine="567"/>
        <w:jc w:val="both"/>
        <w:rPr>
          <w:bCs/>
          <w:sz w:val="24"/>
          <w:szCs w:val="24"/>
        </w:rPr>
      </w:pPr>
      <w:r w:rsidRPr="00EC50F7">
        <w:rPr>
          <w:bCs/>
          <w:sz w:val="24"/>
          <w:szCs w:val="24"/>
        </w:rPr>
        <w:t xml:space="preserve">Lai nodrošinātu datos balstītu lēmumu pieņemšanas attīstību un ņemot vērā budžeta iespējas, 2025. gadā analītisko rīku un datu pieejamība tiks nodrošināta, piesaistot investīcijas no ERAF </w:t>
      </w:r>
      <w:proofErr w:type="spellStart"/>
      <w:r w:rsidRPr="00EC50F7">
        <w:rPr>
          <w:bCs/>
          <w:sz w:val="24"/>
          <w:szCs w:val="24"/>
        </w:rPr>
        <w:t>digitalizācijai</w:t>
      </w:r>
      <w:proofErr w:type="spellEnd"/>
      <w:r w:rsidRPr="00EC50F7">
        <w:rPr>
          <w:bCs/>
          <w:sz w:val="24"/>
          <w:szCs w:val="24"/>
        </w:rPr>
        <w:t xml:space="preserve"> paredzētajām programmām. </w:t>
      </w:r>
      <w:r w:rsidR="003217C5" w:rsidRPr="00EC50F7">
        <w:rPr>
          <w:bCs/>
          <w:sz w:val="24"/>
          <w:szCs w:val="24"/>
        </w:rPr>
        <w:t xml:space="preserve">CSP balstoties uz šīm investīcijām un finansējumu nodrošina Latvijas pašvaldībām nepieciešamos datus. </w:t>
      </w:r>
      <w:r w:rsidRPr="00EC50F7">
        <w:rPr>
          <w:bCs/>
          <w:sz w:val="24"/>
          <w:szCs w:val="24"/>
        </w:rPr>
        <w:t xml:space="preserve">Jautājumu par papildu valsts budžeta </w:t>
      </w:r>
      <w:r w:rsidR="003217C5" w:rsidRPr="00EC50F7">
        <w:rPr>
          <w:bCs/>
          <w:sz w:val="24"/>
          <w:szCs w:val="24"/>
        </w:rPr>
        <w:t xml:space="preserve">līdzekļu </w:t>
      </w:r>
      <w:r w:rsidRPr="00EC50F7">
        <w:rPr>
          <w:bCs/>
          <w:sz w:val="24"/>
          <w:szCs w:val="24"/>
        </w:rPr>
        <w:t xml:space="preserve">piešķiršanu </w:t>
      </w:r>
      <w:r w:rsidR="003217C5" w:rsidRPr="00EC50F7">
        <w:rPr>
          <w:bCs/>
          <w:sz w:val="24"/>
          <w:szCs w:val="24"/>
        </w:rPr>
        <w:t>skatīt budžeta ietvara turpmākajiem gadiem sagatavošanas un izskatīšanas procesā kopā ar visu ministriju un centrālo valsts iestāžu iesniegtajiem priekšlikumiem atbilstoši valsts budžeta finansiālajām iespējām.</w:t>
      </w:r>
      <w:r w:rsidRPr="00EC50F7">
        <w:rPr>
          <w:bCs/>
          <w:sz w:val="24"/>
          <w:szCs w:val="24"/>
        </w:rPr>
        <w:t xml:space="preserve"> </w:t>
      </w:r>
    </w:p>
    <w:bookmarkEnd w:id="18"/>
    <w:p w14:paraId="148EA271" w14:textId="23180825" w:rsidR="00F60DFB" w:rsidRPr="00EC50F7" w:rsidRDefault="002E3CFA" w:rsidP="00E35937">
      <w:pPr>
        <w:ind w:firstLine="567"/>
        <w:jc w:val="both"/>
        <w:rPr>
          <w:b/>
          <w:sz w:val="24"/>
          <w:szCs w:val="24"/>
          <w:u w:val="single"/>
        </w:rPr>
      </w:pPr>
      <w:r w:rsidRPr="00EC50F7">
        <w:rPr>
          <w:bCs/>
          <w:sz w:val="24"/>
          <w:szCs w:val="24"/>
        </w:rPr>
        <w:t xml:space="preserve"> </w:t>
      </w:r>
    </w:p>
    <w:p w14:paraId="564423C0" w14:textId="570310E6" w:rsidR="00505AF2" w:rsidRPr="00EC50F7" w:rsidRDefault="00505AF2" w:rsidP="00E35937">
      <w:pPr>
        <w:ind w:firstLine="567"/>
        <w:jc w:val="both"/>
        <w:rPr>
          <w:b/>
          <w:sz w:val="24"/>
          <w:szCs w:val="24"/>
          <w:u w:val="single"/>
        </w:rPr>
      </w:pPr>
      <w:proofErr w:type="spellStart"/>
      <w:r w:rsidRPr="00EC50F7">
        <w:rPr>
          <w:b/>
          <w:sz w:val="24"/>
          <w:szCs w:val="24"/>
          <w:u w:val="single"/>
        </w:rPr>
        <w:t>Iekslietu</w:t>
      </w:r>
      <w:proofErr w:type="spellEnd"/>
      <w:r w:rsidRPr="00EC50F7">
        <w:rPr>
          <w:b/>
          <w:sz w:val="24"/>
          <w:szCs w:val="24"/>
          <w:u w:val="single"/>
        </w:rPr>
        <w:t xml:space="preserve"> ministrijas jomā:</w:t>
      </w:r>
    </w:p>
    <w:p w14:paraId="688D0FDB" w14:textId="77777777" w:rsidR="00505AF2" w:rsidRPr="00EC50F7" w:rsidRDefault="00505AF2" w:rsidP="00E35937">
      <w:pPr>
        <w:ind w:firstLine="567"/>
        <w:jc w:val="both"/>
        <w:rPr>
          <w:b/>
          <w:sz w:val="24"/>
          <w:szCs w:val="24"/>
          <w:u w:val="single"/>
        </w:rPr>
      </w:pPr>
    </w:p>
    <w:p w14:paraId="5460DBA6" w14:textId="77777777" w:rsidR="00505AF2" w:rsidRPr="00EC50F7" w:rsidRDefault="00505AF2"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33977F4A" w14:textId="1F056A49" w:rsidR="00505AF2" w:rsidRPr="00EC50F7" w:rsidRDefault="00505AF2" w:rsidP="00E35937">
      <w:pPr>
        <w:ind w:firstLine="567"/>
        <w:jc w:val="both"/>
        <w:rPr>
          <w:bCs/>
          <w:sz w:val="24"/>
          <w:szCs w:val="24"/>
        </w:rPr>
      </w:pPr>
      <w:r w:rsidRPr="00EC50F7">
        <w:rPr>
          <w:bCs/>
          <w:sz w:val="24"/>
          <w:szCs w:val="24"/>
        </w:rPr>
        <w:t xml:space="preserve">Nodrošināt, ka jauni uzdevumi pašvaldībām – pamatojoties uz ugunsdrošības un civilās aizsardzības risku novērtēšanas rezultātiem, iespēju robežās nodrošināt ugunsgrēka dzēšanu un ugunsdrošības </w:t>
      </w:r>
      <w:proofErr w:type="spellStart"/>
      <w:r w:rsidRPr="00EC50F7">
        <w:rPr>
          <w:bCs/>
          <w:sz w:val="24"/>
          <w:szCs w:val="24"/>
        </w:rPr>
        <w:t>prevenciju</w:t>
      </w:r>
      <w:proofErr w:type="spellEnd"/>
      <w:r w:rsidRPr="00EC50F7">
        <w:rPr>
          <w:bCs/>
          <w:sz w:val="24"/>
          <w:szCs w:val="24"/>
        </w:rPr>
        <w:t xml:space="preserve"> – var stāties spēkā tikai pēc papildu valsts budžeta līdzekļu piešķiršanas </w:t>
      </w:r>
      <w:proofErr w:type="spellStart"/>
      <w:r w:rsidRPr="00EC50F7">
        <w:rPr>
          <w:bCs/>
          <w:sz w:val="24"/>
          <w:szCs w:val="24"/>
        </w:rPr>
        <w:t>Iekšlietu</w:t>
      </w:r>
      <w:proofErr w:type="spellEnd"/>
      <w:r w:rsidRPr="00EC50F7">
        <w:rPr>
          <w:bCs/>
          <w:sz w:val="24"/>
          <w:szCs w:val="24"/>
        </w:rPr>
        <w:t xml:space="preserve"> ministrijai (Valsts ugunsdzēsības un glābšanas dienestam) pašvaldību ugunsdzēsības organizāciju un citu ugunsdzēsības un glābšanas organizāciju finansēšanai (2025.</w:t>
      </w:r>
      <w:r w:rsidR="00891927" w:rsidRPr="00EC50F7">
        <w:rPr>
          <w:bCs/>
          <w:sz w:val="24"/>
          <w:szCs w:val="24"/>
        </w:rPr>
        <w:t xml:space="preserve"> </w:t>
      </w:r>
      <w:r w:rsidRPr="00EC50F7">
        <w:rPr>
          <w:bCs/>
          <w:sz w:val="24"/>
          <w:szCs w:val="24"/>
        </w:rPr>
        <w:t xml:space="preserve">gadā šim mērķim nepieciešami 1 456 496 </w:t>
      </w:r>
      <w:proofErr w:type="spellStart"/>
      <w:r w:rsidRPr="00EC50F7">
        <w:rPr>
          <w:bCs/>
          <w:i/>
          <w:iCs/>
          <w:sz w:val="24"/>
          <w:szCs w:val="24"/>
        </w:rPr>
        <w:t>euro</w:t>
      </w:r>
      <w:proofErr w:type="spellEnd"/>
      <w:r w:rsidRPr="00EC50F7">
        <w:rPr>
          <w:bCs/>
          <w:sz w:val="24"/>
          <w:szCs w:val="24"/>
        </w:rPr>
        <w:t xml:space="preserve">, turpmāk ik gadu – 775 952 </w:t>
      </w:r>
      <w:proofErr w:type="spellStart"/>
      <w:r w:rsidRPr="00EC50F7">
        <w:rPr>
          <w:bCs/>
          <w:i/>
          <w:iCs/>
          <w:sz w:val="24"/>
          <w:szCs w:val="24"/>
        </w:rPr>
        <w:t>euro</w:t>
      </w:r>
      <w:proofErr w:type="spellEnd"/>
      <w:r w:rsidRPr="00EC50F7">
        <w:rPr>
          <w:bCs/>
          <w:sz w:val="24"/>
          <w:szCs w:val="24"/>
        </w:rPr>
        <w:t>).</w:t>
      </w:r>
    </w:p>
    <w:p w14:paraId="415C984D" w14:textId="77777777" w:rsidR="00A001E6" w:rsidRPr="00EC50F7" w:rsidRDefault="00A001E6" w:rsidP="00E35937">
      <w:pPr>
        <w:ind w:firstLine="567"/>
        <w:jc w:val="both"/>
        <w:rPr>
          <w:bCs/>
          <w:sz w:val="24"/>
          <w:szCs w:val="24"/>
        </w:rPr>
      </w:pPr>
    </w:p>
    <w:p w14:paraId="268B796D" w14:textId="77777777" w:rsidR="00505AF2" w:rsidRPr="00EC50F7" w:rsidRDefault="00505AF2" w:rsidP="00E35937">
      <w:pPr>
        <w:widowControl w:val="0"/>
        <w:ind w:firstLine="567"/>
        <w:jc w:val="both"/>
        <w:rPr>
          <w:rFonts w:eastAsia="Calibri"/>
          <w:b/>
          <w:sz w:val="24"/>
          <w:szCs w:val="24"/>
        </w:rPr>
      </w:pPr>
      <w:bookmarkStart w:id="19" w:name="_Hlk147230788"/>
      <w:r w:rsidRPr="00EC50F7">
        <w:rPr>
          <w:rFonts w:eastAsia="Calibri"/>
          <w:b/>
          <w:sz w:val="24"/>
          <w:szCs w:val="24"/>
        </w:rPr>
        <w:t>Ministru kabineta viedoklis:</w:t>
      </w:r>
    </w:p>
    <w:bookmarkEnd w:id="19"/>
    <w:p w14:paraId="5324F6FA" w14:textId="53E8BE64" w:rsidR="00B26B60" w:rsidRPr="00EC50F7" w:rsidRDefault="00B26B60" w:rsidP="00E35937">
      <w:pPr>
        <w:ind w:firstLine="567"/>
        <w:jc w:val="both"/>
        <w:rPr>
          <w:sz w:val="24"/>
          <w:szCs w:val="24"/>
        </w:rPr>
      </w:pPr>
      <w:r w:rsidRPr="00EC50F7">
        <w:rPr>
          <w:sz w:val="24"/>
          <w:szCs w:val="24"/>
        </w:rPr>
        <w:t xml:space="preserve">Jauni uzdevumi pašvaldībām ugunsdrošības un ugunsdzēsības jomā atbilstoši likumprojektā “Ugunsdrošības, ugunsdzēsības un glābšanas darbu likums” (23-TA-1429) paredzētajam regulējumam “iespēju robežās nodrošināt ugunsgrēka dzēšanu” un “iespēju robežās nodrošināt ugunsdrošības </w:t>
      </w:r>
      <w:proofErr w:type="spellStart"/>
      <w:r w:rsidRPr="00EC50F7">
        <w:rPr>
          <w:sz w:val="24"/>
          <w:szCs w:val="24"/>
        </w:rPr>
        <w:t>prevenciju</w:t>
      </w:r>
      <w:proofErr w:type="spellEnd"/>
      <w:r w:rsidRPr="00EC50F7">
        <w:rPr>
          <w:sz w:val="24"/>
          <w:szCs w:val="24"/>
        </w:rPr>
        <w:t>” veicami pēc minētā likuma pieņemšanas Saeimā un stāšanās spēkā, kā arī vadoties no paredzētā regulējuma “iespēju robežās” – tiklīdz būs piešķirti attiecīgie finanšu līdzekļi.</w:t>
      </w:r>
    </w:p>
    <w:p w14:paraId="4751C1FA" w14:textId="77777777" w:rsidR="00505AF2" w:rsidRPr="00EC50F7" w:rsidRDefault="00505AF2" w:rsidP="00E35937">
      <w:pPr>
        <w:ind w:firstLine="567"/>
        <w:jc w:val="both"/>
        <w:rPr>
          <w:bCs/>
          <w:sz w:val="24"/>
          <w:szCs w:val="24"/>
        </w:rPr>
      </w:pPr>
    </w:p>
    <w:p w14:paraId="73E6AFCA" w14:textId="6213C99B" w:rsidR="00E570C4" w:rsidRPr="00EC50F7" w:rsidRDefault="00E570C4" w:rsidP="00E35937">
      <w:pPr>
        <w:ind w:firstLine="567"/>
        <w:jc w:val="both"/>
        <w:rPr>
          <w:b/>
          <w:sz w:val="24"/>
          <w:szCs w:val="24"/>
          <w:u w:val="single"/>
        </w:rPr>
      </w:pPr>
      <w:r w:rsidRPr="00EC50F7">
        <w:rPr>
          <w:b/>
          <w:sz w:val="24"/>
          <w:szCs w:val="24"/>
          <w:u w:val="single"/>
        </w:rPr>
        <w:t>Izglītības un zinātnes ministrijas jomā:</w:t>
      </w:r>
    </w:p>
    <w:p w14:paraId="73F2C134" w14:textId="77777777" w:rsidR="00E570C4" w:rsidRPr="00EC50F7" w:rsidRDefault="00E570C4" w:rsidP="00E35937">
      <w:pPr>
        <w:ind w:firstLine="720"/>
        <w:jc w:val="both"/>
        <w:rPr>
          <w:sz w:val="28"/>
          <w:szCs w:val="28"/>
        </w:rPr>
      </w:pPr>
    </w:p>
    <w:p w14:paraId="52241A9F" w14:textId="77777777" w:rsidR="00AA2818" w:rsidRPr="00EC50F7" w:rsidRDefault="00AA2818"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1F7DD313" w14:textId="77777777" w:rsidR="00AA2818" w:rsidRPr="00EC50F7" w:rsidRDefault="00AA2818" w:rsidP="00E35937">
      <w:pPr>
        <w:ind w:firstLine="567"/>
        <w:jc w:val="both"/>
        <w:rPr>
          <w:sz w:val="24"/>
          <w:szCs w:val="24"/>
        </w:rPr>
      </w:pPr>
      <w:r w:rsidRPr="00EC50F7">
        <w:rPr>
          <w:sz w:val="24"/>
          <w:szCs w:val="24"/>
        </w:rPr>
        <w:t>Vidējā termiņā pakāpeniski no valsts budžeta nodrošināt visu pedagogu, kas nodarbināti bērnu no 1,5 gadu vecuma līdz 4 gadiem izglītošanā, darba samaksas finansēšanu no valsts budžeta.</w:t>
      </w:r>
    </w:p>
    <w:p w14:paraId="7849DF1A" w14:textId="77777777" w:rsidR="00AA2818" w:rsidRDefault="00AA2818" w:rsidP="00E35937">
      <w:pPr>
        <w:widowControl w:val="0"/>
        <w:ind w:firstLine="567"/>
        <w:jc w:val="both"/>
        <w:rPr>
          <w:rFonts w:eastAsia="Calibri"/>
          <w:b/>
          <w:sz w:val="24"/>
          <w:szCs w:val="24"/>
        </w:rPr>
      </w:pPr>
    </w:p>
    <w:p w14:paraId="4500D5B1" w14:textId="5FDDC623" w:rsidR="00AA2818" w:rsidRPr="00EC50F7" w:rsidRDefault="00AA2818" w:rsidP="00E35937">
      <w:pPr>
        <w:widowControl w:val="0"/>
        <w:ind w:firstLine="567"/>
        <w:jc w:val="both"/>
        <w:rPr>
          <w:rFonts w:eastAsia="Calibri"/>
          <w:b/>
          <w:sz w:val="24"/>
          <w:szCs w:val="24"/>
        </w:rPr>
      </w:pPr>
      <w:r w:rsidRPr="00EC50F7">
        <w:rPr>
          <w:rFonts w:eastAsia="Calibri"/>
          <w:b/>
          <w:sz w:val="24"/>
          <w:szCs w:val="24"/>
        </w:rPr>
        <w:t>Ministru kabineta viedoklis:</w:t>
      </w:r>
    </w:p>
    <w:p w14:paraId="3EC973FD" w14:textId="07DC9DC1" w:rsidR="0094665E" w:rsidRPr="00EC50F7" w:rsidRDefault="00AA2818" w:rsidP="00E35937">
      <w:pPr>
        <w:widowControl w:val="0"/>
        <w:ind w:firstLine="567"/>
        <w:jc w:val="both"/>
        <w:rPr>
          <w:sz w:val="24"/>
          <w:szCs w:val="24"/>
        </w:rPr>
      </w:pPr>
      <w:r w:rsidRPr="00EC50F7">
        <w:rPr>
          <w:bCs/>
          <w:sz w:val="24"/>
          <w:szCs w:val="24"/>
        </w:rPr>
        <w:t>Saskaņā ar Izglītības likumu valsts nodrošina pedagogu, kas īsteno bērnu no piecu gadu vecuma izglītošanu, darba samaksu (gan pašvaldību, gan privātajās izglītības iestādēs). Pārējo pedagogu, kas īsteno pirmsskolas izglītības programmas pašvaldības izglītības iestādēs, darba samaksa, tiek nodrošināta no pašvaldības budžeta.</w:t>
      </w:r>
    </w:p>
    <w:p w14:paraId="4C4CEC25" w14:textId="77777777" w:rsidR="00723986" w:rsidRPr="00EC50F7" w:rsidRDefault="00723986" w:rsidP="00E35937">
      <w:pPr>
        <w:widowControl w:val="0"/>
        <w:ind w:firstLine="567"/>
        <w:jc w:val="both"/>
        <w:rPr>
          <w:rFonts w:eastAsia="Calibri"/>
          <w:sz w:val="24"/>
          <w:szCs w:val="24"/>
        </w:rPr>
      </w:pPr>
    </w:p>
    <w:p w14:paraId="166B86CB" w14:textId="77777777" w:rsidR="00EE2C69" w:rsidRPr="00EC50F7" w:rsidRDefault="00EE2C69" w:rsidP="00E35937">
      <w:pPr>
        <w:widowControl w:val="0"/>
        <w:ind w:firstLine="567"/>
        <w:jc w:val="both"/>
        <w:rPr>
          <w:rFonts w:eastAsia="Calibri"/>
          <w:b/>
          <w:sz w:val="24"/>
          <w:szCs w:val="24"/>
          <w:lang w:eastAsia="lv-LV"/>
        </w:rPr>
      </w:pPr>
      <w:bookmarkStart w:id="20" w:name="_Hlk176872896"/>
      <w:r w:rsidRPr="00EC50F7">
        <w:rPr>
          <w:rFonts w:eastAsia="Calibri"/>
          <w:b/>
          <w:sz w:val="24"/>
          <w:szCs w:val="24"/>
          <w:lang w:eastAsia="lv-LV"/>
        </w:rPr>
        <w:t>Latvijas Pašvaldību savienības viedoklis:</w:t>
      </w:r>
    </w:p>
    <w:p w14:paraId="5461F285" w14:textId="77777777" w:rsidR="00B84C56" w:rsidRPr="00EC50F7" w:rsidRDefault="00B84C56" w:rsidP="00E35937">
      <w:pPr>
        <w:tabs>
          <w:tab w:val="num" w:pos="1440"/>
        </w:tabs>
        <w:ind w:firstLine="567"/>
        <w:jc w:val="both"/>
        <w:rPr>
          <w:sz w:val="24"/>
          <w:szCs w:val="24"/>
        </w:rPr>
      </w:pPr>
      <w:r w:rsidRPr="00EC50F7">
        <w:rPr>
          <w:sz w:val="24"/>
          <w:szCs w:val="24"/>
        </w:rPr>
        <w:t>Palielināt uzturēšanas izdevumu normatīvu gadā vienam speciālās izglītības iestādes, kas nodrošina internāta pakalpojumus, izglītojamam, kas saņem internāta pakalpojumus, lai speciālās izglītības iestādēm kompensētu būtisko patēriņa cenu un minimālās algas likmes kāpumu.</w:t>
      </w:r>
    </w:p>
    <w:p w14:paraId="4CA1C855" w14:textId="21FF60B2" w:rsidR="00B84C56" w:rsidRPr="00EC50F7" w:rsidRDefault="00B84C56" w:rsidP="00E35937">
      <w:pPr>
        <w:tabs>
          <w:tab w:val="num" w:pos="1440"/>
        </w:tabs>
        <w:ind w:firstLine="567"/>
        <w:jc w:val="both"/>
        <w:rPr>
          <w:sz w:val="24"/>
          <w:szCs w:val="24"/>
        </w:rPr>
      </w:pPr>
      <w:r w:rsidRPr="00EC50F7">
        <w:rPr>
          <w:sz w:val="24"/>
          <w:szCs w:val="24"/>
        </w:rPr>
        <w:t xml:space="preserve">Ministru kabineta </w:t>
      </w:r>
      <w:r w:rsidR="00CB2857" w:rsidRPr="00EC50F7">
        <w:rPr>
          <w:sz w:val="24"/>
          <w:szCs w:val="24"/>
        </w:rPr>
        <w:t>2026</w:t>
      </w:r>
      <w:r w:rsidR="00287FC2" w:rsidRPr="00EC50F7">
        <w:rPr>
          <w:sz w:val="24"/>
          <w:szCs w:val="24"/>
        </w:rPr>
        <w:t xml:space="preserve">. gada </w:t>
      </w:r>
      <w:r w:rsidRPr="00EC50F7">
        <w:rPr>
          <w:sz w:val="24"/>
          <w:szCs w:val="24"/>
        </w:rPr>
        <w:t>15.</w:t>
      </w:r>
      <w:r w:rsidR="00287FC2" w:rsidRPr="00EC50F7">
        <w:rPr>
          <w:sz w:val="24"/>
          <w:szCs w:val="24"/>
        </w:rPr>
        <w:t xml:space="preserve"> jūlija </w:t>
      </w:r>
      <w:r w:rsidRPr="00EC50F7">
        <w:rPr>
          <w:sz w:val="24"/>
          <w:szCs w:val="24"/>
        </w:rPr>
        <w:t xml:space="preserve"> noteikumu Nr. 477 “Speciālās izglītības iestāžu un vispārējās izglītības iestāžu speciālās izglītības klašu (grupu) finansēšanas kārtība” 1. pielikums šobrīd paredz, ka uzturēšanas izdevumi vienam skolēnam ir 263,23 </w:t>
      </w:r>
      <w:proofErr w:type="spellStart"/>
      <w:r w:rsidRPr="00EC50F7">
        <w:rPr>
          <w:i/>
          <w:iCs/>
          <w:sz w:val="24"/>
          <w:szCs w:val="24"/>
        </w:rPr>
        <w:t>euro</w:t>
      </w:r>
      <w:proofErr w:type="spellEnd"/>
      <w:r w:rsidRPr="00EC50F7">
        <w:rPr>
          <w:sz w:val="24"/>
          <w:szCs w:val="24"/>
        </w:rPr>
        <w:t xml:space="preserve"> mēnesī. Šī uzturēšanas izdevumu norma nav pārskatīta kopš 2007. gada, kad spēkā bija Ministru kabineta </w:t>
      </w:r>
      <w:r w:rsidR="00287FC2" w:rsidRPr="00EC50F7">
        <w:rPr>
          <w:sz w:val="24"/>
          <w:szCs w:val="24"/>
        </w:rPr>
        <w:t xml:space="preserve">2007. gada </w:t>
      </w:r>
      <w:r w:rsidRPr="00EC50F7">
        <w:rPr>
          <w:sz w:val="24"/>
          <w:szCs w:val="24"/>
        </w:rPr>
        <w:t>25.</w:t>
      </w:r>
      <w:r w:rsidR="00287FC2" w:rsidRPr="00EC50F7">
        <w:rPr>
          <w:sz w:val="24"/>
          <w:szCs w:val="24"/>
        </w:rPr>
        <w:t xml:space="preserve"> septembra</w:t>
      </w:r>
      <w:r w:rsidRPr="00EC50F7">
        <w:rPr>
          <w:sz w:val="24"/>
          <w:szCs w:val="24"/>
        </w:rPr>
        <w:t> noteikumi Nr. 652 “Speciālās izglītības iestāžu, vispārējās izglītības iestāžu speciālās izglītības klašu (grupu) un internātskolu finansēšanas kārtība”.</w:t>
      </w:r>
    </w:p>
    <w:bookmarkEnd w:id="20"/>
    <w:p w14:paraId="53E67259" w14:textId="77777777" w:rsidR="00B84C56" w:rsidRPr="00EC50F7" w:rsidRDefault="00B84C56" w:rsidP="00E35937">
      <w:pPr>
        <w:widowControl w:val="0"/>
        <w:ind w:firstLine="567"/>
        <w:jc w:val="both"/>
        <w:rPr>
          <w:rFonts w:eastAsia="Calibri"/>
          <w:sz w:val="24"/>
          <w:szCs w:val="24"/>
        </w:rPr>
      </w:pPr>
    </w:p>
    <w:p w14:paraId="35EB60BC" w14:textId="77777777" w:rsidR="00EE2C69" w:rsidRPr="00EC50F7" w:rsidRDefault="00EE2C69" w:rsidP="00E35937">
      <w:pPr>
        <w:widowControl w:val="0"/>
        <w:ind w:firstLine="567"/>
        <w:jc w:val="both"/>
        <w:rPr>
          <w:rFonts w:eastAsia="Calibri"/>
          <w:b/>
          <w:sz w:val="24"/>
          <w:szCs w:val="24"/>
        </w:rPr>
      </w:pPr>
      <w:r w:rsidRPr="00EC50F7">
        <w:rPr>
          <w:rFonts w:eastAsia="Calibri"/>
          <w:b/>
          <w:sz w:val="24"/>
          <w:szCs w:val="24"/>
        </w:rPr>
        <w:t>Ministru kabineta viedoklis:</w:t>
      </w:r>
    </w:p>
    <w:p w14:paraId="121AE9FA" w14:textId="77945C84" w:rsidR="00554F99" w:rsidRPr="00EC50F7" w:rsidRDefault="00554F99" w:rsidP="00E35937">
      <w:pPr>
        <w:ind w:firstLine="567"/>
        <w:jc w:val="both"/>
        <w:rPr>
          <w:bCs/>
          <w:sz w:val="24"/>
          <w:szCs w:val="24"/>
        </w:rPr>
      </w:pPr>
      <w:r w:rsidRPr="00EC50F7">
        <w:rPr>
          <w:bCs/>
          <w:sz w:val="24"/>
          <w:szCs w:val="24"/>
        </w:rPr>
        <w:t>Ministru kabinets 2024. gada 18. jūnija sēdē kā vienīgo vidēja termiņa budžeta prioritāro attīstības virzienu noteica valsts drošību, uzdodot ministrijām nesniegt priekšlikumus ar papildu finansējuma pieprasījumiem prioritārajiem pasākumiem, kas neatbilst šim virzienam.</w:t>
      </w:r>
    </w:p>
    <w:p w14:paraId="60DF343A" w14:textId="145DF846" w:rsidR="00F25D00" w:rsidRDefault="00387A9B" w:rsidP="00E35937">
      <w:pPr>
        <w:ind w:firstLine="567"/>
        <w:jc w:val="both"/>
        <w:rPr>
          <w:b/>
          <w:sz w:val="24"/>
          <w:szCs w:val="24"/>
          <w:u w:val="single"/>
        </w:rPr>
      </w:pPr>
      <w:r w:rsidRPr="00EC50F7">
        <w:rPr>
          <w:sz w:val="24"/>
          <w:szCs w:val="24"/>
        </w:rPr>
        <w:t xml:space="preserve">   </w:t>
      </w:r>
    </w:p>
    <w:p w14:paraId="35BAFD12" w14:textId="569135D2" w:rsidR="00E570C4" w:rsidRPr="00EC50F7" w:rsidRDefault="00F308F0" w:rsidP="00E35937">
      <w:pPr>
        <w:ind w:firstLine="567"/>
        <w:jc w:val="both"/>
        <w:rPr>
          <w:b/>
          <w:sz w:val="24"/>
          <w:szCs w:val="24"/>
          <w:u w:val="single"/>
        </w:rPr>
      </w:pPr>
      <w:r w:rsidRPr="00EC50F7">
        <w:rPr>
          <w:b/>
          <w:sz w:val="24"/>
          <w:szCs w:val="24"/>
          <w:u w:val="single"/>
        </w:rPr>
        <w:t>Klimata un enerģētikas</w:t>
      </w:r>
      <w:r w:rsidR="00E570C4" w:rsidRPr="00EC50F7">
        <w:rPr>
          <w:b/>
          <w:sz w:val="24"/>
          <w:szCs w:val="24"/>
          <w:u w:val="single"/>
        </w:rPr>
        <w:t xml:space="preserve"> ministrijas jomā:</w:t>
      </w:r>
    </w:p>
    <w:p w14:paraId="025552EC" w14:textId="77777777" w:rsidR="00F308F0" w:rsidRPr="00EC50F7" w:rsidRDefault="00F308F0" w:rsidP="00E35937">
      <w:pPr>
        <w:widowControl w:val="0"/>
        <w:ind w:firstLine="567"/>
        <w:jc w:val="both"/>
        <w:rPr>
          <w:rFonts w:eastAsia="Calibri"/>
          <w:b/>
          <w:sz w:val="24"/>
          <w:szCs w:val="24"/>
          <w:lang w:eastAsia="lv-LV"/>
        </w:rPr>
      </w:pPr>
      <w:bookmarkStart w:id="21" w:name="_Hlk176872484"/>
    </w:p>
    <w:p w14:paraId="4ED204C3" w14:textId="253F2403" w:rsidR="00F308F0" w:rsidRPr="00EC50F7" w:rsidRDefault="00F308F0" w:rsidP="00E35937">
      <w:pPr>
        <w:widowControl w:val="0"/>
        <w:ind w:firstLine="567"/>
        <w:jc w:val="both"/>
        <w:rPr>
          <w:rFonts w:eastAsia="Calibri"/>
          <w:b/>
          <w:sz w:val="24"/>
          <w:szCs w:val="24"/>
          <w:lang w:eastAsia="lv-LV"/>
        </w:rPr>
      </w:pPr>
      <w:r w:rsidRPr="00EC50F7">
        <w:rPr>
          <w:rFonts w:eastAsia="Calibri"/>
          <w:b/>
          <w:sz w:val="24"/>
          <w:szCs w:val="24"/>
          <w:lang w:eastAsia="lv-LV"/>
        </w:rPr>
        <w:t>Latvijas Pašvaldību savienības viedoklis:</w:t>
      </w:r>
    </w:p>
    <w:p w14:paraId="73B0DBA2" w14:textId="408F74BC" w:rsidR="00F308F0" w:rsidRPr="00EC50F7" w:rsidRDefault="00F308F0" w:rsidP="00E35937">
      <w:pPr>
        <w:ind w:firstLine="567"/>
        <w:jc w:val="both"/>
        <w:rPr>
          <w:bCs/>
          <w:sz w:val="24"/>
          <w:szCs w:val="24"/>
        </w:rPr>
      </w:pPr>
      <w:r w:rsidRPr="00EC50F7">
        <w:rPr>
          <w:bCs/>
          <w:sz w:val="24"/>
          <w:szCs w:val="24"/>
        </w:rPr>
        <w:t>Paredzēt straujāku dabas resursu nodokļa maksājumu par atkritumu apglabāšanu pārdali par labu pašvaldībām nekā paredzēts Dabas resursu nodokļa likuma 28. panta (4</w:t>
      </w:r>
      <w:r w:rsidRPr="00EC50F7">
        <w:rPr>
          <w:bCs/>
          <w:sz w:val="24"/>
          <w:szCs w:val="24"/>
          <w:vertAlign w:val="superscript"/>
        </w:rPr>
        <w:t>1</w:t>
      </w:r>
      <w:r w:rsidRPr="00EC50F7">
        <w:rPr>
          <w:bCs/>
          <w:sz w:val="24"/>
          <w:szCs w:val="24"/>
        </w:rPr>
        <w:t>) daļā, lai nodrošinātu finansējumu atkritumu apsaimniekošanas infrastruktūras izveidei un pielāgošanai pēc ATR un īstenotu valsts apņemšanās atkritumu apsaimniekošanas mērķu sasniegšanai. Nodokļa maksājumu par atkritumu apglabāšanu sadali starp valsti un pašvaldībām noteikt:</w:t>
      </w:r>
    </w:p>
    <w:p w14:paraId="62E6C844" w14:textId="77777777" w:rsidR="00F308F0" w:rsidRPr="00EC50F7" w:rsidRDefault="00F308F0" w:rsidP="00E35937">
      <w:pPr>
        <w:pStyle w:val="ListParagraph"/>
        <w:numPr>
          <w:ilvl w:val="0"/>
          <w:numId w:val="13"/>
        </w:numPr>
        <w:ind w:left="851" w:hanging="284"/>
        <w:jc w:val="both"/>
        <w:rPr>
          <w:bCs/>
          <w:sz w:val="24"/>
          <w:szCs w:val="24"/>
        </w:rPr>
      </w:pPr>
      <w:r w:rsidRPr="00EC50F7">
        <w:rPr>
          <w:bCs/>
          <w:sz w:val="24"/>
          <w:szCs w:val="24"/>
        </w:rPr>
        <w:t>2025. gadā 30% valsts pamatbudžetā, 40% </w:t>
      </w:r>
      <w:r w:rsidRPr="00EC50F7">
        <w:rPr>
          <w:sz w:val="24"/>
          <w:szCs w:val="24"/>
        </w:rPr>
        <w:t>–</w:t>
      </w:r>
      <w:r w:rsidRPr="00EC50F7">
        <w:rPr>
          <w:bCs/>
          <w:sz w:val="24"/>
          <w:szCs w:val="24"/>
        </w:rPr>
        <w:t xml:space="preserve"> tās vietējās pašvaldības pamatbudžetā, kuras teritorijā tiek veikta atkritumu apglabāšana, un 30% </w:t>
      </w:r>
      <w:r w:rsidRPr="00EC50F7">
        <w:rPr>
          <w:sz w:val="24"/>
          <w:szCs w:val="24"/>
        </w:rPr>
        <w:t>–</w:t>
      </w:r>
      <w:r w:rsidRPr="00EC50F7">
        <w:rPr>
          <w:bCs/>
          <w:sz w:val="24"/>
          <w:szCs w:val="24"/>
        </w:rPr>
        <w:t xml:space="preserve"> visu attiecīgajā atkritumu apsaimniekošanas reģionā ietilpstošo pašvaldību pamatbudžetā (proporcionāli iedzīvotāju skaitam iepriekšējā gada sākumā);</w:t>
      </w:r>
    </w:p>
    <w:p w14:paraId="4A9DC0A1" w14:textId="77777777" w:rsidR="00F308F0" w:rsidRPr="00EC50F7" w:rsidRDefault="00F308F0" w:rsidP="00E35937">
      <w:pPr>
        <w:pStyle w:val="ListParagraph"/>
        <w:numPr>
          <w:ilvl w:val="0"/>
          <w:numId w:val="13"/>
        </w:numPr>
        <w:ind w:left="851" w:hanging="284"/>
        <w:jc w:val="both"/>
        <w:rPr>
          <w:bCs/>
          <w:sz w:val="24"/>
          <w:szCs w:val="24"/>
        </w:rPr>
      </w:pPr>
      <w:r w:rsidRPr="00EC50F7">
        <w:rPr>
          <w:bCs/>
          <w:sz w:val="24"/>
          <w:szCs w:val="24"/>
        </w:rPr>
        <w:t>2026. gadā 20% </w:t>
      </w:r>
      <w:r w:rsidRPr="00EC50F7">
        <w:rPr>
          <w:sz w:val="24"/>
          <w:szCs w:val="24"/>
        </w:rPr>
        <w:t>–</w:t>
      </w:r>
      <w:r w:rsidRPr="00EC50F7">
        <w:rPr>
          <w:bCs/>
          <w:sz w:val="24"/>
          <w:szCs w:val="24"/>
        </w:rPr>
        <w:t xml:space="preserve"> valsts pamatbudžetā, 40% </w:t>
      </w:r>
      <w:r w:rsidRPr="00EC50F7">
        <w:rPr>
          <w:sz w:val="24"/>
          <w:szCs w:val="24"/>
        </w:rPr>
        <w:t>–</w:t>
      </w:r>
      <w:r w:rsidRPr="00EC50F7">
        <w:rPr>
          <w:bCs/>
          <w:sz w:val="24"/>
          <w:szCs w:val="24"/>
        </w:rPr>
        <w:t xml:space="preserve"> tās vietējās pašvaldības pamatbudžetā, kuras teritorijā tiek veikta atkritumu apglabāšana, un 40% </w:t>
      </w:r>
      <w:r w:rsidRPr="00EC50F7">
        <w:rPr>
          <w:sz w:val="24"/>
          <w:szCs w:val="24"/>
        </w:rPr>
        <w:t>–</w:t>
      </w:r>
      <w:r w:rsidRPr="00EC50F7">
        <w:rPr>
          <w:bCs/>
          <w:sz w:val="24"/>
          <w:szCs w:val="24"/>
        </w:rPr>
        <w:t xml:space="preserve"> visu attiecīgajā atkritumu apsaimniekošanas reģionā ietilpstošo pašvaldību pamatbudžetā (proporcionāli iedzīvotāju skaitam iepriekšējā gada sākumā);</w:t>
      </w:r>
    </w:p>
    <w:p w14:paraId="20F3B7DB" w14:textId="77777777" w:rsidR="00F308F0" w:rsidRPr="00EC50F7" w:rsidRDefault="00F308F0" w:rsidP="00E35937">
      <w:pPr>
        <w:pStyle w:val="ListParagraph"/>
        <w:numPr>
          <w:ilvl w:val="0"/>
          <w:numId w:val="13"/>
        </w:numPr>
        <w:ind w:left="851" w:hanging="284"/>
        <w:jc w:val="both"/>
        <w:rPr>
          <w:bCs/>
          <w:sz w:val="24"/>
          <w:szCs w:val="24"/>
        </w:rPr>
      </w:pPr>
      <w:r w:rsidRPr="00EC50F7">
        <w:rPr>
          <w:bCs/>
          <w:sz w:val="24"/>
          <w:szCs w:val="24"/>
        </w:rPr>
        <w:t>2027. gadā 10% </w:t>
      </w:r>
      <w:r w:rsidRPr="00EC50F7">
        <w:rPr>
          <w:sz w:val="24"/>
          <w:szCs w:val="24"/>
        </w:rPr>
        <w:t>–</w:t>
      </w:r>
      <w:r w:rsidRPr="00EC50F7">
        <w:rPr>
          <w:bCs/>
          <w:sz w:val="24"/>
          <w:szCs w:val="24"/>
        </w:rPr>
        <w:t xml:space="preserve"> valsts pamatbudžetā, 40% </w:t>
      </w:r>
      <w:r w:rsidRPr="00EC50F7">
        <w:rPr>
          <w:sz w:val="24"/>
          <w:szCs w:val="24"/>
        </w:rPr>
        <w:t>–</w:t>
      </w:r>
      <w:r w:rsidRPr="00EC50F7">
        <w:rPr>
          <w:bCs/>
          <w:sz w:val="24"/>
          <w:szCs w:val="24"/>
        </w:rPr>
        <w:t xml:space="preserve"> tās vietējās pašvaldības pamatbudžetā, kuras teritorijā tiek veikta atkritumu apglabāšana, un 50% – visu attiecīgajā atkritumu apsaimniekošanas reģionā ietilpstošo pašvaldību pamatbudžetā (proporcionāli iedzīvotāju skaitam iepriekšējā gada sākumā).</w:t>
      </w:r>
    </w:p>
    <w:bookmarkEnd w:id="21"/>
    <w:p w14:paraId="4A804A90" w14:textId="77777777" w:rsidR="00686189" w:rsidRDefault="00686189" w:rsidP="00E35937">
      <w:pPr>
        <w:ind w:firstLine="567"/>
        <w:jc w:val="both"/>
        <w:rPr>
          <w:b/>
          <w:bCs/>
          <w:sz w:val="24"/>
          <w:szCs w:val="24"/>
        </w:rPr>
      </w:pPr>
    </w:p>
    <w:p w14:paraId="17D762D4" w14:textId="6ABF62AD" w:rsidR="00C43531" w:rsidRPr="00EC50F7" w:rsidRDefault="00C43531" w:rsidP="00E35937">
      <w:pPr>
        <w:ind w:firstLine="567"/>
        <w:jc w:val="both"/>
        <w:rPr>
          <w:b/>
          <w:bCs/>
          <w:sz w:val="24"/>
          <w:szCs w:val="24"/>
        </w:rPr>
      </w:pPr>
      <w:r w:rsidRPr="00EC50F7">
        <w:rPr>
          <w:b/>
          <w:bCs/>
          <w:sz w:val="24"/>
          <w:szCs w:val="24"/>
        </w:rPr>
        <w:lastRenderedPageBreak/>
        <w:t>Ministru kabineta viedoklis:</w:t>
      </w:r>
    </w:p>
    <w:p w14:paraId="6C4661F0" w14:textId="6542C83D" w:rsidR="002304C3" w:rsidRPr="00EC50F7" w:rsidRDefault="00DA2075" w:rsidP="00E35937">
      <w:pPr>
        <w:ind w:firstLine="567"/>
        <w:jc w:val="both"/>
        <w:rPr>
          <w:sz w:val="24"/>
          <w:szCs w:val="24"/>
        </w:rPr>
      </w:pPr>
      <w:r w:rsidRPr="00EC50F7">
        <w:rPr>
          <w:sz w:val="24"/>
          <w:szCs w:val="24"/>
        </w:rPr>
        <w:t>Ņemot vērā, ka pašreiz nepastāv pietiekami kompensējoši pasākumi valsts budžeta fiskālās neitralitātes nodrošināšanai, ieņēmumu pārdale starp valsti un pašvaldībām tiek ieviesta pakāpeniski. Vēršam uzmanību, ka no 2025. gada janvāra dabas resursu nodokļa ieņēmumi tiks pārdalīti starp visām pašvaldībām, ne tikai tām, kurās atrodas atkritumu apglabāšanas poligonā, kā tas noteikts 2024.</w:t>
      </w:r>
      <w:r w:rsidR="00376202" w:rsidRPr="00EC50F7">
        <w:rPr>
          <w:sz w:val="24"/>
          <w:szCs w:val="24"/>
        </w:rPr>
        <w:t xml:space="preserve"> </w:t>
      </w:r>
      <w:r w:rsidRPr="00EC50F7">
        <w:rPr>
          <w:sz w:val="24"/>
          <w:szCs w:val="24"/>
        </w:rPr>
        <w:t>gadā.</w:t>
      </w:r>
    </w:p>
    <w:p w14:paraId="64F09A03" w14:textId="77777777" w:rsidR="009670D1" w:rsidRPr="00EC50F7" w:rsidRDefault="009670D1" w:rsidP="00E35937">
      <w:pPr>
        <w:ind w:firstLine="567"/>
        <w:jc w:val="both"/>
        <w:rPr>
          <w:b/>
          <w:sz w:val="24"/>
          <w:szCs w:val="24"/>
          <w:u w:val="single"/>
        </w:rPr>
      </w:pPr>
    </w:p>
    <w:p w14:paraId="7A91A90B" w14:textId="74410925" w:rsidR="00E570C4" w:rsidRPr="00EC50F7" w:rsidRDefault="00E570C4" w:rsidP="00E35937">
      <w:pPr>
        <w:ind w:firstLine="567"/>
        <w:jc w:val="both"/>
        <w:rPr>
          <w:b/>
          <w:sz w:val="24"/>
          <w:szCs w:val="24"/>
          <w:u w:val="single"/>
        </w:rPr>
      </w:pPr>
      <w:r w:rsidRPr="00EC50F7">
        <w:rPr>
          <w:b/>
          <w:sz w:val="24"/>
          <w:szCs w:val="24"/>
          <w:u w:val="single"/>
        </w:rPr>
        <w:t>Labklājības ministrijas jomā:</w:t>
      </w:r>
    </w:p>
    <w:p w14:paraId="1C10AB4B" w14:textId="77777777" w:rsidR="007D1D53" w:rsidRPr="00EC50F7" w:rsidRDefault="007D1D53" w:rsidP="00E35937">
      <w:pPr>
        <w:jc w:val="both"/>
        <w:rPr>
          <w:color w:val="000000"/>
          <w:sz w:val="24"/>
          <w:szCs w:val="24"/>
        </w:rPr>
      </w:pPr>
      <w:bookmarkStart w:id="22" w:name="_Hlk176873953"/>
    </w:p>
    <w:p w14:paraId="1225B137" w14:textId="2A676D44" w:rsidR="007D1D53" w:rsidRPr="00EC50F7" w:rsidRDefault="00DA7AAA" w:rsidP="00E35937">
      <w:pPr>
        <w:ind w:firstLine="567"/>
        <w:jc w:val="both"/>
        <w:rPr>
          <w:b/>
          <w:bCs/>
          <w:sz w:val="24"/>
          <w:szCs w:val="24"/>
        </w:rPr>
      </w:pPr>
      <w:r w:rsidRPr="00EC50F7">
        <w:rPr>
          <w:b/>
          <w:bCs/>
          <w:sz w:val="24"/>
          <w:szCs w:val="24"/>
        </w:rPr>
        <w:t>Puses vienojas</w:t>
      </w:r>
      <w:r w:rsidR="007D1D53" w:rsidRPr="00EC50F7">
        <w:rPr>
          <w:b/>
          <w:bCs/>
          <w:sz w:val="24"/>
          <w:szCs w:val="24"/>
        </w:rPr>
        <w:t>:</w:t>
      </w:r>
    </w:p>
    <w:p w14:paraId="3BC6F57B" w14:textId="789558F5" w:rsidR="00EE6BC3" w:rsidRPr="00EC50F7" w:rsidRDefault="00EE6BC3" w:rsidP="00E35937">
      <w:pPr>
        <w:ind w:firstLine="567"/>
        <w:jc w:val="both"/>
        <w:rPr>
          <w:color w:val="000000"/>
          <w:sz w:val="24"/>
          <w:szCs w:val="24"/>
        </w:rPr>
      </w:pPr>
      <w:r w:rsidRPr="00EC50F7">
        <w:rPr>
          <w:color w:val="000000"/>
          <w:sz w:val="24"/>
          <w:szCs w:val="24"/>
        </w:rPr>
        <w:t>1. Noteikt zemāko minimālo ienākumu slieksni 22% apmērā no ienākumu mediānas (t.i., palielināt no 20% līdz 22%), vienlaikus saglabājot valsts budžeta līdzfinansējumu GMI un mājokļa pabalstam 30% apmērā. Ņemot vērā likumprojekta "Par valsts budžetu 2025. gadam un budžeta ietvaru 2025., 2026. un 2027. gadam" ierobežotās iespējas, lai kompensētu pašvaldībām 2 procentpunktu palielinājuma rezultātā radīto izdevumu pieaugumu, samazināt esošos mājokļa pabalsta aprēķinā izmantotos koeficientus, kas noteikti Sociālo pakalpojumu un sociālās palīdzības likuma 35. panta piektajā daļā</w:t>
      </w:r>
      <w:r w:rsidR="00EE64FF" w:rsidRPr="00EC50F7">
        <w:rPr>
          <w:color w:val="000000"/>
          <w:sz w:val="24"/>
          <w:szCs w:val="24"/>
        </w:rPr>
        <w:t>:</w:t>
      </w:r>
    </w:p>
    <w:p w14:paraId="3515AA94" w14:textId="194ED713" w:rsidR="00EE64FF" w:rsidRPr="00EC50F7" w:rsidRDefault="00EE64FF" w:rsidP="00E35937">
      <w:pPr>
        <w:ind w:left="709" w:hanging="283"/>
        <w:jc w:val="both"/>
        <w:rPr>
          <w:i/>
          <w:sz w:val="24"/>
          <w:szCs w:val="24"/>
        </w:rPr>
      </w:pPr>
      <w:r w:rsidRPr="00EC50F7">
        <w:rPr>
          <w:sz w:val="24"/>
          <w:szCs w:val="24"/>
        </w:rPr>
        <w:t>1) atsevišķi dzīvojošai pensijas vecuma personai vai atsevišķi dzīvojošai personai ar invaliditāti — koeficientu 2,5 aizstāt ar 2,</w:t>
      </w:r>
      <w:r w:rsidR="00DA7AAA" w:rsidRPr="00EC50F7">
        <w:rPr>
          <w:sz w:val="24"/>
          <w:szCs w:val="24"/>
        </w:rPr>
        <w:t>1</w:t>
      </w:r>
      <w:r w:rsidRPr="00EC50F7">
        <w:rPr>
          <w:sz w:val="24"/>
          <w:szCs w:val="24"/>
        </w:rPr>
        <w:t>;</w:t>
      </w:r>
    </w:p>
    <w:p w14:paraId="1B3DB97F" w14:textId="3FB73189" w:rsidR="00EE64FF" w:rsidRPr="00EC50F7" w:rsidRDefault="00EE64FF" w:rsidP="00E35937">
      <w:pPr>
        <w:ind w:left="709" w:hanging="283"/>
        <w:jc w:val="both"/>
        <w:rPr>
          <w:i/>
          <w:sz w:val="24"/>
          <w:szCs w:val="24"/>
        </w:rPr>
      </w:pPr>
      <w:r w:rsidRPr="00EC50F7">
        <w:rPr>
          <w:sz w:val="24"/>
          <w:szCs w:val="24"/>
        </w:rPr>
        <w:t>2) mājsaimniecībai, kurā ir tikai pensijas vecuma personas vai personas ar invaliditāti, — koeficientu 2 aizstāt ar 1,</w:t>
      </w:r>
      <w:r w:rsidR="00DA7AAA" w:rsidRPr="00EC50F7">
        <w:rPr>
          <w:sz w:val="24"/>
          <w:szCs w:val="24"/>
        </w:rPr>
        <w:t>7</w:t>
      </w:r>
      <w:r w:rsidRPr="00EC50F7">
        <w:rPr>
          <w:sz w:val="24"/>
          <w:szCs w:val="24"/>
        </w:rPr>
        <w:t>;</w:t>
      </w:r>
    </w:p>
    <w:p w14:paraId="2A020CCA" w14:textId="3CB33614" w:rsidR="00EE64FF" w:rsidRPr="00EC50F7" w:rsidRDefault="00EE64FF" w:rsidP="00E35937">
      <w:pPr>
        <w:ind w:left="709" w:hanging="283"/>
        <w:jc w:val="both"/>
        <w:rPr>
          <w:i/>
          <w:sz w:val="24"/>
          <w:szCs w:val="24"/>
        </w:rPr>
      </w:pPr>
      <w:r w:rsidRPr="00EC50F7">
        <w:rPr>
          <w:sz w:val="24"/>
          <w:szCs w:val="24"/>
        </w:rPr>
        <w:t>3) mājsaimniecībai, kurā ir tikai pensijas vecuma personas vai personas ar invaliditāti un bērni, — koeficientu 2 aizstāt ar 1,</w:t>
      </w:r>
      <w:r w:rsidR="00DA7AAA" w:rsidRPr="00EC50F7">
        <w:rPr>
          <w:sz w:val="24"/>
          <w:szCs w:val="24"/>
        </w:rPr>
        <w:t>7</w:t>
      </w:r>
      <w:r w:rsidRPr="00EC50F7">
        <w:rPr>
          <w:sz w:val="24"/>
          <w:szCs w:val="24"/>
        </w:rPr>
        <w:t>;</w:t>
      </w:r>
    </w:p>
    <w:p w14:paraId="2BB15815" w14:textId="0D0C07EE" w:rsidR="00EE64FF" w:rsidRPr="00EC50F7" w:rsidRDefault="00EE64FF" w:rsidP="00E35937">
      <w:pPr>
        <w:ind w:left="709" w:hanging="283"/>
        <w:jc w:val="both"/>
        <w:rPr>
          <w:i/>
          <w:sz w:val="24"/>
          <w:szCs w:val="24"/>
        </w:rPr>
      </w:pPr>
      <w:r w:rsidRPr="00EC50F7">
        <w:rPr>
          <w:sz w:val="24"/>
          <w:szCs w:val="24"/>
        </w:rPr>
        <w:t>4) pārējām mājsaimniecībām — koeficientu 1,5 aizstāt ar 1,</w:t>
      </w:r>
      <w:r w:rsidR="00DA7AAA" w:rsidRPr="00EC50F7">
        <w:rPr>
          <w:sz w:val="24"/>
          <w:szCs w:val="24"/>
        </w:rPr>
        <w:t>3</w:t>
      </w:r>
      <w:r w:rsidRPr="00EC50F7">
        <w:rPr>
          <w:sz w:val="24"/>
          <w:szCs w:val="24"/>
        </w:rPr>
        <w:t>.</w:t>
      </w:r>
    </w:p>
    <w:p w14:paraId="34F7A44E" w14:textId="085E6645" w:rsidR="00EE6BC3" w:rsidRPr="00EC50F7" w:rsidRDefault="00EE6BC3" w:rsidP="00E35937">
      <w:pPr>
        <w:ind w:firstLine="567"/>
        <w:jc w:val="both"/>
        <w:rPr>
          <w:color w:val="000000"/>
          <w:sz w:val="24"/>
          <w:szCs w:val="24"/>
        </w:rPr>
      </w:pPr>
      <w:r w:rsidRPr="00EC50F7">
        <w:rPr>
          <w:color w:val="000000"/>
          <w:sz w:val="24"/>
          <w:szCs w:val="24"/>
        </w:rPr>
        <w:t>Grozījumus Sociālo pakalpojumu un sociālās palīdzības likumā virzīt vienotā pak</w:t>
      </w:r>
      <w:r w:rsidR="00D13F28">
        <w:rPr>
          <w:color w:val="000000"/>
          <w:sz w:val="24"/>
          <w:szCs w:val="24"/>
        </w:rPr>
        <w:t>e</w:t>
      </w:r>
      <w:r w:rsidRPr="00EC50F7">
        <w:rPr>
          <w:color w:val="000000"/>
          <w:sz w:val="24"/>
          <w:szCs w:val="24"/>
        </w:rPr>
        <w:t>tē ar likumprojektu "Par valsts budžetu 2025. gadam un budžeta ietvaru 2025., 2026. un 2027. gadam".</w:t>
      </w:r>
    </w:p>
    <w:p w14:paraId="4036D211" w14:textId="1B671423" w:rsidR="007D1D53" w:rsidRPr="00EC50F7" w:rsidRDefault="00EE6BC3" w:rsidP="00E35937">
      <w:pPr>
        <w:ind w:firstLine="567"/>
        <w:jc w:val="both"/>
        <w:rPr>
          <w:color w:val="000000"/>
          <w:sz w:val="24"/>
          <w:szCs w:val="24"/>
        </w:rPr>
      </w:pPr>
      <w:r w:rsidRPr="00EC50F7">
        <w:rPr>
          <w:color w:val="000000"/>
          <w:sz w:val="24"/>
          <w:szCs w:val="24"/>
        </w:rPr>
        <w:t>2. Labklājības ministrijai sadarbībā ar Latvijas Pašvaldību savienību pārskatīt mājokļa pabalsta aprēķinā izmantotos izdevumu apmērus un piešķiršanas nosacījumus un virzīt atbilstošus grozījumus tiesību aktos līdz 2025. gada 1. aprīlim.</w:t>
      </w:r>
    </w:p>
    <w:p w14:paraId="05870D0A" w14:textId="77777777" w:rsidR="0035525A" w:rsidRDefault="0035525A" w:rsidP="00E35937">
      <w:pPr>
        <w:ind w:firstLine="567"/>
        <w:jc w:val="both"/>
        <w:rPr>
          <w:b/>
          <w:sz w:val="24"/>
          <w:szCs w:val="24"/>
        </w:rPr>
      </w:pPr>
    </w:p>
    <w:p w14:paraId="61264D63" w14:textId="45A92897" w:rsidR="0019527C" w:rsidRPr="00EC50F7" w:rsidRDefault="0019527C" w:rsidP="00E35937">
      <w:pPr>
        <w:ind w:firstLine="567"/>
        <w:jc w:val="both"/>
        <w:rPr>
          <w:b/>
          <w:sz w:val="24"/>
          <w:szCs w:val="24"/>
        </w:rPr>
      </w:pPr>
      <w:r w:rsidRPr="00EC50F7">
        <w:rPr>
          <w:b/>
          <w:sz w:val="24"/>
          <w:szCs w:val="24"/>
        </w:rPr>
        <w:t>Latvijas Pašvaldību savienības viedoklis:</w:t>
      </w:r>
    </w:p>
    <w:p w14:paraId="045A97E8" w14:textId="72190822" w:rsidR="0019527C" w:rsidRPr="00EC50F7" w:rsidRDefault="0019527C" w:rsidP="00E35937">
      <w:pPr>
        <w:ind w:firstLine="567"/>
        <w:jc w:val="both"/>
        <w:rPr>
          <w:bCs/>
          <w:sz w:val="24"/>
          <w:szCs w:val="24"/>
        </w:rPr>
      </w:pPr>
      <w:r w:rsidRPr="00EC50F7">
        <w:rPr>
          <w:bCs/>
          <w:sz w:val="24"/>
          <w:szCs w:val="24"/>
        </w:rPr>
        <w:t>Paredzēt valsts budžeta līdzfinansējumu visiem vienotā minimālo sociālo pakalpojumu grozā iekļautajiem pasākumiem, t.sk.</w:t>
      </w:r>
      <w:r w:rsidR="00B34C46" w:rsidRPr="00EC50F7">
        <w:rPr>
          <w:bCs/>
          <w:sz w:val="24"/>
          <w:szCs w:val="24"/>
        </w:rPr>
        <w:t>:</w:t>
      </w:r>
    </w:p>
    <w:p w14:paraId="22825A67" w14:textId="77777777" w:rsidR="0019527C" w:rsidRPr="00EC50F7" w:rsidRDefault="0019527C" w:rsidP="00E35937">
      <w:pPr>
        <w:pStyle w:val="ListParagraph"/>
        <w:numPr>
          <w:ilvl w:val="0"/>
          <w:numId w:val="14"/>
        </w:numPr>
        <w:ind w:left="851" w:hanging="284"/>
        <w:jc w:val="both"/>
        <w:rPr>
          <w:bCs/>
          <w:sz w:val="24"/>
          <w:szCs w:val="24"/>
        </w:rPr>
      </w:pPr>
      <w:r w:rsidRPr="00EC50F7">
        <w:rPr>
          <w:bCs/>
          <w:sz w:val="24"/>
          <w:szCs w:val="24"/>
        </w:rPr>
        <w:t>atelpas brīža pakalpojumam bērniem ar invaliditāti, kuriem ir Veselības un darbspēju ekspertīzes ārstu valsts komisijas atzinums par īpašas kopšanas nepieciešamību;</w:t>
      </w:r>
    </w:p>
    <w:p w14:paraId="7DD2E0F4" w14:textId="77777777" w:rsidR="0019527C" w:rsidRPr="00EC50F7" w:rsidRDefault="0019527C" w:rsidP="00E35937">
      <w:pPr>
        <w:pStyle w:val="ListParagraph"/>
        <w:numPr>
          <w:ilvl w:val="0"/>
          <w:numId w:val="14"/>
        </w:numPr>
        <w:ind w:left="851" w:hanging="284"/>
        <w:jc w:val="both"/>
        <w:rPr>
          <w:bCs/>
          <w:sz w:val="24"/>
          <w:szCs w:val="24"/>
        </w:rPr>
      </w:pPr>
      <w:r w:rsidRPr="00EC50F7">
        <w:rPr>
          <w:bCs/>
          <w:sz w:val="24"/>
          <w:szCs w:val="24"/>
        </w:rPr>
        <w:t xml:space="preserve">sociālā </w:t>
      </w:r>
      <w:proofErr w:type="spellStart"/>
      <w:r w:rsidRPr="00EC50F7">
        <w:rPr>
          <w:bCs/>
          <w:sz w:val="24"/>
          <w:szCs w:val="24"/>
        </w:rPr>
        <w:t>mentora</w:t>
      </w:r>
      <w:proofErr w:type="spellEnd"/>
      <w:r w:rsidRPr="00EC50F7">
        <w:rPr>
          <w:bCs/>
          <w:sz w:val="24"/>
          <w:szCs w:val="24"/>
        </w:rPr>
        <w:t xml:space="preserve"> pakalpojumam </w:t>
      </w:r>
      <w:proofErr w:type="spellStart"/>
      <w:r w:rsidRPr="00EC50F7">
        <w:rPr>
          <w:bCs/>
          <w:sz w:val="24"/>
          <w:szCs w:val="24"/>
        </w:rPr>
        <w:t>ārpusģimenes</w:t>
      </w:r>
      <w:proofErr w:type="spellEnd"/>
      <w:r w:rsidRPr="00EC50F7">
        <w:rPr>
          <w:bCs/>
          <w:sz w:val="24"/>
          <w:szCs w:val="24"/>
        </w:rPr>
        <w:t xml:space="preserve"> aprūpē esošajiem bērniem, kuri ir sasnieguši 16 gadu vecumu (līdz pilngadībai);</w:t>
      </w:r>
    </w:p>
    <w:p w14:paraId="1E0CF20B" w14:textId="77777777" w:rsidR="0019527C" w:rsidRPr="00EC50F7" w:rsidRDefault="0019527C" w:rsidP="00E35937">
      <w:pPr>
        <w:pStyle w:val="ListParagraph"/>
        <w:numPr>
          <w:ilvl w:val="0"/>
          <w:numId w:val="14"/>
        </w:numPr>
        <w:ind w:left="851" w:hanging="284"/>
        <w:jc w:val="both"/>
        <w:rPr>
          <w:bCs/>
          <w:sz w:val="24"/>
          <w:szCs w:val="24"/>
        </w:rPr>
      </w:pPr>
      <w:r w:rsidRPr="00EC50F7">
        <w:rPr>
          <w:bCs/>
          <w:sz w:val="24"/>
          <w:szCs w:val="24"/>
        </w:rPr>
        <w:t>ģimenes asistenta pakalpojuma attīstībai pašvaldībās, nodrošinot mērķdotāciju pašvaldībām 50% apmērā no ģimenes asistenta vidējā nostrādāto stundu skaita mēnesī, piemērojot likmi 9,32 </w:t>
      </w:r>
      <w:proofErr w:type="spellStart"/>
      <w:r w:rsidRPr="00EC50F7">
        <w:rPr>
          <w:bCs/>
          <w:i/>
          <w:iCs/>
          <w:sz w:val="24"/>
          <w:szCs w:val="24"/>
        </w:rPr>
        <w:t>euro</w:t>
      </w:r>
      <w:proofErr w:type="spellEnd"/>
      <w:r w:rsidRPr="00EC50F7">
        <w:rPr>
          <w:bCs/>
          <w:sz w:val="24"/>
          <w:szCs w:val="24"/>
        </w:rPr>
        <w:t xml:space="preserve"> stundā.</w:t>
      </w:r>
    </w:p>
    <w:p w14:paraId="71AE5E25" w14:textId="5F793EC2" w:rsidR="0019527C" w:rsidRPr="00EC50F7" w:rsidRDefault="0019527C" w:rsidP="00E35937">
      <w:pPr>
        <w:ind w:firstLine="567"/>
        <w:jc w:val="both"/>
        <w:rPr>
          <w:bCs/>
          <w:sz w:val="24"/>
          <w:szCs w:val="24"/>
        </w:rPr>
      </w:pPr>
      <w:r w:rsidRPr="00EC50F7">
        <w:rPr>
          <w:bCs/>
          <w:sz w:val="24"/>
          <w:szCs w:val="24"/>
        </w:rPr>
        <w:t>Noteikt, ka vienotā minimālo sociālo pakalpojumu grozā iekļautā sociālā pakalpojuma nodrošināšana stājas spēkā ar brīdi, no kura konkrētajam pakalpojumam tiek nodrošināts valsts budžeta līdzfinansējums.</w:t>
      </w:r>
      <w:r w:rsidR="00086E7A" w:rsidRPr="00EC50F7">
        <w:rPr>
          <w:bCs/>
          <w:sz w:val="24"/>
          <w:szCs w:val="24"/>
        </w:rPr>
        <w:t xml:space="preserve"> </w:t>
      </w:r>
    </w:p>
    <w:p w14:paraId="1BBAA470" w14:textId="77777777" w:rsidR="00DB2FFE" w:rsidRPr="00EC50F7" w:rsidRDefault="00DB2FFE" w:rsidP="00E35937">
      <w:pPr>
        <w:ind w:firstLine="567"/>
        <w:jc w:val="both"/>
        <w:rPr>
          <w:b/>
          <w:bCs/>
          <w:sz w:val="24"/>
          <w:szCs w:val="24"/>
        </w:rPr>
      </w:pPr>
    </w:p>
    <w:p w14:paraId="4F53A881" w14:textId="52A4EA3A" w:rsidR="007D1D53" w:rsidRPr="00EC50F7" w:rsidRDefault="007D1D53" w:rsidP="00E35937">
      <w:pPr>
        <w:ind w:firstLine="567"/>
        <w:jc w:val="both"/>
        <w:rPr>
          <w:b/>
          <w:bCs/>
          <w:sz w:val="24"/>
          <w:szCs w:val="24"/>
        </w:rPr>
      </w:pPr>
      <w:r w:rsidRPr="00EC50F7">
        <w:rPr>
          <w:b/>
          <w:bCs/>
          <w:sz w:val="24"/>
          <w:szCs w:val="24"/>
        </w:rPr>
        <w:t>Ministru kabineta viedoklis:</w:t>
      </w:r>
    </w:p>
    <w:p w14:paraId="3EF016CE" w14:textId="70A25251" w:rsidR="00C07838" w:rsidRPr="00EC50F7" w:rsidRDefault="00C07838" w:rsidP="00E35937">
      <w:pPr>
        <w:ind w:firstLine="567"/>
        <w:jc w:val="both"/>
        <w:rPr>
          <w:bCs/>
          <w:sz w:val="24"/>
          <w:szCs w:val="24"/>
        </w:rPr>
      </w:pPr>
      <w:r w:rsidRPr="00EC50F7">
        <w:rPr>
          <w:bCs/>
          <w:sz w:val="24"/>
          <w:szCs w:val="24"/>
        </w:rPr>
        <w:t xml:space="preserve">Likumprojekts "Grozījumi Sociālo pakalpojumu un sociālās palīdzības likumā" (22-TA-1080) paredz, ka obligāti nodrošināmie sociālie pakalpojumi tiek nodrošināti tādā apjomā, kas atbilst pašvaldības gadskārtējā budžeta ietvaros pieejamiem līdzekļiem. Ietverta arī norma, kas nepieļauj situāciju, ka pašvaldības nepilda noteikto pienākumu par obligāti nodrošināmiem sociālajiem pakalpojumiem, ja pašvaldības budžeta līdzekļi ir nepietiekami. Tādējādi </w:t>
      </w:r>
      <w:r w:rsidRPr="00EC50F7">
        <w:rPr>
          <w:bCs/>
          <w:sz w:val="24"/>
          <w:szCs w:val="24"/>
        </w:rPr>
        <w:lastRenderedPageBreak/>
        <w:t>pakalpojumu grozā ietvertajiem pakalpojumiem ir jābūt pieejamiem, bet uz tiem var veidoties rindas.</w:t>
      </w:r>
    </w:p>
    <w:p w14:paraId="42039274" w14:textId="77777777" w:rsidR="00C07838" w:rsidRPr="00EC50F7" w:rsidRDefault="00C07838" w:rsidP="00E35937">
      <w:pPr>
        <w:ind w:firstLine="567"/>
        <w:jc w:val="both"/>
        <w:rPr>
          <w:bCs/>
          <w:sz w:val="24"/>
          <w:szCs w:val="24"/>
        </w:rPr>
      </w:pPr>
      <w:r w:rsidRPr="00EC50F7">
        <w:rPr>
          <w:bCs/>
          <w:sz w:val="24"/>
          <w:szCs w:val="24"/>
        </w:rPr>
        <w:t>Valsts budžeta līdzfinansējums pašvaldībām minimālajā sociālo pakalpojumu grozā iekļautajiem sociālajiem pakalpojumiem ieviešams pakāpeniski. Šobrīd pašvaldībām ir iespējas saņemt jau ieviesto valsts budžeta atbalstu sociālo pakalpojumu nodrošināšanā:</w:t>
      </w:r>
    </w:p>
    <w:p w14:paraId="1E164250"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50% apmērā aprūpes mājās pakalpojumam bērniem (līdz 24 gadu vecuma sasniegšanai), kuriem ir Veselības un darbspēju ekspertīzes ārstu valsts komisijas noteikta īpašas kopšanas nepieciešamība;</w:t>
      </w:r>
    </w:p>
    <w:p w14:paraId="56FAA631"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sabiedrībā balstītajiem sociālajiem pakalpojumiem personām ar garīga rakstura traucējumiem, kuras pēc uzturēšanās valsts finansētās sociālās aprūpes un sociālās rehabilitācijas institūcijā, uzsāk patstāvīgu dzīvi ārpus institūcijas ("nauda seko klientam");</w:t>
      </w:r>
    </w:p>
    <w:p w14:paraId="68C6894E"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grupu mājas (dzīvokļa) pakalpojuma uzturēšanas izdevumu segšanai par tām personām ar garīga rakstura traucējumiem, kuras atgriežas no ilgstošas sociālās aprūpes un sociālās rehabilitācijas institūcijām;</w:t>
      </w:r>
    </w:p>
    <w:p w14:paraId="238E5792" w14:textId="77777777" w:rsidR="00C07838" w:rsidRPr="00EC50F7" w:rsidRDefault="00C07838" w:rsidP="00E35937">
      <w:pPr>
        <w:ind w:firstLine="567"/>
        <w:jc w:val="both"/>
        <w:rPr>
          <w:bCs/>
          <w:sz w:val="24"/>
          <w:szCs w:val="24"/>
        </w:rPr>
      </w:pPr>
      <w:r w:rsidRPr="00EC50F7">
        <w:rPr>
          <w:bCs/>
          <w:sz w:val="24"/>
          <w:szCs w:val="24"/>
        </w:rPr>
        <w:t>-</w:t>
      </w:r>
      <w:r w:rsidRPr="00EC50F7">
        <w:rPr>
          <w:bCs/>
          <w:sz w:val="24"/>
          <w:szCs w:val="24"/>
        </w:rPr>
        <w:tab/>
        <w:t>dienas aprūpes centra pakalpojuma personām ar garīga rakstura traucējumiem izveidošanas un uzturēšanas izdevumu segšanai dienas aprūpes centra izveidošanas gadā – 80%, darbības pirmajā gadā – 60%, otrajā gadā – 40%, trešajā gadā - 20 % apmērā;</w:t>
      </w:r>
    </w:p>
    <w:p w14:paraId="63E47B1B" w14:textId="26C23489" w:rsidR="007D1D53" w:rsidRPr="00EC50F7" w:rsidRDefault="00C07838" w:rsidP="00E35937">
      <w:pPr>
        <w:ind w:firstLine="567"/>
        <w:jc w:val="both"/>
        <w:rPr>
          <w:bCs/>
          <w:sz w:val="24"/>
          <w:szCs w:val="24"/>
        </w:rPr>
      </w:pPr>
      <w:r w:rsidRPr="00EC50F7">
        <w:rPr>
          <w:bCs/>
          <w:sz w:val="24"/>
          <w:szCs w:val="24"/>
        </w:rPr>
        <w:t>-</w:t>
      </w:r>
      <w:r w:rsidRPr="00EC50F7">
        <w:rPr>
          <w:bCs/>
          <w:sz w:val="24"/>
          <w:szCs w:val="24"/>
        </w:rPr>
        <w:tab/>
        <w:t>personām ar garīga rakstura traucējumiem paredzēto grupu māju (dzīvokļu) izveidošanas un aprīkošanas finansēšanai to izveidošanas gadā 50% apmērā atbilstoši gadskārtējā valsts budžeta likumā piešķirtajām apropriācijām.</w:t>
      </w:r>
    </w:p>
    <w:p w14:paraId="495E9C97" w14:textId="77777777" w:rsidR="0019527C" w:rsidRPr="00EC50F7" w:rsidRDefault="0019527C" w:rsidP="00E35937">
      <w:pPr>
        <w:ind w:firstLine="567"/>
        <w:jc w:val="both"/>
        <w:rPr>
          <w:bCs/>
          <w:sz w:val="24"/>
          <w:szCs w:val="24"/>
          <w:u w:val="single"/>
        </w:rPr>
      </w:pPr>
    </w:p>
    <w:p w14:paraId="6ADBC712" w14:textId="77777777" w:rsidR="0019527C" w:rsidRPr="00EC50F7" w:rsidRDefault="0019527C" w:rsidP="00E35937">
      <w:pPr>
        <w:ind w:firstLine="567"/>
        <w:jc w:val="both"/>
        <w:rPr>
          <w:b/>
          <w:sz w:val="24"/>
          <w:szCs w:val="24"/>
        </w:rPr>
      </w:pPr>
      <w:r w:rsidRPr="00EC50F7">
        <w:rPr>
          <w:b/>
          <w:sz w:val="24"/>
          <w:szCs w:val="24"/>
        </w:rPr>
        <w:t>Latvijas Pašvaldību savienības viedoklis:</w:t>
      </w:r>
    </w:p>
    <w:p w14:paraId="122B5CE5" w14:textId="77777777" w:rsidR="0019527C" w:rsidRPr="00EC50F7" w:rsidRDefault="0019527C" w:rsidP="00E35937">
      <w:pPr>
        <w:ind w:firstLine="567"/>
        <w:jc w:val="both"/>
        <w:rPr>
          <w:sz w:val="24"/>
          <w:szCs w:val="24"/>
        </w:rPr>
      </w:pPr>
      <w:r w:rsidRPr="00EC50F7">
        <w:rPr>
          <w:sz w:val="24"/>
          <w:szCs w:val="24"/>
        </w:rPr>
        <w:t>No 2025. gada paredzēt finansējumu valsts budžeta mērķdotācijai pašvaldību sociālo dienestu un citu pašvaldību iestāžu izveidoto iestāžu sociālo darbinieku piemaksai.</w:t>
      </w:r>
    </w:p>
    <w:p w14:paraId="07AA4E03" w14:textId="77777777" w:rsidR="003A25E9" w:rsidRPr="00EC50F7" w:rsidRDefault="003A25E9" w:rsidP="00E35937">
      <w:pPr>
        <w:ind w:firstLine="567"/>
        <w:jc w:val="both"/>
        <w:rPr>
          <w:b/>
          <w:bCs/>
          <w:sz w:val="24"/>
          <w:szCs w:val="24"/>
        </w:rPr>
      </w:pPr>
    </w:p>
    <w:p w14:paraId="3E7C5563" w14:textId="66849739" w:rsidR="007D1D53" w:rsidRPr="00EC50F7" w:rsidRDefault="007D1D53" w:rsidP="00E35937">
      <w:pPr>
        <w:ind w:firstLine="567"/>
        <w:jc w:val="both"/>
        <w:rPr>
          <w:b/>
          <w:bCs/>
          <w:sz w:val="24"/>
          <w:szCs w:val="24"/>
        </w:rPr>
      </w:pPr>
      <w:r w:rsidRPr="00EC50F7">
        <w:rPr>
          <w:b/>
          <w:bCs/>
          <w:sz w:val="24"/>
          <w:szCs w:val="24"/>
        </w:rPr>
        <w:t>Ministru kabineta viedoklis:</w:t>
      </w:r>
    </w:p>
    <w:p w14:paraId="4E75B023" w14:textId="77777777" w:rsidR="004A1294" w:rsidRPr="00EC50F7" w:rsidRDefault="004A1294" w:rsidP="00E35937">
      <w:pPr>
        <w:ind w:firstLine="567"/>
        <w:jc w:val="both"/>
        <w:rPr>
          <w:i/>
          <w:sz w:val="24"/>
          <w:szCs w:val="24"/>
        </w:rPr>
      </w:pPr>
      <w:r w:rsidRPr="00EC50F7">
        <w:rPr>
          <w:sz w:val="24"/>
          <w:szCs w:val="24"/>
        </w:rPr>
        <w:t>Saskaņā ar Pašvaldību likuma 4. panta pirmās daļas 9. punktu pašvaldību autonomā funkcija ir nodrošināt iedzīvotājiem atbalstu sociālo problēmu risināšanā, kā arī iespēju saņemt sociālo palīdzību un sociālos pakalpojumus. Vienlaicīgi Sociālo pakalpojumu un sociālās palīdzības likuma 9. panta pirmā daļa nosaka, ka pašvaldībai, kuras teritorijā ir deklarētā personas dzīvesvieta, ir pienākums nodrošināt personai iespēju saņemt tās vajadzībām atbilstošus sociālos pakalpojumus un sociālo palīdzību, savukārt šī likuma 10. panta otrā daļa nosaka, ka, lai nodrošinātu sociālo pakalpojumu un sociālās palīdzības sniegšanu un pakalpojumu administrēšanu, katra pašvaldība izveido pašvaldības iestādi — sociālo dienestu. Ņemot vērā iepriekš minēto, nodrošināt pašvaldību sociālajos dienestos un citās pašvaldību sociālo pakalpojumu sniedzēju iestādēs nodarbinātajiem sociālajiem darbiniekiem atbilstošu un konkurētspējīgu atlīdzību, tai skaitā piemaksas, ir darba devēja jeb pašvaldības pienākums.</w:t>
      </w:r>
    </w:p>
    <w:p w14:paraId="09588234" w14:textId="77777777" w:rsidR="003A25E9" w:rsidRPr="00EC50F7" w:rsidRDefault="003A25E9" w:rsidP="00E35937">
      <w:pPr>
        <w:ind w:firstLine="567"/>
        <w:jc w:val="both"/>
        <w:rPr>
          <w:b/>
          <w:sz w:val="24"/>
          <w:szCs w:val="24"/>
        </w:rPr>
      </w:pPr>
    </w:p>
    <w:p w14:paraId="2C70FB1E" w14:textId="3EF2F2C7" w:rsidR="0019527C" w:rsidRPr="00EC50F7" w:rsidRDefault="0019527C" w:rsidP="00E35937">
      <w:pPr>
        <w:ind w:firstLine="567"/>
        <w:jc w:val="both"/>
        <w:rPr>
          <w:b/>
          <w:sz w:val="24"/>
          <w:szCs w:val="24"/>
        </w:rPr>
      </w:pPr>
      <w:r w:rsidRPr="00EC50F7">
        <w:rPr>
          <w:b/>
          <w:sz w:val="24"/>
          <w:szCs w:val="24"/>
        </w:rPr>
        <w:t>Latvijas Pašvaldību savienības viedoklis:</w:t>
      </w:r>
    </w:p>
    <w:p w14:paraId="0CA3D4CA" w14:textId="391380B5" w:rsidR="0019527C" w:rsidRPr="00EC50F7" w:rsidRDefault="0019527C" w:rsidP="00E35937">
      <w:pPr>
        <w:ind w:firstLine="567"/>
        <w:jc w:val="both"/>
        <w:rPr>
          <w:sz w:val="24"/>
          <w:szCs w:val="24"/>
        </w:rPr>
      </w:pPr>
      <w:r w:rsidRPr="00EC50F7">
        <w:rPr>
          <w:sz w:val="24"/>
          <w:szCs w:val="24"/>
        </w:rPr>
        <w:t>No 2025.</w:t>
      </w:r>
      <w:r w:rsidR="003663C4" w:rsidRPr="00EC50F7">
        <w:rPr>
          <w:sz w:val="24"/>
          <w:szCs w:val="24"/>
        </w:rPr>
        <w:t xml:space="preserve"> </w:t>
      </w:r>
      <w:r w:rsidRPr="00EC50F7">
        <w:rPr>
          <w:sz w:val="24"/>
          <w:szCs w:val="24"/>
        </w:rPr>
        <w:t xml:space="preserve">gada paredzēt valsts budžeta līdzfinansējumu </w:t>
      </w:r>
      <w:proofErr w:type="spellStart"/>
      <w:r w:rsidRPr="00EC50F7">
        <w:rPr>
          <w:sz w:val="24"/>
          <w:szCs w:val="24"/>
        </w:rPr>
        <w:t>ārpusģimenes</w:t>
      </w:r>
      <w:proofErr w:type="spellEnd"/>
      <w:r w:rsidRPr="00EC50F7">
        <w:rPr>
          <w:sz w:val="24"/>
          <w:szCs w:val="24"/>
        </w:rPr>
        <w:t xml:space="preserve"> aprūpes atbalsta sistēmas pilnveidei, tostarp atlīdzības celšanai aizbildņiem un audžuģimenēm, t.sk. specializētajām audžuģimenēm, atbalsta sistēmas izveidei audžuģimenei jauniešiem ar uzvedības un atkarību problēmām, uzturnaudas palielinājumam </w:t>
      </w:r>
      <w:proofErr w:type="spellStart"/>
      <w:r w:rsidRPr="00EC50F7">
        <w:rPr>
          <w:sz w:val="24"/>
          <w:szCs w:val="24"/>
        </w:rPr>
        <w:t>ārpusģimenes</w:t>
      </w:r>
      <w:proofErr w:type="spellEnd"/>
      <w:r w:rsidRPr="00EC50F7">
        <w:rPr>
          <w:sz w:val="24"/>
          <w:szCs w:val="24"/>
        </w:rPr>
        <w:t xml:space="preserve"> aprūpē esošiem bērniem un valsts budžeta dotācijām pašvaldībām šo izmaksu segšanai.</w:t>
      </w:r>
    </w:p>
    <w:p w14:paraId="5938FED4" w14:textId="77777777" w:rsidR="00A001E6" w:rsidRPr="00EC50F7" w:rsidRDefault="00A001E6" w:rsidP="00E35937">
      <w:pPr>
        <w:ind w:firstLine="567"/>
        <w:jc w:val="both"/>
        <w:rPr>
          <w:b/>
          <w:bCs/>
          <w:sz w:val="24"/>
          <w:szCs w:val="24"/>
        </w:rPr>
      </w:pPr>
    </w:p>
    <w:p w14:paraId="7FB84025" w14:textId="3A8D63D2" w:rsidR="007D1D53" w:rsidRPr="00EC50F7" w:rsidRDefault="007D1D53" w:rsidP="00E35937">
      <w:pPr>
        <w:ind w:firstLine="567"/>
        <w:jc w:val="both"/>
        <w:rPr>
          <w:b/>
          <w:bCs/>
          <w:sz w:val="24"/>
          <w:szCs w:val="24"/>
        </w:rPr>
      </w:pPr>
      <w:r w:rsidRPr="00EC50F7">
        <w:rPr>
          <w:b/>
          <w:bCs/>
          <w:sz w:val="24"/>
          <w:szCs w:val="24"/>
        </w:rPr>
        <w:t>Ministru kabineta viedoklis:</w:t>
      </w:r>
    </w:p>
    <w:p w14:paraId="4711C455" w14:textId="77777777" w:rsidR="009B6B8C" w:rsidRPr="00EC50F7" w:rsidRDefault="009B6B8C" w:rsidP="00E35937">
      <w:pPr>
        <w:ind w:firstLine="567"/>
        <w:jc w:val="both"/>
        <w:rPr>
          <w:sz w:val="24"/>
          <w:szCs w:val="24"/>
        </w:rPr>
      </w:pPr>
      <w:r w:rsidRPr="00EC50F7">
        <w:rPr>
          <w:sz w:val="24"/>
          <w:szCs w:val="24"/>
        </w:rPr>
        <w:t xml:space="preserve">Lai pilnveidotu </w:t>
      </w:r>
      <w:proofErr w:type="spellStart"/>
      <w:r w:rsidRPr="00EC50F7">
        <w:rPr>
          <w:sz w:val="24"/>
          <w:szCs w:val="24"/>
        </w:rPr>
        <w:t>ārpusģimenes</w:t>
      </w:r>
      <w:proofErr w:type="spellEnd"/>
      <w:r w:rsidRPr="00EC50F7">
        <w:rPr>
          <w:sz w:val="24"/>
          <w:szCs w:val="24"/>
        </w:rPr>
        <w:t xml:space="preserve"> aprūpes atbalsta sistēmu, tostarp sniedzot atbalstu ne vien </w:t>
      </w:r>
      <w:proofErr w:type="spellStart"/>
      <w:r w:rsidRPr="00EC50F7">
        <w:rPr>
          <w:sz w:val="24"/>
          <w:szCs w:val="24"/>
        </w:rPr>
        <w:t>ārpusģimenes</w:t>
      </w:r>
      <w:proofErr w:type="spellEnd"/>
      <w:r w:rsidRPr="00EC50F7">
        <w:rPr>
          <w:sz w:val="24"/>
          <w:szCs w:val="24"/>
        </w:rPr>
        <w:t xml:space="preserve"> aprūpē esošajiem bērniem, bet arī viņu aprūpētājiem un iesaistītajiem speciālistiem (aprūpes iestāžu vadītājiem, bērna atbalsta speciālistiem, </w:t>
      </w:r>
      <w:proofErr w:type="spellStart"/>
      <w:r w:rsidRPr="00EC50F7">
        <w:rPr>
          <w:sz w:val="24"/>
          <w:szCs w:val="24"/>
        </w:rPr>
        <w:t>mentoriem</w:t>
      </w:r>
      <w:proofErr w:type="spellEnd"/>
      <w:r w:rsidRPr="00EC50F7">
        <w:rPr>
          <w:sz w:val="24"/>
          <w:szCs w:val="24"/>
        </w:rPr>
        <w:t>, u.c.), Labklājības ministrija 2025. gadā plāno šādas investīcijas:</w:t>
      </w:r>
    </w:p>
    <w:p w14:paraId="0FA5BA3D" w14:textId="7F37E47E"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ESF Plus projektā "Atbalsta pasākumi bērniem ar uzvedības vai atkarību problēmām un to ģimenēm" plānots – atbalsta sistēmas un pakalpojumu pieejamības </w:t>
      </w:r>
      <w:proofErr w:type="spellStart"/>
      <w:r w:rsidRPr="00EC50F7">
        <w:rPr>
          <w:sz w:val="24"/>
          <w:szCs w:val="24"/>
        </w:rPr>
        <w:t>izvērtējums</w:t>
      </w:r>
      <w:proofErr w:type="spellEnd"/>
      <w:r w:rsidRPr="00EC50F7">
        <w:rPr>
          <w:sz w:val="24"/>
          <w:szCs w:val="24"/>
        </w:rPr>
        <w:t xml:space="preserve"> bērniem </w:t>
      </w:r>
      <w:r w:rsidRPr="00EC50F7">
        <w:rPr>
          <w:sz w:val="24"/>
          <w:szCs w:val="24"/>
        </w:rPr>
        <w:lastRenderedPageBreak/>
        <w:t xml:space="preserve">(tostarp </w:t>
      </w:r>
      <w:proofErr w:type="spellStart"/>
      <w:r w:rsidRPr="00EC50F7">
        <w:rPr>
          <w:sz w:val="24"/>
          <w:szCs w:val="24"/>
        </w:rPr>
        <w:t>ārpusģimenes</w:t>
      </w:r>
      <w:proofErr w:type="spellEnd"/>
      <w:r w:rsidRPr="00EC50F7">
        <w:rPr>
          <w:sz w:val="24"/>
          <w:szCs w:val="24"/>
        </w:rPr>
        <w:t xml:space="preserve"> aprūpē esošajiem) ar uzvedības vai atkarību problēmām vai to attīstības risku un vi</w:t>
      </w:r>
      <w:r w:rsidR="001177BC" w:rsidRPr="00EC50F7">
        <w:rPr>
          <w:sz w:val="24"/>
          <w:szCs w:val="24"/>
        </w:rPr>
        <w:t>ņu</w:t>
      </w:r>
      <w:r w:rsidRPr="00EC50F7">
        <w:rPr>
          <w:sz w:val="24"/>
          <w:szCs w:val="24"/>
        </w:rPr>
        <w:t xml:space="preserve"> ģimenēm (tostarp audžuģimenēm un aizbildņiem), vadlīniju izstrāde bērna atbalsta speciālista darbam ar bērniem ar uzvedības vai atkarību problēmām un profesionālās kompetences pilnveides programmas un mācību metodikas izstrāde un aprobācija. Plānots arī Bērna atbalsta speciālista </w:t>
      </w:r>
      <w:proofErr w:type="spellStart"/>
      <w:r w:rsidRPr="00EC50F7">
        <w:rPr>
          <w:sz w:val="24"/>
          <w:szCs w:val="24"/>
        </w:rPr>
        <w:t>izmēģinājumprojekts</w:t>
      </w:r>
      <w:proofErr w:type="spellEnd"/>
      <w:r w:rsidRPr="00EC50F7">
        <w:rPr>
          <w:sz w:val="24"/>
          <w:szCs w:val="24"/>
        </w:rPr>
        <w:t xml:space="preserve">, atbalsta grupas bērniem, t.sk. </w:t>
      </w:r>
      <w:proofErr w:type="spellStart"/>
      <w:r w:rsidRPr="00EC50F7">
        <w:rPr>
          <w:sz w:val="24"/>
          <w:szCs w:val="24"/>
        </w:rPr>
        <w:t>ārpusģimenes</w:t>
      </w:r>
      <w:proofErr w:type="spellEnd"/>
      <w:r w:rsidRPr="00EC50F7">
        <w:rPr>
          <w:sz w:val="24"/>
          <w:szCs w:val="24"/>
        </w:rPr>
        <w:t xml:space="preserve"> aprūpē esošiem bērniem, ar uzvedības vai atkarību problēmām vai to attīstības risku un viņu ģimenēm, tai skaitā audžuģimenēm un aizbildņiem, nodrošinot izglītojošu un informatīvu atbalstu. Tāpat šajā projektā paredzēta </w:t>
      </w:r>
      <w:proofErr w:type="spellStart"/>
      <w:r w:rsidRPr="00EC50F7">
        <w:rPr>
          <w:sz w:val="24"/>
          <w:szCs w:val="24"/>
        </w:rPr>
        <w:t>mentora</w:t>
      </w:r>
      <w:proofErr w:type="spellEnd"/>
      <w:r w:rsidRPr="00EC50F7">
        <w:rPr>
          <w:sz w:val="24"/>
          <w:szCs w:val="24"/>
        </w:rPr>
        <w:t xml:space="preserve"> pakalpojuma apraksta un kompetences pilnveides programmas izstrāde, mācību organizēšana un </w:t>
      </w:r>
      <w:proofErr w:type="spellStart"/>
      <w:r w:rsidRPr="00EC50F7">
        <w:rPr>
          <w:sz w:val="24"/>
          <w:szCs w:val="24"/>
        </w:rPr>
        <w:t>mentora</w:t>
      </w:r>
      <w:proofErr w:type="spellEnd"/>
      <w:r w:rsidRPr="00EC50F7">
        <w:rPr>
          <w:sz w:val="24"/>
          <w:szCs w:val="24"/>
        </w:rPr>
        <w:t xml:space="preserve"> pakalpojuma nodrošināšana bērniem ar uzvedības vai atkarību problēmām vai to attīstības risku, izglītojoši un informatīvi pasākumi, pašvaldībās pieejamā atbalsta pakalpojumu groza un ceļa karšu izstrāde;</w:t>
      </w:r>
    </w:p>
    <w:p w14:paraId="63E662F7"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ESF Plus projekts "Speciālistu, kuru profesionālā darbība saistīta ar bērnu tiesību aizsardzības nodrošināšanu, profesionālās kvalifikācijas pilnveide un bērnu likumisko pārstāvju atbildības stiprināšana bērnu tiesību aizsardzības sistēmas reorganizācijas ietvaros" ietvaros Valsts administrācijas skola organizēs mācības aprūpes iestāžu vadītājiem un </w:t>
      </w:r>
      <w:proofErr w:type="spellStart"/>
      <w:r w:rsidRPr="00EC50F7">
        <w:rPr>
          <w:sz w:val="24"/>
          <w:szCs w:val="24"/>
        </w:rPr>
        <w:t>ārpusģimenes</w:t>
      </w:r>
      <w:proofErr w:type="spellEnd"/>
      <w:r w:rsidRPr="00EC50F7">
        <w:rPr>
          <w:sz w:val="24"/>
          <w:szCs w:val="24"/>
        </w:rPr>
        <w:t xml:space="preserve"> aprūpes atbalsta centru vadītājiem;</w:t>
      </w:r>
    </w:p>
    <w:p w14:paraId="186F8F66"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ESF plus projektā "Atbalsta instrumenti vardarbības ģimenē mazināšanai" ietvaros 2025. gadā plānota izglītojošu programmu bērnu likumiskajiem pārstāvjiem, audžuģimenēm un speciālistiem (</w:t>
      </w:r>
      <w:proofErr w:type="spellStart"/>
      <w:r w:rsidRPr="00EC50F7">
        <w:rPr>
          <w:sz w:val="24"/>
          <w:szCs w:val="24"/>
        </w:rPr>
        <w:t>ārpusģimenes</w:t>
      </w:r>
      <w:proofErr w:type="spellEnd"/>
      <w:r w:rsidRPr="00EC50F7">
        <w:rPr>
          <w:sz w:val="24"/>
          <w:szCs w:val="24"/>
        </w:rPr>
        <w:t xml:space="preserve"> aprūpes iestāžu darbiniekiem) izstrāde;</w:t>
      </w:r>
    </w:p>
    <w:p w14:paraId="0ADD0497"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ABA terapijas </w:t>
      </w:r>
      <w:proofErr w:type="spellStart"/>
      <w:r w:rsidRPr="00EC50F7">
        <w:rPr>
          <w:sz w:val="24"/>
          <w:szCs w:val="24"/>
        </w:rPr>
        <w:t>pamatkurss</w:t>
      </w:r>
      <w:proofErr w:type="spellEnd"/>
      <w:r w:rsidRPr="00EC50F7">
        <w:rPr>
          <w:sz w:val="24"/>
          <w:szCs w:val="24"/>
        </w:rPr>
        <w:t xml:space="preserve"> bērnu aprūpes iestāžu darbiniekiem;</w:t>
      </w:r>
    </w:p>
    <w:p w14:paraId="5C05C1BC" w14:textId="1E45B1A2"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uzvedības </w:t>
      </w:r>
      <w:proofErr w:type="spellStart"/>
      <w:r w:rsidRPr="00EC50F7">
        <w:rPr>
          <w:sz w:val="24"/>
          <w:szCs w:val="24"/>
        </w:rPr>
        <w:t>de</w:t>
      </w:r>
      <w:r w:rsidR="001177BC" w:rsidRPr="00EC50F7">
        <w:rPr>
          <w:sz w:val="24"/>
          <w:szCs w:val="24"/>
        </w:rPr>
        <w:t>e</w:t>
      </w:r>
      <w:r w:rsidRPr="00EC50F7">
        <w:rPr>
          <w:sz w:val="24"/>
          <w:szCs w:val="24"/>
        </w:rPr>
        <w:t>saklācijas</w:t>
      </w:r>
      <w:proofErr w:type="spellEnd"/>
      <w:r w:rsidRPr="00EC50F7">
        <w:rPr>
          <w:sz w:val="24"/>
          <w:szCs w:val="24"/>
        </w:rPr>
        <w:t xml:space="preserve"> algoritma izstrāde bērnu aprūpes iestāžu darbiniekiem;</w:t>
      </w:r>
    </w:p>
    <w:p w14:paraId="63E641EE"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 xml:space="preserve">metodikas izstrāde un mācības par kaitējošu seksuālu uzvedību, t.sk. </w:t>
      </w:r>
      <w:proofErr w:type="spellStart"/>
      <w:r w:rsidRPr="00EC50F7">
        <w:rPr>
          <w:sz w:val="24"/>
          <w:szCs w:val="24"/>
        </w:rPr>
        <w:t>ārpusģimenes</w:t>
      </w:r>
      <w:proofErr w:type="spellEnd"/>
      <w:r w:rsidRPr="00EC50F7">
        <w:rPr>
          <w:sz w:val="24"/>
          <w:szCs w:val="24"/>
        </w:rPr>
        <w:t xml:space="preserve"> aprūpē strādājošajiem speciālistiem;</w:t>
      </w:r>
    </w:p>
    <w:p w14:paraId="137C323D" w14:textId="77777777" w:rsidR="009B6B8C" w:rsidRPr="00EC50F7" w:rsidRDefault="009B6B8C" w:rsidP="00E35937">
      <w:pPr>
        <w:ind w:firstLine="567"/>
        <w:jc w:val="both"/>
        <w:rPr>
          <w:sz w:val="24"/>
          <w:szCs w:val="24"/>
        </w:rPr>
      </w:pPr>
      <w:r w:rsidRPr="00EC50F7">
        <w:rPr>
          <w:sz w:val="24"/>
          <w:szCs w:val="24"/>
        </w:rPr>
        <w:t>-</w:t>
      </w:r>
      <w:r w:rsidRPr="00EC50F7">
        <w:rPr>
          <w:sz w:val="24"/>
          <w:szCs w:val="24"/>
        </w:rPr>
        <w:tab/>
        <w:t>Bērnu aizsardzības centra vadlīnijas aprūpes iestādēm pakalpojumu sniegšanai, kā arī mācības un labās prakses pieredzes apmaiņas organizēšana.</w:t>
      </w:r>
    </w:p>
    <w:p w14:paraId="6431F5A2" w14:textId="1E9FFB6B" w:rsidR="007D1D53" w:rsidRPr="00EC50F7" w:rsidRDefault="009B6B8C" w:rsidP="00E35937">
      <w:pPr>
        <w:ind w:firstLine="567"/>
        <w:jc w:val="both"/>
        <w:rPr>
          <w:sz w:val="24"/>
          <w:szCs w:val="24"/>
        </w:rPr>
      </w:pPr>
      <w:r w:rsidRPr="00EC50F7">
        <w:rPr>
          <w:sz w:val="24"/>
          <w:szCs w:val="24"/>
        </w:rPr>
        <w:t xml:space="preserve">Pašvaldībām jāpārskata </w:t>
      </w:r>
      <w:proofErr w:type="spellStart"/>
      <w:r w:rsidRPr="00EC50F7">
        <w:rPr>
          <w:sz w:val="24"/>
          <w:szCs w:val="24"/>
        </w:rPr>
        <w:t>ārpusģimenes</w:t>
      </w:r>
      <w:proofErr w:type="spellEnd"/>
      <w:r w:rsidRPr="00EC50F7">
        <w:rPr>
          <w:sz w:val="24"/>
          <w:szCs w:val="24"/>
        </w:rPr>
        <w:t xml:space="preserve"> aprūpē piemērotos standartus un iesaistīto darbinieku kvalifikācija, vienlaikus nodrošinot regulāras darbinieku mācības un pakalpojumu sniegšanas kvalitāti. Tāpat pašvaldībām pārskatāms finansiālais atbalsts </w:t>
      </w:r>
      <w:proofErr w:type="spellStart"/>
      <w:r w:rsidRPr="00EC50F7">
        <w:rPr>
          <w:sz w:val="24"/>
          <w:szCs w:val="24"/>
        </w:rPr>
        <w:t>ārpusģimenes</w:t>
      </w:r>
      <w:proofErr w:type="spellEnd"/>
      <w:r w:rsidRPr="00EC50F7">
        <w:rPr>
          <w:sz w:val="24"/>
          <w:szCs w:val="24"/>
        </w:rPr>
        <w:t xml:space="preserve"> aprūpē iesaistītajiem.</w:t>
      </w:r>
    </w:p>
    <w:bookmarkEnd w:id="22"/>
    <w:p w14:paraId="425337C5" w14:textId="77777777" w:rsidR="004E2847" w:rsidRDefault="004E2847" w:rsidP="00E35937">
      <w:pPr>
        <w:ind w:firstLine="567"/>
        <w:rPr>
          <w:b/>
          <w:sz w:val="24"/>
          <w:szCs w:val="24"/>
          <w:u w:val="single"/>
        </w:rPr>
      </w:pPr>
    </w:p>
    <w:p w14:paraId="651B089E" w14:textId="494B8B65" w:rsidR="00E570C4" w:rsidRPr="00EC50F7" w:rsidRDefault="00E570C4" w:rsidP="00E35937">
      <w:pPr>
        <w:ind w:firstLine="567"/>
        <w:rPr>
          <w:b/>
          <w:sz w:val="24"/>
          <w:szCs w:val="24"/>
          <w:u w:val="single"/>
        </w:rPr>
      </w:pPr>
      <w:r w:rsidRPr="00EC50F7">
        <w:rPr>
          <w:b/>
          <w:sz w:val="24"/>
          <w:szCs w:val="24"/>
          <w:u w:val="single"/>
        </w:rPr>
        <w:t>Satiksmes ministrijas jomā:</w:t>
      </w:r>
    </w:p>
    <w:p w14:paraId="59268078" w14:textId="77777777" w:rsidR="00E570C4" w:rsidRPr="00EC50F7" w:rsidRDefault="00E570C4" w:rsidP="00E35937">
      <w:pPr>
        <w:ind w:firstLine="567"/>
        <w:rPr>
          <w:b/>
          <w:sz w:val="24"/>
          <w:szCs w:val="24"/>
          <w:u w:val="single"/>
        </w:rPr>
      </w:pPr>
    </w:p>
    <w:p w14:paraId="351B6B17" w14:textId="77777777" w:rsidR="00E570C4" w:rsidRPr="00EC50F7" w:rsidRDefault="00E570C4" w:rsidP="00E35937">
      <w:pPr>
        <w:ind w:firstLine="567"/>
        <w:jc w:val="both"/>
        <w:rPr>
          <w:b/>
          <w:sz w:val="24"/>
          <w:szCs w:val="24"/>
        </w:rPr>
      </w:pPr>
      <w:bookmarkStart w:id="23" w:name="_Hlk177737275"/>
      <w:r w:rsidRPr="00EC50F7">
        <w:rPr>
          <w:b/>
          <w:sz w:val="24"/>
          <w:szCs w:val="24"/>
        </w:rPr>
        <w:t>Latvijas Pašvaldību savienības viedoklis:</w:t>
      </w:r>
    </w:p>
    <w:p w14:paraId="6923B6B5" w14:textId="77777777" w:rsidR="00DB12EC" w:rsidRPr="00EC50F7" w:rsidRDefault="00DB12EC" w:rsidP="00E35937">
      <w:pPr>
        <w:ind w:firstLine="567"/>
        <w:jc w:val="both"/>
        <w:rPr>
          <w:sz w:val="24"/>
          <w:szCs w:val="24"/>
        </w:rPr>
      </w:pPr>
      <w:bookmarkStart w:id="24" w:name="_Hlk176873625"/>
      <w:r w:rsidRPr="00EC50F7">
        <w:rPr>
          <w:sz w:val="24"/>
          <w:szCs w:val="24"/>
        </w:rPr>
        <w:t>Vidējā termiņā palielināt Valsts autoceļu fonda kopējo ikgadējo finansējumu, vienlaikus nodrošinot atbilstošu mērķdotācijas pašvaldību autoceļiem un ielām palielinājumu.</w:t>
      </w:r>
    </w:p>
    <w:p w14:paraId="21DE6617" w14:textId="77777777" w:rsidR="00D81683" w:rsidRPr="00EC50F7" w:rsidRDefault="00D81683" w:rsidP="00E35937">
      <w:pPr>
        <w:ind w:firstLine="567"/>
        <w:jc w:val="both"/>
        <w:rPr>
          <w:sz w:val="24"/>
          <w:szCs w:val="24"/>
        </w:rPr>
      </w:pPr>
    </w:p>
    <w:p w14:paraId="60023171" w14:textId="77777777" w:rsidR="00D81683" w:rsidRPr="00EC50F7" w:rsidRDefault="00D81683" w:rsidP="00E35937">
      <w:pPr>
        <w:ind w:firstLine="567"/>
        <w:jc w:val="both"/>
        <w:rPr>
          <w:b/>
          <w:bCs/>
          <w:sz w:val="24"/>
          <w:szCs w:val="24"/>
        </w:rPr>
      </w:pPr>
      <w:r w:rsidRPr="00EC50F7">
        <w:rPr>
          <w:b/>
          <w:bCs/>
          <w:sz w:val="24"/>
          <w:szCs w:val="24"/>
        </w:rPr>
        <w:t>Ministru kabineta viedoklis:</w:t>
      </w:r>
    </w:p>
    <w:p w14:paraId="5F48D1F8" w14:textId="1C0727E0" w:rsidR="005E1132" w:rsidRPr="00EC50F7" w:rsidRDefault="002E683E" w:rsidP="00E35937">
      <w:pPr>
        <w:ind w:firstLine="567"/>
        <w:jc w:val="both"/>
        <w:rPr>
          <w:sz w:val="24"/>
          <w:szCs w:val="24"/>
        </w:rPr>
      </w:pPr>
      <w:r w:rsidRPr="00EC50F7">
        <w:rPr>
          <w:sz w:val="24"/>
          <w:szCs w:val="24"/>
        </w:rPr>
        <w:t xml:space="preserve">Valsts budžeta apakšprogrammā 23.06.00 “Valsts autoceļu uzturēšana un atjaunošana” valsts reģionālajiem autoceļiem tiek plānots vidēji 42 milj. </w:t>
      </w:r>
      <w:proofErr w:type="spellStart"/>
      <w:r w:rsidRPr="00EC50F7">
        <w:rPr>
          <w:i/>
          <w:iCs/>
          <w:sz w:val="24"/>
          <w:szCs w:val="24"/>
        </w:rPr>
        <w:t>euro</w:t>
      </w:r>
      <w:proofErr w:type="spellEnd"/>
      <w:r w:rsidRPr="00EC50F7">
        <w:rPr>
          <w:sz w:val="24"/>
          <w:szCs w:val="24"/>
        </w:rPr>
        <w:t xml:space="preserve"> gadā, bet valsts vietējiem autoceļiem vidēji 10 milj. </w:t>
      </w:r>
      <w:proofErr w:type="spellStart"/>
      <w:r w:rsidRPr="00EC50F7">
        <w:rPr>
          <w:i/>
          <w:iCs/>
          <w:sz w:val="24"/>
          <w:szCs w:val="24"/>
        </w:rPr>
        <w:t>euro</w:t>
      </w:r>
      <w:proofErr w:type="spellEnd"/>
      <w:r w:rsidRPr="00EC50F7">
        <w:rPr>
          <w:sz w:val="24"/>
          <w:szCs w:val="24"/>
        </w:rPr>
        <w:t xml:space="preserve"> gadā vidējā termiņa budžeta bāzē 202</w:t>
      </w:r>
      <w:r w:rsidR="001731FB" w:rsidRPr="00EC50F7">
        <w:rPr>
          <w:sz w:val="24"/>
          <w:szCs w:val="24"/>
        </w:rPr>
        <w:t>5</w:t>
      </w:r>
      <w:r w:rsidRPr="00EC50F7">
        <w:rPr>
          <w:sz w:val="24"/>
          <w:szCs w:val="24"/>
        </w:rPr>
        <w:t>. – 202</w:t>
      </w:r>
      <w:r w:rsidR="001731FB" w:rsidRPr="00EC50F7">
        <w:rPr>
          <w:sz w:val="24"/>
          <w:szCs w:val="24"/>
        </w:rPr>
        <w:t>7</w:t>
      </w:r>
      <w:r w:rsidRPr="00EC50F7">
        <w:rPr>
          <w:sz w:val="24"/>
          <w:szCs w:val="24"/>
        </w:rPr>
        <w:t xml:space="preserve">. gadam. </w:t>
      </w:r>
    </w:p>
    <w:p w14:paraId="595D8CB8" w14:textId="4D110104" w:rsidR="00E367E6" w:rsidRPr="00EC50F7" w:rsidRDefault="00E367E6" w:rsidP="00E35937">
      <w:pPr>
        <w:ind w:firstLine="567"/>
        <w:jc w:val="both"/>
        <w:rPr>
          <w:sz w:val="24"/>
          <w:szCs w:val="24"/>
        </w:rPr>
      </w:pPr>
      <w:r w:rsidRPr="00EC50F7">
        <w:rPr>
          <w:sz w:val="24"/>
          <w:szCs w:val="24"/>
        </w:rPr>
        <w:t>Ministru kabineta 2024. gada 19. septembra sēdē (prot. Nr.38 2.§) tika atbalstīts S</w:t>
      </w:r>
      <w:r w:rsidR="005E1132" w:rsidRPr="00EC50F7">
        <w:rPr>
          <w:sz w:val="24"/>
          <w:szCs w:val="24"/>
        </w:rPr>
        <w:t>atiksmes ministrijas</w:t>
      </w:r>
      <w:r w:rsidRPr="00EC50F7">
        <w:rPr>
          <w:sz w:val="24"/>
          <w:szCs w:val="24"/>
        </w:rPr>
        <w:t xml:space="preserve"> fiskāli neitrāls priekšlikums, kura ietvaros paredzēts palielināt finansējumu valsts autoceļu uzturēšanai un atjaunošanai 2025. gadā 23,76 milj. </w:t>
      </w:r>
      <w:proofErr w:type="spellStart"/>
      <w:r w:rsidRPr="00EC50F7">
        <w:rPr>
          <w:i/>
          <w:iCs/>
          <w:sz w:val="24"/>
          <w:szCs w:val="24"/>
        </w:rPr>
        <w:t>euro</w:t>
      </w:r>
      <w:proofErr w:type="spellEnd"/>
      <w:r w:rsidRPr="00EC50F7">
        <w:rPr>
          <w:sz w:val="24"/>
          <w:szCs w:val="24"/>
        </w:rPr>
        <w:t xml:space="preserve"> un 2026. gadā un turpmāk ik gadu 23,10 milj. </w:t>
      </w:r>
      <w:proofErr w:type="spellStart"/>
      <w:r w:rsidRPr="00EC50F7">
        <w:rPr>
          <w:i/>
          <w:iCs/>
          <w:sz w:val="24"/>
          <w:szCs w:val="24"/>
        </w:rPr>
        <w:t>euro</w:t>
      </w:r>
      <w:proofErr w:type="spellEnd"/>
      <w:r w:rsidR="009C600D" w:rsidRPr="00EC50F7">
        <w:rPr>
          <w:i/>
          <w:iCs/>
          <w:sz w:val="24"/>
          <w:szCs w:val="24"/>
        </w:rPr>
        <w:t>.</w:t>
      </w:r>
    </w:p>
    <w:bookmarkEnd w:id="23"/>
    <w:p w14:paraId="0F9CA356" w14:textId="77777777" w:rsidR="009B3219" w:rsidRPr="00EC50F7" w:rsidRDefault="009B3219" w:rsidP="00E35937">
      <w:pPr>
        <w:ind w:firstLine="567"/>
        <w:jc w:val="both"/>
        <w:rPr>
          <w:b/>
          <w:bCs/>
          <w:sz w:val="24"/>
          <w:szCs w:val="24"/>
        </w:rPr>
      </w:pPr>
    </w:p>
    <w:p w14:paraId="750F5652" w14:textId="4940F5C6" w:rsidR="00D81683" w:rsidRPr="00337C2B" w:rsidRDefault="008706DE" w:rsidP="00E35937">
      <w:pPr>
        <w:ind w:firstLine="567"/>
        <w:jc w:val="both"/>
        <w:rPr>
          <w:b/>
          <w:bCs/>
          <w:sz w:val="24"/>
          <w:szCs w:val="24"/>
        </w:rPr>
      </w:pPr>
      <w:r w:rsidRPr="00337C2B">
        <w:rPr>
          <w:b/>
          <w:bCs/>
          <w:sz w:val="24"/>
          <w:szCs w:val="24"/>
        </w:rPr>
        <w:t>Puses vienojas:</w:t>
      </w:r>
    </w:p>
    <w:p w14:paraId="7F1E4831" w14:textId="1A4345BE" w:rsidR="00876B88" w:rsidRPr="00EC50F7" w:rsidRDefault="00876B88" w:rsidP="00E35937">
      <w:pPr>
        <w:ind w:firstLine="567"/>
        <w:jc w:val="both"/>
        <w:rPr>
          <w:sz w:val="24"/>
          <w:szCs w:val="24"/>
        </w:rPr>
      </w:pPr>
      <w:r w:rsidRPr="00337C2B">
        <w:rPr>
          <w:sz w:val="24"/>
          <w:szCs w:val="24"/>
        </w:rPr>
        <w:t xml:space="preserve">Valsts budžeta finansējums mērķdotācijai pašvaldību autoceļiem (ielām) 2025. gadā paredzēts 60 043 075 </w:t>
      </w:r>
      <w:proofErr w:type="spellStart"/>
      <w:r w:rsidRPr="00337C2B">
        <w:rPr>
          <w:i/>
          <w:iCs/>
          <w:sz w:val="24"/>
          <w:szCs w:val="24"/>
        </w:rPr>
        <w:t>euro</w:t>
      </w:r>
      <w:proofErr w:type="spellEnd"/>
      <w:r w:rsidRPr="00337C2B">
        <w:rPr>
          <w:sz w:val="24"/>
          <w:szCs w:val="24"/>
        </w:rPr>
        <w:t xml:space="preserve">, 2026. gadā – 60 043 075 </w:t>
      </w:r>
      <w:proofErr w:type="spellStart"/>
      <w:r w:rsidRPr="00337C2B">
        <w:rPr>
          <w:i/>
          <w:iCs/>
          <w:sz w:val="24"/>
          <w:szCs w:val="24"/>
        </w:rPr>
        <w:t>euro</w:t>
      </w:r>
      <w:proofErr w:type="spellEnd"/>
      <w:r w:rsidRPr="00337C2B">
        <w:rPr>
          <w:sz w:val="24"/>
          <w:szCs w:val="24"/>
        </w:rPr>
        <w:t xml:space="preserve"> un 2027. gadā – 60 043 075  </w:t>
      </w:r>
      <w:proofErr w:type="spellStart"/>
      <w:r w:rsidRPr="00337C2B">
        <w:rPr>
          <w:i/>
          <w:iCs/>
          <w:sz w:val="24"/>
          <w:szCs w:val="24"/>
        </w:rPr>
        <w:t>euro</w:t>
      </w:r>
      <w:proofErr w:type="spellEnd"/>
      <w:r w:rsidRPr="00337C2B">
        <w:rPr>
          <w:i/>
          <w:iCs/>
          <w:sz w:val="24"/>
          <w:szCs w:val="24"/>
        </w:rPr>
        <w:t xml:space="preserve"> </w:t>
      </w:r>
      <w:r w:rsidRPr="00337C2B">
        <w:rPr>
          <w:sz w:val="24"/>
          <w:szCs w:val="24"/>
        </w:rPr>
        <w:t>apmērā.</w:t>
      </w:r>
    </w:p>
    <w:p w14:paraId="530C2CCD" w14:textId="77777777" w:rsidR="00231AB6" w:rsidRPr="00EC50F7" w:rsidRDefault="00231AB6" w:rsidP="00E35937">
      <w:pPr>
        <w:ind w:firstLine="567"/>
        <w:jc w:val="both"/>
        <w:rPr>
          <w:sz w:val="24"/>
          <w:szCs w:val="24"/>
        </w:rPr>
      </w:pPr>
    </w:p>
    <w:p w14:paraId="1614FD0C" w14:textId="77777777" w:rsidR="00337C2B" w:rsidRDefault="00337C2B" w:rsidP="00E35937">
      <w:pPr>
        <w:ind w:firstLine="567"/>
        <w:jc w:val="both"/>
        <w:rPr>
          <w:b/>
          <w:bCs/>
          <w:sz w:val="24"/>
          <w:szCs w:val="24"/>
        </w:rPr>
      </w:pPr>
    </w:p>
    <w:p w14:paraId="3223A229" w14:textId="77777777" w:rsidR="00337C2B" w:rsidRDefault="00337C2B" w:rsidP="00E35937">
      <w:pPr>
        <w:ind w:firstLine="567"/>
        <w:jc w:val="both"/>
        <w:rPr>
          <w:b/>
          <w:bCs/>
          <w:sz w:val="24"/>
          <w:szCs w:val="24"/>
        </w:rPr>
      </w:pPr>
    </w:p>
    <w:p w14:paraId="23CC4B23" w14:textId="3E3C80BD" w:rsidR="00D81683" w:rsidRPr="00EC50F7" w:rsidRDefault="00F25D00" w:rsidP="00E35937">
      <w:pPr>
        <w:ind w:firstLine="567"/>
        <w:jc w:val="both"/>
        <w:rPr>
          <w:b/>
          <w:bCs/>
          <w:sz w:val="24"/>
          <w:szCs w:val="24"/>
        </w:rPr>
      </w:pPr>
      <w:r>
        <w:rPr>
          <w:b/>
          <w:bCs/>
          <w:sz w:val="24"/>
          <w:szCs w:val="24"/>
        </w:rPr>
        <w:lastRenderedPageBreak/>
        <w:t>Puses vienojas</w:t>
      </w:r>
      <w:r w:rsidR="00D81683" w:rsidRPr="00EC50F7">
        <w:rPr>
          <w:b/>
          <w:bCs/>
          <w:sz w:val="24"/>
          <w:szCs w:val="24"/>
        </w:rPr>
        <w:t>:</w:t>
      </w:r>
    </w:p>
    <w:p w14:paraId="722A133F" w14:textId="196DF1BE" w:rsidR="0035525A" w:rsidRDefault="0035525A" w:rsidP="0035525A">
      <w:pPr>
        <w:ind w:firstLine="567"/>
        <w:jc w:val="both"/>
        <w:rPr>
          <w:bCs/>
          <w:color w:val="000000" w:themeColor="text1"/>
          <w:sz w:val="24"/>
          <w:szCs w:val="24"/>
        </w:rPr>
      </w:pPr>
      <w:bookmarkStart w:id="25" w:name="_Hlk177735757"/>
      <w:r w:rsidRPr="00A35EA2">
        <w:rPr>
          <w:bCs/>
          <w:color w:val="000000" w:themeColor="text1"/>
          <w:sz w:val="24"/>
          <w:szCs w:val="24"/>
        </w:rPr>
        <w:t xml:space="preserve">Valsts budžeta līdzfinansējums pašvaldību pilsētu tranzīta ielu uzturēšanai un būvniecībai 2025., 2026. un 2027. gadā ir </w:t>
      </w:r>
      <w:r w:rsidRPr="00C84EE9">
        <w:rPr>
          <w:bCs/>
          <w:color w:val="000000" w:themeColor="text1"/>
          <w:sz w:val="24"/>
          <w:szCs w:val="24"/>
        </w:rPr>
        <w:t xml:space="preserve">paredzēts </w:t>
      </w:r>
      <w:r w:rsidR="00060975" w:rsidRPr="00C84EE9">
        <w:rPr>
          <w:color w:val="000000" w:themeColor="text1"/>
          <w:sz w:val="24"/>
          <w:szCs w:val="24"/>
        </w:rPr>
        <w:t>8 932 854</w:t>
      </w:r>
      <w:r w:rsidR="00060975" w:rsidRPr="00060975">
        <w:rPr>
          <w:b/>
          <w:bCs/>
          <w:color w:val="000000" w:themeColor="text1"/>
          <w:sz w:val="24"/>
          <w:szCs w:val="24"/>
        </w:rPr>
        <w:t xml:space="preserve">  </w:t>
      </w:r>
      <w:proofErr w:type="spellStart"/>
      <w:r w:rsidRPr="00337C2B">
        <w:rPr>
          <w:bCs/>
          <w:i/>
          <w:iCs/>
          <w:color w:val="000000" w:themeColor="text1"/>
          <w:sz w:val="24"/>
          <w:szCs w:val="24"/>
        </w:rPr>
        <w:t>euro</w:t>
      </w:r>
      <w:proofErr w:type="spellEnd"/>
      <w:r w:rsidRPr="00337C2B">
        <w:rPr>
          <w:bCs/>
          <w:color w:val="000000" w:themeColor="text1"/>
          <w:sz w:val="24"/>
          <w:szCs w:val="24"/>
        </w:rPr>
        <w:t xml:space="preserve"> apmērā, kas plānots Satiksmes ministrijas valsts budžeta apakšprogrammā 23.06.00 “Vals</w:t>
      </w:r>
      <w:r w:rsidRPr="00A35EA2">
        <w:rPr>
          <w:bCs/>
          <w:color w:val="000000" w:themeColor="text1"/>
          <w:sz w:val="24"/>
          <w:szCs w:val="24"/>
        </w:rPr>
        <w:t>ts autoceļu uzturēšana un atjaunošana”, un palielināt pilsētu tranzīta ielu uzturēšanas līdzfinansēšanu 75 procentu apmērā no finansējuma, kas plānots attiecīgajā maršrutā iekļautās tranzīta ielas turpinājumā esošā valsts galvenā (A-ceļa) vai reģionālā autoceļa (P-ceļa) ikdienas uzturēšanas finansēšanai.</w:t>
      </w:r>
    </w:p>
    <w:bookmarkEnd w:id="25"/>
    <w:p w14:paraId="04AF43D5" w14:textId="77777777" w:rsidR="00D13F28" w:rsidRDefault="00D13F28" w:rsidP="00E35937">
      <w:pPr>
        <w:ind w:firstLine="567"/>
        <w:jc w:val="both"/>
        <w:rPr>
          <w:b/>
          <w:bCs/>
          <w:sz w:val="24"/>
          <w:szCs w:val="24"/>
        </w:rPr>
      </w:pPr>
    </w:p>
    <w:p w14:paraId="7F68F6FE" w14:textId="5ED3F6C8" w:rsidR="00DB12EC" w:rsidRPr="00EC50F7" w:rsidRDefault="00DB12EC" w:rsidP="00E35937">
      <w:pPr>
        <w:ind w:firstLine="567"/>
        <w:jc w:val="both"/>
        <w:rPr>
          <w:b/>
          <w:bCs/>
          <w:sz w:val="24"/>
          <w:szCs w:val="24"/>
        </w:rPr>
      </w:pPr>
      <w:r w:rsidRPr="00EC50F7">
        <w:rPr>
          <w:b/>
          <w:bCs/>
          <w:sz w:val="24"/>
          <w:szCs w:val="24"/>
        </w:rPr>
        <w:t>Latvijas Pašvaldību savienības viedoklis:</w:t>
      </w:r>
    </w:p>
    <w:p w14:paraId="320D9322" w14:textId="43E45460" w:rsidR="00DB12EC" w:rsidRPr="00EC50F7" w:rsidRDefault="00DB12EC" w:rsidP="00E35937">
      <w:pPr>
        <w:ind w:firstLine="567"/>
        <w:jc w:val="both"/>
        <w:rPr>
          <w:sz w:val="24"/>
          <w:szCs w:val="24"/>
        </w:rPr>
      </w:pPr>
      <w:r w:rsidRPr="00EC50F7">
        <w:rPr>
          <w:sz w:val="24"/>
          <w:szCs w:val="24"/>
        </w:rPr>
        <w:t>2025.</w:t>
      </w:r>
      <w:r w:rsidR="005620CD" w:rsidRPr="00EC50F7">
        <w:rPr>
          <w:sz w:val="24"/>
          <w:szCs w:val="24"/>
        </w:rPr>
        <w:t xml:space="preserve"> </w:t>
      </w:r>
      <w:r w:rsidRPr="00EC50F7">
        <w:rPr>
          <w:sz w:val="24"/>
          <w:szCs w:val="24"/>
        </w:rPr>
        <w:t xml:space="preserve">gadā un turpmāk gadskārtējā valsta budžetā papildus valsts budžeta programmas 23.00.00. “Valsts autoceļu fonds” bāzei paredzēt 20 milj. </w:t>
      </w:r>
      <w:proofErr w:type="spellStart"/>
      <w:r w:rsidRPr="00EC50F7">
        <w:rPr>
          <w:i/>
          <w:iCs/>
          <w:sz w:val="24"/>
          <w:szCs w:val="24"/>
        </w:rPr>
        <w:t>euro</w:t>
      </w:r>
      <w:proofErr w:type="spellEnd"/>
      <w:r w:rsidRPr="00EC50F7">
        <w:rPr>
          <w:sz w:val="24"/>
          <w:szCs w:val="24"/>
        </w:rPr>
        <w:t xml:space="preserve"> valsts vietējo autoceļu atjaunošanai.</w:t>
      </w:r>
    </w:p>
    <w:p w14:paraId="4DD240FD" w14:textId="77777777" w:rsidR="00DB12EC" w:rsidRPr="00EC50F7" w:rsidRDefault="00DB12EC" w:rsidP="00E35937">
      <w:pPr>
        <w:ind w:firstLine="567"/>
        <w:jc w:val="both"/>
        <w:rPr>
          <w:sz w:val="24"/>
          <w:szCs w:val="24"/>
        </w:rPr>
      </w:pPr>
      <w:r w:rsidRPr="00EC50F7">
        <w:rPr>
          <w:sz w:val="24"/>
          <w:szCs w:val="24"/>
        </w:rPr>
        <w:t>Līdz 2027. gadam no katras apdzīvotas vietas, kurā atrodas pagasta pārvalde, uz novada centru nodrošināt autoceļu ar labā stāvoklī esošu melno segumu, kas skatāms kopsakarā ar skolu reformai nepieciešamiem autoceļiem.</w:t>
      </w:r>
    </w:p>
    <w:p w14:paraId="46E484BD" w14:textId="77777777" w:rsidR="005C7002" w:rsidRPr="00EC50F7" w:rsidRDefault="005C7002" w:rsidP="00E35937">
      <w:pPr>
        <w:ind w:firstLine="567"/>
        <w:jc w:val="both"/>
        <w:rPr>
          <w:b/>
          <w:bCs/>
          <w:sz w:val="24"/>
          <w:szCs w:val="24"/>
        </w:rPr>
      </w:pPr>
    </w:p>
    <w:p w14:paraId="7FFD06D2" w14:textId="47C53481" w:rsidR="00D81683" w:rsidRPr="00EC50F7" w:rsidRDefault="00D81683" w:rsidP="00E35937">
      <w:pPr>
        <w:ind w:firstLine="567"/>
        <w:jc w:val="both"/>
        <w:rPr>
          <w:b/>
          <w:bCs/>
          <w:sz w:val="24"/>
          <w:szCs w:val="24"/>
        </w:rPr>
      </w:pPr>
      <w:r w:rsidRPr="00EC50F7">
        <w:rPr>
          <w:b/>
          <w:bCs/>
          <w:sz w:val="24"/>
          <w:szCs w:val="24"/>
        </w:rPr>
        <w:t>Ministru kabineta viedoklis:</w:t>
      </w:r>
    </w:p>
    <w:p w14:paraId="421F2C1C" w14:textId="48169F5A" w:rsidR="00231AB6" w:rsidRPr="00EC50F7" w:rsidRDefault="00231AB6" w:rsidP="001228CF">
      <w:pPr>
        <w:ind w:firstLine="567"/>
        <w:jc w:val="both"/>
        <w:rPr>
          <w:bCs/>
          <w:sz w:val="24"/>
          <w:szCs w:val="24"/>
        </w:rPr>
      </w:pPr>
      <w:bookmarkStart w:id="26" w:name="_Hlk177735808"/>
      <w:r w:rsidRPr="00EC50F7">
        <w:rPr>
          <w:bCs/>
          <w:sz w:val="24"/>
          <w:szCs w:val="24"/>
        </w:rPr>
        <w:t xml:space="preserve">Valsts budžeta finansējums programmai 23.00.00. “Valsts autoceļu fonds”  2025. gadā paredzēts 306,32 milj. </w:t>
      </w:r>
      <w:proofErr w:type="spellStart"/>
      <w:r w:rsidRPr="00EC50F7">
        <w:rPr>
          <w:bCs/>
          <w:i/>
          <w:iCs/>
          <w:sz w:val="24"/>
          <w:szCs w:val="24"/>
        </w:rPr>
        <w:t>euro</w:t>
      </w:r>
      <w:proofErr w:type="spellEnd"/>
      <w:r w:rsidRPr="00EC50F7">
        <w:rPr>
          <w:bCs/>
          <w:sz w:val="24"/>
          <w:szCs w:val="24"/>
        </w:rPr>
        <w:t>, 2026. gadā – 306,31  milj. </w:t>
      </w:r>
      <w:proofErr w:type="spellStart"/>
      <w:r w:rsidRPr="00EC50F7">
        <w:rPr>
          <w:bCs/>
          <w:i/>
          <w:iCs/>
          <w:sz w:val="24"/>
          <w:szCs w:val="24"/>
        </w:rPr>
        <w:t>euro</w:t>
      </w:r>
      <w:proofErr w:type="spellEnd"/>
      <w:r w:rsidRPr="00EC50F7">
        <w:rPr>
          <w:bCs/>
          <w:sz w:val="24"/>
          <w:szCs w:val="24"/>
        </w:rPr>
        <w:t xml:space="preserve"> un 2027. gadā – 306,3</w:t>
      </w:r>
      <w:r w:rsidR="00CA2D58" w:rsidRPr="00EC50F7">
        <w:rPr>
          <w:bCs/>
          <w:sz w:val="24"/>
          <w:szCs w:val="24"/>
        </w:rPr>
        <w:t>0</w:t>
      </w:r>
      <w:r w:rsidRPr="00EC50F7">
        <w:rPr>
          <w:bCs/>
          <w:sz w:val="24"/>
          <w:szCs w:val="24"/>
        </w:rPr>
        <w:t xml:space="preserve"> milj. </w:t>
      </w:r>
      <w:proofErr w:type="spellStart"/>
      <w:r w:rsidRPr="00EC50F7">
        <w:rPr>
          <w:bCs/>
          <w:i/>
          <w:iCs/>
          <w:sz w:val="24"/>
          <w:szCs w:val="24"/>
        </w:rPr>
        <w:t>euro</w:t>
      </w:r>
      <w:proofErr w:type="spellEnd"/>
      <w:r w:rsidRPr="00EC50F7">
        <w:rPr>
          <w:bCs/>
          <w:sz w:val="24"/>
          <w:szCs w:val="24"/>
        </w:rPr>
        <w:t xml:space="preserve"> apmērā.</w:t>
      </w:r>
    </w:p>
    <w:bookmarkEnd w:id="26"/>
    <w:p w14:paraId="244F368D" w14:textId="77777777" w:rsidR="00F25D00" w:rsidRDefault="00F25D00" w:rsidP="00E35937">
      <w:pPr>
        <w:ind w:firstLine="567"/>
        <w:jc w:val="both"/>
        <w:rPr>
          <w:b/>
          <w:bCs/>
          <w:sz w:val="24"/>
          <w:szCs w:val="24"/>
        </w:rPr>
      </w:pPr>
    </w:p>
    <w:p w14:paraId="4AB3D563" w14:textId="126E1603" w:rsidR="00DB12EC" w:rsidRPr="00EC50F7" w:rsidRDefault="00DB12EC" w:rsidP="00E35937">
      <w:pPr>
        <w:ind w:firstLine="567"/>
        <w:jc w:val="both"/>
        <w:rPr>
          <w:b/>
          <w:bCs/>
          <w:sz w:val="24"/>
          <w:szCs w:val="24"/>
        </w:rPr>
      </w:pPr>
      <w:r w:rsidRPr="00EC50F7">
        <w:rPr>
          <w:b/>
          <w:bCs/>
          <w:sz w:val="24"/>
          <w:szCs w:val="24"/>
        </w:rPr>
        <w:t>Latvijas Pašvaldību savienības viedoklis:</w:t>
      </w:r>
    </w:p>
    <w:p w14:paraId="57111010" w14:textId="77777777" w:rsidR="00DB12EC" w:rsidRPr="00EC50F7" w:rsidRDefault="00DB12EC" w:rsidP="00E35937">
      <w:pPr>
        <w:ind w:firstLine="567"/>
        <w:jc w:val="both"/>
        <w:rPr>
          <w:bCs/>
          <w:sz w:val="24"/>
          <w:szCs w:val="24"/>
        </w:rPr>
      </w:pPr>
      <w:r w:rsidRPr="00EC50F7">
        <w:rPr>
          <w:bCs/>
          <w:sz w:val="24"/>
          <w:szCs w:val="24"/>
        </w:rPr>
        <w:t xml:space="preserve">Sabiedriskā transporta pakalpojumu sniegšanai valsts budžetā ik gadu paredzēt finansējumu, kas atbilst iepirkumu rezultātiem un noslēgtajiem sabiedriskā transporta pakalpojumu pasūtījumu līgumiem. </w:t>
      </w:r>
    </w:p>
    <w:bookmarkEnd w:id="24"/>
    <w:p w14:paraId="75C87E56" w14:textId="77777777" w:rsidR="00071139" w:rsidRPr="00EC50F7" w:rsidRDefault="00071139" w:rsidP="00E35937">
      <w:pPr>
        <w:ind w:firstLine="567"/>
        <w:jc w:val="both"/>
        <w:rPr>
          <w:b/>
          <w:bCs/>
          <w:sz w:val="24"/>
          <w:szCs w:val="24"/>
        </w:rPr>
      </w:pPr>
    </w:p>
    <w:p w14:paraId="4EF60A6B" w14:textId="0FDB93F9" w:rsidR="00B64AC1" w:rsidRPr="00EC50F7" w:rsidRDefault="00B64AC1" w:rsidP="00E35937">
      <w:pPr>
        <w:ind w:firstLine="567"/>
        <w:jc w:val="both"/>
        <w:rPr>
          <w:b/>
          <w:bCs/>
          <w:sz w:val="24"/>
          <w:szCs w:val="24"/>
        </w:rPr>
      </w:pPr>
      <w:r w:rsidRPr="00EC50F7">
        <w:rPr>
          <w:b/>
          <w:bCs/>
          <w:sz w:val="24"/>
          <w:szCs w:val="24"/>
        </w:rPr>
        <w:t>Ministru kabineta viedoklis:</w:t>
      </w:r>
    </w:p>
    <w:p w14:paraId="667AC4D5" w14:textId="77777777" w:rsidR="002E683E" w:rsidRPr="00EC50F7" w:rsidRDefault="002E683E" w:rsidP="00E35937">
      <w:pPr>
        <w:pStyle w:val="tv213"/>
        <w:shd w:val="clear" w:color="auto" w:fill="FFFFFF"/>
        <w:spacing w:before="0" w:beforeAutospacing="0" w:after="0" w:afterAutospacing="0"/>
        <w:ind w:firstLine="567"/>
        <w:jc w:val="both"/>
        <w:rPr>
          <w:bCs/>
        </w:rPr>
      </w:pPr>
      <w:r w:rsidRPr="00EC50F7">
        <w:rPr>
          <w:bCs/>
        </w:rPr>
        <w:t xml:space="preserve">Satiksmes ministrija, ieviešot Valsts kontroles revīzijā “Sabiedriskā transporta pakalpojumu pieejamība dotētajos maršrutos” (Nr. 2.4.1.-23/2023) sniegtos priekšlikumus, veic normatīvā regulējuma izstrādi, paredzot pārņemt no Sabiedriskā transporta padomes valsts budžeta dotācijas sadales funkciju Satiksmes ministrijas pārziņā, lai sabiedriskā transporta pakalpojumi tiktu nodrošināti atbilstoši kārtējā gadā piešķirtā valsts budžeta finanšu iespējām. Vienlaikus tiks precizēts Sabiedriskā transporta padomes pilnvaru apjoms. </w:t>
      </w:r>
    </w:p>
    <w:p w14:paraId="0EDE0090" w14:textId="77777777" w:rsidR="002E683E" w:rsidRPr="00EC50F7" w:rsidRDefault="002E683E" w:rsidP="00E35937">
      <w:pPr>
        <w:pStyle w:val="tv213"/>
        <w:shd w:val="clear" w:color="auto" w:fill="FFFFFF"/>
        <w:spacing w:before="0" w:beforeAutospacing="0" w:after="0" w:afterAutospacing="0"/>
        <w:ind w:firstLine="567"/>
        <w:jc w:val="both"/>
      </w:pPr>
      <w:r w:rsidRPr="00EC50F7">
        <w:rPr>
          <w:bCs/>
        </w:rPr>
        <w:t xml:space="preserve">Sabiedriskā transporta pakalpojumu likumā tiks ietverti papildu kritēriji maršrutu un reisu izveidei un slēgšanai reģionālās nozīmes maršrutu tīklā, tiks veicināta </w:t>
      </w:r>
      <w:proofErr w:type="spellStart"/>
      <w:r w:rsidRPr="00EC50F7">
        <w:rPr>
          <w:bCs/>
        </w:rPr>
        <w:t>komercmaršrutu</w:t>
      </w:r>
      <w:proofErr w:type="spellEnd"/>
      <w:r w:rsidRPr="00EC50F7">
        <w:rPr>
          <w:bCs/>
        </w:rPr>
        <w:t xml:space="preserve"> attīstība un pilnveidots transporta pēc pieprasījuma koncepts.</w:t>
      </w:r>
    </w:p>
    <w:p w14:paraId="75C85E57" w14:textId="77777777" w:rsidR="002E683E" w:rsidRPr="00EC50F7" w:rsidRDefault="002E683E" w:rsidP="00E35937">
      <w:pPr>
        <w:pStyle w:val="tv213"/>
        <w:shd w:val="clear" w:color="auto" w:fill="FFFFFF"/>
        <w:spacing w:before="0" w:beforeAutospacing="0" w:after="0" w:afterAutospacing="0"/>
        <w:ind w:firstLine="567"/>
        <w:jc w:val="both"/>
      </w:pPr>
      <w:r w:rsidRPr="00EC50F7">
        <w:rPr>
          <w:bCs/>
        </w:rPr>
        <w:t xml:space="preserve">Lai noteiktu pamatotu ikgadēji apstiprināmo reģionālās nozīmes maršrutu tīklu, Satiksmes ministrija sadarbībā ar VSIA “Autotransporta direkcija” ieviesīs automatizētu datu analīzi informācijas sistēmās, papildinot maršrutu nepieciešamības pamatojuma saturu ar papildu datiem, tajā skaitā sistēmā nodrošinot iespēju izsekot datu aktualizēšanas periodiskumam. Ievērojot, ka iedzīvotāju paradumi un vajadzības kopš sabiedriskā transporta pakalpojumu iepirkuma uzsākšanas ir mainījušies, VSIA “Autotransporta direkcija” sadarbībā ar plānošanas reģioniem veiks pilnu visa reģionālo maršrutu tīkla </w:t>
      </w:r>
      <w:proofErr w:type="spellStart"/>
      <w:r w:rsidRPr="00EC50F7">
        <w:rPr>
          <w:bCs/>
        </w:rPr>
        <w:t>izvērtējumu</w:t>
      </w:r>
      <w:proofErr w:type="spellEnd"/>
      <w:r w:rsidRPr="00EC50F7">
        <w:rPr>
          <w:bCs/>
        </w:rPr>
        <w:t xml:space="preserve"> no pakalpojumu pieejamības un pieprasījuma viedokļa atbilstoši esošajai situācijai.</w:t>
      </w:r>
    </w:p>
    <w:p w14:paraId="0AD77D16" w14:textId="77777777" w:rsidR="00EA045B" w:rsidRDefault="00EA045B" w:rsidP="00E35937">
      <w:pPr>
        <w:ind w:firstLine="567"/>
        <w:jc w:val="both"/>
        <w:rPr>
          <w:b/>
          <w:bCs/>
          <w:sz w:val="24"/>
          <w:szCs w:val="24"/>
          <w:u w:val="single"/>
        </w:rPr>
      </w:pPr>
    </w:p>
    <w:p w14:paraId="323539ED" w14:textId="0ECDDE58" w:rsidR="004A4F5E" w:rsidRPr="00EC50F7" w:rsidRDefault="004A4F5E" w:rsidP="00E35937">
      <w:pPr>
        <w:ind w:firstLine="567"/>
        <w:jc w:val="both"/>
        <w:rPr>
          <w:b/>
          <w:bCs/>
          <w:sz w:val="24"/>
          <w:szCs w:val="24"/>
          <w:u w:val="single"/>
        </w:rPr>
      </w:pPr>
      <w:r w:rsidRPr="00EC50F7">
        <w:rPr>
          <w:b/>
          <w:bCs/>
          <w:sz w:val="24"/>
          <w:szCs w:val="24"/>
          <w:u w:val="single"/>
        </w:rPr>
        <w:t>Satiksmes ministrijas un Zemkopības ministrijas jomā:</w:t>
      </w:r>
    </w:p>
    <w:p w14:paraId="3EFC08F9" w14:textId="77777777" w:rsidR="004A4F5E" w:rsidRPr="00EC50F7" w:rsidRDefault="004A4F5E" w:rsidP="00E35937">
      <w:pPr>
        <w:ind w:firstLine="567"/>
        <w:jc w:val="both"/>
        <w:rPr>
          <w:b/>
          <w:sz w:val="24"/>
          <w:szCs w:val="24"/>
        </w:rPr>
      </w:pPr>
      <w:bookmarkStart w:id="27" w:name="_Hlk176873737"/>
    </w:p>
    <w:p w14:paraId="65F1040F" w14:textId="77777777" w:rsidR="004A4F5E" w:rsidRPr="00EC50F7" w:rsidRDefault="004A4F5E" w:rsidP="00E35937">
      <w:pPr>
        <w:ind w:firstLine="567"/>
        <w:jc w:val="both"/>
        <w:rPr>
          <w:b/>
          <w:sz w:val="24"/>
          <w:szCs w:val="24"/>
        </w:rPr>
      </w:pPr>
      <w:r w:rsidRPr="00EC50F7">
        <w:rPr>
          <w:b/>
          <w:sz w:val="24"/>
          <w:szCs w:val="24"/>
        </w:rPr>
        <w:t>Latvijas Pašvaldību savienības viedoklis:</w:t>
      </w:r>
    </w:p>
    <w:p w14:paraId="6A3597DA" w14:textId="77777777" w:rsidR="004A4F5E" w:rsidRPr="00EC50F7" w:rsidRDefault="004A4F5E" w:rsidP="00E35937">
      <w:pPr>
        <w:ind w:firstLine="567"/>
        <w:jc w:val="both"/>
        <w:rPr>
          <w:bCs/>
          <w:sz w:val="24"/>
          <w:szCs w:val="24"/>
        </w:rPr>
      </w:pPr>
      <w:r w:rsidRPr="00EC50F7">
        <w:rPr>
          <w:bCs/>
          <w:sz w:val="24"/>
          <w:szCs w:val="24"/>
        </w:rPr>
        <w:t xml:space="preserve">Vidējā termiņā Satiksmes ministrijai sadarbībā ar Zemkopības ministriju izveidot jaunu nacionālo programmu lauku ceļu atjaunošanai, paredzot finanšu līdzekļus projektiem dzīves kvalitātes uzlabošanai un uzņēmējdarbības atbalstam lauku vidē. </w:t>
      </w:r>
    </w:p>
    <w:p w14:paraId="250F6F52" w14:textId="77777777" w:rsidR="004A4F5E" w:rsidRPr="00EC50F7" w:rsidRDefault="004A4F5E" w:rsidP="00E35937">
      <w:pPr>
        <w:ind w:firstLine="567"/>
        <w:jc w:val="both"/>
        <w:rPr>
          <w:sz w:val="24"/>
          <w:szCs w:val="24"/>
        </w:rPr>
      </w:pPr>
      <w:r w:rsidRPr="00EC50F7">
        <w:rPr>
          <w:sz w:val="24"/>
          <w:szCs w:val="24"/>
        </w:rPr>
        <w:lastRenderedPageBreak/>
        <w:t xml:space="preserve">Zemkopības ministrijas pārziņā esošā Eiropas Lauksaimniecības fonda lauku attīstībai jaunajā plānošanas periodā 2023. – 2027.gadam nav paredzēts specifisks atbalsts pašvaldībām lauku ceļu sakārtošanai, kā tas bija iepriekšējā plānošanas periodā, kad šim mērķim bija specifiski piešķirts papildu valsts budžeta finansējums. </w:t>
      </w:r>
    </w:p>
    <w:bookmarkEnd w:id="27"/>
    <w:p w14:paraId="0B475499" w14:textId="77777777" w:rsidR="00941AE6" w:rsidRPr="00EC50F7" w:rsidRDefault="00941AE6" w:rsidP="00E35937">
      <w:pPr>
        <w:ind w:firstLine="567"/>
        <w:jc w:val="both"/>
        <w:rPr>
          <w:b/>
          <w:bCs/>
          <w:sz w:val="24"/>
          <w:szCs w:val="24"/>
        </w:rPr>
      </w:pPr>
    </w:p>
    <w:p w14:paraId="7CA0FAA2" w14:textId="08D916AB" w:rsidR="004A4F5E" w:rsidRPr="00EC50F7" w:rsidRDefault="004A4F5E" w:rsidP="00E35937">
      <w:pPr>
        <w:ind w:firstLine="567"/>
        <w:jc w:val="both"/>
        <w:rPr>
          <w:b/>
          <w:bCs/>
          <w:sz w:val="24"/>
          <w:szCs w:val="24"/>
        </w:rPr>
      </w:pPr>
      <w:r w:rsidRPr="00EC50F7">
        <w:rPr>
          <w:b/>
          <w:bCs/>
          <w:sz w:val="24"/>
          <w:szCs w:val="24"/>
        </w:rPr>
        <w:t>Ministru kabineta viedoklis:</w:t>
      </w:r>
    </w:p>
    <w:p w14:paraId="7B8835B2" w14:textId="77777777" w:rsidR="00F0276D" w:rsidRPr="00EC50F7" w:rsidRDefault="00F75868" w:rsidP="00231AB6">
      <w:pPr>
        <w:ind w:firstLine="567"/>
        <w:jc w:val="both"/>
        <w:rPr>
          <w:bCs/>
          <w:color w:val="000000" w:themeColor="text1"/>
          <w:sz w:val="24"/>
          <w:szCs w:val="24"/>
        </w:rPr>
      </w:pPr>
      <w:r w:rsidRPr="00EC50F7">
        <w:rPr>
          <w:sz w:val="24"/>
          <w:szCs w:val="24"/>
        </w:rPr>
        <w:t xml:space="preserve">2025.gada valsts budžeta ietvaros nav paredzēts finansējums nacionālai programmai lauku ceļu atjaunošanai, veicinot dzīves kvalitātes uzlabošanos un uzņēmējdarbības attīstībai lauku vidē. </w:t>
      </w:r>
      <w:r w:rsidR="00C5737D" w:rsidRPr="00EC50F7">
        <w:rPr>
          <w:sz w:val="24"/>
          <w:szCs w:val="24"/>
        </w:rPr>
        <w:t>D</w:t>
      </w:r>
      <w:r w:rsidRPr="00EC50F7">
        <w:rPr>
          <w:sz w:val="24"/>
          <w:szCs w:val="24"/>
        </w:rPr>
        <w:t xml:space="preserve">aļēji šis uzdevums lauku un mežu ceļu uzturēšanā un labiekārtošanā tiek pildīts AS “Latvijas valsts meži”, uzturot tās pārvaldībā esošos ceļus. </w:t>
      </w:r>
      <w:r w:rsidR="00F0276D" w:rsidRPr="00EC50F7">
        <w:rPr>
          <w:bCs/>
          <w:color w:val="000000" w:themeColor="text1"/>
          <w:sz w:val="24"/>
          <w:szCs w:val="24"/>
        </w:rPr>
        <w:t xml:space="preserve">Lauku ceļu atjaunošanai finanšu līdzekļi ir paredzēti valsts budžeta apakšprogrammā 23.04.00 “Mērķdotācijas pašvaldību autoceļiem (ielām)” vai pašvaldību budžetos. </w:t>
      </w:r>
    </w:p>
    <w:p w14:paraId="1366DD9B" w14:textId="7F5A0976" w:rsidR="00F75868" w:rsidRPr="00EC50F7" w:rsidRDefault="00AA4916" w:rsidP="00E35937">
      <w:pPr>
        <w:ind w:firstLine="567"/>
        <w:jc w:val="both"/>
        <w:rPr>
          <w:sz w:val="24"/>
          <w:szCs w:val="24"/>
        </w:rPr>
      </w:pPr>
      <w:r w:rsidRPr="00EC50F7">
        <w:rPr>
          <w:sz w:val="24"/>
          <w:szCs w:val="24"/>
        </w:rPr>
        <w:t xml:space="preserve">Jaunas </w:t>
      </w:r>
      <w:r w:rsidR="00F75868" w:rsidRPr="00EC50F7">
        <w:rPr>
          <w:sz w:val="24"/>
          <w:szCs w:val="24"/>
        </w:rPr>
        <w:t>programmas izstrādē ir nepieciešams vērtēt finanšu iespējas gadskārtējā valsts budžeta likumprojekta 2026.</w:t>
      </w:r>
      <w:r w:rsidR="007D486A" w:rsidRPr="00EC50F7">
        <w:rPr>
          <w:sz w:val="24"/>
          <w:szCs w:val="24"/>
        </w:rPr>
        <w:t xml:space="preserve"> </w:t>
      </w:r>
      <w:r w:rsidR="00F75868" w:rsidRPr="00EC50F7">
        <w:rPr>
          <w:sz w:val="24"/>
          <w:szCs w:val="24"/>
        </w:rPr>
        <w:t>gadam un vidēja termiņa budžeta ietvara likumprojekta sagatavošanas procesa ietvaros un iesniegt Ministru kabinetā priekšlikumus par efektīvāko piedāvājumu papildu valsts budžeta finansējuma nodrošināšanai attiecīgajā gadā.</w:t>
      </w:r>
    </w:p>
    <w:p w14:paraId="7882843C" w14:textId="77777777" w:rsidR="005C7002" w:rsidRPr="00EC50F7" w:rsidRDefault="005C7002" w:rsidP="00E35937">
      <w:pPr>
        <w:ind w:firstLine="567"/>
        <w:rPr>
          <w:b/>
          <w:sz w:val="24"/>
          <w:szCs w:val="24"/>
          <w:u w:val="single"/>
        </w:rPr>
      </w:pPr>
    </w:p>
    <w:p w14:paraId="6B664848" w14:textId="7B8A022D" w:rsidR="00E570C4" w:rsidRPr="00EC50F7" w:rsidRDefault="00E570C4" w:rsidP="00E35937">
      <w:pPr>
        <w:ind w:firstLine="567"/>
        <w:rPr>
          <w:b/>
          <w:sz w:val="24"/>
          <w:szCs w:val="24"/>
        </w:rPr>
      </w:pPr>
      <w:r w:rsidRPr="00EC50F7">
        <w:rPr>
          <w:b/>
          <w:sz w:val="24"/>
          <w:szCs w:val="24"/>
          <w:u w:val="single"/>
        </w:rPr>
        <w:t>Tieslietu ministrijas jomā:</w:t>
      </w:r>
      <w:r w:rsidR="00F93FF4" w:rsidRPr="00EC50F7">
        <w:rPr>
          <w:b/>
          <w:sz w:val="24"/>
          <w:szCs w:val="24"/>
          <w:u w:val="single"/>
        </w:rPr>
        <w:t xml:space="preserve"> </w:t>
      </w:r>
    </w:p>
    <w:p w14:paraId="4DEFDCEE" w14:textId="77777777" w:rsidR="00E570C4" w:rsidRPr="00EC50F7" w:rsidRDefault="00E570C4" w:rsidP="00E35937">
      <w:pPr>
        <w:ind w:firstLine="567"/>
        <w:rPr>
          <w:b/>
          <w:sz w:val="24"/>
          <w:szCs w:val="24"/>
        </w:rPr>
      </w:pPr>
    </w:p>
    <w:p w14:paraId="1E89F66E" w14:textId="77777777" w:rsidR="0059489B" w:rsidRPr="00EC50F7" w:rsidRDefault="0059489B" w:rsidP="00E35937">
      <w:pPr>
        <w:ind w:firstLine="567"/>
        <w:jc w:val="both"/>
        <w:rPr>
          <w:b/>
          <w:bCs/>
          <w:sz w:val="24"/>
          <w:szCs w:val="24"/>
        </w:rPr>
      </w:pPr>
      <w:r w:rsidRPr="00EC50F7">
        <w:rPr>
          <w:b/>
          <w:bCs/>
          <w:sz w:val="24"/>
          <w:szCs w:val="24"/>
        </w:rPr>
        <w:t>Latvijas Pašvaldību savienības viedoklis:</w:t>
      </w:r>
    </w:p>
    <w:p w14:paraId="7E2DAEE1" w14:textId="2EAFF64A" w:rsidR="009F4394" w:rsidRPr="00EC50F7" w:rsidRDefault="00A001E6" w:rsidP="00E35937">
      <w:pPr>
        <w:shd w:val="clear" w:color="auto" w:fill="FFFFFF" w:themeFill="background1"/>
        <w:ind w:firstLine="567"/>
        <w:jc w:val="both"/>
        <w:rPr>
          <w:sz w:val="24"/>
          <w:szCs w:val="24"/>
          <w:lang w:eastAsia="lv-LV"/>
        </w:rPr>
      </w:pPr>
      <w:bookmarkStart w:id="28" w:name="_Hlk176877039"/>
      <w:r w:rsidRPr="00A001E6">
        <w:rPr>
          <w:sz w:val="24"/>
          <w:szCs w:val="24"/>
          <w:lang w:eastAsia="lv-LV"/>
        </w:rPr>
        <w:t>Tieslietu ministrijai pilnveidot normatīvos aktos kadastrālās vērtēšanas jomā, nodrošinot fiskālo kadastrālo vērtību savstarpēji labāku proporcionālo atbilstību saskaņā ar Nekustamā īpašuma valsts kadastra likuma Pārejas noteikumu 43.</w:t>
      </w:r>
      <w:r w:rsidRPr="0035525A">
        <w:rPr>
          <w:sz w:val="24"/>
          <w:szCs w:val="24"/>
          <w:vertAlign w:val="superscript"/>
          <w:lang w:eastAsia="lv-LV"/>
        </w:rPr>
        <w:t xml:space="preserve">4 </w:t>
      </w:r>
      <w:r w:rsidRPr="00A001E6">
        <w:rPr>
          <w:sz w:val="24"/>
          <w:szCs w:val="24"/>
          <w:lang w:eastAsia="lv-LV"/>
        </w:rPr>
        <w:t>punktu, ņemot vērā, ka atbilstoši Nekustamā īpašuma valsts kadastra likuma Pārejas noteikumu 50.</w:t>
      </w:r>
      <w:r w:rsidR="0035525A">
        <w:rPr>
          <w:sz w:val="24"/>
          <w:szCs w:val="24"/>
          <w:lang w:eastAsia="lv-LV"/>
        </w:rPr>
        <w:t xml:space="preserve"> </w:t>
      </w:r>
      <w:r w:rsidRPr="00A001E6">
        <w:rPr>
          <w:sz w:val="24"/>
          <w:szCs w:val="24"/>
          <w:lang w:eastAsia="lv-LV"/>
        </w:rPr>
        <w:t>punktam fiskālo kadastrālo vērtību darbības iespējamais maksimālais laiks ir līdz 2029. gada 1.janvārim.</w:t>
      </w:r>
    </w:p>
    <w:bookmarkEnd w:id="28"/>
    <w:p w14:paraId="1A553720" w14:textId="77777777" w:rsidR="0035525A" w:rsidRDefault="0035525A" w:rsidP="00E35937">
      <w:pPr>
        <w:ind w:firstLine="567"/>
        <w:jc w:val="both"/>
        <w:rPr>
          <w:b/>
          <w:bCs/>
          <w:sz w:val="24"/>
          <w:szCs w:val="24"/>
        </w:rPr>
      </w:pPr>
    </w:p>
    <w:p w14:paraId="00448F1D" w14:textId="42D90302" w:rsidR="00EE3A82" w:rsidRPr="00EC50F7" w:rsidRDefault="00EE3A82" w:rsidP="00E35937">
      <w:pPr>
        <w:ind w:firstLine="567"/>
        <w:jc w:val="both"/>
        <w:rPr>
          <w:b/>
          <w:bCs/>
          <w:sz w:val="24"/>
          <w:szCs w:val="24"/>
        </w:rPr>
      </w:pPr>
      <w:r w:rsidRPr="00EC50F7">
        <w:rPr>
          <w:b/>
          <w:bCs/>
          <w:sz w:val="24"/>
          <w:szCs w:val="24"/>
        </w:rPr>
        <w:t>Ministru kabineta viedoklis:</w:t>
      </w:r>
    </w:p>
    <w:p w14:paraId="4F5C9DEF" w14:textId="77777777" w:rsidR="00B92AE9" w:rsidRPr="00B92AE9" w:rsidRDefault="00B92AE9" w:rsidP="00B92AE9">
      <w:pPr>
        <w:ind w:firstLine="567"/>
        <w:jc w:val="both"/>
        <w:rPr>
          <w:sz w:val="24"/>
          <w:szCs w:val="24"/>
          <w:shd w:val="clear" w:color="auto" w:fill="FFFFFF"/>
        </w:rPr>
      </w:pPr>
      <w:r w:rsidRPr="00B92AE9">
        <w:rPr>
          <w:color w:val="000000"/>
          <w:sz w:val="24"/>
          <w:szCs w:val="24"/>
          <w:shd w:val="clear" w:color="auto" w:fill="FFFFFF"/>
        </w:rPr>
        <w:t>Fiskālā kadastrālā vērtība atbilst šobrīd spēkā esošajai kadastrālai vērtībai, kas tiek izmantota nekustamā īpašuma nodokļa, valsts nodevu un citu maksājumu valsts vai pašvaldības budžetā aprēķināšanai un arī turpmāk likumā noteiktajā pārejas posmā tiks izmantota šiem mērķiem. Turklāt Kadastra likuma pārejas noteikumu 43.</w:t>
      </w:r>
      <w:r w:rsidRPr="00B92AE9">
        <w:rPr>
          <w:color w:val="000000"/>
          <w:sz w:val="24"/>
          <w:szCs w:val="24"/>
          <w:shd w:val="clear" w:color="auto" w:fill="FFFFFF"/>
          <w:vertAlign w:val="superscript"/>
        </w:rPr>
        <w:t>3</w:t>
      </w:r>
      <w:r w:rsidRPr="00B92AE9">
        <w:rPr>
          <w:color w:val="000000"/>
          <w:sz w:val="24"/>
          <w:szCs w:val="24"/>
          <w:shd w:val="clear" w:color="auto" w:fill="FFFFFF"/>
        </w:rPr>
        <w:t xml:space="preserve"> punkts noteic fiskālās kadastrālās vērtības aprēķināšanas un aktualizēšanas nosacījumus, lai tā pamatā paliktu nemainīga, jo tiek izmantota nodokļa aprēķinam.</w:t>
      </w:r>
    </w:p>
    <w:p w14:paraId="2F23B311" w14:textId="77777777" w:rsidR="00B92AE9" w:rsidRDefault="00B92AE9" w:rsidP="00F514CE">
      <w:pPr>
        <w:ind w:firstLine="567"/>
        <w:jc w:val="both"/>
        <w:rPr>
          <w:color w:val="000000"/>
          <w:sz w:val="24"/>
          <w:szCs w:val="24"/>
          <w:shd w:val="clear" w:color="auto" w:fill="FFFFFF"/>
        </w:rPr>
      </w:pPr>
      <w:r w:rsidRPr="00B92AE9">
        <w:rPr>
          <w:color w:val="000000"/>
          <w:sz w:val="24"/>
          <w:szCs w:val="24"/>
          <w:shd w:val="clear" w:color="auto" w:fill="FFFFFF"/>
        </w:rPr>
        <w:t>Universālā kadastrālā vērtība</w:t>
      </w:r>
      <w:r w:rsidRPr="00B92AE9">
        <w:rPr>
          <w:sz w:val="24"/>
          <w:szCs w:val="24"/>
        </w:rPr>
        <w:t xml:space="preserve"> ir </w:t>
      </w:r>
      <w:r w:rsidRPr="00B92AE9">
        <w:rPr>
          <w:color w:val="000000"/>
          <w:sz w:val="24"/>
          <w:szCs w:val="24"/>
          <w:shd w:val="clear" w:color="auto" w:fill="FFFFFF"/>
        </w:rPr>
        <w:t xml:space="preserve">aktualizētā kadastrālā vērtība, kas tiks pakāpeniski uzlabota vairākos etapos, pilnveidojot kadastrālās vērtēšanas metodiku un datu atbilstību (datu kvalitāti). Universālā vērtība tiks izmantota piespiedu dalītā īpašuma zemesgabala atsavināšanas cenas aprēķinam, </w:t>
      </w:r>
      <w:proofErr w:type="spellStart"/>
      <w:r w:rsidRPr="00B92AE9">
        <w:rPr>
          <w:color w:val="000000"/>
          <w:sz w:val="24"/>
          <w:szCs w:val="24"/>
          <w:shd w:val="clear" w:color="auto" w:fill="FFFFFF"/>
        </w:rPr>
        <w:t>termiņuzturēšanās</w:t>
      </w:r>
      <w:proofErr w:type="spellEnd"/>
      <w:r w:rsidRPr="00B92AE9">
        <w:rPr>
          <w:color w:val="000000"/>
          <w:sz w:val="24"/>
          <w:szCs w:val="24"/>
          <w:shd w:val="clear" w:color="auto" w:fill="FFFFFF"/>
        </w:rPr>
        <w:t xml:space="preserve"> atļauju piešķiršanai u.c. vajadzībām. </w:t>
      </w:r>
    </w:p>
    <w:p w14:paraId="46113605" w14:textId="77777777" w:rsidR="00F514CE" w:rsidRPr="00F514CE" w:rsidRDefault="00F514CE" w:rsidP="00F514CE">
      <w:pPr>
        <w:ind w:firstLine="567"/>
        <w:jc w:val="both"/>
        <w:rPr>
          <w:sz w:val="24"/>
          <w:szCs w:val="24"/>
          <w:shd w:val="clear" w:color="auto" w:fill="FFFFFF"/>
        </w:rPr>
      </w:pPr>
      <w:r w:rsidRPr="00F514CE">
        <w:rPr>
          <w:color w:val="000000"/>
          <w:sz w:val="24"/>
          <w:szCs w:val="24"/>
          <w:shd w:val="clear" w:color="auto" w:fill="FFFFFF"/>
        </w:rPr>
        <w:t>Divas kadastrālās vērtības pastāvēs  līdz brīdim, kad tiks noslēgta kadastrālo vērtēšanu regulējošo normatīvo aktu pilnveide un apstiprināta jauna kadastrālo vērtību bāze. Tādējādi tas ir pagaidu risinājums kadastrālās vērtēšanas sistēmā.</w:t>
      </w:r>
    </w:p>
    <w:p w14:paraId="580B4E55" w14:textId="46BA1EFC" w:rsidR="007320B2" w:rsidRPr="00EC50F7" w:rsidRDefault="008A7D70" w:rsidP="00E35937">
      <w:pPr>
        <w:ind w:firstLine="567"/>
        <w:jc w:val="both"/>
        <w:rPr>
          <w:bCs/>
          <w:sz w:val="24"/>
          <w:szCs w:val="24"/>
        </w:rPr>
      </w:pPr>
      <w:r w:rsidRPr="00EC50F7">
        <w:rPr>
          <w:bCs/>
          <w:sz w:val="24"/>
          <w:szCs w:val="24"/>
        </w:rPr>
        <w:t>Ņemot vērā to, ka fiskālā kadastrālā vērtība, noslēdzoties pārejas periodam, beigs pastāvēt, izmaiņu veikšana normatīvajos aktos un informācijas sistēmās, ir vērtējama kā nelietderīga. Turklāt jaunu būtisku izmaiņu ieviešana fiskālās kadastrālās vērtēšanas sistēmas pārveidē ir saistīta ar būtisku administratīvo resursu un valsts budžeta papildus līdzekļu piesaisti.</w:t>
      </w:r>
      <w:r w:rsidR="00213844" w:rsidRPr="00EC50F7">
        <w:rPr>
          <w:bCs/>
          <w:sz w:val="24"/>
          <w:szCs w:val="24"/>
        </w:rPr>
        <w:t xml:space="preserve"> </w:t>
      </w:r>
      <w:r w:rsidR="00EF13C8" w:rsidRPr="00EC50F7">
        <w:rPr>
          <w:bCs/>
          <w:sz w:val="24"/>
          <w:szCs w:val="24"/>
        </w:rPr>
        <w:t>Ņ</w:t>
      </w:r>
      <w:r w:rsidR="00213844" w:rsidRPr="00EC50F7">
        <w:rPr>
          <w:bCs/>
          <w:sz w:val="24"/>
          <w:szCs w:val="24"/>
        </w:rPr>
        <w:t>emot vērā prognozēto negatīvo fiskālo telpu, Ministru kabinets 2024. gada 18. jūnija sēdē  kā vienīgo vidēja termiņa budžeta prioritāro attīstības virzienu noteica valsts drošību, uzdodot ministrijām nesniegt priekšlikumus ar papildu finansējuma pieprasījumiem prioritārajiem pasākumiem, kas neatbilst šim virzienam</w:t>
      </w:r>
      <w:r w:rsidR="009C4B2D" w:rsidRPr="00EC50F7">
        <w:rPr>
          <w:bCs/>
          <w:sz w:val="24"/>
          <w:szCs w:val="24"/>
        </w:rPr>
        <w:t>.</w:t>
      </w:r>
    </w:p>
    <w:p w14:paraId="69C21525" w14:textId="77777777" w:rsidR="009670D1" w:rsidRDefault="009670D1" w:rsidP="00E35937">
      <w:pPr>
        <w:ind w:firstLine="567"/>
        <w:rPr>
          <w:b/>
          <w:bCs/>
          <w:sz w:val="24"/>
          <w:szCs w:val="24"/>
          <w:u w:val="single"/>
          <w:lang w:eastAsia="lv-LV"/>
        </w:rPr>
      </w:pPr>
    </w:p>
    <w:p w14:paraId="42A59C85" w14:textId="77777777" w:rsidR="002732F0" w:rsidRDefault="002732F0" w:rsidP="00E35937">
      <w:pPr>
        <w:ind w:firstLine="567"/>
        <w:rPr>
          <w:b/>
          <w:bCs/>
          <w:sz w:val="24"/>
          <w:szCs w:val="24"/>
          <w:u w:val="single"/>
          <w:lang w:eastAsia="lv-LV"/>
        </w:rPr>
      </w:pPr>
    </w:p>
    <w:p w14:paraId="4CF95592" w14:textId="77777777" w:rsidR="002732F0" w:rsidRDefault="002732F0" w:rsidP="00E35937">
      <w:pPr>
        <w:ind w:firstLine="567"/>
        <w:rPr>
          <w:b/>
          <w:bCs/>
          <w:sz w:val="24"/>
          <w:szCs w:val="24"/>
          <w:u w:val="single"/>
          <w:lang w:eastAsia="lv-LV"/>
        </w:rPr>
      </w:pPr>
    </w:p>
    <w:p w14:paraId="0B37EC12" w14:textId="77777777" w:rsidR="002732F0" w:rsidRDefault="002732F0" w:rsidP="00E35937">
      <w:pPr>
        <w:ind w:firstLine="567"/>
        <w:rPr>
          <w:b/>
          <w:bCs/>
          <w:sz w:val="24"/>
          <w:szCs w:val="24"/>
          <w:u w:val="single"/>
          <w:lang w:eastAsia="lv-LV"/>
        </w:rPr>
      </w:pPr>
    </w:p>
    <w:p w14:paraId="616D6F1C" w14:textId="1454907E" w:rsidR="00E570C4" w:rsidRPr="00EC50F7" w:rsidRDefault="00E55FF4" w:rsidP="00E35937">
      <w:pPr>
        <w:ind w:firstLine="567"/>
        <w:rPr>
          <w:b/>
          <w:sz w:val="24"/>
          <w:szCs w:val="24"/>
          <w:u w:val="single"/>
        </w:rPr>
      </w:pPr>
      <w:r w:rsidRPr="00EC50F7">
        <w:rPr>
          <w:b/>
          <w:bCs/>
          <w:sz w:val="24"/>
          <w:szCs w:val="24"/>
          <w:u w:val="single"/>
          <w:lang w:eastAsia="lv-LV"/>
        </w:rPr>
        <w:lastRenderedPageBreak/>
        <w:t>Viedās administrācijas</w:t>
      </w:r>
      <w:r w:rsidR="00E570C4" w:rsidRPr="00EC50F7">
        <w:rPr>
          <w:b/>
          <w:sz w:val="24"/>
          <w:szCs w:val="24"/>
          <w:u w:val="single"/>
        </w:rPr>
        <w:t xml:space="preserve"> un reģionālās </w:t>
      </w:r>
      <w:r w:rsidR="00161F09" w:rsidRPr="00EC50F7">
        <w:rPr>
          <w:b/>
          <w:sz w:val="24"/>
          <w:szCs w:val="24"/>
          <w:u w:val="single"/>
        </w:rPr>
        <w:t xml:space="preserve">attīstības </w:t>
      </w:r>
      <w:r w:rsidR="00E570C4" w:rsidRPr="00EC50F7">
        <w:rPr>
          <w:b/>
          <w:sz w:val="24"/>
          <w:szCs w:val="24"/>
          <w:u w:val="single"/>
        </w:rPr>
        <w:t>ministrijas jomā:</w:t>
      </w:r>
    </w:p>
    <w:p w14:paraId="3E4C7497" w14:textId="77777777" w:rsidR="00E570C4" w:rsidRPr="00EC50F7" w:rsidRDefault="00E570C4" w:rsidP="00E35937">
      <w:pPr>
        <w:ind w:firstLine="567"/>
        <w:jc w:val="both"/>
        <w:rPr>
          <w:b/>
          <w:sz w:val="24"/>
          <w:szCs w:val="24"/>
        </w:rPr>
      </w:pPr>
    </w:p>
    <w:p w14:paraId="3D69F64B" w14:textId="3DBB45D7" w:rsidR="00233B90" w:rsidRPr="00EC50F7" w:rsidRDefault="00E76888" w:rsidP="00E35937">
      <w:pPr>
        <w:ind w:firstLine="567"/>
        <w:jc w:val="both"/>
        <w:rPr>
          <w:b/>
          <w:bCs/>
          <w:sz w:val="24"/>
          <w:szCs w:val="24"/>
        </w:rPr>
      </w:pPr>
      <w:r w:rsidRPr="00EC50F7">
        <w:rPr>
          <w:b/>
          <w:bCs/>
          <w:sz w:val="24"/>
          <w:szCs w:val="24"/>
        </w:rPr>
        <w:t>Puses vienojas</w:t>
      </w:r>
      <w:r w:rsidR="00233B90" w:rsidRPr="00EC50F7">
        <w:rPr>
          <w:b/>
          <w:bCs/>
          <w:sz w:val="24"/>
          <w:szCs w:val="24"/>
        </w:rPr>
        <w:t>:</w:t>
      </w:r>
    </w:p>
    <w:p w14:paraId="34AC10B2" w14:textId="215100CF" w:rsidR="00FE39C5" w:rsidRPr="00EC50F7" w:rsidRDefault="00B77A32" w:rsidP="00E35937">
      <w:pPr>
        <w:ind w:firstLine="567"/>
        <w:jc w:val="both"/>
        <w:rPr>
          <w:sz w:val="24"/>
          <w:szCs w:val="24"/>
        </w:rPr>
      </w:pPr>
      <w:bookmarkStart w:id="29" w:name="_Hlk148006040"/>
      <w:r w:rsidRPr="00EC50F7">
        <w:rPr>
          <w:sz w:val="24"/>
          <w:szCs w:val="24"/>
        </w:rPr>
        <w:t>Konceptuāli atbalstīt priekšlikumu par nacionālā reģionālās attīstības fonda izveidi Viedās administrācijas un reģionālās attīstības ministrijas pārziņā. Jautājumu par papildu valsts budžeta līdzekļu piešķiršanu fondam skatīt budžeta ietvara turpmākajiem gadiem sagatavošanas un izskatīšanas procesā kopā ar visu ministriju un centrālo valsts iestāžu iesniegtajiem priekšlikumiem atbilstoši valsts budžeta finansiālajām iespējām.</w:t>
      </w:r>
    </w:p>
    <w:bookmarkEnd w:id="29"/>
    <w:p w14:paraId="5B2AE860" w14:textId="77777777" w:rsidR="00F6248D" w:rsidRPr="00EC50F7" w:rsidRDefault="00F6248D" w:rsidP="00E570C4">
      <w:pPr>
        <w:ind w:firstLine="567"/>
        <w:jc w:val="both"/>
        <w:rPr>
          <w:b/>
          <w:sz w:val="24"/>
          <w:szCs w:val="24"/>
        </w:rPr>
      </w:pPr>
    </w:p>
    <w:tbl>
      <w:tblPr>
        <w:tblW w:w="9320" w:type="dxa"/>
        <w:tblInd w:w="-401" w:type="dxa"/>
        <w:tblLayout w:type="fixed"/>
        <w:tblLook w:val="0000" w:firstRow="0" w:lastRow="0" w:firstColumn="0" w:lastColumn="0" w:noHBand="0" w:noVBand="0"/>
      </w:tblPr>
      <w:tblGrid>
        <w:gridCol w:w="543"/>
        <w:gridCol w:w="4099"/>
        <w:gridCol w:w="4678"/>
      </w:tblGrid>
      <w:tr w:rsidR="00E570C4" w:rsidRPr="00EC50F7" w14:paraId="4314CF91" w14:textId="77777777" w:rsidTr="001917A0">
        <w:tc>
          <w:tcPr>
            <w:tcW w:w="4642" w:type="dxa"/>
            <w:gridSpan w:val="2"/>
          </w:tcPr>
          <w:p w14:paraId="47724E1B" w14:textId="77777777" w:rsidR="00F6248D" w:rsidRPr="00EC50F7" w:rsidRDefault="00F6248D" w:rsidP="00A57896">
            <w:pPr>
              <w:shd w:val="clear" w:color="auto" w:fill="FFFFFF"/>
              <w:jc w:val="center"/>
              <w:rPr>
                <w:sz w:val="24"/>
                <w:szCs w:val="24"/>
              </w:rPr>
            </w:pPr>
          </w:p>
          <w:p w14:paraId="06AA24A7" w14:textId="3D24CA51" w:rsidR="00E570C4" w:rsidRPr="00EC50F7" w:rsidRDefault="00E570C4" w:rsidP="00A57896">
            <w:pPr>
              <w:shd w:val="clear" w:color="auto" w:fill="FFFFFF"/>
              <w:jc w:val="center"/>
              <w:rPr>
                <w:sz w:val="24"/>
                <w:szCs w:val="24"/>
              </w:rPr>
            </w:pPr>
            <w:r w:rsidRPr="00EC50F7">
              <w:rPr>
                <w:sz w:val="24"/>
                <w:szCs w:val="24"/>
              </w:rPr>
              <w:t>Ministru prezident</w:t>
            </w:r>
            <w:r w:rsidR="00515B3E" w:rsidRPr="00EC50F7">
              <w:rPr>
                <w:sz w:val="24"/>
                <w:szCs w:val="24"/>
              </w:rPr>
              <w:t>e</w:t>
            </w:r>
          </w:p>
        </w:tc>
        <w:tc>
          <w:tcPr>
            <w:tcW w:w="4678" w:type="dxa"/>
          </w:tcPr>
          <w:p w14:paraId="21B5D44E" w14:textId="77777777" w:rsidR="00F6248D" w:rsidRPr="00EC50F7" w:rsidRDefault="00F6248D" w:rsidP="00A57896">
            <w:pPr>
              <w:shd w:val="clear" w:color="auto" w:fill="FFFFFF"/>
              <w:jc w:val="center"/>
              <w:rPr>
                <w:sz w:val="24"/>
                <w:szCs w:val="24"/>
              </w:rPr>
            </w:pPr>
          </w:p>
          <w:p w14:paraId="484CBDA9" w14:textId="072B42FF" w:rsidR="00E570C4" w:rsidRPr="00EC50F7" w:rsidRDefault="00E570C4" w:rsidP="00A57896">
            <w:pPr>
              <w:shd w:val="clear" w:color="auto" w:fill="FFFFFF"/>
              <w:jc w:val="center"/>
              <w:rPr>
                <w:sz w:val="24"/>
                <w:szCs w:val="24"/>
              </w:rPr>
            </w:pPr>
            <w:r w:rsidRPr="00EC50F7">
              <w:rPr>
                <w:sz w:val="24"/>
                <w:szCs w:val="24"/>
              </w:rPr>
              <w:t>Latvijas Pašvaldību savienības</w:t>
            </w:r>
          </w:p>
        </w:tc>
      </w:tr>
      <w:tr w:rsidR="00E570C4" w:rsidRPr="00EC50F7" w14:paraId="2AE068BA" w14:textId="77777777" w:rsidTr="001917A0">
        <w:tc>
          <w:tcPr>
            <w:tcW w:w="4642" w:type="dxa"/>
            <w:gridSpan w:val="2"/>
          </w:tcPr>
          <w:p w14:paraId="43B38713" w14:textId="77777777" w:rsidR="00E14182" w:rsidRDefault="00E14182" w:rsidP="00A57896">
            <w:pPr>
              <w:shd w:val="clear" w:color="auto" w:fill="FFFFFF"/>
              <w:jc w:val="center"/>
              <w:rPr>
                <w:sz w:val="24"/>
                <w:szCs w:val="24"/>
              </w:rPr>
            </w:pPr>
          </w:p>
          <w:p w14:paraId="2D98CE56" w14:textId="77777777" w:rsidR="000521D7" w:rsidRDefault="000521D7" w:rsidP="00A57896">
            <w:pPr>
              <w:shd w:val="clear" w:color="auto" w:fill="FFFFFF"/>
              <w:jc w:val="center"/>
              <w:rPr>
                <w:sz w:val="24"/>
                <w:szCs w:val="24"/>
              </w:rPr>
            </w:pPr>
          </w:p>
          <w:p w14:paraId="106BB8FB" w14:textId="77777777" w:rsidR="000521D7" w:rsidRPr="00EC50F7" w:rsidRDefault="000521D7" w:rsidP="00A57896">
            <w:pPr>
              <w:shd w:val="clear" w:color="auto" w:fill="FFFFFF"/>
              <w:jc w:val="center"/>
              <w:rPr>
                <w:sz w:val="24"/>
                <w:szCs w:val="24"/>
              </w:rPr>
            </w:pPr>
          </w:p>
        </w:tc>
        <w:tc>
          <w:tcPr>
            <w:tcW w:w="4678" w:type="dxa"/>
          </w:tcPr>
          <w:p w14:paraId="0FA43DB8" w14:textId="77777777" w:rsidR="00E570C4" w:rsidRPr="00EC50F7" w:rsidRDefault="00E570C4" w:rsidP="00A57896">
            <w:pPr>
              <w:shd w:val="clear" w:color="auto" w:fill="FFFFFF"/>
              <w:jc w:val="center"/>
              <w:rPr>
                <w:sz w:val="24"/>
                <w:szCs w:val="24"/>
              </w:rPr>
            </w:pPr>
            <w:r w:rsidRPr="00EC50F7">
              <w:rPr>
                <w:sz w:val="24"/>
                <w:szCs w:val="24"/>
              </w:rPr>
              <w:t>priekšsēdis</w:t>
            </w:r>
          </w:p>
        </w:tc>
      </w:tr>
      <w:tr w:rsidR="00E570C4" w:rsidRPr="00EC50F7" w14:paraId="79E1E66E" w14:textId="77777777" w:rsidTr="001917A0">
        <w:trPr>
          <w:trHeight w:val="236"/>
        </w:trPr>
        <w:tc>
          <w:tcPr>
            <w:tcW w:w="4642" w:type="dxa"/>
            <w:gridSpan w:val="2"/>
          </w:tcPr>
          <w:p w14:paraId="7E1E79D7" w14:textId="77777777" w:rsidR="00E570C4" w:rsidRPr="00EC50F7" w:rsidRDefault="00E570C4" w:rsidP="00A57896">
            <w:pPr>
              <w:shd w:val="clear" w:color="auto" w:fill="FFFFFF"/>
              <w:rPr>
                <w:sz w:val="24"/>
                <w:szCs w:val="24"/>
              </w:rPr>
            </w:pPr>
          </w:p>
        </w:tc>
        <w:tc>
          <w:tcPr>
            <w:tcW w:w="4678" w:type="dxa"/>
          </w:tcPr>
          <w:p w14:paraId="723517E0" w14:textId="77777777" w:rsidR="00E570C4" w:rsidRPr="00EC50F7" w:rsidRDefault="00E570C4" w:rsidP="00A57896">
            <w:pPr>
              <w:shd w:val="clear" w:color="auto" w:fill="FFFFFF"/>
              <w:rPr>
                <w:sz w:val="24"/>
                <w:szCs w:val="24"/>
              </w:rPr>
            </w:pPr>
          </w:p>
        </w:tc>
      </w:tr>
      <w:tr w:rsidR="00E570C4" w:rsidRPr="005B2FA9" w14:paraId="47EFE0EA" w14:textId="77777777" w:rsidTr="001917A0">
        <w:trPr>
          <w:gridBefore w:val="1"/>
          <w:wBefore w:w="543" w:type="dxa"/>
          <w:trHeight w:val="361"/>
        </w:trPr>
        <w:tc>
          <w:tcPr>
            <w:tcW w:w="4099" w:type="dxa"/>
          </w:tcPr>
          <w:p w14:paraId="063E13A1" w14:textId="579E797E" w:rsidR="00E570C4" w:rsidRPr="00EC50F7" w:rsidRDefault="00515B3E" w:rsidP="00A57896">
            <w:pPr>
              <w:shd w:val="clear" w:color="auto" w:fill="FFFFFF"/>
              <w:ind w:left="1287"/>
              <w:rPr>
                <w:sz w:val="24"/>
                <w:szCs w:val="24"/>
              </w:rPr>
            </w:pPr>
            <w:proofErr w:type="spellStart"/>
            <w:r w:rsidRPr="00EC50F7">
              <w:rPr>
                <w:sz w:val="24"/>
                <w:szCs w:val="24"/>
              </w:rPr>
              <w:t>E</w:t>
            </w:r>
            <w:r w:rsidR="00E570C4" w:rsidRPr="00EC50F7">
              <w:rPr>
                <w:sz w:val="24"/>
                <w:szCs w:val="24"/>
              </w:rPr>
              <w:t>.</w:t>
            </w:r>
            <w:r w:rsidR="00505E93" w:rsidRPr="00EC50F7">
              <w:rPr>
                <w:sz w:val="24"/>
                <w:szCs w:val="24"/>
              </w:rPr>
              <w:t>Siliņa</w:t>
            </w:r>
            <w:proofErr w:type="spellEnd"/>
          </w:p>
        </w:tc>
        <w:tc>
          <w:tcPr>
            <w:tcW w:w="4678" w:type="dxa"/>
          </w:tcPr>
          <w:p w14:paraId="5E60F04F" w14:textId="40F23D62" w:rsidR="00E570C4" w:rsidRPr="005B2FA9" w:rsidRDefault="00E570C4" w:rsidP="00A57896">
            <w:pPr>
              <w:shd w:val="clear" w:color="auto" w:fill="FFFFFF"/>
              <w:jc w:val="center"/>
              <w:rPr>
                <w:sz w:val="24"/>
                <w:szCs w:val="24"/>
              </w:rPr>
            </w:pPr>
            <w:proofErr w:type="spellStart"/>
            <w:r w:rsidRPr="00EC50F7">
              <w:rPr>
                <w:sz w:val="24"/>
                <w:szCs w:val="24"/>
              </w:rPr>
              <w:t>G.Kaminskis</w:t>
            </w:r>
            <w:proofErr w:type="spellEnd"/>
          </w:p>
        </w:tc>
      </w:tr>
    </w:tbl>
    <w:p w14:paraId="678186E1" w14:textId="77777777" w:rsidR="006346BD" w:rsidRDefault="006346BD" w:rsidP="001917A0">
      <w:pPr>
        <w:jc w:val="both"/>
        <w:rPr>
          <w:b/>
          <w:sz w:val="24"/>
          <w:szCs w:val="24"/>
        </w:rPr>
      </w:pPr>
    </w:p>
    <w:sectPr w:rsidR="006346BD" w:rsidSect="000521D7">
      <w:headerReference w:type="default" r:id="rId11"/>
      <w:footerReference w:type="default" r:id="rId12"/>
      <w:headerReference w:type="first" r:id="rId13"/>
      <w:pgSz w:w="11907" w:h="16840" w:code="9"/>
      <w:pgMar w:top="1134" w:right="1134" w:bottom="1134"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40C4" w14:textId="77777777" w:rsidR="00747919" w:rsidRDefault="00747919" w:rsidP="00436629">
      <w:r>
        <w:separator/>
      </w:r>
    </w:p>
  </w:endnote>
  <w:endnote w:type="continuationSeparator" w:id="0">
    <w:p w14:paraId="53D53E0E" w14:textId="77777777" w:rsidR="00747919" w:rsidRDefault="00747919"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83A1" w14:textId="77777777" w:rsidR="00747919" w:rsidRDefault="00747919" w:rsidP="00436629">
      <w:r>
        <w:separator/>
      </w:r>
    </w:p>
  </w:footnote>
  <w:footnote w:type="continuationSeparator" w:id="0">
    <w:p w14:paraId="73875D9B" w14:textId="77777777" w:rsidR="00747919" w:rsidRDefault="00747919" w:rsidP="00436629">
      <w:r>
        <w:continuationSeparator/>
      </w:r>
    </w:p>
  </w:footnote>
  <w:footnote w:id="1">
    <w:p w14:paraId="517AEC2A" w14:textId="77777777" w:rsidR="0036076C" w:rsidRPr="00182D6F" w:rsidRDefault="0036076C" w:rsidP="0036076C">
      <w:pPr>
        <w:pStyle w:val="FootnoteText"/>
        <w:jc w:val="both"/>
        <w:rPr>
          <w:i/>
          <w:iCs/>
        </w:rPr>
      </w:pPr>
      <w:r>
        <w:rPr>
          <w:rStyle w:val="FootnoteReference"/>
        </w:rPr>
        <w:footnoteRef/>
      </w:r>
      <w:r>
        <w:t xml:space="preserve"> </w:t>
      </w:r>
      <w:r w:rsidRPr="00182D6F">
        <w:rPr>
          <w:i/>
          <w:iCs/>
        </w:rPr>
        <w:t>1. Preventīvā: Eiropas Parlamenta un Padomes Regula (ES) 2024/1263 (2024. gada 29. aprīlis) par ekonomikas politikas efektīvu koordināciju un budžeta daudzpusēju uzraudzību un ar ko atceļ Padomes Regulu (EK) Nr. 1466/97;</w:t>
      </w:r>
    </w:p>
    <w:p w14:paraId="73C2F314" w14:textId="77777777" w:rsidR="0036076C" w:rsidRPr="00182D6F" w:rsidRDefault="0036076C" w:rsidP="0036076C">
      <w:pPr>
        <w:pStyle w:val="FootnoteText"/>
        <w:jc w:val="both"/>
        <w:rPr>
          <w:i/>
          <w:iCs/>
        </w:rPr>
      </w:pPr>
      <w:r w:rsidRPr="00182D6F">
        <w:rPr>
          <w:i/>
          <w:iCs/>
        </w:rPr>
        <w:t>2. Korektīvā: Padomes Regula (ES) 2024/1264 (2024. gada 29. aprīlis), ar ko groza Regulu (EK) Nr. 1467/97 par to, kā paātrināt un precizēt pārmērīga budžeta deficīta novēršanas procedūras īstenošanu.</w:t>
      </w:r>
    </w:p>
    <w:p w14:paraId="18F42EB8" w14:textId="77777777" w:rsidR="0036076C" w:rsidRPr="00182D6F" w:rsidRDefault="0036076C" w:rsidP="0036076C">
      <w:pPr>
        <w:pStyle w:val="FootnoteText"/>
        <w:jc w:val="both"/>
        <w:rPr>
          <w:i/>
          <w:iCs/>
        </w:rPr>
      </w:pPr>
      <w:r w:rsidRPr="00182D6F">
        <w:rPr>
          <w:i/>
          <w:iCs/>
        </w:rPr>
        <w:t>3. Direktīva (par vidēja termiņa ietvariem): Padomes Direktīva (ES) 2024/1265 (2024. gada 29. aprīlis), ar ko groza Direktīvu 2011/85/ES par prasībām dalībvalstu budžeta struktūrām.</w:t>
      </w:r>
    </w:p>
  </w:footnote>
  <w:footnote w:id="2">
    <w:p w14:paraId="4C53235B" w14:textId="512E8CA2" w:rsidR="00CE36BD" w:rsidRPr="00182D6F" w:rsidRDefault="00CE36BD" w:rsidP="00CE36BD">
      <w:pPr>
        <w:pStyle w:val="Heading4"/>
        <w:shd w:val="clear" w:color="auto" w:fill="FFFFFF"/>
        <w:jc w:val="both"/>
        <w:rPr>
          <w:rFonts w:ascii="Times New Roman" w:eastAsia="Times New Roman" w:hAnsi="Times New Roman" w:cs="Times New Roman"/>
          <w:color w:val="auto"/>
          <w:lang w:eastAsia="lv-LV" w:bidi="lo-LA"/>
        </w:rPr>
      </w:pPr>
      <w:r w:rsidRPr="00182D6F">
        <w:rPr>
          <w:rStyle w:val="FootnoteReference"/>
        </w:rPr>
        <w:footnoteRef/>
      </w:r>
      <w:r w:rsidRPr="00182D6F">
        <w:rPr>
          <w:rFonts w:ascii="Times New Roman" w:eastAsia="Times New Roman" w:hAnsi="Times New Roman" w:cs="Times New Roman"/>
          <w:color w:val="auto"/>
          <w:lang w:eastAsia="lv-LV" w:bidi="lo-LA"/>
        </w:rPr>
        <w:t xml:space="preserve">MK 2024.gada </w:t>
      </w:r>
      <w:r w:rsidR="00750520">
        <w:rPr>
          <w:rFonts w:ascii="Times New Roman" w:eastAsia="Times New Roman" w:hAnsi="Times New Roman" w:cs="Times New Roman"/>
          <w:color w:val="auto"/>
          <w:lang w:eastAsia="lv-LV" w:bidi="lo-LA"/>
        </w:rPr>
        <w:t>9</w:t>
      </w:r>
      <w:r w:rsidRPr="00182D6F">
        <w:rPr>
          <w:rFonts w:ascii="Times New Roman" w:eastAsia="Times New Roman" w:hAnsi="Times New Roman" w:cs="Times New Roman"/>
          <w:color w:val="auto"/>
          <w:lang w:eastAsia="lv-LV" w:bidi="lo-LA"/>
        </w:rPr>
        <w:t xml:space="preserve">.jūlija sēdes Nr. 28  </w:t>
      </w:r>
      <w:r w:rsidRPr="00182D6F">
        <w:rPr>
          <w:rFonts w:ascii="Times New Roman" w:hAnsi="Times New Roman" w:cs="Times New Roman"/>
          <w:color w:val="auto"/>
          <w:shd w:val="clear" w:color="auto" w:fill="FFFFFF"/>
        </w:rPr>
        <w:t>57.§</w:t>
      </w:r>
      <w:r w:rsidRPr="00182D6F">
        <w:rPr>
          <w:rFonts w:ascii="Times New Roman" w:eastAsia="Times New Roman" w:hAnsi="Times New Roman" w:cs="Times New Roman"/>
          <w:color w:val="auto"/>
          <w:lang w:eastAsia="lv-LV" w:bidi="lo-LA"/>
        </w:rPr>
        <w:t xml:space="preserve">  lēmums “</w:t>
      </w:r>
      <w:r w:rsidRPr="00182D6F">
        <w:rPr>
          <w:rFonts w:ascii="Times New Roman" w:hAnsi="Times New Roman" w:cs="Times New Roman"/>
          <w:color w:val="auto"/>
        </w:rPr>
        <w:t>I</w:t>
      </w:r>
      <w:r w:rsidRPr="00182D6F">
        <w:rPr>
          <w:rFonts w:ascii="Times New Roman" w:hAnsi="Times New Roman" w:cs="Times New Roman"/>
          <w:color w:val="auto"/>
          <w:shd w:val="clear" w:color="auto" w:fill="FFFFFF"/>
        </w:rPr>
        <w:t>nformatīvais ziņojums "Par papildu finansējuma aizdevuma formā piešķiršanu Rīgas valstspilsētas pašvaldībai projekta “Satiksmes pārvads no Tvaika ielas uz Kundziņsalu” īstenošanai"</w:t>
      </w:r>
      <w:r w:rsidRPr="00182D6F">
        <w:rPr>
          <w:rFonts w:ascii="Times New Roman" w:eastAsia="Times New Roman" w:hAnsi="Times New Roman" w:cs="Times New Roman"/>
          <w:color w:val="auto"/>
          <w:lang w:eastAsia="lv-LV" w:bidi="lo-LA"/>
        </w:rPr>
        <w:t xml:space="preserve"> </w:t>
      </w:r>
      <w:bookmarkStart w:id="12" w:name="_Hlk177048254"/>
      <w:r w:rsidRPr="00182D6F">
        <w:rPr>
          <w:rFonts w:ascii="Times New Roman" w:eastAsia="Times New Roman" w:hAnsi="Times New Roman" w:cs="Times New Roman"/>
          <w:color w:val="auto"/>
          <w:lang w:eastAsia="lv-LV" w:bidi="lo-LA"/>
        </w:rPr>
        <w:t>(</w:t>
      </w:r>
      <w:r w:rsidRPr="00182D6F">
        <w:rPr>
          <w:rFonts w:ascii="Times New Roman" w:hAnsi="Times New Roman" w:cs="Times New Roman"/>
          <w:color w:val="auto"/>
          <w:shd w:val="clear" w:color="auto" w:fill="FFFFFF"/>
        </w:rPr>
        <w:t xml:space="preserve">24-TA-1613). </w:t>
      </w:r>
      <w:bookmarkEnd w:id="12"/>
    </w:p>
  </w:footnote>
  <w:footnote w:id="3">
    <w:p w14:paraId="2C803A58" w14:textId="77777777" w:rsidR="00CE36BD" w:rsidRPr="00182D6F" w:rsidRDefault="00CE36BD" w:rsidP="00CE36BD">
      <w:pPr>
        <w:jc w:val="both"/>
        <w:rPr>
          <w:bCs/>
          <w:i/>
          <w:shd w:val="clear" w:color="auto" w:fill="FFFFFF"/>
        </w:rPr>
      </w:pPr>
      <w:r w:rsidRPr="00182D6F">
        <w:rPr>
          <w:rStyle w:val="FootnoteReference"/>
        </w:rPr>
        <w:footnoteRef/>
      </w:r>
      <w:r w:rsidRPr="00182D6F">
        <w:t xml:space="preserve"> </w:t>
      </w:r>
      <w:r w:rsidRPr="00182D6F">
        <w:rPr>
          <w:bCs/>
          <w:i/>
          <w:shd w:val="clear" w:color="auto" w:fill="FFFFFF"/>
        </w:rPr>
        <w:t>Saskaņā ar Ceļu satiksmes likuma 1.pantu ceļš</w:t>
      </w:r>
      <w:r w:rsidRPr="00182D6F">
        <w:rPr>
          <w:i/>
          <w:shd w:val="clear" w:color="auto" w:fill="FFFFFF"/>
        </w:rPr>
        <w:t> ir  jebkura satiksmei izbūvēta teritorija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w:t>
      </w:r>
    </w:p>
    <w:p w14:paraId="4E4B051B" w14:textId="77777777" w:rsidR="00CE36BD" w:rsidRPr="00182D6F" w:rsidRDefault="00CE36BD" w:rsidP="00CE36BD">
      <w:pPr>
        <w:jc w:val="both"/>
        <w:rPr>
          <w:rFonts w:ascii="Arial" w:hAnsi="Arial" w:cs="Arial"/>
          <w:i/>
          <w:shd w:val="clear" w:color="auto" w:fill="FFFFFF"/>
        </w:rPr>
      </w:pPr>
    </w:p>
    <w:p w14:paraId="2F0FAD0F" w14:textId="77777777" w:rsidR="00CE36BD" w:rsidRDefault="00CE36BD" w:rsidP="00CE36BD">
      <w:pPr>
        <w:pStyle w:val="FootnoteText"/>
      </w:pPr>
    </w:p>
    <w:p w14:paraId="076EE089" w14:textId="77777777" w:rsidR="00CE36BD" w:rsidRDefault="00CE36BD" w:rsidP="00CE36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1052" w14:textId="63189F3F" w:rsidR="004D05EA" w:rsidRPr="001F13CF" w:rsidRDefault="004D05EA">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A24601">
      <w:rPr>
        <w:rStyle w:val="PageNumber"/>
        <w:bCs/>
        <w:noProof/>
      </w:rPr>
      <w:t>9</w:t>
    </w:r>
    <w:r w:rsidRPr="001F13CF">
      <w:rPr>
        <w:rStyle w:val="PageNumber"/>
        <w:bCs/>
      </w:rPr>
      <w:fldChar w:fldCharType="end"/>
    </w:r>
  </w:p>
  <w:p w14:paraId="05B81281" w14:textId="77777777" w:rsidR="004D05EA" w:rsidRDefault="004D05EA">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E1D" w14:textId="77777777" w:rsidR="004D05EA" w:rsidRDefault="004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EE5"/>
    <w:multiLevelType w:val="multilevel"/>
    <w:tmpl w:val="0024D35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992FBF"/>
    <w:multiLevelType w:val="hybridMultilevel"/>
    <w:tmpl w:val="E5220626"/>
    <w:lvl w:ilvl="0" w:tplc="C9845568">
      <w:start w:val="1"/>
      <w:numFmt w:val="decimal"/>
      <w:lvlText w:val="%1."/>
      <w:lvlJc w:val="left"/>
      <w:pPr>
        <w:ind w:left="927" w:hanging="360"/>
      </w:pPr>
      <w:rPr>
        <w:rFonts w:ascii="Times New Roman" w:hAnsi="Times New Roman"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330D8D"/>
    <w:multiLevelType w:val="multilevel"/>
    <w:tmpl w:val="11CCFB9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B63074C"/>
    <w:multiLevelType w:val="hybridMultilevel"/>
    <w:tmpl w:val="29E6BC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EC66B3B"/>
    <w:multiLevelType w:val="hybridMultilevel"/>
    <w:tmpl w:val="316AFBB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9F64FD"/>
    <w:multiLevelType w:val="hybridMultilevel"/>
    <w:tmpl w:val="FF0AC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024D8D"/>
    <w:multiLevelType w:val="multilevel"/>
    <w:tmpl w:val="78804DF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7EA26F7"/>
    <w:multiLevelType w:val="multilevel"/>
    <w:tmpl w:val="389E7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A4B92"/>
    <w:multiLevelType w:val="hybridMultilevel"/>
    <w:tmpl w:val="B5A40824"/>
    <w:lvl w:ilvl="0" w:tplc="AD064E7A">
      <w:start w:val="1"/>
      <w:numFmt w:val="decimal"/>
      <w:lvlText w:val="%1."/>
      <w:lvlJc w:val="left"/>
      <w:pPr>
        <w:ind w:left="720" w:hanging="360"/>
      </w:pPr>
      <w:rPr>
        <w:rFonts w:ascii="Times New Roman" w:eastAsia="Calibri"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DC7D52"/>
    <w:multiLevelType w:val="hybridMultilevel"/>
    <w:tmpl w:val="0C568B5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CE0A61"/>
    <w:multiLevelType w:val="hybridMultilevel"/>
    <w:tmpl w:val="A01CB96E"/>
    <w:lvl w:ilvl="0" w:tplc="0426000F">
      <w:start w:val="1"/>
      <w:numFmt w:val="decimal"/>
      <w:lvlText w:val="%1."/>
      <w:lvlJc w:val="left"/>
      <w:pPr>
        <w:ind w:left="26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F65919"/>
    <w:multiLevelType w:val="hybridMultilevel"/>
    <w:tmpl w:val="2D1259A8"/>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DE6006"/>
    <w:multiLevelType w:val="hybridMultilevel"/>
    <w:tmpl w:val="AC6C22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FCA1735"/>
    <w:multiLevelType w:val="hybridMultilevel"/>
    <w:tmpl w:val="9704F2E0"/>
    <w:lvl w:ilvl="0" w:tplc="8B28E046">
      <w:start w:val="3"/>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30BB319C"/>
    <w:multiLevelType w:val="multilevel"/>
    <w:tmpl w:val="C53066B2"/>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6" w15:restartNumberingAfterBreak="0">
    <w:nsid w:val="37F73665"/>
    <w:multiLevelType w:val="hybridMultilevel"/>
    <w:tmpl w:val="B4EAF3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3B70B8"/>
    <w:multiLevelType w:val="hybridMultilevel"/>
    <w:tmpl w:val="059EF3C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C653AF"/>
    <w:multiLevelType w:val="multilevel"/>
    <w:tmpl w:val="2A16D4B0"/>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0195E"/>
    <w:multiLevelType w:val="hybridMultilevel"/>
    <w:tmpl w:val="5EB82236"/>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EF173E"/>
    <w:multiLevelType w:val="hybridMultilevel"/>
    <w:tmpl w:val="CF30F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B04B6B"/>
    <w:multiLevelType w:val="hybridMultilevel"/>
    <w:tmpl w:val="52ACE436"/>
    <w:lvl w:ilvl="0" w:tplc="67440770">
      <w:start w:val="1"/>
      <w:numFmt w:val="decimal"/>
      <w:lvlText w:val="%1."/>
      <w:lvlJc w:val="left"/>
      <w:pPr>
        <w:ind w:left="36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541966"/>
    <w:multiLevelType w:val="hybridMultilevel"/>
    <w:tmpl w:val="1C069D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6B723F"/>
    <w:multiLevelType w:val="multilevel"/>
    <w:tmpl w:val="3F2E18A4"/>
    <w:lvl w:ilvl="0">
      <w:start w:val="1"/>
      <w:numFmt w:val="decimal"/>
      <w:lvlText w:val="%1."/>
      <w:lvlJc w:val="left"/>
      <w:pPr>
        <w:ind w:left="360" w:hanging="360"/>
      </w:pPr>
      <w:rPr>
        <w:b w:val="0"/>
        <w:bCs w:val="0"/>
        <w:i w:val="0"/>
        <w:iCs w:val="0"/>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C9A430D"/>
    <w:multiLevelType w:val="multilevel"/>
    <w:tmpl w:val="326491D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0BE275A"/>
    <w:multiLevelType w:val="hybridMultilevel"/>
    <w:tmpl w:val="095C7F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321327"/>
    <w:multiLevelType w:val="hybridMultilevel"/>
    <w:tmpl w:val="1BC82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F12FBC"/>
    <w:multiLevelType w:val="hybridMultilevel"/>
    <w:tmpl w:val="A7D644C0"/>
    <w:lvl w:ilvl="0" w:tplc="B0A2A496">
      <w:start w:val="3"/>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AC315F9"/>
    <w:multiLevelType w:val="hybridMultilevel"/>
    <w:tmpl w:val="2E8058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A43A9D"/>
    <w:multiLevelType w:val="hybridMultilevel"/>
    <w:tmpl w:val="5FE653D8"/>
    <w:lvl w:ilvl="0" w:tplc="D60E5A9A">
      <w:start w:val="1"/>
      <w:numFmt w:val="decimal"/>
      <w:lvlText w:val="%1."/>
      <w:lvlJc w:val="left"/>
      <w:pPr>
        <w:ind w:left="720" w:hanging="360"/>
      </w:pPr>
      <w:rPr>
        <w:rFonts w:ascii="Times New Roman" w:eastAsia="Calibri"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C10BDB"/>
    <w:multiLevelType w:val="multilevel"/>
    <w:tmpl w:val="AAFCFD7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E533290"/>
    <w:multiLevelType w:val="hybridMultilevel"/>
    <w:tmpl w:val="0D2CAF8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72E16369"/>
    <w:multiLevelType w:val="hybridMultilevel"/>
    <w:tmpl w:val="5090093C"/>
    <w:lvl w:ilvl="0" w:tplc="EA04479A">
      <w:start w:val="2"/>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3" w15:restartNumberingAfterBreak="0">
    <w:nsid w:val="792D0190"/>
    <w:multiLevelType w:val="hybridMultilevel"/>
    <w:tmpl w:val="D142644C"/>
    <w:lvl w:ilvl="0" w:tplc="0426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6081969">
    <w:abstractNumId w:val="15"/>
  </w:num>
  <w:num w:numId="2" w16cid:durableId="1508251384">
    <w:abstractNumId w:val="16"/>
  </w:num>
  <w:num w:numId="3" w16cid:durableId="1949972219">
    <w:abstractNumId w:val="31"/>
  </w:num>
  <w:num w:numId="4" w16cid:durableId="2048798765">
    <w:abstractNumId w:val="23"/>
  </w:num>
  <w:num w:numId="5" w16cid:durableId="1841043773">
    <w:abstractNumId w:val="22"/>
  </w:num>
  <w:num w:numId="6" w16cid:durableId="1944262516">
    <w:abstractNumId w:val="1"/>
  </w:num>
  <w:num w:numId="7" w16cid:durableId="1431271095">
    <w:abstractNumId w:val="24"/>
  </w:num>
  <w:num w:numId="8" w16cid:durableId="835611278">
    <w:abstractNumId w:val="6"/>
  </w:num>
  <w:num w:numId="9" w16cid:durableId="1849363734">
    <w:abstractNumId w:val="30"/>
  </w:num>
  <w:num w:numId="10" w16cid:durableId="511143395">
    <w:abstractNumId w:val="14"/>
  </w:num>
  <w:num w:numId="11" w16cid:durableId="898705274">
    <w:abstractNumId w:val="2"/>
  </w:num>
  <w:num w:numId="12" w16cid:durableId="905264565">
    <w:abstractNumId w:val="17"/>
  </w:num>
  <w:num w:numId="13" w16cid:durableId="628054741">
    <w:abstractNumId w:val="28"/>
  </w:num>
  <w:num w:numId="14" w16cid:durableId="913275929">
    <w:abstractNumId w:val="4"/>
  </w:num>
  <w:num w:numId="15" w16cid:durableId="267130523">
    <w:abstractNumId w:val="33"/>
  </w:num>
  <w:num w:numId="16" w16cid:durableId="925530011">
    <w:abstractNumId w:val="10"/>
  </w:num>
  <w:num w:numId="17" w16cid:durableId="534662899">
    <w:abstractNumId w:val="29"/>
  </w:num>
  <w:num w:numId="18" w16cid:durableId="705763648">
    <w:abstractNumId w:val="0"/>
  </w:num>
  <w:num w:numId="19" w16cid:durableId="138574622">
    <w:abstractNumId w:val="26"/>
  </w:num>
  <w:num w:numId="20" w16cid:durableId="1980458914">
    <w:abstractNumId w:val="3"/>
  </w:num>
  <w:num w:numId="21" w16cid:durableId="1009797641">
    <w:abstractNumId w:val="8"/>
  </w:num>
  <w:num w:numId="22" w16cid:durableId="959535266">
    <w:abstractNumId w:val="32"/>
  </w:num>
  <w:num w:numId="23" w16cid:durableId="1182357335">
    <w:abstractNumId w:val="7"/>
  </w:num>
  <w:num w:numId="24" w16cid:durableId="652293758">
    <w:abstractNumId w:val="18"/>
  </w:num>
  <w:num w:numId="25" w16cid:durableId="2055764261">
    <w:abstractNumId w:val="20"/>
  </w:num>
  <w:num w:numId="26" w16cid:durableId="501891130">
    <w:abstractNumId w:val="12"/>
  </w:num>
  <w:num w:numId="27" w16cid:durableId="1405254223">
    <w:abstractNumId w:val="21"/>
  </w:num>
  <w:num w:numId="28" w16cid:durableId="2134403031">
    <w:abstractNumId w:val="5"/>
  </w:num>
  <w:num w:numId="29" w16cid:durableId="1895122800">
    <w:abstractNumId w:val="13"/>
  </w:num>
  <w:num w:numId="30" w16cid:durableId="470439294">
    <w:abstractNumId w:val="11"/>
  </w:num>
  <w:num w:numId="31" w16cid:durableId="201292250">
    <w:abstractNumId w:val="25"/>
  </w:num>
  <w:num w:numId="32" w16cid:durableId="177891329">
    <w:abstractNumId w:val="19"/>
  </w:num>
  <w:num w:numId="33" w16cid:durableId="838429935">
    <w:abstractNumId w:val="27"/>
  </w:num>
  <w:num w:numId="34" w16cid:durableId="140136829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9"/>
    <w:rsid w:val="0000035E"/>
    <w:rsid w:val="000010D2"/>
    <w:rsid w:val="000019D0"/>
    <w:rsid w:val="00001C0D"/>
    <w:rsid w:val="00001C25"/>
    <w:rsid w:val="0000232E"/>
    <w:rsid w:val="00002B91"/>
    <w:rsid w:val="0000418D"/>
    <w:rsid w:val="00004825"/>
    <w:rsid w:val="000048AD"/>
    <w:rsid w:val="0000515A"/>
    <w:rsid w:val="0000589D"/>
    <w:rsid w:val="0000708B"/>
    <w:rsid w:val="0001114B"/>
    <w:rsid w:val="000118FD"/>
    <w:rsid w:val="00012483"/>
    <w:rsid w:val="0001276B"/>
    <w:rsid w:val="0001286F"/>
    <w:rsid w:val="000129D1"/>
    <w:rsid w:val="00012DBB"/>
    <w:rsid w:val="0001390B"/>
    <w:rsid w:val="00013B53"/>
    <w:rsid w:val="00013FA4"/>
    <w:rsid w:val="00014AD7"/>
    <w:rsid w:val="0001618F"/>
    <w:rsid w:val="00017965"/>
    <w:rsid w:val="00020B77"/>
    <w:rsid w:val="00021DB1"/>
    <w:rsid w:val="00022583"/>
    <w:rsid w:val="00022F91"/>
    <w:rsid w:val="00023493"/>
    <w:rsid w:val="0002353A"/>
    <w:rsid w:val="00023A4C"/>
    <w:rsid w:val="00023C4B"/>
    <w:rsid w:val="00023C7A"/>
    <w:rsid w:val="00024996"/>
    <w:rsid w:val="000274F6"/>
    <w:rsid w:val="00027C36"/>
    <w:rsid w:val="00030500"/>
    <w:rsid w:val="0003053C"/>
    <w:rsid w:val="0003088C"/>
    <w:rsid w:val="00031409"/>
    <w:rsid w:val="0003153E"/>
    <w:rsid w:val="00032214"/>
    <w:rsid w:val="000328A5"/>
    <w:rsid w:val="00033D97"/>
    <w:rsid w:val="000359AE"/>
    <w:rsid w:val="000368DD"/>
    <w:rsid w:val="000370DA"/>
    <w:rsid w:val="0004039A"/>
    <w:rsid w:val="000420EF"/>
    <w:rsid w:val="000440DE"/>
    <w:rsid w:val="00044383"/>
    <w:rsid w:val="00045BA1"/>
    <w:rsid w:val="00047058"/>
    <w:rsid w:val="00047DA0"/>
    <w:rsid w:val="000502DE"/>
    <w:rsid w:val="000521D7"/>
    <w:rsid w:val="00054024"/>
    <w:rsid w:val="00054E98"/>
    <w:rsid w:val="00054FC0"/>
    <w:rsid w:val="000556D4"/>
    <w:rsid w:val="00055787"/>
    <w:rsid w:val="00056601"/>
    <w:rsid w:val="00056D45"/>
    <w:rsid w:val="00057C74"/>
    <w:rsid w:val="000601B3"/>
    <w:rsid w:val="00060975"/>
    <w:rsid w:val="00060A4C"/>
    <w:rsid w:val="0006185C"/>
    <w:rsid w:val="00061BBC"/>
    <w:rsid w:val="000627D6"/>
    <w:rsid w:val="0006330A"/>
    <w:rsid w:val="00064EF8"/>
    <w:rsid w:val="00065262"/>
    <w:rsid w:val="000661FE"/>
    <w:rsid w:val="00066EBE"/>
    <w:rsid w:val="000675FA"/>
    <w:rsid w:val="00067933"/>
    <w:rsid w:val="00067B58"/>
    <w:rsid w:val="000700FA"/>
    <w:rsid w:val="0007037B"/>
    <w:rsid w:val="00070A09"/>
    <w:rsid w:val="00071139"/>
    <w:rsid w:val="00073F19"/>
    <w:rsid w:val="00074FF8"/>
    <w:rsid w:val="00075EA0"/>
    <w:rsid w:val="000777E0"/>
    <w:rsid w:val="0008055E"/>
    <w:rsid w:val="00080DA7"/>
    <w:rsid w:val="00080F2B"/>
    <w:rsid w:val="00081F40"/>
    <w:rsid w:val="000823DD"/>
    <w:rsid w:val="000838C1"/>
    <w:rsid w:val="00083AFA"/>
    <w:rsid w:val="00083C80"/>
    <w:rsid w:val="00084649"/>
    <w:rsid w:val="00085598"/>
    <w:rsid w:val="0008593E"/>
    <w:rsid w:val="00085C85"/>
    <w:rsid w:val="00086E7A"/>
    <w:rsid w:val="0008744F"/>
    <w:rsid w:val="0008753B"/>
    <w:rsid w:val="00090F7B"/>
    <w:rsid w:val="00091BD7"/>
    <w:rsid w:val="00092D76"/>
    <w:rsid w:val="000937B1"/>
    <w:rsid w:val="000942A8"/>
    <w:rsid w:val="000949DF"/>
    <w:rsid w:val="000A01F8"/>
    <w:rsid w:val="000A0784"/>
    <w:rsid w:val="000A0F14"/>
    <w:rsid w:val="000A2ECD"/>
    <w:rsid w:val="000A4009"/>
    <w:rsid w:val="000A53F3"/>
    <w:rsid w:val="000A6825"/>
    <w:rsid w:val="000A7673"/>
    <w:rsid w:val="000A7E10"/>
    <w:rsid w:val="000B0445"/>
    <w:rsid w:val="000B1B05"/>
    <w:rsid w:val="000B2954"/>
    <w:rsid w:val="000B3AD2"/>
    <w:rsid w:val="000B4027"/>
    <w:rsid w:val="000B4072"/>
    <w:rsid w:val="000B554C"/>
    <w:rsid w:val="000B6237"/>
    <w:rsid w:val="000B676C"/>
    <w:rsid w:val="000B79D4"/>
    <w:rsid w:val="000B7EEF"/>
    <w:rsid w:val="000C0035"/>
    <w:rsid w:val="000C066A"/>
    <w:rsid w:val="000C117D"/>
    <w:rsid w:val="000C13D1"/>
    <w:rsid w:val="000C1990"/>
    <w:rsid w:val="000C19C8"/>
    <w:rsid w:val="000C281E"/>
    <w:rsid w:val="000C6079"/>
    <w:rsid w:val="000D0201"/>
    <w:rsid w:val="000D0357"/>
    <w:rsid w:val="000D081A"/>
    <w:rsid w:val="000D08B6"/>
    <w:rsid w:val="000D0F34"/>
    <w:rsid w:val="000D1EA4"/>
    <w:rsid w:val="000D3A27"/>
    <w:rsid w:val="000D3FFB"/>
    <w:rsid w:val="000D4B3F"/>
    <w:rsid w:val="000D5571"/>
    <w:rsid w:val="000D5A3A"/>
    <w:rsid w:val="000D5A92"/>
    <w:rsid w:val="000D601A"/>
    <w:rsid w:val="000E1C0C"/>
    <w:rsid w:val="000E2E68"/>
    <w:rsid w:val="000E3789"/>
    <w:rsid w:val="000E3937"/>
    <w:rsid w:val="000E3CDA"/>
    <w:rsid w:val="000E3E4A"/>
    <w:rsid w:val="000E45BF"/>
    <w:rsid w:val="000E4D31"/>
    <w:rsid w:val="000E5395"/>
    <w:rsid w:val="000E5C10"/>
    <w:rsid w:val="000E6719"/>
    <w:rsid w:val="000E68C7"/>
    <w:rsid w:val="000E75B2"/>
    <w:rsid w:val="000F1821"/>
    <w:rsid w:val="000F1CA1"/>
    <w:rsid w:val="000F279F"/>
    <w:rsid w:val="000F2A4A"/>
    <w:rsid w:val="000F3073"/>
    <w:rsid w:val="000F465E"/>
    <w:rsid w:val="000F4C7B"/>
    <w:rsid w:val="000F4CFA"/>
    <w:rsid w:val="000F5166"/>
    <w:rsid w:val="000F6044"/>
    <w:rsid w:val="000F7053"/>
    <w:rsid w:val="000F75E7"/>
    <w:rsid w:val="001000C4"/>
    <w:rsid w:val="0010037B"/>
    <w:rsid w:val="001017B1"/>
    <w:rsid w:val="00103926"/>
    <w:rsid w:val="00103BDA"/>
    <w:rsid w:val="00103FC6"/>
    <w:rsid w:val="001046F3"/>
    <w:rsid w:val="00104ACE"/>
    <w:rsid w:val="001062B5"/>
    <w:rsid w:val="001067C4"/>
    <w:rsid w:val="00110958"/>
    <w:rsid w:val="001109A9"/>
    <w:rsid w:val="00110B46"/>
    <w:rsid w:val="00111294"/>
    <w:rsid w:val="001118DA"/>
    <w:rsid w:val="00111B9C"/>
    <w:rsid w:val="00111C3D"/>
    <w:rsid w:val="00111DB2"/>
    <w:rsid w:val="001120BC"/>
    <w:rsid w:val="00112848"/>
    <w:rsid w:val="0011299C"/>
    <w:rsid w:val="001138EC"/>
    <w:rsid w:val="00114AA2"/>
    <w:rsid w:val="001154A7"/>
    <w:rsid w:val="001159CB"/>
    <w:rsid w:val="00115E78"/>
    <w:rsid w:val="00115FBF"/>
    <w:rsid w:val="00116994"/>
    <w:rsid w:val="001176AD"/>
    <w:rsid w:val="001177BC"/>
    <w:rsid w:val="00117814"/>
    <w:rsid w:val="001228CF"/>
    <w:rsid w:val="00123311"/>
    <w:rsid w:val="00123524"/>
    <w:rsid w:val="00123E83"/>
    <w:rsid w:val="001242E4"/>
    <w:rsid w:val="00124651"/>
    <w:rsid w:val="0012466A"/>
    <w:rsid w:val="00125000"/>
    <w:rsid w:val="001261A5"/>
    <w:rsid w:val="0012699C"/>
    <w:rsid w:val="00126F37"/>
    <w:rsid w:val="001274BF"/>
    <w:rsid w:val="00127C26"/>
    <w:rsid w:val="001303FC"/>
    <w:rsid w:val="001314F4"/>
    <w:rsid w:val="0013200C"/>
    <w:rsid w:val="00132477"/>
    <w:rsid w:val="0013328A"/>
    <w:rsid w:val="001335BD"/>
    <w:rsid w:val="00133739"/>
    <w:rsid w:val="00133981"/>
    <w:rsid w:val="00133A7C"/>
    <w:rsid w:val="00136439"/>
    <w:rsid w:val="00136E7C"/>
    <w:rsid w:val="001375F2"/>
    <w:rsid w:val="00141062"/>
    <w:rsid w:val="00141A6C"/>
    <w:rsid w:val="001437BA"/>
    <w:rsid w:val="00143A2B"/>
    <w:rsid w:val="00143C50"/>
    <w:rsid w:val="001442AA"/>
    <w:rsid w:val="001447E0"/>
    <w:rsid w:val="00144D14"/>
    <w:rsid w:val="00144F2C"/>
    <w:rsid w:val="00146136"/>
    <w:rsid w:val="001463F1"/>
    <w:rsid w:val="00146F8A"/>
    <w:rsid w:val="001470F1"/>
    <w:rsid w:val="001479A4"/>
    <w:rsid w:val="001479D2"/>
    <w:rsid w:val="00147A78"/>
    <w:rsid w:val="001518AC"/>
    <w:rsid w:val="00151C74"/>
    <w:rsid w:val="00152814"/>
    <w:rsid w:val="00152C7C"/>
    <w:rsid w:val="00154672"/>
    <w:rsid w:val="00154B67"/>
    <w:rsid w:val="00156CC7"/>
    <w:rsid w:val="00157EEA"/>
    <w:rsid w:val="001600F6"/>
    <w:rsid w:val="00161F09"/>
    <w:rsid w:val="0016367A"/>
    <w:rsid w:val="00165945"/>
    <w:rsid w:val="00166095"/>
    <w:rsid w:val="00166B89"/>
    <w:rsid w:val="0016701A"/>
    <w:rsid w:val="00167079"/>
    <w:rsid w:val="00167974"/>
    <w:rsid w:val="00167E27"/>
    <w:rsid w:val="001705B4"/>
    <w:rsid w:val="00170AA9"/>
    <w:rsid w:val="00172B2B"/>
    <w:rsid w:val="00172BFE"/>
    <w:rsid w:val="001731FB"/>
    <w:rsid w:val="0017335C"/>
    <w:rsid w:val="00173599"/>
    <w:rsid w:val="00173EEF"/>
    <w:rsid w:val="001743A4"/>
    <w:rsid w:val="00174874"/>
    <w:rsid w:val="00175E4B"/>
    <w:rsid w:val="00176182"/>
    <w:rsid w:val="001761CB"/>
    <w:rsid w:val="00176CB4"/>
    <w:rsid w:val="00177514"/>
    <w:rsid w:val="0018131A"/>
    <w:rsid w:val="00182C78"/>
    <w:rsid w:val="00182D6F"/>
    <w:rsid w:val="00185516"/>
    <w:rsid w:val="001860D1"/>
    <w:rsid w:val="00186E70"/>
    <w:rsid w:val="0018738F"/>
    <w:rsid w:val="00187649"/>
    <w:rsid w:val="0019045C"/>
    <w:rsid w:val="001917A0"/>
    <w:rsid w:val="00191B92"/>
    <w:rsid w:val="001923A7"/>
    <w:rsid w:val="00192D7E"/>
    <w:rsid w:val="00193C30"/>
    <w:rsid w:val="00193DC4"/>
    <w:rsid w:val="00193E0D"/>
    <w:rsid w:val="001944CC"/>
    <w:rsid w:val="001948A7"/>
    <w:rsid w:val="0019527C"/>
    <w:rsid w:val="001957AD"/>
    <w:rsid w:val="0019596F"/>
    <w:rsid w:val="00195E0E"/>
    <w:rsid w:val="00196248"/>
    <w:rsid w:val="00196644"/>
    <w:rsid w:val="001A0023"/>
    <w:rsid w:val="001A0086"/>
    <w:rsid w:val="001A0651"/>
    <w:rsid w:val="001A0656"/>
    <w:rsid w:val="001A0EC9"/>
    <w:rsid w:val="001A2666"/>
    <w:rsid w:val="001A31F1"/>
    <w:rsid w:val="001A3840"/>
    <w:rsid w:val="001A3DBC"/>
    <w:rsid w:val="001A4712"/>
    <w:rsid w:val="001A6713"/>
    <w:rsid w:val="001B113B"/>
    <w:rsid w:val="001B1543"/>
    <w:rsid w:val="001B1D5D"/>
    <w:rsid w:val="001B2DED"/>
    <w:rsid w:val="001B36C0"/>
    <w:rsid w:val="001B3AAB"/>
    <w:rsid w:val="001B446C"/>
    <w:rsid w:val="001B493D"/>
    <w:rsid w:val="001B4A09"/>
    <w:rsid w:val="001B61A6"/>
    <w:rsid w:val="001B65ED"/>
    <w:rsid w:val="001C11A8"/>
    <w:rsid w:val="001C2212"/>
    <w:rsid w:val="001C2496"/>
    <w:rsid w:val="001C2D41"/>
    <w:rsid w:val="001C3DFF"/>
    <w:rsid w:val="001C4064"/>
    <w:rsid w:val="001C496B"/>
    <w:rsid w:val="001C54CA"/>
    <w:rsid w:val="001C59DE"/>
    <w:rsid w:val="001C5C6B"/>
    <w:rsid w:val="001C6D46"/>
    <w:rsid w:val="001D00AA"/>
    <w:rsid w:val="001D0328"/>
    <w:rsid w:val="001D18A1"/>
    <w:rsid w:val="001D203A"/>
    <w:rsid w:val="001D280F"/>
    <w:rsid w:val="001D2EBB"/>
    <w:rsid w:val="001D36B2"/>
    <w:rsid w:val="001D39EE"/>
    <w:rsid w:val="001D3DEB"/>
    <w:rsid w:val="001D4A1F"/>
    <w:rsid w:val="001D4D37"/>
    <w:rsid w:val="001D5A7D"/>
    <w:rsid w:val="001D68ED"/>
    <w:rsid w:val="001D6CC5"/>
    <w:rsid w:val="001E0BFF"/>
    <w:rsid w:val="001E1392"/>
    <w:rsid w:val="001E3703"/>
    <w:rsid w:val="001E3863"/>
    <w:rsid w:val="001E39AA"/>
    <w:rsid w:val="001E3DF6"/>
    <w:rsid w:val="001E4AEB"/>
    <w:rsid w:val="001E5019"/>
    <w:rsid w:val="001F04AD"/>
    <w:rsid w:val="001F1006"/>
    <w:rsid w:val="001F1ACE"/>
    <w:rsid w:val="001F1FEF"/>
    <w:rsid w:val="001F2362"/>
    <w:rsid w:val="001F2846"/>
    <w:rsid w:val="001F2C71"/>
    <w:rsid w:val="001F3077"/>
    <w:rsid w:val="001F46B8"/>
    <w:rsid w:val="001F5FEB"/>
    <w:rsid w:val="001F7083"/>
    <w:rsid w:val="001F768E"/>
    <w:rsid w:val="001F76BF"/>
    <w:rsid w:val="001F7A10"/>
    <w:rsid w:val="00200AC1"/>
    <w:rsid w:val="00201083"/>
    <w:rsid w:val="002025A4"/>
    <w:rsid w:val="00202F84"/>
    <w:rsid w:val="00203216"/>
    <w:rsid w:val="00203BF3"/>
    <w:rsid w:val="0020455B"/>
    <w:rsid w:val="0020534C"/>
    <w:rsid w:val="002058A8"/>
    <w:rsid w:val="00206414"/>
    <w:rsid w:val="00210E1B"/>
    <w:rsid w:val="00212383"/>
    <w:rsid w:val="00212581"/>
    <w:rsid w:val="00212938"/>
    <w:rsid w:val="00212BA0"/>
    <w:rsid w:val="00213844"/>
    <w:rsid w:val="002141E6"/>
    <w:rsid w:val="0021499D"/>
    <w:rsid w:val="00215930"/>
    <w:rsid w:val="00215D9B"/>
    <w:rsid w:val="002164E6"/>
    <w:rsid w:val="0021723F"/>
    <w:rsid w:val="002174D8"/>
    <w:rsid w:val="0022058A"/>
    <w:rsid w:val="0022073C"/>
    <w:rsid w:val="00220969"/>
    <w:rsid w:val="0022383C"/>
    <w:rsid w:val="00224EA2"/>
    <w:rsid w:val="00225438"/>
    <w:rsid w:val="00226ADD"/>
    <w:rsid w:val="002304C3"/>
    <w:rsid w:val="0023060D"/>
    <w:rsid w:val="002306DE"/>
    <w:rsid w:val="00230D1B"/>
    <w:rsid w:val="00230EE7"/>
    <w:rsid w:val="00231656"/>
    <w:rsid w:val="00231AB6"/>
    <w:rsid w:val="002324BE"/>
    <w:rsid w:val="00232CEC"/>
    <w:rsid w:val="00233160"/>
    <w:rsid w:val="00233413"/>
    <w:rsid w:val="00233B90"/>
    <w:rsid w:val="00234049"/>
    <w:rsid w:val="0023485D"/>
    <w:rsid w:val="0023512D"/>
    <w:rsid w:val="002354CC"/>
    <w:rsid w:val="00235AD2"/>
    <w:rsid w:val="00235C15"/>
    <w:rsid w:val="00236642"/>
    <w:rsid w:val="00236C5C"/>
    <w:rsid w:val="00237730"/>
    <w:rsid w:val="00237A5D"/>
    <w:rsid w:val="00237D56"/>
    <w:rsid w:val="00237E9F"/>
    <w:rsid w:val="00237F6F"/>
    <w:rsid w:val="00240054"/>
    <w:rsid w:val="00241F9E"/>
    <w:rsid w:val="00242675"/>
    <w:rsid w:val="00242E40"/>
    <w:rsid w:val="00242EED"/>
    <w:rsid w:val="00243569"/>
    <w:rsid w:val="002440CB"/>
    <w:rsid w:val="0024473F"/>
    <w:rsid w:val="002449BE"/>
    <w:rsid w:val="00244C44"/>
    <w:rsid w:val="002450E0"/>
    <w:rsid w:val="002455C5"/>
    <w:rsid w:val="00246FE1"/>
    <w:rsid w:val="00247489"/>
    <w:rsid w:val="002505E4"/>
    <w:rsid w:val="0025080F"/>
    <w:rsid w:val="00250E34"/>
    <w:rsid w:val="00250E3D"/>
    <w:rsid w:val="002512A3"/>
    <w:rsid w:val="0025144B"/>
    <w:rsid w:val="0025257F"/>
    <w:rsid w:val="002527F4"/>
    <w:rsid w:val="00253BF6"/>
    <w:rsid w:val="00254BEB"/>
    <w:rsid w:val="00254EB1"/>
    <w:rsid w:val="00257B84"/>
    <w:rsid w:val="00257BB3"/>
    <w:rsid w:val="002634AC"/>
    <w:rsid w:val="00263BA4"/>
    <w:rsid w:val="00264526"/>
    <w:rsid w:val="002646A2"/>
    <w:rsid w:val="002659B9"/>
    <w:rsid w:val="00266A02"/>
    <w:rsid w:val="00267B7A"/>
    <w:rsid w:val="00267F4C"/>
    <w:rsid w:val="002706A8"/>
    <w:rsid w:val="0027077E"/>
    <w:rsid w:val="002708C9"/>
    <w:rsid w:val="002732F0"/>
    <w:rsid w:val="0027370F"/>
    <w:rsid w:val="00273DDD"/>
    <w:rsid w:val="00274B88"/>
    <w:rsid w:val="00274E02"/>
    <w:rsid w:val="0027595A"/>
    <w:rsid w:val="002769CC"/>
    <w:rsid w:val="002777A8"/>
    <w:rsid w:val="00280344"/>
    <w:rsid w:val="0028040D"/>
    <w:rsid w:val="002812DB"/>
    <w:rsid w:val="002815A8"/>
    <w:rsid w:val="00281FC6"/>
    <w:rsid w:val="00282DDF"/>
    <w:rsid w:val="00283020"/>
    <w:rsid w:val="00283838"/>
    <w:rsid w:val="00283EEE"/>
    <w:rsid w:val="002844C2"/>
    <w:rsid w:val="0028483F"/>
    <w:rsid w:val="002864A4"/>
    <w:rsid w:val="00287FC2"/>
    <w:rsid w:val="0029030A"/>
    <w:rsid w:val="00290EBC"/>
    <w:rsid w:val="002910C0"/>
    <w:rsid w:val="002921D6"/>
    <w:rsid w:val="002931AE"/>
    <w:rsid w:val="0029335C"/>
    <w:rsid w:val="00293DB9"/>
    <w:rsid w:val="00294722"/>
    <w:rsid w:val="0029532F"/>
    <w:rsid w:val="00295753"/>
    <w:rsid w:val="00295BB5"/>
    <w:rsid w:val="00296161"/>
    <w:rsid w:val="00296336"/>
    <w:rsid w:val="00296997"/>
    <w:rsid w:val="002971E2"/>
    <w:rsid w:val="00297402"/>
    <w:rsid w:val="00297569"/>
    <w:rsid w:val="002A10B6"/>
    <w:rsid w:val="002A1BAF"/>
    <w:rsid w:val="002A22ED"/>
    <w:rsid w:val="002A36FB"/>
    <w:rsid w:val="002A4209"/>
    <w:rsid w:val="002A50A5"/>
    <w:rsid w:val="002A5233"/>
    <w:rsid w:val="002A5BAF"/>
    <w:rsid w:val="002A7882"/>
    <w:rsid w:val="002A7995"/>
    <w:rsid w:val="002B081D"/>
    <w:rsid w:val="002B0C0C"/>
    <w:rsid w:val="002B0F69"/>
    <w:rsid w:val="002B1589"/>
    <w:rsid w:val="002B2126"/>
    <w:rsid w:val="002B26D4"/>
    <w:rsid w:val="002B3169"/>
    <w:rsid w:val="002B3DF8"/>
    <w:rsid w:val="002B64A6"/>
    <w:rsid w:val="002B6B36"/>
    <w:rsid w:val="002B6E4F"/>
    <w:rsid w:val="002B6E5F"/>
    <w:rsid w:val="002B7C0D"/>
    <w:rsid w:val="002C0B5C"/>
    <w:rsid w:val="002C181E"/>
    <w:rsid w:val="002C265C"/>
    <w:rsid w:val="002C2CF8"/>
    <w:rsid w:val="002C48AA"/>
    <w:rsid w:val="002C4B4E"/>
    <w:rsid w:val="002C4E50"/>
    <w:rsid w:val="002C64AC"/>
    <w:rsid w:val="002C6B71"/>
    <w:rsid w:val="002C7704"/>
    <w:rsid w:val="002D06CB"/>
    <w:rsid w:val="002D0F16"/>
    <w:rsid w:val="002D1277"/>
    <w:rsid w:val="002D1779"/>
    <w:rsid w:val="002D2D3A"/>
    <w:rsid w:val="002D3780"/>
    <w:rsid w:val="002D43D2"/>
    <w:rsid w:val="002D49C0"/>
    <w:rsid w:val="002D6A14"/>
    <w:rsid w:val="002D7E08"/>
    <w:rsid w:val="002E05A6"/>
    <w:rsid w:val="002E0C72"/>
    <w:rsid w:val="002E1043"/>
    <w:rsid w:val="002E10A8"/>
    <w:rsid w:val="002E1B39"/>
    <w:rsid w:val="002E2561"/>
    <w:rsid w:val="002E2DB0"/>
    <w:rsid w:val="002E328F"/>
    <w:rsid w:val="002E3757"/>
    <w:rsid w:val="002E3CFA"/>
    <w:rsid w:val="002E4495"/>
    <w:rsid w:val="002E48CC"/>
    <w:rsid w:val="002E515B"/>
    <w:rsid w:val="002E5AB3"/>
    <w:rsid w:val="002E5F02"/>
    <w:rsid w:val="002E646D"/>
    <w:rsid w:val="002E683E"/>
    <w:rsid w:val="002E7564"/>
    <w:rsid w:val="002F05CB"/>
    <w:rsid w:val="002F09AC"/>
    <w:rsid w:val="002F24F1"/>
    <w:rsid w:val="002F2669"/>
    <w:rsid w:val="002F3121"/>
    <w:rsid w:val="002F3485"/>
    <w:rsid w:val="002F3530"/>
    <w:rsid w:val="002F3EA9"/>
    <w:rsid w:val="002F43A9"/>
    <w:rsid w:val="002F4D9E"/>
    <w:rsid w:val="002F5527"/>
    <w:rsid w:val="002F5BF5"/>
    <w:rsid w:val="002F61D1"/>
    <w:rsid w:val="002F68E1"/>
    <w:rsid w:val="002F774A"/>
    <w:rsid w:val="00300508"/>
    <w:rsid w:val="003011DE"/>
    <w:rsid w:val="0030230D"/>
    <w:rsid w:val="0030292E"/>
    <w:rsid w:val="00302965"/>
    <w:rsid w:val="00302CCE"/>
    <w:rsid w:val="00303B8E"/>
    <w:rsid w:val="00305258"/>
    <w:rsid w:val="00305BAD"/>
    <w:rsid w:val="0030668B"/>
    <w:rsid w:val="0030681E"/>
    <w:rsid w:val="0030716F"/>
    <w:rsid w:val="003112D7"/>
    <w:rsid w:val="00311939"/>
    <w:rsid w:val="00312025"/>
    <w:rsid w:val="00313636"/>
    <w:rsid w:val="00313C6F"/>
    <w:rsid w:val="00314F4C"/>
    <w:rsid w:val="00315372"/>
    <w:rsid w:val="00316D56"/>
    <w:rsid w:val="003177C0"/>
    <w:rsid w:val="00320C79"/>
    <w:rsid w:val="00321029"/>
    <w:rsid w:val="003212D3"/>
    <w:rsid w:val="003217C5"/>
    <w:rsid w:val="0032181B"/>
    <w:rsid w:val="0032289A"/>
    <w:rsid w:val="00323076"/>
    <w:rsid w:val="00324862"/>
    <w:rsid w:val="003273D8"/>
    <w:rsid w:val="00327BC4"/>
    <w:rsid w:val="00332DB5"/>
    <w:rsid w:val="003339B5"/>
    <w:rsid w:val="0033421D"/>
    <w:rsid w:val="00334558"/>
    <w:rsid w:val="00334621"/>
    <w:rsid w:val="00334781"/>
    <w:rsid w:val="0033484C"/>
    <w:rsid w:val="0033492F"/>
    <w:rsid w:val="00334D8F"/>
    <w:rsid w:val="00334E7C"/>
    <w:rsid w:val="00335798"/>
    <w:rsid w:val="00336B3D"/>
    <w:rsid w:val="00337C2B"/>
    <w:rsid w:val="003402FA"/>
    <w:rsid w:val="00340A49"/>
    <w:rsid w:val="00341F60"/>
    <w:rsid w:val="00342A59"/>
    <w:rsid w:val="00345733"/>
    <w:rsid w:val="00345D2F"/>
    <w:rsid w:val="003473E6"/>
    <w:rsid w:val="00347751"/>
    <w:rsid w:val="00347874"/>
    <w:rsid w:val="003525CC"/>
    <w:rsid w:val="003526FE"/>
    <w:rsid w:val="00353840"/>
    <w:rsid w:val="00353A2D"/>
    <w:rsid w:val="003549CE"/>
    <w:rsid w:val="0035525A"/>
    <w:rsid w:val="00355AEA"/>
    <w:rsid w:val="0035630F"/>
    <w:rsid w:val="00356AFC"/>
    <w:rsid w:val="0035727F"/>
    <w:rsid w:val="003572AC"/>
    <w:rsid w:val="00357BE2"/>
    <w:rsid w:val="0036076C"/>
    <w:rsid w:val="00360786"/>
    <w:rsid w:val="00361FA6"/>
    <w:rsid w:val="003627F6"/>
    <w:rsid w:val="00363089"/>
    <w:rsid w:val="00363C57"/>
    <w:rsid w:val="00365699"/>
    <w:rsid w:val="0036573E"/>
    <w:rsid w:val="003661D3"/>
    <w:rsid w:val="003663C4"/>
    <w:rsid w:val="00367623"/>
    <w:rsid w:val="00372618"/>
    <w:rsid w:val="00375614"/>
    <w:rsid w:val="00375CF1"/>
    <w:rsid w:val="00376046"/>
    <w:rsid w:val="0037606F"/>
    <w:rsid w:val="00376202"/>
    <w:rsid w:val="00376286"/>
    <w:rsid w:val="00376F38"/>
    <w:rsid w:val="00377525"/>
    <w:rsid w:val="00377A39"/>
    <w:rsid w:val="00380234"/>
    <w:rsid w:val="0038042D"/>
    <w:rsid w:val="00380731"/>
    <w:rsid w:val="00381110"/>
    <w:rsid w:val="003826A2"/>
    <w:rsid w:val="00383DC1"/>
    <w:rsid w:val="0038403B"/>
    <w:rsid w:val="00384C1A"/>
    <w:rsid w:val="00384CEE"/>
    <w:rsid w:val="00385C20"/>
    <w:rsid w:val="003860F1"/>
    <w:rsid w:val="003866B1"/>
    <w:rsid w:val="00387A9B"/>
    <w:rsid w:val="003906B5"/>
    <w:rsid w:val="00390907"/>
    <w:rsid w:val="003926D4"/>
    <w:rsid w:val="003942D4"/>
    <w:rsid w:val="003943BB"/>
    <w:rsid w:val="00395C2F"/>
    <w:rsid w:val="0039603B"/>
    <w:rsid w:val="003969F6"/>
    <w:rsid w:val="00396A17"/>
    <w:rsid w:val="0039793B"/>
    <w:rsid w:val="003A0D72"/>
    <w:rsid w:val="003A1C8F"/>
    <w:rsid w:val="003A25E9"/>
    <w:rsid w:val="003A2BD7"/>
    <w:rsid w:val="003A39B1"/>
    <w:rsid w:val="003A559A"/>
    <w:rsid w:val="003A609F"/>
    <w:rsid w:val="003A76CF"/>
    <w:rsid w:val="003A7949"/>
    <w:rsid w:val="003B095C"/>
    <w:rsid w:val="003B0CE6"/>
    <w:rsid w:val="003B142D"/>
    <w:rsid w:val="003B1C19"/>
    <w:rsid w:val="003B2039"/>
    <w:rsid w:val="003B2222"/>
    <w:rsid w:val="003B3437"/>
    <w:rsid w:val="003B54EC"/>
    <w:rsid w:val="003B591B"/>
    <w:rsid w:val="003B75F4"/>
    <w:rsid w:val="003B7850"/>
    <w:rsid w:val="003C07B7"/>
    <w:rsid w:val="003C14D3"/>
    <w:rsid w:val="003C1777"/>
    <w:rsid w:val="003C389B"/>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3B9"/>
    <w:rsid w:val="003E0AC3"/>
    <w:rsid w:val="003E0BC1"/>
    <w:rsid w:val="003E1BD3"/>
    <w:rsid w:val="003E3836"/>
    <w:rsid w:val="003E4B94"/>
    <w:rsid w:val="003E70D3"/>
    <w:rsid w:val="003E773A"/>
    <w:rsid w:val="003E7FC1"/>
    <w:rsid w:val="003F04EA"/>
    <w:rsid w:val="003F0FD1"/>
    <w:rsid w:val="003F2376"/>
    <w:rsid w:val="003F23DE"/>
    <w:rsid w:val="003F29EC"/>
    <w:rsid w:val="003F3183"/>
    <w:rsid w:val="003F35E3"/>
    <w:rsid w:val="003F3E9F"/>
    <w:rsid w:val="003F3F03"/>
    <w:rsid w:val="003F5504"/>
    <w:rsid w:val="003F6790"/>
    <w:rsid w:val="003F74EE"/>
    <w:rsid w:val="004004DE"/>
    <w:rsid w:val="00400A3B"/>
    <w:rsid w:val="00401B84"/>
    <w:rsid w:val="004022CF"/>
    <w:rsid w:val="00402301"/>
    <w:rsid w:val="004023EC"/>
    <w:rsid w:val="00402480"/>
    <w:rsid w:val="00403A4B"/>
    <w:rsid w:val="00403C29"/>
    <w:rsid w:val="00403E38"/>
    <w:rsid w:val="00404F82"/>
    <w:rsid w:val="004052DB"/>
    <w:rsid w:val="00405D5C"/>
    <w:rsid w:val="00406891"/>
    <w:rsid w:val="00406A06"/>
    <w:rsid w:val="004073E3"/>
    <w:rsid w:val="00407B24"/>
    <w:rsid w:val="0041296D"/>
    <w:rsid w:val="00412F66"/>
    <w:rsid w:val="00413064"/>
    <w:rsid w:val="00414B3D"/>
    <w:rsid w:val="00415853"/>
    <w:rsid w:val="00415B59"/>
    <w:rsid w:val="00415EE3"/>
    <w:rsid w:val="00416139"/>
    <w:rsid w:val="00416690"/>
    <w:rsid w:val="004202AE"/>
    <w:rsid w:val="00420CD1"/>
    <w:rsid w:val="004211E3"/>
    <w:rsid w:val="0042159E"/>
    <w:rsid w:val="00422251"/>
    <w:rsid w:val="004223BA"/>
    <w:rsid w:val="00423F3E"/>
    <w:rsid w:val="004248D0"/>
    <w:rsid w:val="004249AE"/>
    <w:rsid w:val="0042540A"/>
    <w:rsid w:val="0042628B"/>
    <w:rsid w:val="004265CD"/>
    <w:rsid w:val="00426AC0"/>
    <w:rsid w:val="00426EEC"/>
    <w:rsid w:val="004277A3"/>
    <w:rsid w:val="004309E6"/>
    <w:rsid w:val="00430E89"/>
    <w:rsid w:val="0043115B"/>
    <w:rsid w:val="004311DA"/>
    <w:rsid w:val="004312EF"/>
    <w:rsid w:val="00431EAF"/>
    <w:rsid w:val="00432DF5"/>
    <w:rsid w:val="004331D6"/>
    <w:rsid w:val="00433420"/>
    <w:rsid w:val="0043375B"/>
    <w:rsid w:val="00435358"/>
    <w:rsid w:val="00435D64"/>
    <w:rsid w:val="00435F65"/>
    <w:rsid w:val="00436629"/>
    <w:rsid w:val="00436C4C"/>
    <w:rsid w:val="0043787F"/>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3F7A"/>
    <w:rsid w:val="004542CE"/>
    <w:rsid w:val="004544B4"/>
    <w:rsid w:val="004549BA"/>
    <w:rsid w:val="00455869"/>
    <w:rsid w:val="00455B05"/>
    <w:rsid w:val="00456BD0"/>
    <w:rsid w:val="00456E37"/>
    <w:rsid w:val="00456F99"/>
    <w:rsid w:val="00461031"/>
    <w:rsid w:val="00462429"/>
    <w:rsid w:val="00462703"/>
    <w:rsid w:val="00462BB1"/>
    <w:rsid w:val="00462BE6"/>
    <w:rsid w:val="00464446"/>
    <w:rsid w:val="00465A67"/>
    <w:rsid w:val="004664DE"/>
    <w:rsid w:val="00467CF1"/>
    <w:rsid w:val="004709B2"/>
    <w:rsid w:val="00470DB0"/>
    <w:rsid w:val="00471989"/>
    <w:rsid w:val="00471A49"/>
    <w:rsid w:val="00471B03"/>
    <w:rsid w:val="00472054"/>
    <w:rsid w:val="004720A5"/>
    <w:rsid w:val="004728EB"/>
    <w:rsid w:val="00473D5A"/>
    <w:rsid w:val="0047446A"/>
    <w:rsid w:val="00474938"/>
    <w:rsid w:val="00474C15"/>
    <w:rsid w:val="004753CD"/>
    <w:rsid w:val="0047582A"/>
    <w:rsid w:val="00475BA4"/>
    <w:rsid w:val="00476A53"/>
    <w:rsid w:val="00477180"/>
    <w:rsid w:val="00477214"/>
    <w:rsid w:val="00480935"/>
    <w:rsid w:val="00481880"/>
    <w:rsid w:val="00481F43"/>
    <w:rsid w:val="0048214A"/>
    <w:rsid w:val="00482CBC"/>
    <w:rsid w:val="0048462D"/>
    <w:rsid w:val="00484F47"/>
    <w:rsid w:val="0048568F"/>
    <w:rsid w:val="00487CF8"/>
    <w:rsid w:val="00487D95"/>
    <w:rsid w:val="00490285"/>
    <w:rsid w:val="00490BA4"/>
    <w:rsid w:val="0049226D"/>
    <w:rsid w:val="00492397"/>
    <w:rsid w:val="004923CB"/>
    <w:rsid w:val="00492541"/>
    <w:rsid w:val="00492560"/>
    <w:rsid w:val="00492A97"/>
    <w:rsid w:val="00493AAC"/>
    <w:rsid w:val="00494643"/>
    <w:rsid w:val="00494802"/>
    <w:rsid w:val="0049612E"/>
    <w:rsid w:val="0049621F"/>
    <w:rsid w:val="004977D2"/>
    <w:rsid w:val="004A0C39"/>
    <w:rsid w:val="004A1257"/>
    <w:rsid w:val="004A1294"/>
    <w:rsid w:val="004A1630"/>
    <w:rsid w:val="004A1EE2"/>
    <w:rsid w:val="004A200D"/>
    <w:rsid w:val="004A262E"/>
    <w:rsid w:val="004A27F8"/>
    <w:rsid w:val="004A3DF3"/>
    <w:rsid w:val="004A4F5E"/>
    <w:rsid w:val="004A4FA0"/>
    <w:rsid w:val="004A5B88"/>
    <w:rsid w:val="004A606C"/>
    <w:rsid w:val="004A700B"/>
    <w:rsid w:val="004A74DF"/>
    <w:rsid w:val="004A7DBA"/>
    <w:rsid w:val="004B005D"/>
    <w:rsid w:val="004B0C7A"/>
    <w:rsid w:val="004B10D1"/>
    <w:rsid w:val="004B1EF7"/>
    <w:rsid w:val="004B21D4"/>
    <w:rsid w:val="004B43D9"/>
    <w:rsid w:val="004C0E3F"/>
    <w:rsid w:val="004C1836"/>
    <w:rsid w:val="004C1C59"/>
    <w:rsid w:val="004C1D69"/>
    <w:rsid w:val="004C209B"/>
    <w:rsid w:val="004C271F"/>
    <w:rsid w:val="004C279A"/>
    <w:rsid w:val="004C28FB"/>
    <w:rsid w:val="004C296D"/>
    <w:rsid w:val="004C3367"/>
    <w:rsid w:val="004C459E"/>
    <w:rsid w:val="004C4758"/>
    <w:rsid w:val="004C57B2"/>
    <w:rsid w:val="004C6339"/>
    <w:rsid w:val="004C66A6"/>
    <w:rsid w:val="004D05EA"/>
    <w:rsid w:val="004D11B6"/>
    <w:rsid w:val="004D1344"/>
    <w:rsid w:val="004D1959"/>
    <w:rsid w:val="004D1BB5"/>
    <w:rsid w:val="004D1C65"/>
    <w:rsid w:val="004D29C7"/>
    <w:rsid w:val="004D2DEB"/>
    <w:rsid w:val="004D44D7"/>
    <w:rsid w:val="004D479A"/>
    <w:rsid w:val="004D6E2D"/>
    <w:rsid w:val="004D7441"/>
    <w:rsid w:val="004E02EB"/>
    <w:rsid w:val="004E0A68"/>
    <w:rsid w:val="004E1434"/>
    <w:rsid w:val="004E1B4C"/>
    <w:rsid w:val="004E209D"/>
    <w:rsid w:val="004E2847"/>
    <w:rsid w:val="004E329A"/>
    <w:rsid w:val="004E3540"/>
    <w:rsid w:val="004E3AC1"/>
    <w:rsid w:val="004E6906"/>
    <w:rsid w:val="004E7112"/>
    <w:rsid w:val="004E756A"/>
    <w:rsid w:val="004E7BD6"/>
    <w:rsid w:val="004E7EB3"/>
    <w:rsid w:val="004F0A9D"/>
    <w:rsid w:val="004F0ECA"/>
    <w:rsid w:val="004F120E"/>
    <w:rsid w:val="004F204E"/>
    <w:rsid w:val="004F21BF"/>
    <w:rsid w:val="004F2E0D"/>
    <w:rsid w:val="004F2F65"/>
    <w:rsid w:val="004F3473"/>
    <w:rsid w:val="004F3841"/>
    <w:rsid w:val="004F44E5"/>
    <w:rsid w:val="004F5695"/>
    <w:rsid w:val="004F58A0"/>
    <w:rsid w:val="004F5FF7"/>
    <w:rsid w:val="004F6E59"/>
    <w:rsid w:val="00501B90"/>
    <w:rsid w:val="00501D1C"/>
    <w:rsid w:val="005027B8"/>
    <w:rsid w:val="005043C4"/>
    <w:rsid w:val="00505AF2"/>
    <w:rsid w:val="00505E93"/>
    <w:rsid w:val="00506952"/>
    <w:rsid w:val="00506D23"/>
    <w:rsid w:val="00506FC4"/>
    <w:rsid w:val="005071AA"/>
    <w:rsid w:val="00507531"/>
    <w:rsid w:val="005078EA"/>
    <w:rsid w:val="00507AE9"/>
    <w:rsid w:val="005104B2"/>
    <w:rsid w:val="0051193D"/>
    <w:rsid w:val="00511A04"/>
    <w:rsid w:val="00511EF6"/>
    <w:rsid w:val="00512D55"/>
    <w:rsid w:val="005136F5"/>
    <w:rsid w:val="00513D76"/>
    <w:rsid w:val="00514055"/>
    <w:rsid w:val="00514EB7"/>
    <w:rsid w:val="00515878"/>
    <w:rsid w:val="00515B3E"/>
    <w:rsid w:val="00515E56"/>
    <w:rsid w:val="005161D0"/>
    <w:rsid w:val="00517326"/>
    <w:rsid w:val="00517EB4"/>
    <w:rsid w:val="00520C1F"/>
    <w:rsid w:val="00522A1B"/>
    <w:rsid w:val="00523260"/>
    <w:rsid w:val="0052439A"/>
    <w:rsid w:val="00524AFF"/>
    <w:rsid w:val="005254AD"/>
    <w:rsid w:val="00525CB1"/>
    <w:rsid w:val="0052741C"/>
    <w:rsid w:val="00530F4C"/>
    <w:rsid w:val="00531032"/>
    <w:rsid w:val="005322BA"/>
    <w:rsid w:val="00533AC9"/>
    <w:rsid w:val="00534B89"/>
    <w:rsid w:val="005354D5"/>
    <w:rsid w:val="00536804"/>
    <w:rsid w:val="00537333"/>
    <w:rsid w:val="005377C0"/>
    <w:rsid w:val="0054016E"/>
    <w:rsid w:val="00541789"/>
    <w:rsid w:val="00541A26"/>
    <w:rsid w:val="00541A92"/>
    <w:rsid w:val="00541D27"/>
    <w:rsid w:val="00542C70"/>
    <w:rsid w:val="00542E93"/>
    <w:rsid w:val="005466CC"/>
    <w:rsid w:val="005472AA"/>
    <w:rsid w:val="00550348"/>
    <w:rsid w:val="005520AE"/>
    <w:rsid w:val="00552296"/>
    <w:rsid w:val="00552D27"/>
    <w:rsid w:val="005534EA"/>
    <w:rsid w:val="00553A65"/>
    <w:rsid w:val="00553BB8"/>
    <w:rsid w:val="0055465C"/>
    <w:rsid w:val="00554F99"/>
    <w:rsid w:val="005552A9"/>
    <w:rsid w:val="00556445"/>
    <w:rsid w:val="00556555"/>
    <w:rsid w:val="00557AB6"/>
    <w:rsid w:val="00557AE3"/>
    <w:rsid w:val="00561179"/>
    <w:rsid w:val="00561E9C"/>
    <w:rsid w:val="005620CD"/>
    <w:rsid w:val="00562390"/>
    <w:rsid w:val="005640EC"/>
    <w:rsid w:val="005646F8"/>
    <w:rsid w:val="00564C20"/>
    <w:rsid w:val="00566192"/>
    <w:rsid w:val="00566B23"/>
    <w:rsid w:val="00570E16"/>
    <w:rsid w:val="005712E7"/>
    <w:rsid w:val="005716A6"/>
    <w:rsid w:val="00571801"/>
    <w:rsid w:val="00572465"/>
    <w:rsid w:val="0057501A"/>
    <w:rsid w:val="00575E90"/>
    <w:rsid w:val="00577192"/>
    <w:rsid w:val="00577399"/>
    <w:rsid w:val="00577495"/>
    <w:rsid w:val="00580792"/>
    <w:rsid w:val="00580BD2"/>
    <w:rsid w:val="00580DCB"/>
    <w:rsid w:val="00581481"/>
    <w:rsid w:val="005815A3"/>
    <w:rsid w:val="00582C68"/>
    <w:rsid w:val="00584746"/>
    <w:rsid w:val="00584E64"/>
    <w:rsid w:val="00585379"/>
    <w:rsid w:val="00586EB7"/>
    <w:rsid w:val="00587179"/>
    <w:rsid w:val="0059070E"/>
    <w:rsid w:val="00590873"/>
    <w:rsid w:val="00590B4A"/>
    <w:rsid w:val="00591441"/>
    <w:rsid w:val="0059149F"/>
    <w:rsid w:val="005916BA"/>
    <w:rsid w:val="00592A5F"/>
    <w:rsid w:val="00592AE9"/>
    <w:rsid w:val="00593A6F"/>
    <w:rsid w:val="005947BB"/>
    <w:rsid w:val="0059489B"/>
    <w:rsid w:val="00594C06"/>
    <w:rsid w:val="005956A7"/>
    <w:rsid w:val="00595830"/>
    <w:rsid w:val="00595ED7"/>
    <w:rsid w:val="00596465"/>
    <w:rsid w:val="00596ADB"/>
    <w:rsid w:val="00596E84"/>
    <w:rsid w:val="005972D2"/>
    <w:rsid w:val="00597AD1"/>
    <w:rsid w:val="005A0D8F"/>
    <w:rsid w:val="005A26A8"/>
    <w:rsid w:val="005A28BA"/>
    <w:rsid w:val="005A2D95"/>
    <w:rsid w:val="005A3B8A"/>
    <w:rsid w:val="005A4C52"/>
    <w:rsid w:val="005A5411"/>
    <w:rsid w:val="005A6FA7"/>
    <w:rsid w:val="005A7B0D"/>
    <w:rsid w:val="005B015A"/>
    <w:rsid w:val="005B1801"/>
    <w:rsid w:val="005B1829"/>
    <w:rsid w:val="005B2FA9"/>
    <w:rsid w:val="005B4016"/>
    <w:rsid w:val="005B479F"/>
    <w:rsid w:val="005B5DF4"/>
    <w:rsid w:val="005B6027"/>
    <w:rsid w:val="005B7AE9"/>
    <w:rsid w:val="005C1826"/>
    <w:rsid w:val="005C22F2"/>
    <w:rsid w:val="005C2C78"/>
    <w:rsid w:val="005C2D8F"/>
    <w:rsid w:val="005C2F83"/>
    <w:rsid w:val="005C39FD"/>
    <w:rsid w:val="005C3A93"/>
    <w:rsid w:val="005C4247"/>
    <w:rsid w:val="005C4BCF"/>
    <w:rsid w:val="005C5754"/>
    <w:rsid w:val="005C7002"/>
    <w:rsid w:val="005C727B"/>
    <w:rsid w:val="005C785A"/>
    <w:rsid w:val="005C7930"/>
    <w:rsid w:val="005D039A"/>
    <w:rsid w:val="005D0CAD"/>
    <w:rsid w:val="005D1486"/>
    <w:rsid w:val="005D2067"/>
    <w:rsid w:val="005D4A7C"/>
    <w:rsid w:val="005D5A6F"/>
    <w:rsid w:val="005D643E"/>
    <w:rsid w:val="005D7432"/>
    <w:rsid w:val="005D780E"/>
    <w:rsid w:val="005D7BBA"/>
    <w:rsid w:val="005E05FB"/>
    <w:rsid w:val="005E0B65"/>
    <w:rsid w:val="005E0D9C"/>
    <w:rsid w:val="005E1132"/>
    <w:rsid w:val="005E43D9"/>
    <w:rsid w:val="005E4D0A"/>
    <w:rsid w:val="005E5712"/>
    <w:rsid w:val="005E5C02"/>
    <w:rsid w:val="005E6919"/>
    <w:rsid w:val="005E6CF0"/>
    <w:rsid w:val="005E6F70"/>
    <w:rsid w:val="005E73A7"/>
    <w:rsid w:val="005F0883"/>
    <w:rsid w:val="005F1A59"/>
    <w:rsid w:val="005F1B4D"/>
    <w:rsid w:val="005F236D"/>
    <w:rsid w:val="005F2C9C"/>
    <w:rsid w:val="005F3795"/>
    <w:rsid w:val="005F56F7"/>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4AE8"/>
    <w:rsid w:val="00615278"/>
    <w:rsid w:val="00615C73"/>
    <w:rsid w:val="006166CF"/>
    <w:rsid w:val="006168F7"/>
    <w:rsid w:val="00616B28"/>
    <w:rsid w:val="00620396"/>
    <w:rsid w:val="00622093"/>
    <w:rsid w:val="00622378"/>
    <w:rsid w:val="0062290E"/>
    <w:rsid w:val="00622DA6"/>
    <w:rsid w:val="0062386A"/>
    <w:rsid w:val="00623FE4"/>
    <w:rsid w:val="006241F3"/>
    <w:rsid w:val="00624BF9"/>
    <w:rsid w:val="006261A1"/>
    <w:rsid w:val="00627393"/>
    <w:rsid w:val="006277D3"/>
    <w:rsid w:val="006312D0"/>
    <w:rsid w:val="00633107"/>
    <w:rsid w:val="006332F1"/>
    <w:rsid w:val="00633F39"/>
    <w:rsid w:val="006341C1"/>
    <w:rsid w:val="006346BD"/>
    <w:rsid w:val="006351FA"/>
    <w:rsid w:val="00635437"/>
    <w:rsid w:val="0063579C"/>
    <w:rsid w:val="00635F88"/>
    <w:rsid w:val="006376C7"/>
    <w:rsid w:val="00637FD8"/>
    <w:rsid w:val="00640BE0"/>
    <w:rsid w:val="00642BEF"/>
    <w:rsid w:val="00643560"/>
    <w:rsid w:val="00643A1F"/>
    <w:rsid w:val="00643B26"/>
    <w:rsid w:val="006446FD"/>
    <w:rsid w:val="0064477E"/>
    <w:rsid w:val="0064582A"/>
    <w:rsid w:val="0064585A"/>
    <w:rsid w:val="006463A5"/>
    <w:rsid w:val="0064781D"/>
    <w:rsid w:val="00647DD5"/>
    <w:rsid w:val="0065189E"/>
    <w:rsid w:val="00651D73"/>
    <w:rsid w:val="00651DE5"/>
    <w:rsid w:val="0065302A"/>
    <w:rsid w:val="006538B4"/>
    <w:rsid w:val="00654148"/>
    <w:rsid w:val="00654FAD"/>
    <w:rsid w:val="00656004"/>
    <w:rsid w:val="006560A4"/>
    <w:rsid w:val="00660B46"/>
    <w:rsid w:val="00660E85"/>
    <w:rsid w:val="0066168E"/>
    <w:rsid w:val="00664517"/>
    <w:rsid w:val="006645A4"/>
    <w:rsid w:val="0066511B"/>
    <w:rsid w:val="00665232"/>
    <w:rsid w:val="00665531"/>
    <w:rsid w:val="006657ED"/>
    <w:rsid w:val="006678B6"/>
    <w:rsid w:val="00667A63"/>
    <w:rsid w:val="00667D33"/>
    <w:rsid w:val="0067064E"/>
    <w:rsid w:val="006711AD"/>
    <w:rsid w:val="006718B4"/>
    <w:rsid w:val="00671C09"/>
    <w:rsid w:val="00671E5F"/>
    <w:rsid w:val="00671EB2"/>
    <w:rsid w:val="00671EE0"/>
    <w:rsid w:val="0067262B"/>
    <w:rsid w:val="006728C5"/>
    <w:rsid w:val="0067295F"/>
    <w:rsid w:val="00672A34"/>
    <w:rsid w:val="00672A6A"/>
    <w:rsid w:val="00673470"/>
    <w:rsid w:val="0067492D"/>
    <w:rsid w:val="0067614A"/>
    <w:rsid w:val="00676734"/>
    <w:rsid w:val="00677957"/>
    <w:rsid w:val="00677C38"/>
    <w:rsid w:val="00680082"/>
    <w:rsid w:val="00680439"/>
    <w:rsid w:val="0068136A"/>
    <w:rsid w:val="00683830"/>
    <w:rsid w:val="00683AF6"/>
    <w:rsid w:val="00684F05"/>
    <w:rsid w:val="00685AE9"/>
    <w:rsid w:val="00685CD6"/>
    <w:rsid w:val="00685DED"/>
    <w:rsid w:val="00686189"/>
    <w:rsid w:val="006864BD"/>
    <w:rsid w:val="00686DC6"/>
    <w:rsid w:val="00691C91"/>
    <w:rsid w:val="0069234B"/>
    <w:rsid w:val="006924CE"/>
    <w:rsid w:val="00692F2F"/>
    <w:rsid w:val="006932C5"/>
    <w:rsid w:val="006939AC"/>
    <w:rsid w:val="006939C2"/>
    <w:rsid w:val="0069424A"/>
    <w:rsid w:val="00695823"/>
    <w:rsid w:val="00696FC3"/>
    <w:rsid w:val="00697404"/>
    <w:rsid w:val="00697AF8"/>
    <w:rsid w:val="006A0AE7"/>
    <w:rsid w:val="006A14D0"/>
    <w:rsid w:val="006A22E9"/>
    <w:rsid w:val="006A2709"/>
    <w:rsid w:val="006A27C7"/>
    <w:rsid w:val="006A3266"/>
    <w:rsid w:val="006A41B6"/>
    <w:rsid w:val="006A5412"/>
    <w:rsid w:val="006A5B96"/>
    <w:rsid w:val="006A66DA"/>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4C6"/>
    <w:rsid w:val="006C0B3A"/>
    <w:rsid w:val="006C116A"/>
    <w:rsid w:val="006C156E"/>
    <w:rsid w:val="006C1988"/>
    <w:rsid w:val="006C239A"/>
    <w:rsid w:val="006C3E43"/>
    <w:rsid w:val="006C4959"/>
    <w:rsid w:val="006C58D1"/>
    <w:rsid w:val="006C613A"/>
    <w:rsid w:val="006C76C4"/>
    <w:rsid w:val="006C7EE9"/>
    <w:rsid w:val="006D002C"/>
    <w:rsid w:val="006D03BE"/>
    <w:rsid w:val="006D0924"/>
    <w:rsid w:val="006D0C54"/>
    <w:rsid w:val="006D0E6F"/>
    <w:rsid w:val="006D0FB4"/>
    <w:rsid w:val="006D1F5C"/>
    <w:rsid w:val="006D1F79"/>
    <w:rsid w:val="006D248F"/>
    <w:rsid w:val="006D2F30"/>
    <w:rsid w:val="006D3252"/>
    <w:rsid w:val="006D43AF"/>
    <w:rsid w:val="006D4EBF"/>
    <w:rsid w:val="006D4FA4"/>
    <w:rsid w:val="006D56D9"/>
    <w:rsid w:val="006D5A3D"/>
    <w:rsid w:val="006D5D7C"/>
    <w:rsid w:val="006D5E2F"/>
    <w:rsid w:val="006D61D9"/>
    <w:rsid w:val="006D67AB"/>
    <w:rsid w:val="006D7C8D"/>
    <w:rsid w:val="006E2D47"/>
    <w:rsid w:val="006E3F78"/>
    <w:rsid w:val="006E44E3"/>
    <w:rsid w:val="006E4E16"/>
    <w:rsid w:val="006E61DF"/>
    <w:rsid w:val="006E6A39"/>
    <w:rsid w:val="006E6B16"/>
    <w:rsid w:val="006E7425"/>
    <w:rsid w:val="006F0FD8"/>
    <w:rsid w:val="006F174A"/>
    <w:rsid w:val="006F1DAB"/>
    <w:rsid w:val="006F281F"/>
    <w:rsid w:val="006F28C0"/>
    <w:rsid w:val="006F350F"/>
    <w:rsid w:val="006F4396"/>
    <w:rsid w:val="006F4A26"/>
    <w:rsid w:val="006F4CB0"/>
    <w:rsid w:val="006F784D"/>
    <w:rsid w:val="006F7B55"/>
    <w:rsid w:val="00701DE2"/>
    <w:rsid w:val="00701F56"/>
    <w:rsid w:val="0070251B"/>
    <w:rsid w:val="0070288C"/>
    <w:rsid w:val="00702C47"/>
    <w:rsid w:val="00703843"/>
    <w:rsid w:val="007053E4"/>
    <w:rsid w:val="00705C10"/>
    <w:rsid w:val="00706C4A"/>
    <w:rsid w:val="00706D47"/>
    <w:rsid w:val="0070725F"/>
    <w:rsid w:val="007077A4"/>
    <w:rsid w:val="00711255"/>
    <w:rsid w:val="007116FB"/>
    <w:rsid w:val="00712116"/>
    <w:rsid w:val="00713022"/>
    <w:rsid w:val="0071332C"/>
    <w:rsid w:val="007137F1"/>
    <w:rsid w:val="00713826"/>
    <w:rsid w:val="00714212"/>
    <w:rsid w:val="00714BD7"/>
    <w:rsid w:val="00715267"/>
    <w:rsid w:val="00715754"/>
    <w:rsid w:val="0071632D"/>
    <w:rsid w:val="00716BE8"/>
    <w:rsid w:val="007175A2"/>
    <w:rsid w:val="00717C8C"/>
    <w:rsid w:val="007207E7"/>
    <w:rsid w:val="0072225B"/>
    <w:rsid w:val="00722360"/>
    <w:rsid w:val="00722A49"/>
    <w:rsid w:val="00723416"/>
    <w:rsid w:val="00723986"/>
    <w:rsid w:val="00723B2E"/>
    <w:rsid w:val="00723BBD"/>
    <w:rsid w:val="00724C0E"/>
    <w:rsid w:val="00724C92"/>
    <w:rsid w:val="0072599D"/>
    <w:rsid w:val="00726599"/>
    <w:rsid w:val="007266ED"/>
    <w:rsid w:val="00726CB0"/>
    <w:rsid w:val="00726F8C"/>
    <w:rsid w:val="00727A76"/>
    <w:rsid w:val="00727DE7"/>
    <w:rsid w:val="00727F51"/>
    <w:rsid w:val="0073157C"/>
    <w:rsid w:val="00731710"/>
    <w:rsid w:val="0073171A"/>
    <w:rsid w:val="00731A46"/>
    <w:rsid w:val="007320B2"/>
    <w:rsid w:val="00732981"/>
    <w:rsid w:val="00732A3A"/>
    <w:rsid w:val="00732B22"/>
    <w:rsid w:val="007349E4"/>
    <w:rsid w:val="007351B9"/>
    <w:rsid w:val="00736039"/>
    <w:rsid w:val="00740849"/>
    <w:rsid w:val="00741E88"/>
    <w:rsid w:val="00743128"/>
    <w:rsid w:val="00743427"/>
    <w:rsid w:val="0074405D"/>
    <w:rsid w:val="007440B4"/>
    <w:rsid w:val="00744404"/>
    <w:rsid w:val="00744CFA"/>
    <w:rsid w:val="007457B3"/>
    <w:rsid w:val="007461EE"/>
    <w:rsid w:val="00746583"/>
    <w:rsid w:val="007466B1"/>
    <w:rsid w:val="00746F30"/>
    <w:rsid w:val="00747919"/>
    <w:rsid w:val="00747F09"/>
    <w:rsid w:val="00750520"/>
    <w:rsid w:val="007506ED"/>
    <w:rsid w:val="0075083B"/>
    <w:rsid w:val="00750906"/>
    <w:rsid w:val="00750BF9"/>
    <w:rsid w:val="00752920"/>
    <w:rsid w:val="00753B16"/>
    <w:rsid w:val="00754EEF"/>
    <w:rsid w:val="00756FE7"/>
    <w:rsid w:val="007579F6"/>
    <w:rsid w:val="0076092C"/>
    <w:rsid w:val="00763A7B"/>
    <w:rsid w:val="00764BFE"/>
    <w:rsid w:val="00765DAB"/>
    <w:rsid w:val="0076754D"/>
    <w:rsid w:val="007706B4"/>
    <w:rsid w:val="00770FA3"/>
    <w:rsid w:val="0077170D"/>
    <w:rsid w:val="0077221A"/>
    <w:rsid w:val="00772BEA"/>
    <w:rsid w:val="00772CA9"/>
    <w:rsid w:val="007734D7"/>
    <w:rsid w:val="007745D7"/>
    <w:rsid w:val="00774F35"/>
    <w:rsid w:val="00775141"/>
    <w:rsid w:val="00775CD9"/>
    <w:rsid w:val="007766A5"/>
    <w:rsid w:val="00776A36"/>
    <w:rsid w:val="00776AF2"/>
    <w:rsid w:val="00777953"/>
    <w:rsid w:val="00777A8D"/>
    <w:rsid w:val="00777C33"/>
    <w:rsid w:val="0078126E"/>
    <w:rsid w:val="007814D3"/>
    <w:rsid w:val="0078153B"/>
    <w:rsid w:val="00782B87"/>
    <w:rsid w:val="00782BCD"/>
    <w:rsid w:val="00783DA5"/>
    <w:rsid w:val="007843FB"/>
    <w:rsid w:val="007863AE"/>
    <w:rsid w:val="00786785"/>
    <w:rsid w:val="00786AD3"/>
    <w:rsid w:val="00787554"/>
    <w:rsid w:val="00787905"/>
    <w:rsid w:val="00790A31"/>
    <w:rsid w:val="007914FF"/>
    <w:rsid w:val="00791D11"/>
    <w:rsid w:val="00791FC1"/>
    <w:rsid w:val="00793656"/>
    <w:rsid w:val="00793EFE"/>
    <w:rsid w:val="00795D81"/>
    <w:rsid w:val="00797716"/>
    <w:rsid w:val="007A1992"/>
    <w:rsid w:val="007A19FD"/>
    <w:rsid w:val="007A22BE"/>
    <w:rsid w:val="007A231F"/>
    <w:rsid w:val="007A3128"/>
    <w:rsid w:val="007A3A31"/>
    <w:rsid w:val="007A4384"/>
    <w:rsid w:val="007A46E0"/>
    <w:rsid w:val="007A4C2E"/>
    <w:rsid w:val="007A4FCD"/>
    <w:rsid w:val="007A51B2"/>
    <w:rsid w:val="007A5C72"/>
    <w:rsid w:val="007A5CBE"/>
    <w:rsid w:val="007A5D6C"/>
    <w:rsid w:val="007A5FF1"/>
    <w:rsid w:val="007A6550"/>
    <w:rsid w:val="007A7043"/>
    <w:rsid w:val="007A78D0"/>
    <w:rsid w:val="007B1597"/>
    <w:rsid w:val="007B1F95"/>
    <w:rsid w:val="007B3933"/>
    <w:rsid w:val="007B45A4"/>
    <w:rsid w:val="007B5145"/>
    <w:rsid w:val="007B7F2B"/>
    <w:rsid w:val="007C04A7"/>
    <w:rsid w:val="007C0BB5"/>
    <w:rsid w:val="007C3B19"/>
    <w:rsid w:val="007C4048"/>
    <w:rsid w:val="007C7F9C"/>
    <w:rsid w:val="007D00D5"/>
    <w:rsid w:val="007D0EE8"/>
    <w:rsid w:val="007D11E3"/>
    <w:rsid w:val="007D197F"/>
    <w:rsid w:val="007D1D53"/>
    <w:rsid w:val="007D1FF0"/>
    <w:rsid w:val="007D3AD7"/>
    <w:rsid w:val="007D3E31"/>
    <w:rsid w:val="007D486A"/>
    <w:rsid w:val="007D4931"/>
    <w:rsid w:val="007D4A47"/>
    <w:rsid w:val="007D5F46"/>
    <w:rsid w:val="007D64F8"/>
    <w:rsid w:val="007D79B2"/>
    <w:rsid w:val="007E001C"/>
    <w:rsid w:val="007E0109"/>
    <w:rsid w:val="007E01BC"/>
    <w:rsid w:val="007E1C9A"/>
    <w:rsid w:val="007E2E09"/>
    <w:rsid w:val="007E5439"/>
    <w:rsid w:val="007E57B8"/>
    <w:rsid w:val="007E5CA3"/>
    <w:rsid w:val="007F0E65"/>
    <w:rsid w:val="007F1AB5"/>
    <w:rsid w:val="007F1DBA"/>
    <w:rsid w:val="007F23BE"/>
    <w:rsid w:val="007F2698"/>
    <w:rsid w:val="007F40E5"/>
    <w:rsid w:val="007F4347"/>
    <w:rsid w:val="007F4433"/>
    <w:rsid w:val="007F4D64"/>
    <w:rsid w:val="007F59E9"/>
    <w:rsid w:val="007F64B2"/>
    <w:rsid w:val="007F7949"/>
    <w:rsid w:val="007F7A5D"/>
    <w:rsid w:val="007F7C34"/>
    <w:rsid w:val="0080169B"/>
    <w:rsid w:val="00802114"/>
    <w:rsid w:val="0080234A"/>
    <w:rsid w:val="0080265B"/>
    <w:rsid w:val="00802F08"/>
    <w:rsid w:val="00803877"/>
    <w:rsid w:val="00804848"/>
    <w:rsid w:val="008049D5"/>
    <w:rsid w:val="00807020"/>
    <w:rsid w:val="008074AB"/>
    <w:rsid w:val="008076D7"/>
    <w:rsid w:val="0080772E"/>
    <w:rsid w:val="00807DAE"/>
    <w:rsid w:val="008103FE"/>
    <w:rsid w:val="00810E66"/>
    <w:rsid w:val="008113FC"/>
    <w:rsid w:val="008115E4"/>
    <w:rsid w:val="008117BE"/>
    <w:rsid w:val="00813A72"/>
    <w:rsid w:val="00814532"/>
    <w:rsid w:val="00815541"/>
    <w:rsid w:val="00815BED"/>
    <w:rsid w:val="00816976"/>
    <w:rsid w:val="00817F04"/>
    <w:rsid w:val="00820B40"/>
    <w:rsid w:val="00820DF1"/>
    <w:rsid w:val="0082135C"/>
    <w:rsid w:val="008222E0"/>
    <w:rsid w:val="008225E5"/>
    <w:rsid w:val="00822772"/>
    <w:rsid w:val="008229AA"/>
    <w:rsid w:val="00823010"/>
    <w:rsid w:val="008231A9"/>
    <w:rsid w:val="008238EB"/>
    <w:rsid w:val="00823AAB"/>
    <w:rsid w:val="00824379"/>
    <w:rsid w:val="00824592"/>
    <w:rsid w:val="00825719"/>
    <w:rsid w:val="008264A7"/>
    <w:rsid w:val="00831656"/>
    <w:rsid w:val="008317C3"/>
    <w:rsid w:val="008318F6"/>
    <w:rsid w:val="00831BF6"/>
    <w:rsid w:val="00831CBD"/>
    <w:rsid w:val="00832050"/>
    <w:rsid w:val="008327D5"/>
    <w:rsid w:val="008329E8"/>
    <w:rsid w:val="0083419B"/>
    <w:rsid w:val="00834596"/>
    <w:rsid w:val="008348A3"/>
    <w:rsid w:val="00834E64"/>
    <w:rsid w:val="00835BE7"/>
    <w:rsid w:val="0083633B"/>
    <w:rsid w:val="008369DA"/>
    <w:rsid w:val="00837CEB"/>
    <w:rsid w:val="00840124"/>
    <w:rsid w:val="008404AF"/>
    <w:rsid w:val="008407D2"/>
    <w:rsid w:val="00840ACB"/>
    <w:rsid w:val="008419F5"/>
    <w:rsid w:val="00841A6F"/>
    <w:rsid w:val="0084251F"/>
    <w:rsid w:val="00842607"/>
    <w:rsid w:val="00842C2B"/>
    <w:rsid w:val="0084436B"/>
    <w:rsid w:val="00844C38"/>
    <w:rsid w:val="008459C3"/>
    <w:rsid w:val="00845F1F"/>
    <w:rsid w:val="00847381"/>
    <w:rsid w:val="00847485"/>
    <w:rsid w:val="00847627"/>
    <w:rsid w:val="0084789D"/>
    <w:rsid w:val="00852863"/>
    <w:rsid w:val="00852899"/>
    <w:rsid w:val="00852A03"/>
    <w:rsid w:val="00853176"/>
    <w:rsid w:val="00853EF4"/>
    <w:rsid w:val="008540AC"/>
    <w:rsid w:val="008545C6"/>
    <w:rsid w:val="00855CD3"/>
    <w:rsid w:val="0085658A"/>
    <w:rsid w:val="0085678C"/>
    <w:rsid w:val="0085685F"/>
    <w:rsid w:val="00856EEE"/>
    <w:rsid w:val="00857807"/>
    <w:rsid w:val="00857BB0"/>
    <w:rsid w:val="00857F01"/>
    <w:rsid w:val="00860A65"/>
    <w:rsid w:val="00860F19"/>
    <w:rsid w:val="00862611"/>
    <w:rsid w:val="00862B40"/>
    <w:rsid w:val="00862D56"/>
    <w:rsid w:val="00863637"/>
    <w:rsid w:val="00863A7F"/>
    <w:rsid w:val="008642F0"/>
    <w:rsid w:val="00864548"/>
    <w:rsid w:val="00864CE1"/>
    <w:rsid w:val="008657B1"/>
    <w:rsid w:val="0086697A"/>
    <w:rsid w:val="008672CC"/>
    <w:rsid w:val="00867814"/>
    <w:rsid w:val="008705BA"/>
    <w:rsid w:val="008706DE"/>
    <w:rsid w:val="008709FD"/>
    <w:rsid w:val="00870D3C"/>
    <w:rsid w:val="008738A7"/>
    <w:rsid w:val="008744C9"/>
    <w:rsid w:val="008756B8"/>
    <w:rsid w:val="00875A48"/>
    <w:rsid w:val="00876B88"/>
    <w:rsid w:val="00876EAB"/>
    <w:rsid w:val="00877F63"/>
    <w:rsid w:val="008803C2"/>
    <w:rsid w:val="008803E3"/>
    <w:rsid w:val="00880B23"/>
    <w:rsid w:val="00880F1C"/>
    <w:rsid w:val="008812EE"/>
    <w:rsid w:val="00881648"/>
    <w:rsid w:val="00881A2B"/>
    <w:rsid w:val="00884B65"/>
    <w:rsid w:val="00884DD6"/>
    <w:rsid w:val="008851D3"/>
    <w:rsid w:val="00885F1A"/>
    <w:rsid w:val="00886337"/>
    <w:rsid w:val="008863A9"/>
    <w:rsid w:val="00886EA9"/>
    <w:rsid w:val="00887A03"/>
    <w:rsid w:val="00887FC6"/>
    <w:rsid w:val="00891927"/>
    <w:rsid w:val="00891B07"/>
    <w:rsid w:val="00892DDF"/>
    <w:rsid w:val="00892FFE"/>
    <w:rsid w:val="00893569"/>
    <w:rsid w:val="0089407C"/>
    <w:rsid w:val="0089427E"/>
    <w:rsid w:val="00894923"/>
    <w:rsid w:val="00894DCB"/>
    <w:rsid w:val="00895326"/>
    <w:rsid w:val="008956C9"/>
    <w:rsid w:val="008957CC"/>
    <w:rsid w:val="00895F47"/>
    <w:rsid w:val="00896F82"/>
    <w:rsid w:val="00897288"/>
    <w:rsid w:val="008975F9"/>
    <w:rsid w:val="00897A6C"/>
    <w:rsid w:val="008A2259"/>
    <w:rsid w:val="008A28C3"/>
    <w:rsid w:val="008A31DF"/>
    <w:rsid w:val="008A3764"/>
    <w:rsid w:val="008A4892"/>
    <w:rsid w:val="008A4F2C"/>
    <w:rsid w:val="008A59C2"/>
    <w:rsid w:val="008A6494"/>
    <w:rsid w:val="008A6868"/>
    <w:rsid w:val="008A745F"/>
    <w:rsid w:val="008A7D70"/>
    <w:rsid w:val="008B0130"/>
    <w:rsid w:val="008B05B6"/>
    <w:rsid w:val="008B05EF"/>
    <w:rsid w:val="008B1A0F"/>
    <w:rsid w:val="008B2888"/>
    <w:rsid w:val="008B2938"/>
    <w:rsid w:val="008B3B0C"/>
    <w:rsid w:val="008B4E10"/>
    <w:rsid w:val="008B5587"/>
    <w:rsid w:val="008B58A7"/>
    <w:rsid w:val="008B6CA8"/>
    <w:rsid w:val="008B6F39"/>
    <w:rsid w:val="008B757F"/>
    <w:rsid w:val="008B7B5D"/>
    <w:rsid w:val="008C00D5"/>
    <w:rsid w:val="008C09AC"/>
    <w:rsid w:val="008C1CF5"/>
    <w:rsid w:val="008C2DB1"/>
    <w:rsid w:val="008C4D21"/>
    <w:rsid w:val="008C5BB0"/>
    <w:rsid w:val="008C7379"/>
    <w:rsid w:val="008C7498"/>
    <w:rsid w:val="008D0182"/>
    <w:rsid w:val="008D0B7E"/>
    <w:rsid w:val="008D1291"/>
    <w:rsid w:val="008D3B00"/>
    <w:rsid w:val="008D521A"/>
    <w:rsid w:val="008D55D0"/>
    <w:rsid w:val="008D6798"/>
    <w:rsid w:val="008D6C89"/>
    <w:rsid w:val="008D7160"/>
    <w:rsid w:val="008D7227"/>
    <w:rsid w:val="008D75DB"/>
    <w:rsid w:val="008D7B86"/>
    <w:rsid w:val="008D7D40"/>
    <w:rsid w:val="008E01BC"/>
    <w:rsid w:val="008E026F"/>
    <w:rsid w:val="008E1B0B"/>
    <w:rsid w:val="008E2406"/>
    <w:rsid w:val="008E2A78"/>
    <w:rsid w:val="008E2CF8"/>
    <w:rsid w:val="008E2FCB"/>
    <w:rsid w:val="008E51EB"/>
    <w:rsid w:val="008E67A2"/>
    <w:rsid w:val="008E7A79"/>
    <w:rsid w:val="008E7BA5"/>
    <w:rsid w:val="008F0000"/>
    <w:rsid w:val="008F0E59"/>
    <w:rsid w:val="008F317C"/>
    <w:rsid w:val="008F37D0"/>
    <w:rsid w:val="008F4088"/>
    <w:rsid w:val="008F41A3"/>
    <w:rsid w:val="008F498F"/>
    <w:rsid w:val="008F53D3"/>
    <w:rsid w:val="008F6D79"/>
    <w:rsid w:val="008F714B"/>
    <w:rsid w:val="008F7365"/>
    <w:rsid w:val="008F7589"/>
    <w:rsid w:val="009002BD"/>
    <w:rsid w:val="00900FF1"/>
    <w:rsid w:val="00901CFA"/>
    <w:rsid w:val="00901FBE"/>
    <w:rsid w:val="0090275D"/>
    <w:rsid w:val="0090342C"/>
    <w:rsid w:val="00904693"/>
    <w:rsid w:val="009054B0"/>
    <w:rsid w:val="00905EE9"/>
    <w:rsid w:val="009068B0"/>
    <w:rsid w:val="00906A69"/>
    <w:rsid w:val="00906FF2"/>
    <w:rsid w:val="0090798C"/>
    <w:rsid w:val="0090798F"/>
    <w:rsid w:val="0091068B"/>
    <w:rsid w:val="00910933"/>
    <w:rsid w:val="00910BF4"/>
    <w:rsid w:val="009113E3"/>
    <w:rsid w:val="00911708"/>
    <w:rsid w:val="00911EC3"/>
    <w:rsid w:val="009127B8"/>
    <w:rsid w:val="009128A6"/>
    <w:rsid w:val="0091329D"/>
    <w:rsid w:val="00915471"/>
    <w:rsid w:val="00915A55"/>
    <w:rsid w:val="0091761F"/>
    <w:rsid w:val="00917D10"/>
    <w:rsid w:val="00917EA2"/>
    <w:rsid w:val="0092032E"/>
    <w:rsid w:val="00920861"/>
    <w:rsid w:val="00920E6F"/>
    <w:rsid w:val="00921128"/>
    <w:rsid w:val="00921C85"/>
    <w:rsid w:val="009226BC"/>
    <w:rsid w:val="00922C02"/>
    <w:rsid w:val="00923F7A"/>
    <w:rsid w:val="00924300"/>
    <w:rsid w:val="00924609"/>
    <w:rsid w:val="00924CF7"/>
    <w:rsid w:val="00925D18"/>
    <w:rsid w:val="009261E6"/>
    <w:rsid w:val="00926795"/>
    <w:rsid w:val="00927590"/>
    <w:rsid w:val="00927E94"/>
    <w:rsid w:val="00931C27"/>
    <w:rsid w:val="00931D14"/>
    <w:rsid w:val="009321C5"/>
    <w:rsid w:val="0093455F"/>
    <w:rsid w:val="009346F2"/>
    <w:rsid w:val="0093580A"/>
    <w:rsid w:val="00936143"/>
    <w:rsid w:val="00937384"/>
    <w:rsid w:val="009374A8"/>
    <w:rsid w:val="00940208"/>
    <w:rsid w:val="00940549"/>
    <w:rsid w:val="009410B0"/>
    <w:rsid w:val="009412BF"/>
    <w:rsid w:val="009417B4"/>
    <w:rsid w:val="00941AE6"/>
    <w:rsid w:val="00941FBF"/>
    <w:rsid w:val="00942F96"/>
    <w:rsid w:val="00944868"/>
    <w:rsid w:val="0094616A"/>
    <w:rsid w:val="0094665E"/>
    <w:rsid w:val="009470CA"/>
    <w:rsid w:val="009506B0"/>
    <w:rsid w:val="00951CA5"/>
    <w:rsid w:val="00951F1B"/>
    <w:rsid w:val="009529D8"/>
    <w:rsid w:val="009532E3"/>
    <w:rsid w:val="00954008"/>
    <w:rsid w:val="009544E4"/>
    <w:rsid w:val="009546B1"/>
    <w:rsid w:val="00955852"/>
    <w:rsid w:val="00955D2D"/>
    <w:rsid w:val="009577DF"/>
    <w:rsid w:val="00960770"/>
    <w:rsid w:val="009616FB"/>
    <w:rsid w:val="00961E15"/>
    <w:rsid w:val="00962C19"/>
    <w:rsid w:val="00963A01"/>
    <w:rsid w:val="00965413"/>
    <w:rsid w:val="00965623"/>
    <w:rsid w:val="00965A9D"/>
    <w:rsid w:val="00965BC3"/>
    <w:rsid w:val="009670D1"/>
    <w:rsid w:val="009705C4"/>
    <w:rsid w:val="00971156"/>
    <w:rsid w:val="009716D2"/>
    <w:rsid w:val="009726D0"/>
    <w:rsid w:val="00972DD4"/>
    <w:rsid w:val="00972E8B"/>
    <w:rsid w:val="0097409C"/>
    <w:rsid w:val="00974167"/>
    <w:rsid w:val="0097549F"/>
    <w:rsid w:val="0097553E"/>
    <w:rsid w:val="00975733"/>
    <w:rsid w:val="00975B85"/>
    <w:rsid w:val="00976472"/>
    <w:rsid w:val="00977724"/>
    <w:rsid w:val="00980503"/>
    <w:rsid w:val="00982879"/>
    <w:rsid w:val="00982C54"/>
    <w:rsid w:val="00983A0A"/>
    <w:rsid w:val="009841A7"/>
    <w:rsid w:val="00984F85"/>
    <w:rsid w:val="00986C21"/>
    <w:rsid w:val="00987483"/>
    <w:rsid w:val="00987BAC"/>
    <w:rsid w:val="00990F91"/>
    <w:rsid w:val="009912EB"/>
    <w:rsid w:val="009918DC"/>
    <w:rsid w:val="00991B97"/>
    <w:rsid w:val="00992266"/>
    <w:rsid w:val="00992C70"/>
    <w:rsid w:val="00994547"/>
    <w:rsid w:val="00994F10"/>
    <w:rsid w:val="00995A97"/>
    <w:rsid w:val="0099764B"/>
    <w:rsid w:val="00997A56"/>
    <w:rsid w:val="009A0169"/>
    <w:rsid w:val="009A0AE4"/>
    <w:rsid w:val="009A29A6"/>
    <w:rsid w:val="009A2E15"/>
    <w:rsid w:val="009A3509"/>
    <w:rsid w:val="009A4178"/>
    <w:rsid w:val="009A60AF"/>
    <w:rsid w:val="009A7021"/>
    <w:rsid w:val="009A7589"/>
    <w:rsid w:val="009B1831"/>
    <w:rsid w:val="009B218B"/>
    <w:rsid w:val="009B24C9"/>
    <w:rsid w:val="009B2521"/>
    <w:rsid w:val="009B2FC5"/>
    <w:rsid w:val="009B3219"/>
    <w:rsid w:val="009B3635"/>
    <w:rsid w:val="009B561E"/>
    <w:rsid w:val="009B5681"/>
    <w:rsid w:val="009B6675"/>
    <w:rsid w:val="009B6B8C"/>
    <w:rsid w:val="009B7625"/>
    <w:rsid w:val="009B78A5"/>
    <w:rsid w:val="009C05AB"/>
    <w:rsid w:val="009C07FD"/>
    <w:rsid w:val="009C26B3"/>
    <w:rsid w:val="009C3958"/>
    <w:rsid w:val="009C4B2D"/>
    <w:rsid w:val="009C5133"/>
    <w:rsid w:val="009C600D"/>
    <w:rsid w:val="009C748F"/>
    <w:rsid w:val="009C7A70"/>
    <w:rsid w:val="009C7AE4"/>
    <w:rsid w:val="009D0148"/>
    <w:rsid w:val="009D0735"/>
    <w:rsid w:val="009D145C"/>
    <w:rsid w:val="009D1AE2"/>
    <w:rsid w:val="009D1ED0"/>
    <w:rsid w:val="009D2748"/>
    <w:rsid w:val="009D3AED"/>
    <w:rsid w:val="009D415B"/>
    <w:rsid w:val="009D4310"/>
    <w:rsid w:val="009D49A1"/>
    <w:rsid w:val="009D513F"/>
    <w:rsid w:val="009D657A"/>
    <w:rsid w:val="009D6F8E"/>
    <w:rsid w:val="009D7817"/>
    <w:rsid w:val="009E046E"/>
    <w:rsid w:val="009E0A35"/>
    <w:rsid w:val="009E188E"/>
    <w:rsid w:val="009E1923"/>
    <w:rsid w:val="009E26EF"/>
    <w:rsid w:val="009E2E02"/>
    <w:rsid w:val="009E3E5C"/>
    <w:rsid w:val="009E5922"/>
    <w:rsid w:val="009E6B34"/>
    <w:rsid w:val="009E6EBC"/>
    <w:rsid w:val="009E7ABA"/>
    <w:rsid w:val="009F0399"/>
    <w:rsid w:val="009F142C"/>
    <w:rsid w:val="009F1A54"/>
    <w:rsid w:val="009F3779"/>
    <w:rsid w:val="009F3E36"/>
    <w:rsid w:val="009F3FB5"/>
    <w:rsid w:val="009F40B6"/>
    <w:rsid w:val="009F4394"/>
    <w:rsid w:val="009F5086"/>
    <w:rsid w:val="009F51E9"/>
    <w:rsid w:val="009F7BF9"/>
    <w:rsid w:val="00A001E6"/>
    <w:rsid w:val="00A0043A"/>
    <w:rsid w:val="00A00860"/>
    <w:rsid w:val="00A00861"/>
    <w:rsid w:val="00A022B4"/>
    <w:rsid w:val="00A068A8"/>
    <w:rsid w:val="00A06CEB"/>
    <w:rsid w:val="00A07556"/>
    <w:rsid w:val="00A10D07"/>
    <w:rsid w:val="00A10D9C"/>
    <w:rsid w:val="00A11229"/>
    <w:rsid w:val="00A118F3"/>
    <w:rsid w:val="00A11B27"/>
    <w:rsid w:val="00A120E7"/>
    <w:rsid w:val="00A121AA"/>
    <w:rsid w:val="00A12BE8"/>
    <w:rsid w:val="00A13EAC"/>
    <w:rsid w:val="00A14705"/>
    <w:rsid w:val="00A1502D"/>
    <w:rsid w:val="00A15D72"/>
    <w:rsid w:val="00A16F63"/>
    <w:rsid w:val="00A20894"/>
    <w:rsid w:val="00A2130A"/>
    <w:rsid w:val="00A218E8"/>
    <w:rsid w:val="00A243E6"/>
    <w:rsid w:val="00A24601"/>
    <w:rsid w:val="00A2579C"/>
    <w:rsid w:val="00A25AA4"/>
    <w:rsid w:val="00A25FC0"/>
    <w:rsid w:val="00A26673"/>
    <w:rsid w:val="00A27130"/>
    <w:rsid w:val="00A27E1B"/>
    <w:rsid w:val="00A306DC"/>
    <w:rsid w:val="00A308F8"/>
    <w:rsid w:val="00A31FE2"/>
    <w:rsid w:val="00A338D2"/>
    <w:rsid w:val="00A33FFC"/>
    <w:rsid w:val="00A34102"/>
    <w:rsid w:val="00A34AD7"/>
    <w:rsid w:val="00A34CDE"/>
    <w:rsid w:val="00A34F8A"/>
    <w:rsid w:val="00A3537B"/>
    <w:rsid w:val="00A357AB"/>
    <w:rsid w:val="00A35E0F"/>
    <w:rsid w:val="00A3633D"/>
    <w:rsid w:val="00A36520"/>
    <w:rsid w:val="00A374C5"/>
    <w:rsid w:val="00A40302"/>
    <w:rsid w:val="00A406F1"/>
    <w:rsid w:val="00A40C04"/>
    <w:rsid w:val="00A412CE"/>
    <w:rsid w:val="00A41E8A"/>
    <w:rsid w:val="00A44BAA"/>
    <w:rsid w:val="00A45E33"/>
    <w:rsid w:val="00A46853"/>
    <w:rsid w:val="00A46C7D"/>
    <w:rsid w:val="00A515FF"/>
    <w:rsid w:val="00A536B2"/>
    <w:rsid w:val="00A5406C"/>
    <w:rsid w:val="00A54359"/>
    <w:rsid w:val="00A55073"/>
    <w:rsid w:val="00A5575C"/>
    <w:rsid w:val="00A57896"/>
    <w:rsid w:val="00A60B37"/>
    <w:rsid w:val="00A610F8"/>
    <w:rsid w:val="00A63095"/>
    <w:rsid w:val="00A63744"/>
    <w:rsid w:val="00A637F3"/>
    <w:rsid w:val="00A64938"/>
    <w:rsid w:val="00A64B75"/>
    <w:rsid w:val="00A64E35"/>
    <w:rsid w:val="00A65101"/>
    <w:rsid w:val="00A653F9"/>
    <w:rsid w:val="00A65BBA"/>
    <w:rsid w:val="00A6634C"/>
    <w:rsid w:val="00A704C1"/>
    <w:rsid w:val="00A70635"/>
    <w:rsid w:val="00A70C1E"/>
    <w:rsid w:val="00A71621"/>
    <w:rsid w:val="00A724EB"/>
    <w:rsid w:val="00A73526"/>
    <w:rsid w:val="00A7374E"/>
    <w:rsid w:val="00A7450A"/>
    <w:rsid w:val="00A7452B"/>
    <w:rsid w:val="00A75B40"/>
    <w:rsid w:val="00A75DFC"/>
    <w:rsid w:val="00A76DC9"/>
    <w:rsid w:val="00A7716F"/>
    <w:rsid w:val="00A774D3"/>
    <w:rsid w:val="00A803E7"/>
    <w:rsid w:val="00A80C19"/>
    <w:rsid w:val="00A80CD2"/>
    <w:rsid w:val="00A80DDD"/>
    <w:rsid w:val="00A816E3"/>
    <w:rsid w:val="00A8212F"/>
    <w:rsid w:val="00A82439"/>
    <w:rsid w:val="00A845C5"/>
    <w:rsid w:val="00A84D99"/>
    <w:rsid w:val="00A84FE2"/>
    <w:rsid w:val="00A85826"/>
    <w:rsid w:val="00A8783B"/>
    <w:rsid w:val="00A87C99"/>
    <w:rsid w:val="00A91D94"/>
    <w:rsid w:val="00A9244E"/>
    <w:rsid w:val="00A93238"/>
    <w:rsid w:val="00A9408E"/>
    <w:rsid w:val="00A94C37"/>
    <w:rsid w:val="00A95166"/>
    <w:rsid w:val="00A96352"/>
    <w:rsid w:val="00A967EF"/>
    <w:rsid w:val="00A96DDD"/>
    <w:rsid w:val="00A97D9D"/>
    <w:rsid w:val="00AA1B87"/>
    <w:rsid w:val="00AA211F"/>
    <w:rsid w:val="00AA260B"/>
    <w:rsid w:val="00AA2818"/>
    <w:rsid w:val="00AA3331"/>
    <w:rsid w:val="00AA350B"/>
    <w:rsid w:val="00AA4916"/>
    <w:rsid w:val="00AA607D"/>
    <w:rsid w:val="00AA60E8"/>
    <w:rsid w:val="00AA74F9"/>
    <w:rsid w:val="00AA7E7C"/>
    <w:rsid w:val="00AB0817"/>
    <w:rsid w:val="00AB17E0"/>
    <w:rsid w:val="00AB1A14"/>
    <w:rsid w:val="00AB2F9A"/>
    <w:rsid w:val="00AB508F"/>
    <w:rsid w:val="00AB5855"/>
    <w:rsid w:val="00AB6A27"/>
    <w:rsid w:val="00AB79B4"/>
    <w:rsid w:val="00AB7E90"/>
    <w:rsid w:val="00AB7FF8"/>
    <w:rsid w:val="00AC07CC"/>
    <w:rsid w:val="00AC0966"/>
    <w:rsid w:val="00AC0A15"/>
    <w:rsid w:val="00AC119B"/>
    <w:rsid w:val="00AC2C62"/>
    <w:rsid w:val="00AC3A1F"/>
    <w:rsid w:val="00AC5F0B"/>
    <w:rsid w:val="00AC63CB"/>
    <w:rsid w:val="00AC6EC9"/>
    <w:rsid w:val="00AC7A56"/>
    <w:rsid w:val="00AD06C6"/>
    <w:rsid w:val="00AD08CC"/>
    <w:rsid w:val="00AD0E3C"/>
    <w:rsid w:val="00AD2488"/>
    <w:rsid w:val="00AD37D6"/>
    <w:rsid w:val="00AD39FE"/>
    <w:rsid w:val="00AD3F11"/>
    <w:rsid w:val="00AD4018"/>
    <w:rsid w:val="00AD4F84"/>
    <w:rsid w:val="00AD5D5D"/>
    <w:rsid w:val="00AD67AF"/>
    <w:rsid w:val="00AD726E"/>
    <w:rsid w:val="00AD7B41"/>
    <w:rsid w:val="00AD7B50"/>
    <w:rsid w:val="00AE1ECF"/>
    <w:rsid w:val="00AE228C"/>
    <w:rsid w:val="00AE2B63"/>
    <w:rsid w:val="00AE2DA6"/>
    <w:rsid w:val="00AE30D0"/>
    <w:rsid w:val="00AE3130"/>
    <w:rsid w:val="00AE528A"/>
    <w:rsid w:val="00AE5D26"/>
    <w:rsid w:val="00AE64DB"/>
    <w:rsid w:val="00AE65C1"/>
    <w:rsid w:val="00AE6716"/>
    <w:rsid w:val="00AE6B3F"/>
    <w:rsid w:val="00AE6EDC"/>
    <w:rsid w:val="00AE73F2"/>
    <w:rsid w:val="00AE7471"/>
    <w:rsid w:val="00AF185A"/>
    <w:rsid w:val="00AF1A49"/>
    <w:rsid w:val="00AF3EA2"/>
    <w:rsid w:val="00AF44C8"/>
    <w:rsid w:val="00AF4ADD"/>
    <w:rsid w:val="00AF672B"/>
    <w:rsid w:val="00AF6982"/>
    <w:rsid w:val="00AF6F36"/>
    <w:rsid w:val="00AF71F5"/>
    <w:rsid w:val="00AF7968"/>
    <w:rsid w:val="00B00125"/>
    <w:rsid w:val="00B03E86"/>
    <w:rsid w:val="00B04913"/>
    <w:rsid w:val="00B04B45"/>
    <w:rsid w:val="00B0525D"/>
    <w:rsid w:val="00B05295"/>
    <w:rsid w:val="00B05F47"/>
    <w:rsid w:val="00B06987"/>
    <w:rsid w:val="00B071FC"/>
    <w:rsid w:val="00B072C3"/>
    <w:rsid w:val="00B10077"/>
    <w:rsid w:val="00B11A18"/>
    <w:rsid w:val="00B11B88"/>
    <w:rsid w:val="00B129E5"/>
    <w:rsid w:val="00B12E43"/>
    <w:rsid w:val="00B13DA5"/>
    <w:rsid w:val="00B15464"/>
    <w:rsid w:val="00B155EF"/>
    <w:rsid w:val="00B156FF"/>
    <w:rsid w:val="00B15909"/>
    <w:rsid w:val="00B1608D"/>
    <w:rsid w:val="00B201C1"/>
    <w:rsid w:val="00B21D54"/>
    <w:rsid w:val="00B23A3B"/>
    <w:rsid w:val="00B24E71"/>
    <w:rsid w:val="00B254B0"/>
    <w:rsid w:val="00B26722"/>
    <w:rsid w:val="00B2676C"/>
    <w:rsid w:val="00B26B60"/>
    <w:rsid w:val="00B27C69"/>
    <w:rsid w:val="00B27F85"/>
    <w:rsid w:val="00B31EFB"/>
    <w:rsid w:val="00B31FB6"/>
    <w:rsid w:val="00B32374"/>
    <w:rsid w:val="00B326C3"/>
    <w:rsid w:val="00B32B81"/>
    <w:rsid w:val="00B338DB"/>
    <w:rsid w:val="00B33C04"/>
    <w:rsid w:val="00B34549"/>
    <w:rsid w:val="00B34C46"/>
    <w:rsid w:val="00B34EE5"/>
    <w:rsid w:val="00B3520D"/>
    <w:rsid w:val="00B35223"/>
    <w:rsid w:val="00B35A55"/>
    <w:rsid w:val="00B3611E"/>
    <w:rsid w:val="00B36CEE"/>
    <w:rsid w:val="00B37186"/>
    <w:rsid w:val="00B40066"/>
    <w:rsid w:val="00B40067"/>
    <w:rsid w:val="00B41E97"/>
    <w:rsid w:val="00B42402"/>
    <w:rsid w:val="00B430BE"/>
    <w:rsid w:val="00B43660"/>
    <w:rsid w:val="00B445B5"/>
    <w:rsid w:val="00B456DA"/>
    <w:rsid w:val="00B45EA3"/>
    <w:rsid w:val="00B50523"/>
    <w:rsid w:val="00B52121"/>
    <w:rsid w:val="00B524E1"/>
    <w:rsid w:val="00B52746"/>
    <w:rsid w:val="00B5300B"/>
    <w:rsid w:val="00B5394F"/>
    <w:rsid w:val="00B542E0"/>
    <w:rsid w:val="00B564F4"/>
    <w:rsid w:val="00B56C6F"/>
    <w:rsid w:val="00B57EC6"/>
    <w:rsid w:val="00B605F1"/>
    <w:rsid w:val="00B6079F"/>
    <w:rsid w:val="00B60A47"/>
    <w:rsid w:val="00B612A6"/>
    <w:rsid w:val="00B61590"/>
    <w:rsid w:val="00B61EBC"/>
    <w:rsid w:val="00B63B6D"/>
    <w:rsid w:val="00B63E2D"/>
    <w:rsid w:val="00B64515"/>
    <w:rsid w:val="00B64AC1"/>
    <w:rsid w:val="00B65D78"/>
    <w:rsid w:val="00B66CC5"/>
    <w:rsid w:val="00B674B3"/>
    <w:rsid w:val="00B674CC"/>
    <w:rsid w:val="00B67968"/>
    <w:rsid w:val="00B67C64"/>
    <w:rsid w:val="00B67C99"/>
    <w:rsid w:val="00B67CCB"/>
    <w:rsid w:val="00B70CD2"/>
    <w:rsid w:val="00B70D3E"/>
    <w:rsid w:val="00B716E4"/>
    <w:rsid w:val="00B7178B"/>
    <w:rsid w:val="00B731C7"/>
    <w:rsid w:val="00B737CB"/>
    <w:rsid w:val="00B73ED8"/>
    <w:rsid w:val="00B74DE2"/>
    <w:rsid w:val="00B751E5"/>
    <w:rsid w:val="00B758FF"/>
    <w:rsid w:val="00B75B25"/>
    <w:rsid w:val="00B75EB8"/>
    <w:rsid w:val="00B766E0"/>
    <w:rsid w:val="00B768B5"/>
    <w:rsid w:val="00B76AB9"/>
    <w:rsid w:val="00B77A32"/>
    <w:rsid w:val="00B77EED"/>
    <w:rsid w:val="00B80593"/>
    <w:rsid w:val="00B81285"/>
    <w:rsid w:val="00B81346"/>
    <w:rsid w:val="00B8188C"/>
    <w:rsid w:val="00B833DE"/>
    <w:rsid w:val="00B83B25"/>
    <w:rsid w:val="00B83C78"/>
    <w:rsid w:val="00B84C56"/>
    <w:rsid w:val="00B85059"/>
    <w:rsid w:val="00B860FD"/>
    <w:rsid w:val="00B86E38"/>
    <w:rsid w:val="00B875DF"/>
    <w:rsid w:val="00B9154C"/>
    <w:rsid w:val="00B923E1"/>
    <w:rsid w:val="00B92972"/>
    <w:rsid w:val="00B92AE9"/>
    <w:rsid w:val="00B93AF5"/>
    <w:rsid w:val="00B94187"/>
    <w:rsid w:val="00B941A3"/>
    <w:rsid w:val="00B94293"/>
    <w:rsid w:val="00B94589"/>
    <w:rsid w:val="00B95308"/>
    <w:rsid w:val="00B95441"/>
    <w:rsid w:val="00B954E0"/>
    <w:rsid w:val="00B96B83"/>
    <w:rsid w:val="00B97A0B"/>
    <w:rsid w:val="00BA0D0E"/>
    <w:rsid w:val="00BA12E8"/>
    <w:rsid w:val="00BA2FB1"/>
    <w:rsid w:val="00BA3CFB"/>
    <w:rsid w:val="00BA3FEB"/>
    <w:rsid w:val="00BA4DA1"/>
    <w:rsid w:val="00BA4EFC"/>
    <w:rsid w:val="00BA6A31"/>
    <w:rsid w:val="00BB0BDA"/>
    <w:rsid w:val="00BB13B5"/>
    <w:rsid w:val="00BB14C6"/>
    <w:rsid w:val="00BB1EF0"/>
    <w:rsid w:val="00BB22A2"/>
    <w:rsid w:val="00BB2BE0"/>
    <w:rsid w:val="00BB2C82"/>
    <w:rsid w:val="00BB3563"/>
    <w:rsid w:val="00BB388B"/>
    <w:rsid w:val="00BB3BC1"/>
    <w:rsid w:val="00BB3D16"/>
    <w:rsid w:val="00BB4616"/>
    <w:rsid w:val="00BB46D4"/>
    <w:rsid w:val="00BB74D5"/>
    <w:rsid w:val="00BB7F60"/>
    <w:rsid w:val="00BC1FA6"/>
    <w:rsid w:val="00BC39BA"/>
    <w:rsid w:val="00BC3A28"/>
    <w:rsid w:val="00BC3A9A"/>
    <w:rsid w:val="00BC3F7F"/>
    <w:rsid w:val="00BC44EE"/>
    <w:rsid w:val="00BC4878"/>
    <w:rsid w:val="00BC4BE7"/>
    <w:rsid w:val="00BC51DC"/>
    <w:rsid w:val="00BC5778"/>
    <w:rsid w:val="00BC5A40"/>
    <w:rsid w:val="00BC5DCC"/>
    <w:rsid w:val="00BC6AE8"/>
    <w:rsid w:val="00BC702C"/>
    <w:rsid w:val="00BC75CD"/>
    <w:rsid w:val="00BD0312"/>
    <w:rsid w:val="00BD0613"/>
    <w:rsid w:val="00BD0CC8"/>
    <w:rsid w:val="00BD1533"/>
    <w:rsid w:val="00BD16A3"/>
    <w:rsid w:val="00BD3045"/>
    <w:rsid w:val="00BD310C"/>
    <w:rsid w:val="00BD33B7"/>
    <w:rsid w:val="00BD5C84"/>
    <w:rsid w:val="00BD65F6"/>
    <w:rsid w:val="00BE0562"/>
    <w:rsid w:val="00BE0634"/>
    <w:rsid w:val="00BE4F2B"/>
    <w:rsid w:val="00BE6569"/>
    <w:rsid w:val="00BE6EAD"/>
    <w:rsid w:val="00BE75D1"/>
    <w:rsid w:val="00BE7B58"/>
    <w:rsid w:val="00BF1061"/>
    <w:rsid w:val="00BF17AB"/>
    <w:rsid w:val="00BF2734"/>
    <w:rsid w:val="00BF2A4B"/>
    <w:rsid w:val="00BF3735"/>
    <w:rsid w:val="00BF37A3"/>
    <w:rsid w:val="00BF53ED"/>
    <w:rsid w:val="00BF543F"/>
    <w:rsid w:val="00BF54AE"/>
    <w:rsid w:val="00BF7859"/>
    <w:rsid w:val="00C00A86"/>
    <w:rsid w:val="00C03C56"/>
    <w:rsid w:val="00C03C7A"/>
    <w:rsid w:val="00C043DC"/>
    <w:rsid w:val="00C04877"/>
    <w:rsid w:val="00C04BD3"/>
    <w:rsid w:val="00C04C38"/>
    <w:rsid w:val="00C0531D"/>
    <w:rsid w:val="00C0557B"/>
    <w:rsid w:val="00C0580A"/>
    <w:rsid w:val="00C06DAF"/>
    <w:rsid w:val="00C07838"/>
    <w:rsid w:val="00C07ECE"/>
    <w:rsid w:val="00C1109A"/>
    <w:rsid w:val="00C1113C"/>
    <w:rsid w:val="00C12CBC"/>
    <w:rsid w:val="00C1355A"/>
    <w:rsid w:val="00C13760"/>
    <w:rsid w:val="00C147EC"/>
    <w:rsid w:val="00C15308"/>
    <w:rsid w:val="00C157E1"/>
    <w:rsid w:val="00C15C1D"/>
    <w:rsid w:val="00C16405"/>
    <w:rsid w:val="00C168B9"/>
    <w:rsid w:val="00C17713"/>
    <w:rsid w:val="00C20792"/>
    <w:rsid w:val="00C216F2"/>
    <w:rsid w:val="00C21D69"/>
    <w:rsid w:val="00C226ED"/>
    <w:rsid w:val="00C22F69"/>
    <w:rsid w:val="00C235C3"/>
    <w:rsid w:val="00C239F7"/>
    <w:rsid w:val="00C24173"/>
    <w:rsid w:val="00C2461B"/>
    <w:rsid w:val="00C263B9"/>
    <w:rsid w:val="00C27035"/>
    <w:rsid w:val="00C30999"/>
    <w:rsid w:val="00C30E23"/>
    <w:rsid w:val="00C3166F"/>
    <w:rsid w:val="00C3442F"/>
    <w:rsid w:val="00C3469F"/>
    <w:rsid w:val="00C3516B"/>
    <w:rsid w:val="00C35EBF"/>
    <w:rsid w:val="00C35EDE"/>
    <w:rsid w:val="00C363EC"/>
    <w:rsid w:val="00C36D5A"/>
    <w:rsid w:val="00C4099C"/>
    <w:rsid w:val="00C41916"/>
    <w:rsid w:val="00C41925"/>
    <w:rsid w:val="00C41BF6"/>
    <w:rsid w:val="00C43531"/>
    <w:rsid w:val="00C44452"/>
    <w:rsid w:val="00C44FBB"/>
    <w:rsid w:val="00C465B5"/>
    <w:rsid w:val="00C47EEB"/>
    <w:rsid w:val="00C50F32"/>
    <w:rsid w:val="00C52E3D"/>
    <w:rsid w:val="00C52F04"/>
    <w:rsid w:val="00C52F0A"/>
    <w:rsid w:val="00C5372A"/>
    <w:rsid w:val="00C54D84"/>
    <w:rsid w:val="00C550DA"/>
    <w:rsid w:val="00C5526D"/>
    <w:rsid w:val="00C55D44"/>
    <w:rsid w:val="00C56A43"/>
    <w:rsid w:val="00C5737D"/>
    <w:rsid w:val="00C57BEF"/>
    <w:rsid w:val="00C601FB"/>
    <w:rsid w:val="00C61C9D"/>
    <w:rsid w:val="00C63018"/>
    <w:rsid w:val="00C63061"/>
    <w:rsid w:val="00C63EB3"/>
    <w:rsid w:val="00C64536"/>
    <w:rsid w:val="00C64A68"/>
    <w:rsid w:val="00C6505C"/>
    <w:rsid w:val="00C65237"/>
    <w:rsid w:val="00C656A3"/>
    <w:rsid w:val="00C657AA"/>
    <w:rsid w:val="00C66D4D"/>
    <w:rsid w:val="00C6749B"/>
    <w:rsid w:val="00C67A68"/>
    <w:rsid w:val="00C67ED4"/>
    <w:rsid w:val="00C67F2E"/>
    <w:rsid w:val="00C70808"/>
    <w:rsid w:val="00C70A6B"/>
    <w:rsid w:val="00C7139A"/>
    <w:rsid w:val="00C7182F"/>
    <w:rsid w:val="00C725E2"/>
    <w:rsid w:val="00C72CF8"/>
    <w:rsid w:val="00C73045"/>
    <w:rsid w:val="00C733DF"/>
    <w:rsid w:val="00C7472D"/>
    <w:rsid w:val="00C7496F"/>
    <w:rsid w:val="00C75B78"/>
    <w:rsid w:val="00C75E9C"/>
    <w:rsid w:val="00C760D9"/>
    <w:rsid w:val="00C7636A"/>
    <w:rsid w:val="00C76806"/>
    <w:rsid w:val="00C768E9"/>
    <w:rsid w:val="00C77222"/>
    <w:rsid w:val="00C772A8"/>
    <w:rsid w:val="00C801A8"/>
    <w:rsid w:val="00C80DFF"/>
    <w:rsid w:val="00C82066"/>
    <w:rsid w:val="00C82578"/>
    <w:rsid w:val="00C834AC"/>
    <w:rsid w:val="00C835F9"/>
    <w:rsid w:val="00C8421A"/>
    <w:rsid w:val="00C84DE5"/>
    <w:rsid w:val="00C84EE9"/>
    <w:rsid w:val="00C909F2"/>
    <w:rsid w:val="00C90EB3"/>
    <w:rsid w:val="00C9126F"/>
    <w:rsid w:val="00C91473"/>
    <w:rsid w:val="00C9203F"/>
    <w:rsid w:val="00C939F4"/>
    <w:rsid w:val="00C93DC6"/>
    <w:rsid w:val="00C93E29"/>
    <w:rsid w:val="00C93F5A"/>
    <w:rsid w:val="00C94B6E"/>
    <w:rsid w:val="00C95489"/>
    <w:rsid w:val="00C9562F"/>
    <w:rsid w:val="00C96956"/>
    <w:rsid w:val="00CA03AC"/>
    <w:rsid w:val="00CA0539"/>
    <w:rsid w:val="00CA0BF8"/>
    <w:rsid w:val="00CA1084"/>
    <w:rsid w:val="00CA29BF"/>
    <w:rsid w:val="00CA2D58"/>
    <w:rsid w:val="00CA3321"/>
    <w:rsid w:val="00CA3BEE"/>
    <w:rsid w:val="00CA4465"/>
    <w:rsid w:val="00CA6A60"/>
    <w:rsid w:val="00CB0177"/>
    <w:rsid w:val="00CB10FD"/>
    <w:rsid w:val="00CB200C"/>
    <w:rsid w:val="00CB2857"/>
    <w:rsid w:val="00CB2BA9"/>
    <w:rsid w:val="00CB3D1B"/>
    <w:rsid w:val="00CB483C"/>
    <w:rsid w:val="00CB6269"/>
    <w:rsid w:val="00CB78D4"/>
    <w:rsid w:val="00CC1816"/>
    <w:rsid w:val="00CC20F8"/>
    <w:rsid w:val="00CC2368"/>
    <w:rsid w:val="00CC2567"/>
    <w:rsid w:val="00CC258C"/>
    <w:rsid w:val="00CC32EA"/>
    <w:rsid w:val="00CC33DC"/>
    <w:rsid w:val="00CC3821"/>
    <w:rsid w:val="00CC3844"/>
    <w:rsid w:val="00CC45F1"/>
    <w:rsid w:val="00CC6736"/>
    <w:rsid w:val="00CD07FF"/>
    <w:rsid w:val="00CD17FD"/>
    <w:rsid w:val="00CD2891"/>
    <w:rsid w:val="00CD3DA9"/>
    <w:rsid w:val="00CD4275"/>
    <w:rsid w:val="00CD4AE3"/>
    <w:rsid w:val="00CD517C"/>
    <w:rsid w:val="00CD5435"/>
    <w:rsid w:val="00CD5C11"/>
    <w:rsid w:val="00CD5E84"/>
    <w:rsid w:val="00CD63FE"/>
    <w:rsid w:val="00CD66B5"/>
    <w:rsid w:val="00CD6F2A"/>
    <w:rsid w:val="00CD7DB3"/>
    <w:rsid w:val="00CE04ED"/>
    <w:rsid w:val="00CE0766"/>
    <w:rsid w:val="00CE1937"/>
    <w:rsid w:val="00CE1A0D"/>
    <w:rsid w:val="00CE2F91"/>
    <w:rsid w:val="00CE2FDD"/>
    <w:rsid w:val="00CE36BD"/>
    <w:rsid w:val="00CE3AFF"/>
    <w:rsid w:val="00CE4278"/>
    <w:rsid w:val="00CE5EBD"/>
    <w:rsid w:val="00CE6CFB"/>
    <w:rsid w:val="00CE7099"/>
    <w:rsid w:val="00CF01F8"/>
    <w:rsid w:val="00CF173E"/>
    <w:rsid w:val="00CF1AB6"/>
    <w:rsid w:val="00CF2498"/>
    <w:rsid w:val="00CF2DC7"/>
    <w:rsid w:val="00CF379F"/>
    <w:rsid w:val="00CF3E32"/>
    <w:rsid w:val="00CF3E8F"/>
    <w:rsid w:val="00CF46A5"/>
    <w:rsid w:val="00CF5F9E"/>
    <w:rsid w:val="00CF681D"/>
    <w:rsid w:val="00CF762C"/>
    <w:rsid w:val="00D010FF"/>
    <w:rsid w:val="00D01D6C"/>
    <w:rsid w:val="00D020A5"/>
    <w:rsid w:val="00D02FB6"/>
    <w:rsid w:val="00D04864"/>
    <w:rsid w:val="00D04A65"/>
    <w:rsid w:val="00D04C23"/>
    <w:rsid w:val="00D05192"/>
    <w:rsid w:val="00D053A6"/>
    <w:rsid w:val="00D05DA9"/>
    <w:rsid w:val="00D06504"/>
    <w:rsid w:val="00D06900"/>
    <w:rsid w:val="00D077BB"/>
    <w:rsid w:val="00D07FB9"/>
    <w:rsid w:val="00D10675"/>
    <w:rsid w:val="00D12694"/>
    <w:rsid w:val="00D128C2"/>
    <w:rsid w:val="00D12BC4"/>
    <w:rsid w:val="00D12F35"/>
    <w:rsid w:val="00D13F28"/>
    <w:rsid w:val="00D13FBB"/>
    <w:rsid w:val="00D144CB"/>
    <w:rsid w:val="00D17B75"/>
    <w:rsid w:val="00D20C04"/>
    <w:rsid w:val="00D20C7B"/>
    <w:rsid w:val="00D20E0C"/>
    <w:rsid w:val="00D211B0"/>
    <w:rsid w:val="00D2132A"/>
    <w:rsid w:val="00D219E5"/>
    <w:rsid w:val="00D2230E"/>
    <w:rsid w:val="00D22789"/>
    <w:rsid w:val="00D235CB"/>
    <w:rsid w:val="00D23C45"/>
    <w:rsid w:val="00D2431F"/>
    <w:rsid w:val="00D24354"/>
    <w:rsid w:val="00D2482E"/>
    <w:rsid w:val="00D254A1"/>
    <w:rsid w:val="00D25A9A"/>
    <w:rsid w:val="00D25DF3"/>
    <w:rsid w:val="00D2647C"/>
    <w:rsid w:val="00D26AD9"/>
    <w:rsid w:val="00D26EC3"/>
    <w:rsid w:val="00D26F28"/>
    <w:rsid w:val="00D275A3"/>
    <w:rsid w:val="00D303E8"/>
    <w:rsid w:val="00D31051"/>
    <w:rsid w:val="00D31B4F"/>
    <w:rsid w:val="00D326B3"/>
    <w:rsid w:val="00D34941"/>
    <w:rsid w:val="00D360AA"/>
    <w:rsid w:val="00D37096"/>
    <w:rsid w:val="00D40444"/>
    <w:rsid w:val="00D40CCF"/>
    <w:rsid w:val="00D417E7"/>
    <w:rsid w:val="00D42865"/>
    <w:rsid w:val="00D42B3A"/>
    <w:rsid w:val="00D43F12"/>
    <w:rsid w:val="00D446A1"/>
    <w:rsid w:val="00D45521"/>
    <w:rsid w:val="00D455EB"/>
    <w:rsid w:val="00D45DB0"/>
    <w:rsid w:val="00D511FD"/>
    <w:rsid w:val="00D517A7"/>
    <w:rsid w:val="00D52DCE"/>
    <w:rsid w:val="00D5310D"/>
    <w:rsid w:val="00D534F6"/>
    <w:rsid w:val="00D53F40"/>
    <w:rsid w:val="00D544DC"/>
    <w:rsid w:val="00D5488D"/>
    <w:rsid w:val="00D54DD0"/>
    <w:rsid w:val="00D5580C"/>
    <w:rsid w:val="00D55A8B"/>
    <w:rsid w:val="00D55ACC"/>
    <w:rsid w:val="00D56034"/>
    <w:rsid w:val="00D566A2"/>
    <w:rsid w:val="00D56766"/>
    <w:rsid w:val="00D56DE8"/>
    <w:rsid w:val="00D5722D"/>
    <w:rsid w:val="00D57282"/>
    <w:rsid w:val="00D602F3"/>
    <w:rsid w:val="00D60507"/>
    <w:rsid w:val="00D61B0B"/>
    <w:rsid w:val="00D62C03"/>
    <w:rsid w:val="00D62D4B"/>
    <w:rsid w:val="00D62E2D"/>
    <w:rsid w:val="00D63161"/>
    <w:rsid w:val="00D634A1"/>
    <w:rsid w:val="00D64C59"/>
    <w:rsid w:val="00D65C88"/>
    <w:rsid w:val="00D6659E"/>
    <w:rsid w:val="00D66619"/>
    <w:rsid w:val="00D666B8"/>
    <w:rsid w:val="00D66C0C"/>
    <w:rsid w:val="00D66E04"/>
    <w:rsid w:val="00D67DB7"/>
    <w:rsid w:val="00D70F8B"/>
    <w:rsid w:val="00D7255F"/>
    <w:rsid w:val="00D729AC"/>
    <w:rsid w:val="00D73A58"/>
    <w:rsid w:val="00D73D45"/>
    <w:rsid w:val="00D74D09"/>
    <w:rsid w:val="00D76712"/>
    <w:rsid w:val="00D76FA1"/>
    <w:rsid w:val="00D773B4"/>
    <w:rsid w:val="00D80526"/>
    <w:rsid w:val="00D8067B"/>
    <w:rsid w:val="00D81683"/>
    <w:rsid w:val="00D82A46"/>
    <w:rsid w:val="00D82FD4"/>
    <w:rsid w:val="00D83803"/>
    <w:rsid w:val="00D8540A"/>
    <w:rsid w:val="00D86F46"/>
    <w:rsid w:val="00D872BE"/>
    <w:rsid w:val="00D873FD"/>
    <w:rsid w:val="00D87739"/>
    <w:rsid w:val="00D9000B"/>
    <w:rsid w:val="00D90C07"/>
    <w:rsid w:val="00D90E45"/>
    <w:rsid w:val="00D91D68"/>
    <w:rsid w:val="00D922F3"/>
    <w:rsid w:val="00D928E5"/>
    <w:rsid w:val="00D92D94"/>
    <w:rsid w:val="00D93047"/>
    <w:rsid w:val="00D9583A"/>
    <w:rsid w:val="00D964A9"/>
    <w:rsid w:val="00D964E5"/>
    <w:rsid w:val="00DA10FC"/>
    <w:rsid w:val="00DA1EFF"/>
    <w:rsid w:val="00DA2041"/>
    <w:rsid w:val="00DA2075"/>
    <w:rsid w:val="00DA291D"/>
    <w:rsid w:val="00DA2F99"/>
    <w:rsid w:val="00DA3E80"/>
    <w:rsid w:val="00DA598B"/>
    <w:rsid w:val="00DA5E2E"/>
    <w:rsid w:val="00DA72A8"/>
    <w:rsid w:val="00DA7AAA"/>
    <w:rsid w:val="00DB056F"/>
    <w:rsid w:val="00DB12E6"/>
    <w:rsid w:val="00DB12EC"/>
    <w:rsid w:val="00DB1FF4"/>
    <w:rsid w:val="00DB2FFE"/>
    <w:rsid w:val="00DB320B"/>
    <w:rsid w:val="00DB36A1"/>
    <w:rsid w:val="00DB3C66"/>
    <w:rsid w:val="00DB4D79"/>
    <w:rsid w:val="00DB5313"/>
    <w:rsid w:val="00DB75A6"/>
    <w:rsid w:val="00DB7888"/>
    <w:rsid w:val="00DC0970"/>
    <w:rsid w:val="00DC1A80"/>
    <w:rsid w:val="00DC1A95"/>
    <w:rsid w:val="00DC2A15"/>
    <w:rsid w:val="00DC3BA2"/>
    <w:rsid w:val="00DC4472"/>
    <w:rsid w:val="00DC4593"/>
    <w:rsid w:val="00DC4A39"/>
    <w:rsid w:val="00DC5569"/>
    <w:rsid w:val="00DC5970"/>
    <w:rsid w:val="00DC5EA7"/>
    <w:rsid w:val="00DC6BB0"/>
    <w:rsid w:val="00DC7BCF"/>
    <w:rsid w:val="00DC7F07"/>
    <w:rsid w:val="00DC7F1A"/>
    <w:rsid w:val="00DD02A8"/>
    <w:rsid w:val="00DD08D8"/>
    <w:rsid w:val="00DD0D03"/>
    <w:rsid w:val="00DD0F6D"/>
    <w:rsid w:val="00DD28E8"/>
    <w:rsid w:val="00DD3F89"/>
    <w:rsid w:val="00DD48FD"/>
    <w:rsid w:val="00DD4EE5"/>
    <w:rsid w:val="00DD5FB5"/>
    <w:rsid w:val="00DD6C75"/>
    <w:rsid w:val="00DD6D5B"/>
    <w:rsid w:val="00DD7221"/>
    <w:rsid w:val="00DE173D"/>
    <w:rsid w:val="00DE2073"/>
    <w:rsid w:val="00DE2797"/>
    <w:rsid w:val="00DE3375"/>
    <w:rsid w:val="00DE33FD"/>
    <w:rsid w:val="00DE356C"/>
    <w:rsid w:val="00DE436D"/>
    <w:rsid w:val="00DE6DED"/>
    <w:rsid w:val="00DE6FF4"/>
    <w:rsid w:val="00DE7B8E"/>
    <w:rsid w:val="00DE7E10"/>
    <w:rsid w:val="00DF09F2"/>
    <w:rsid w:val="00DF0B12"/>
    <w:rsid w:val="00DF142F"/>
    <w:rsid w:val="00DF1671"/>
    <w:rsid w:val="00DF2817"/>
    <w:rsid w:val="00DF3A9A"/>
    <w:rsid w:val="00DF3E7C"/>
    <w:rsid w:val="00DF405E"/>
    <w:rsid w:val="00DF54C2"/>
    <w:rsid w:val="00DF5C9D"/>
    <w:rsid w:val="00DF64FB"/>
    <w:rsid w:val="00DF6A10"/>
    <w:rsid w:val="00DF7446"/>
    <w:rsid w:val="00E01058"/>
    <w:rsid w:val="00E01D56"/>
    <w:rsid w:val="00E0237F"/>
    <w:rsid w:val="00E026DF"/>
    <w:rsid w:val="00E02F62"/>
    <w:rsid w:val="00E03397"/>
    <w:rsid w:val="00E03577"/>
    <w:rsid w:val="00E04592"/>
    <w:rsid w:val="00E046BD"/>
    <w:rsid w:val="00E04D99"/>
    <w:rsid w:val="00E05761"/>
    <w:rsid w:val="00E065E6"/>
    <w:rsid w:val="00E06814"/>
    <w:rsid w:val="00E07FC1"/>
    <w:rsid w:val="00E104B0"/>
    <w:rsid w:val="00E10974"/>
    <w:rsid w:val="00E12068"/>
    <w:rsid w:val="00E13484"/>
    <w:rsid w:val="00E13615"/>
    <w:rsid w:val="00E14182"/>
    <w:rsid w:val="00E1493D"/>
    <w:rsid w:val="00E14A91"/>
    <w:rsid w:val="00E14F80"/>
    <w:rsid w:val="00E15B96"/>
    <w:rsid w:val="00E15F9A"/>
    <w:rsid w:val="00E16A39"/>
    <w:rsid w:val="00E16D5D"/>
    <w:rsid w:val="00E16F16"/>
    <w:rsid w:val="00E17858"/>
    <w:rsid w:val="00E17F2B"/>
    <w:rsid w:val="00E207BA"/>
    <w:rsid w:val="00E20B37"/>
    <w:rsid w:val="00E20D05"/>
    <w:rsid w:val="00E21FFB"/>
    <w:rsid w:val="00E2408E"/>
    <w:rsid w:val="00E2679F"/>
    <w:rsid w:val="00E27CC7"/>
    <w:rsid w:val="00E27E58"/>
    <w:rsid w:val="00E27FC3"/>
    <w:rsid w:val="00E31E54"/>
    <w:rsid w:val="00E33080"/>
    <w:rsid w:val="00E3336D"/>
    <w:rsid w:val="00E3405C"/>
    <w:rsid w:val="00E35065"/>
    <w:rsid w:val="00E3519D"/>
    <w:rsid w:val="00E357DD"/>
    <w:rsid w:val="00E35937"/>
    <w:rsid w:val="00E366D3"/>
    <w:rsid w:val="00E367E6"/>
    <w:rsid w:val="00E372B6"/>
    <w:rsid w:val="00E4059C"/>
    <w:rsid w:val="00E41471"/>
    <w:rsid w:val="00E415FC"/>
    <w:rsid w:val="00E41B4B"/>
    <w:rsid w:val="00E425C4"/>
    <w:rsid w:val="00E427BE"/>
    <w:rsid w:val="00E42E74"/>
    <w:rsid w:val="00E434E7"/>
    <w:rsid w:val="00E4428A"/>
    <w:rsid w:val="00E4432E"/>
    <w:rsid w:val="00E451A8"/>
    <w:rsid w:val="00E47460"/>
    <w:rsid w:val="00E502FA"/>
    <w:rsid w:val="00E5043C"/>
    <w:rsid w:val="00E50A7B"/>
    <w:rsid w:val="00E52746"/>
    <w:rsid w:val="00E53689"/>
    <w:rsid w:val="00E541E8"/>
    <w:rsid w:val="00E54B02"/>
    <w:rsid w:val="00E55CD6"/>
    <w:rsid w:val="00E55FF4"/>
    <w:rsid w:val="00E565C6"/>
    <w:rsid w:val="00E56741"/>
    <w:rsid w:val="00E570C4"/>
    <w:rsid w:val="00E5765D"/>
    <w:rsid w:val="00E60692"/>
    <w:rsid w:val="00E60B01"/>
    <w:rsid w:val="00E60EF6"/>
    <w:rsid w:val="00E61BC2"/>
    <w:rsid w:val="00E61C89"/>
    <w:rsid w:val="00E62080"/>
    <w:rsid w:val="00E63C19"/>
    <w:rsid w:val="00E63EE8"/>
    <w:rsid w:val="00E64AB3"/>
    <w:rsid w:val="00E65CFD"/>
    <w:rsid w:val="00E66B18"/>
    <w:rsid w:val="00E67756"/>
    <w:rsid w:val="00E70089"/>
    <w:rsid w:val="00E7021A"/>
    <w:rsid w:val="00E70965"/>
    <w:rsid w:val="00E71216"/>
    <w:rsid w:val="00E713FC"/>
    <w:rsid w:val="00E71E49"/>
    <w:rsid w:val="00E7203E"/>
    <w:rsid w:val="00E72A52"/>
    <w:rsid w:val="00E72EA5"/>
    <w:rsid w:val="00E737D1"/>
    <w:rsid w:val="00E74668"/>
    <w:rsid w:val="00E754B4"/>
    <w:rsid w:val="00E764FA"/>
    <w:rsid w:val="00E76522"/>
    <w:rsid w:val="00E76888"/>
    <w:rsid w:val="00E770CE"/>
    <w:rsid w:val="00E77397"/>
    <w:rsid w:val="00E773D1"/>
    <w:rsid w:val="00E80D58"/>
    <w:rsid w:val="00E80EA0"/>
    <w:rsid w:val="00E828FC"/>
    <w:rsid w:val="00E82D2C"/>
    <w:rsid w:val="00E8379B"/>
    <w:rsid w:val="00E83A14"/>
    <w:rsid w:val="00E83E7C"/>
    <w:rsid w:val="00E854B9"/>
    <w:rsid w:val="00E87241"/>
    <w:rsid w:val="00E901BD"/>
    <w:rsid w:val="00E91216"/>
    <w:rsid w:val="00E9127F"/>
    <w:rsid w:val="00E922EF"/>
    <w:rsid w:val="00E92855"/>
    <w:rsid w:val="00E93031"/>
    <w:rsid w:val="00E93818"/>
    <w:rsid w:val="00E93EA4"/>
    <w:rsid w:val="00E940AC"/>
    <w:rsid w:val="00E945DA"/>
    <w:rsid w:val="00E957EE"/>
    <w:rsid w:val="00E97A26"/>
    <w:rsid w:val="00E97C54"/>
    <w:rsid w:val="00EA010C"/>
    <w:rsid w:val="00EA033E"/>
    <w:rsid w:val="00EA045B"/>
    <w:rsid w:val="00EA0C5C"/>
    <w:rsid w:val="00EA15D4"/>
    <w:rsid w:val="00EA1CBA"/>
    <w:rsid w:val="00EA1D41"/>
    <w:rsid w:val="00EA2D6D"/>
    <w:rsid w:val="00EA7456"/>
    <w:rsid w:val="00EA7627"/>
    <w:rsid w:val="00EB08D9"/>
    <w:rsid w:val="00EB0C0E"/>
    <w:rsid w:val="00EB0FEA"/>
    <w:rsid w:val="00EB2A21"/>
    <w:rsid w:val="00EB2E6E"/>
    <w:rsid w:val="00EB3286"/>
    <w:rsid w:val="00EB5095"/>
    <w:rsid w:val="00EB57F3"/>
    <w:rsid w:val="00EB5EC7"/>
    <w:rsid w:val="00EB6C62"/>
    <w:rsid w:val="00EC0562"/>
    <w:rsid w:val="00EC07F5"/>
    <w:rsid w:val="00EC3609"/>
    <w:rsid w:val="00EC39FF"/>
    <w:rsid w:val="00EC461C"/>
    <w:rsid w:val="00EC50F7"/>
    <w:rsid w:val="00EC615C"/>
    <w:rsid w:val="00EC7467"/>
    <w:rsid w:val="00ED063C"/>
    <w:rsid w:val="00ED098E"/>
    <w:rsid w:val="00ED1422"/>
    <w:rsid w:val="00ED1B2F"/>
    <w:rsid w:val="00ED22DD"/>
    <w:rsid w:val="00ED375B"/>
    <w:rsid w:val="00ED494D"/>
    <w:rsid w:val="00ED512C"/>
    <w:rsid w:val="00ED51B5"/>
    <w:rsid w:val="00EE1778"/>
    <w:rsid w:val="00EE294A"/>
    <w:rsid w:val="00EE2C69"/>
    <w:rsid w:val="00EE332F"/>
    <w:rsid w:val="00EE340D"/>
    <w:rsid w:val="00EE3A82"/>
    <w:rsid w:val="00EE4D06"/>
    <w:rsid w:val="00EE5135"/>
    <w:rsid w:val="00EE57B8"/>
    <w:rsid w:val="00EE64FF"/>
    <w:rsid w:val="00EE68C8"/>
    <w:rsid w:val="00EE6BC3"/>
    <w:rsid w:val="00EE78B5"/>
    <w:rsid w:val="00EF0BDC"/>
    <w:rsid w:val="00EF13C8"/>
    <w:rsid w:val="00EF28BB"/>
    <w:rsid w:val="00EF3061"/>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76D"/>
    <w:rsid w:val="00F02DEE"/>
    <w:rsid w:val="00F03E7E"/>
    <w:rsid w:val="00F04856"/>
    <w:rsid w:val="00F05942"/>
    <w:rsid w:val="00F072F9"/>
    <w:rsid w:val="00F074CC"/>
    <w:rsid w:val="00F10B53"/>
    <w:rsid w:val="00F1146B"/>
    <w:rsid w:val="00F12BBB"/>
    <w:rsid w:val="00F138C4"/>
    <w:rsid w:val="00F13B8D"/>
    <w:rsid w:val="00F14D38"/>
    <w:rsid w:val="00F15FF8"/>
    <w:rsid w:val="00F16427"/>
    <w:rsid w:val="00F1665D"/>
    <w:rsid w:val="00F16D1B"/>
    <w:rsid w:val="00F16F80"/>
    <w:rsid w:val="00F17808"/>
    <w:rsid w:val="00F20062"/>
    <w:rsid w:val="00F20212"/>
    <w:rsid w:val="00F2113F"/>
    <w:rsid w:val="00F211E9"/>
    <w:rsid w:val="00F214C9"/>
    <w:rsid w:val="00F22EBD"/>
    <w:rsid w:val="00F2321B"/>
    <w:rsid w:val="00F23A00"/>
    <w:rsid w:val="00F23F92"/>
    <w:rsid w:val="00F245C2"/>
    <w:rsid w:val="00F24DF9"/>
    <w:rsid w:val="00F25A86"/>
    <w:rsid w:val="00F25D00"/>
    <w:rsid w:val="00F26443"/>
    <w:rsid w:val="00F27650"/>
    <w:rsid w:val="00F27E5A"/>
    <w:rsid w:val="00F303E6"/>
    <w:rsid w:val="00F304A6"/>
    <w:rsid w:val="00F308F0"/>
    <w:rsid w:val="00F30D9F"/>
    <w:rsid w:val="00F311BD"/>
    <w:rsid w:val="00F3171B"/>
    <w:rsid w:val="00F31DB6"/>
    <w:rsid w:val="00F3303E"/>
    <w:rsid w:val="00F330ED"/>
    <w:rsid w:val="00F33570"/>
    <w:rsid w:val="00F33694"/>
    <w:rsid w:val="00F33C4B"/>
    <w:rsid w:val="00F34019"/>
    <w:rsid w:val="00F340F9"/>
    <w:rsid w:val="00F34A74"/>
    <w:rsid w:val="00F35044"/>
    <w:rsid w:val="00F4021B"/>
    <w:rsid w:val="00F40F01"/>
    <w:rsid w:val="00F414FF"/>
    <w:rsid w:val="00F41538"/>
    <w:rsid w:val="00F4163C"/>
    <w:rsid w:val="00F417A0"/>
    <w:rsid w:val="00F419B2"/>
    <w:rsid w:val="00F41D88"/>
    <w:rsid w:val="00F42209"/>
    <w:rsid w:val="00F42B0A"/>
    <w:rsid w:val="00F43135"/>
    <w:rsid w:val="00F43ED6"/>
    <w:rsid w:val="00F4408B"/>
    <w:rsid w:val="00F447C7"/>
    <w:rsid w:val="00F45085"/>
    <w:rsid w:val="00F45162"/>
    <w:rsid w:val="00F477C1"/>
    <w:rsid w:val="00F510B5"/>
    <w:rsid w:val="00F514CE"/>
    <w:rsid w:val="00F52329"/>
    <w:rsid w:val="00F52746"/>
    <w:rsid w:val="00F54998"/>
    <w:rsid w:val="00F54C9E"/>
    <w:rsid w:val="00F57759"/>
    <w:rsid w:val="00F57865"/>
    <w:rsid w:val="00F57BC8"/>
    <w:rsid w:val="00F60741"/>
    <w:rsid w:val="00F60DFB"/>
    <w:rsid w:val="00F6248D"/>
    <w:rsid w:val="00F627D6"/>
    <w:rsid w:val="00F62CDF"/>
    <w:rsid w:val="00F62FC6"/>
    <w:rsid w:val="00F63342"/>
    <w:rsid w:val="00F643CE"/>
    <w:rsid w:val="00F64705"/>
    <w:rsid w:val="00F65585"/>
    <w:rsid w:val="00F66747"/>
    <w:rsid w:val="00F6674C"/>
    <w:rsid w:val="00F678DD"/>
    <w:rsid w:val="00F67B6A"/>
    <w:rsid w:val="00F67BEB"/>
    <w:rsid w:val="00F67F65"/>
    <w:rsid w:val="00F708BE"/>
    <w:rsid w:val="00F70C78"/>
    <w:rsid w:val="00F72851"/>
    <w:rsid w:val="00F7303A"/>
    <w:rsid w:val="00F74CBE"/>
    <w:rsid w:val="00F75868"/>
    <w:rsid w:val="00F75E90"/>
    <w:rsid w:val="00F75FA3"/>
    <w:rsid w:val="00F76A0B"/>
    <w:rsid w:val="00F77DB8"/>
    <w:rsid w:val="00F8026E"/>
    <w:rsid w:val="00F81191"/>
    <w:rsid w:val="00F81AA8"/>
    <w:rsid w:val="00F81CD5"/>
    <w:rsid w:val="00F82331"/>
    <w:rsid w:val="00F82A8C"/>
    <w:rsid w:val="00F830E9"/>
    <w:rsid w:val="00F83238"/>
    <w:rsid w:val="00F843AD"/>
    <w:rsid w:val="00F8594D"/>
    <w:rsid w:val="00F85B0C"/>
    <w:rsid w:val="00F85CDB"/>
    <w:rsid w:val="00F863D1"/>
    <w:rsid w:val="00F863DE"/>
    <w:rsid w:val="00F86BB1"/>
    <w:rsid w:val="00F90129"/>
    <w:rsid w:val="00F90EC3"/>
    <w:rsid w:val="00F9254E"/>
    <w:rsid w:val="00F92EA8"/>
    <w:rsid w:val="00F93701"/>
    <w:rsid w:val="00F93FF4"/>
    <w:rsid w:val="00F947CF"/>
    <w:rsid w:val="00F948EA"/>
    <w:rsid w:val="00FA0946"/>
    <w:rsid w:val="00FA26C3"/>
    <w:rsid w:val="00FA2879"/>
    <w:rsid w:val="00FA2E3F"/>
    <w:rsid w:val="00FA32A0"/>
    <w:rsid w:val="00FA34EF"/>
    <w:rsid w:val="00FA3776"/>
    <w:rsid w:val="00FA3C4D"/>
    <w:rsid w:val="00FA4C72"/>
    <w:rsid w:val="00FA4CDD"/>
    <w:rsid w:val="00FA4EBD"/>
    <w:rsid w:val="00FA6BFF"/>
    <w:rsid w:val="00FA6DD6"/>
    <w:rsid w:val="00FA7437"/>
    <w:rsid w:val="00FB05CA"/>
    <w:rsid w:val="00FB05DD"/>
    <w:rsid w:val="00FB05F8"/>
    <w:rsid w:val="00FB10E9"/>
    <w:rsid w:val="00FB1CA4"/>
    <w:rsid w:val="00FB3853"/>
    <w:rsid w:val="00FB4067"/>
    <w:rsid w:val="00FB4824"/>
    <w:rsid w:val="00FB4B4D"/>
    <w:rsid w:val="00FB5313"/>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2C0E"/>
    <w:rsid w:val="00FD3D8F"/>
    <w:rsid w:val="00FD3D9B"/>
    <w:rsid w:val="00FD4C43"/>
    <w:rsid w:val="00FD525F"/>
    <w:rsid w:val="00FD53B6"/>
    <w:rsid w:val="00FD5EFD"/>
    <w:rsid w:val="00FD5FF2"/>
    <w:rsid w:val="00FD6872"/>
    <w:rsid w:val="00FD6DB9"/>
    <w:rsid w:val="00FD7818"/>
    <w:rsid w:val="00FD79F7"/>
    <w:rsid w:val="00FE0004"/>
    <w:rsid w:val="00FE0326"/>
    <w:rsid w:val="00FE1B77"/>
    <w:rsid w:val="00FE1E9E"/>
    <w:rsid w:val="00FE39C5"/>
    <w:rsid w:val="00FE6A08"/>
    <w:rsid w:val="00FE7513"/>
    <w:rsid w:val="00FE7557"/>
    <w:rsid w:val="00FF0392"/>
    <w:rsid w:val="00FF15C0"/>
    <w:rsid w:val="00FF3A66"/>
    <w:rsid w:val="00FF3ACA"/>
    <w:rsid w:val="00FF4440"/>
    <w:rsid w:val="00FF529C"/>
    <w:rsid w:val="00FF5340"/>
    <w:rsid w:val="00FF56CA"/>
    <w:rsid w:val="00FF6790"/>
    <w:rsid w:val="00FF75DF"/>
    <w:rsid w:val="00FF7A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982DF9E5-6C6E-4355-9F4D-ED5EC38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2C"/>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paragraph" w:styleId="Heading4">
    <w:name w:val="heading 4"/>
    <w:basedOn w:val="Normal"/>
    <w:next w:val="Normal"/>
    <w:link w:val="Heading4Char"/>
    <w:uiPriority w:val="9"/>
    <w:semiHidden/>
    <w:unhideWhenUsed/>
    <w:qFormat/>
    <w:rsid w:val="00D25D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4F4C"/>
    <w:rPr>
      <w:rFonts w:ascii="Calibri" w:hAnsi="Calibri"/>
      <w:sz w:val="22"/>
      <w:szCs w:val="21"/>
    </w:rPr>
  </w:style>
  <w:style w:type="character" w:styleId="Hyperlink">
    <w:name w:val="Hyperlink"/>
    <w:uiPriority w:val="99"/>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 w:type="paragraph" w:customStyle="1" w:styleId="1limenis">
    <w:name w:val="1 limenis"/>
    <w:basedOn w:val="Normal"/>
    <w:rsid w:val="00624BF9"/>
    <w:pPr>
      <w:numPr>
        <w:numId w:val="1"/>
      </w:numPr>
    </w:pPr>
    <w:rPr>
      <w:sz w:val="24"/>
      <w:szCs w:val="24"/>
      <w:lang w:eastAsia="lv-LV"/>
    </w:rPr>
  </w:style>
  <w:style w:type="paragraph" w:customStyle="1" w:styleId="2limenis">
    <w:name w:val="2 limenis"/>
    <w:basedOn w:val="Normal"/>
    <w:rsid w:val="00624BF9"/>
    <w:pPr>
      <w:numPr>
        <w:ilvl w:val="1"/>
        <w:numId w:val="1"/>
      </w:numPr>
    </w:pPr>
    <w:rPr>
      <w:sz w:val="24"/>
      <w:szCs w:val="24"/>
      <w:lang w:eastAsia="lv-LV"/>
    </w:rPr>
  </w:style>
  <w:style w:type="paragraph" w:customStyle="1" w:styleId="3limenis">
    <w:name w:val="3 limenis"/>
    <w:basedOn w:val="Normal"/>
    <w:rsid w:val="00624BF9"/>
    <w:pPr>
      <w:numPr>
        <w:ilvl w:val="2"/>
        <w:numId w:val="1"/>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0">
    <w:name w:val="footnotereference"/>
    <w:basedOn w:val="DefaultParagraphFont"/>
    <w:rsid w:val="00CC2567"/>
  </w:style>
  <w:style w:type="paragraph" w:customStyle="1" w:styleId="xparagraph">
    <w:name w:val="x_paragraph"/>
    <w:basedOn w:val="Normal"/>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DefaultParagraphFont"/>
    <w:rsid w:val="00126F37"/>
  </w:style>
  <w:style w:type="character" w:customStyle="1" w:styleId="xeop">
    <w:name w:val="x_eop"/>
    <w:basedOn w:val="DefaultParagraphFont"/>
    <w:rsid w:val="00126F37"/>
  </w:style>
  <w:style w:type="character" w:customStyle="1" w:styleId="Heading4Char">
    <w:name w:val="Heading 4 Char"/>
    <w:basedOn w:val="DefaultParagraphFont"/>
    <w:link w:val="Heading4"/>
    <w:uiPriority w:val="9"/>
    <w:semiHidden/>
    <w:rsid w:val="00D25DF3"/>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78494403">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8584660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682244088">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11867324">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2159534">
      <w:bodyDiv w:val="1"/>
      <w:marLeft w:val="0"/>
      <w:marRight w:val="0"/>
      <w:marTop w:val="0"/>
      <w:marBottom w:val="0"/>
      <w:divBdr>
        <w:top w:val="none" w:sz="0" w:space="0" w:color="auto"/>
        <w:left w:val="none" w:sz="0" w:space="0" w:color="auto"/>
        <w:bottom w:val="none" w:sz="0" w:space="0" w:color="auto"/>
        <w:right w:val="none" w:sz="0" w:space="0" w:color="auto"/>
      </w:divBdr>
      <w:divsChild>
        <w:div w:id="1360742770">
          <w:marLeft w:val="0"/>
          <w:marRight w:val="0"/>
          <w:marTop w:val="0"/>
          <w:marBottom w:val="0"/>
          <w:divBdr>
            <w:top w:val="none" w:sz="0" w:space="0" w:color="auto"/>
            <w:left w:val="none" w:sz="0" w:space="0" w:color="auto"/>
            <w:bottom w:val="none" w:sz="0" w:space="0" w:color="auto"/>
            <w:right w:val="none" w:sz="0" w:space="0" w:color="auto"/>
          </w:divBdr>
        </w:div>
      </w:divsChild>
    </w:div>
    <w:div w:id="894660729">
      <w:bodyDiv w:val="1"/>
      <w:marLeft w:val="0"/>
      <w:marRight w:val="0"/>
      <w:marTop w:val="0"/>
      <w:marBottom w:val="0"/>
      <w:divBdr>
        <w:top w:val="none" w:sz="0" w:space="0" w:color="auto"/>
        <w:left w:val="none" w:sz="0" w:space="0" w:color="auto"/>
        <w:bottom w:val="none" w:sz="0" w:space="0" w:color="auto"/>
        <w:right w:val="none" w:sz="0" w:space="0" w:color="auto"/>
      </w:divBdr>
      <w:divsChild>
        <w:div w:id="530917079">
          <w:marLeft w:val="0"/>
          <w:marRight w:val="0"/>
          <w:marTop w:val="0"/>
          <w:marBottom w:val="0"/>
          <w:divBdr>
            <w:top w:val="none" w:sz="0" w:space="0" w:color="auto"/>
            <w:left w:val="none" w:sz="0" w:space="0" w:color="auto"/>
            <w:bottom w:val="none" w:sz="0" w:space="0" w:color="auto"/>
            <w:right w:val="none" w:sz="0" w:space="0" w:color="auto"/>
          </w:divBdr>
        </w:div>
      </w:divsChild>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39110023">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46240360">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43885686">
      <w:bodyDiv w:val="1"/>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11440518">
      <w:bodyDiv w:val="1"/>
      <w:marLeft w:val="0"/>
      <w:marRight w:val="0"/>
      <w:marTop w:val="0"/>
      <w:marBottom w:val="0"/>
      <w:divBdr>
        <w:top w:val="none" w:sz="0" w:space="0" w:color="auto"/>
        <w:left w:val="none" w:sz="0" w:space="0" w:color="auto"/>
        <w:bottom w:val="none" w:sz="0" w:space="0" w:color="auto"/>
        <w:right w:val="none" w:sz="0" w:space="0" w:color="auto"/>
      </w:divBdr>
    </w:div>
    <w:div w:id="2025352751">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096658392">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14784443">
      <w:bodyDiv w:val="1"/>
      <w:marLeft w:val="0"/>
      <w:marRight w:val="0"/>
      <w:marTop w:val="0"/>
      <w:marBottom w:val="0"/>
      <w:divBdr>
        <w:top w:val="none" w:sz="0" w:space="0" w:color="auto"/>
        <w:left w:val="none" w:sz="0" w:space="0" w:color="auto"/>
        <w:bottom w:val="none" w:sz="0" w:space="0" w:color="auto"/>
        <w:right w:val="none" w:sz="0" w:space="0" w:color="auto"/>
      </w:divBdr>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7A5D0-E9B0-4F90-96BB-0F3BC197CD3D}">
  <ds:schemaRefs>
    <ds:schemaRef ds:uri="http://schemas.microsoft.com/sharepoint/v3/contenttype/forms"/>
  </ds:schemaRefs>
</ds:datastoreItem>
</file>

<file path=customXml/itemProps3.xml><?xml version="1.0" encoding="utf-8"?>
<ds:datastoreItem xmlns:ds="http://schemas.openxmlformats.org/officeDocument/2006/customXml" ds:itemID="{06FDC175-18C3-462B-9588-3779BF237D7D}">
  <ds:schemaRefs>
    <ds:schemaRef ds:uri="http://schemas.openxmlformats.org/officeDocument/2006/bibliography"/>
  </ds:schemaRefs>
</ds:datastoreItem>
</file>

<file path=customXml/itemProps4.xml><?xml version="1.0" encoding="utf-8"?>
<ds:datastoreItem xmlns:ds="http://schemas.openxmlformats.org/officeDocument/2006/customXml" ds:itemID="{04579E75-E088-408A-9E8C-07385E036BA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143</TotalTime>
  <Pages>16</Pages>
  <Words>31655</Words>
  <Characters>18044</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un LPS vienošanās un domstarpību protokols</vt:lpstr>
      <vt:lpstr>MK un LPS vienošanās un domstarpību protokols</vt:lpstr>
    </vt:vector>
  </TitlesOfParts>
  <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cp:keywords/>
  <dc:description/>
  <cp:lastModifiedBy>Inese Runkovska</cp:lastModifiedBy>
  <cp:revision>27</cp:revision>
  <cp:lastPrinted>2024-10-02T10:50:00Z</cp:lastPrinted>
  <dcterms:created xsi:type="dcterms:W3CDTF">2024-10-03T07:39:00Z</dcterms:created>
  <dcterms:modified xsi:type="dcterms:W3CDTF">2024-10-08T06:20:00Z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