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338EC" w14:textId="77777777" w:rsidR="004426E1" w:rsidRPr="00DF4295" w:rsidRDefault="004426E1" w:rsidP="001D1B46">
      <w:pPr>
        <w:jc w:val="center"/>
        <w:rPr>
          <w:rFonts w:ascii="Times New Roman" w:hAnsi="Times New Roman" w:cs="Times New Roman"/>
          <w:sz w:val="28"/>
          <w:szCs w:val="28"/>
        </w:rPr>
      </w:pPr>
    </w:p>
    <w:p w14:paraId="3D1BAC7F" w14:textId="77777777" w:rsidR="00DD4F49" w:rsidRPr="00DF4295" w:rsidRDefault="00DD4F49" w:rsidP="001D1B46">
      <w:pPr>
        <w:jc w:val="center"/>
        <w:rPr>
          <w:rFonts w:ascii="Times New Roman" w:hAnsi="Times New Roman" w:cs="Times New Roman"/>
          <w:sz w:val="28"/>
          <w:szCs w:val="28"/>
        </w:rPr>
      </w:pPr>
    </w:p>
    <w:p w14:paraId="69B55A3A" w14:textId="77777777" w:rsidR="00DD4F49" w:rsidRPr="00DF4295" w:rsidRDefault="00DD4F49" w:rsidP="001D1B46">
      <w:pPr>
        <w:jc w:val="center"/>
        <w:rPr>
          <w:rFonts w:ascii="Times New Roman" w:hAnsi="Times New Roman" w:cs="Times New Roman"/>
          <w:sz w:val="28"/>
          <w:szCs w:val="28"/>
        </w:rPr>
      </w:pPr>
    </w:p>
    <w:p w14:paraId="6D5357F5" w14:textId="77777777" w:rsidR="00DD4F49" w:rsidRPr="00DF4295" w:rsidRDefault="00DD4F49" w:rsidP="001D1B46">
      <w:pPr>
        <w:jc w:val="center"/>
        <w:rPr>
          <w:rFonts w:ascii="Times New Roman" w:hAnsi="Times New Roman" w:cs="Times New Roman"/>
          <w:sz w:val="28"/>
          <w:szCs w:val="28"/>
        </w:rPr>
      </w:pPr>
    </w:p>
    <w:p w14:paraId="316239A2" w14:textId="77777777" w:rsidR="004426E1" w:rsidRPr="00DF4295" w:rsidRDefault="004426E1" w:rsidP="001D1B46">
      <w:pPr>
        <w:jc w:val="center"/>
        <w:rPr>
          <w:rFonts w:ascii="Times New Roman" w:hAnsi="Times New Roman" w:cs="Times New Roman"/>
          <w:sz w:val="28"/>
          <w:szCs w:val="28"/>
        </w:rPr>
      </w:pPr>
    </w:p>
    <w:p w14:paraId="2049B76C" w14:textId="77777777" w:rsidR="002B73AD" w:rsidRPr="00DF4295" w:rsidRDefault="002B73AD" w:rsidP="001D1B46">
      <w:pPr>
        <w:jc w:val="center"/>
        <w:rPr>
          <w:rFonts w:ascii="Times New Roman" w:hAnsi="Times New Roman" w:cs="Times New Roman"/>
          <w:sz w:val="28"/>
          <w:szCs w:val="28"/>
        </w:rPr>
      </w:pPr>
      <w:r w:rsidRPr="00DF4295">
        <w:rPr>
          <w:rFonts w:ascii="Times New Roman" w:hAnsi="Times New Roman" w:cs="Times New Roman"/>
          <w:sz w:val="28"/>
          <w:szCs w:val="28"/>
        </w:rPr>
        <w:t>M</w:t>
      </w:r>
      <w:r w:rsidR="00B3382A" w:rsidRPr="00DF4295">
        <w:rPr>
          <w:rFonts w:ascii="Times New Roman" w:hAnsi="Times New Roman" w:cs="Times New Roman"/>
          <w:sz w:val="28"/>
          <w:szCs w:val="28"/>
        </w:rPr>
        <w:t>etodoloģisks palīgmateriāls</w:t>
      </w:r>
      <w:r w:rsidRPr="00DF4295">
        <w:rPr>
          <w:rFonts w:ascii="Times New Roman" w:hAnsi="Times New Roman" w:cs="Times New Roman"/>
          <w:sz w:val="28"/>
          <w:szCs w:val="28"/>
        </w:rPr>
        <w:t xml:space="preserve"> komercdarbības atbalsta kontroles jomā</w:t>
      </w:r>
    </w:p>
    <w:p w14:paraId="470E6D38" w14:textId="77777777" w:rsidR="003C2AF5" w:rsidRPr="00DF4295" w:rsidRDefault="003C2AF5" w:rsidP="001D1B46">
      <w:pPr>
        <w:jc w:val="center"/>
        <w:rPr>
          <w:rFonts w:ascii="Times New Roman" w:hAnsi="Times New Roman" w:cs="Times New Roman"/>
          <w:sz w:val="28"/>
          <w:szCs w:val="28"/>
        </w:rPr>
      </w:pPr>
    </w:p>
    <w:p w14:paraId="0F80E606" w14:textId="3C42CF50" w:rsidR="00C92636" w:rsidRPr="007D7219" w:rsidRDefault="00947F19" w:rsidP="001D1B46">
      <w:pPr>
        <w:jc w:val="center"/>
        <w:rPr>
          <w:rFonts w:ascii="Times New Roman" w:hAnsi="Times New Roman" w:cs="Times New Roman"/>
          <w:b/>
          <w:sz w:val="40"/>
          <w:szCs w:val="40"/>
        </w:rPr>
      </w:pPr>
      <w:r w:rsidRPr="007D7219">
        <w:rPr>
          <w:rFonts w:ascii="Times New Roman" w:hAnsi="Times New Roman" w:cs="Times New Roman"/>
          <w:b/>
          <w:sz w:val="40"/>
          <w:szCs w:val="40"/>
        </w:rPr>
        <w:t>Komercdarbības atbalsta kontroles regulējums v</w:t>
      </w:r>
      <w:r w:rsidR="00C92636" w:rsidRPr="007D7219">
        <w:rPr>
          <w:rFonts w:ascii="Times New Roman" w:hAnsi="Times New Roman" w:cs="Times New Roman"/>
          <w:b/>
          <w:sz w:val="40"/>
          <w:szCs w:val="40"/>
        </w:rPr>
        <w:t xml:space="preserve">ispārējas tautsaimnieciskas nozīmes pakalpojumu </w:t>
      </w:r>
      <w:r w:rsidRPr="007D7219">
        <w:rPr>
          <w:rFonts w:ascii="Times New Roman" w:hAnsi="Times New Roman" w:cs="Times New Roman"/>
          <w:b/>
          <w:sz w:val="40"/>
          <w:szCs w:val="40"/>
        </w:rPr>
        <w:t>jomā</w:t>
      </w:r>
    </w:p>
    <w:p w14:paraId="5F051E23" w14:textId="77777777" w:rsidR="00570348" w:rsidRPr="00DF4295" w:rsidRDefault="00570348" w:rsidP="001D1B46">
      <w:pPr>
        <w:jc w:val="center"/>
        <w:rPr>
          <w:rFonts w:ascii="Times New Roman" w:hAnsi="Times New Roman" w:cs="Times New Roman"/>
          <w:b/>
          <w:sz w:val="28"/>
          <w:szCs w:val="28"/>
        </w:rPr>
      </w:pPr>
    </w:p>
    <w:p w14:paraId="62621A20" w14:textId="77777777" w:rsidR="00570348" w:rsidRPr="00DF4295" w:rsidRDefault="00570348" w:rsidP="001D1B46">
      <w:pPr>
        <w:jc w:val="center"/>
        <w:rPr>
          <w:rFonts w:ascii="Times New Roman" w:hAnsi="Times New Roman" w:cs="Times New Roman"/>
          <w:b/>
          <w:sz w:val="28"/>
          <w:szCs w:val="28"/>
        </w:rPr>
      </w:pPr>
    </w:p>
    <w:p w14:paraId="68912FAA" w14:textId="77777777" w:rsidR="00570348" w:rsidRPr="00DF4295" w:rsidRDefault="00570348" w:rsidP="001D1B46">
      <w:pPr>
        <w:jc w:val="center"/>
        <w:rPr>
          <w:rFonts w:ascii="Times New Roman" w:hAnsi="Times New Roman" w:cs="Times New Roman"/>
          <w:b/>
          <w:sz w:val="28"/>
          <w:szCs w:val="28"/>
        </w:rPr>
      </w:pPr>
    </w:p>
    <w:p w14:paraId="24DE7822" w14:textId="77777777" w:rsidR="00570348" w:rsidRPr="00DF4295" w:rsidRDefault="00570348" w:rsidP="001D1B46">
      <w:pPr>
        <w:jc w:val="center"/>
        <w:rPr>
          <w:rFonts w:ascii="Times New Roman" w:hAnsi="Times New Roman" w:cs="Times New Roman"/>
          <w:b/>
          <w:sz w:val="28"/>
          <w:szCs w:val="28"/>
        </w:rPr>
      </w:pPr>
    </w:p>
    <w:p w14:paraId="05B36EFF" w14:textId="77777777" w:rsidR="00570348" w:rsidRPr="00DF4295" w:rsidRDefault="00570348" w:rsidP="001D1B46">
      <w:pPr>
        <w:jc w:val="center"/>
        <w:rPr>
          <w:rFonts w:ascii="Times New Roman" w:hAnsi="Times New Roman" w:cs="Times New Roman"/>
          <w:b/>
          <w:sz w:val="28"/>
          <w:szCs w:val="28"/>
        </w:rPr>
      </w:pPr>
    </w:p>
    <w:p w14:paraId="4FB5DA6B" w14:textId="77777777" w:rsidR="00570348" w:rsidRPr="00DF4295" w:rsidRDefault="00570348" w:rsidP="001D1B46">
      <w:pPr>
        <w:jc w:val="center"/>
        <w:rPr>
          <w:rFonts w:ascii="Times New Roman" w:hAnsi="Times New Roman" w:cs="Times New Roman"/>
          <w:b/>
          <w:sz w:val="28"/>
          <w:szCs w:val="28"/>
        </w:rPr>
      </w:pPr>
    </w:p>
    <w:p w14:paraId="0E89140A" w14:textId="77777777" w:rsidR="00570348" w:rsidRPr="00DF4295" w:rsidRDefault="00570348" w:rsidP="001D1B46">
      <w:pPr>
        <w:jc w:val="center"/>
        <w:rPr>
          <w:rFonts w:ascii="Times New Roman" w:hAnsi="Times New Roman" w:cs="Times New Roman"/>
          <w:b/>
          <w:sz w:val="28"/>
          <w:szCs w:val="28"/>
        </w:rPr>
      </w:pPr>
    </w:p>
    <w:p w14:paraId="3BD27CF4" w14:textId="77777777" w:rsidR="00570348" w:rsidRPr="00DF4295" w:rsidRDefault="00570348" w:rsidP="001D1B46">
      <w:pPr>
        <w:jc w:val="center"/>
        <w:rPr>
          <w:rFonts w:ascii="Times New Roman" w:hAnsi="Times New Roman" w:cs="Times New Roman"/>
          <w:b/>
          <w:sz w:val="28"/>
          <w:szCs w:val="28"/>
        </w:rPr>
      </w:pPr>
    </w:p>
    <w:p w14:paraId="151074C2" w14:textId="77777777" w:rsidR="00570348" w:rsidRPr="00DF4295" w:rsidRDefault="00570348" w:rsidP="001D1B46">
      <w:pPr>
        <w:jc w:val="center"/>
        <w:rPr>
          <w:rFonts w:ascii="Times New Roman" w:hAnsi="Times New Roman" w:cs="Times New Roman"/>
          <w:b/>
          <w:sz w:val="28"/>
          <w:szCs w:val="28"/>
        </w:rPr>
      </w:pPr>
    </w:p>
    <w:p w14:paraId="335C0155" w14:textId="77777777" w:rsidR="00570348" w:rsidRPr="00DF4295" w:rsidRDefault="00570348" w:rsidP="001D1B46">
      <w:pPr>
        <w:jc w:val="center"/>
        <w:rPr>
          <w:rFonts w:ascii="Times New Roman" w:hAnsi="Times New Roman" w:cs="Times New Roman"/>
          <w:b/>
          <w:sz w:val="28"/>
          <w:szCs w:val="28"/>
        </w:rPr>
      </w:pPr>
    </w:p>
    <w:p w14:paraId="6BABDEF6" w14:textId="77777777" w:rsidR="00570348" w:rsidRPr="00DF4295" w:rsidRDefault="00570348" w:rsidP="001D1B46">
      <w:pPr>
        <w:jc w:val="center"/>
        <w:rPr>
          <w:rFonts w:ascii="Times New Roman" w:hAnsi="Times New Roman" w:cs="Times New Roman"/>
          <w:b/>
          <w:sz w:val="28"/>
          <w:szCs w:val="28"/>
        </w:rPr>
      </w:pPr>
    </w:p>
    <w:p w14:paraId="3B956F57" w14:textId="77777777" w:rsidR="00A51CB9" w:rsidRPr="00DF4295" w:rsidRDefault="00A51CB9" w:rsidP="001D1B46">
      <w:pPr>
        <w:jc w:val="center"/>
        <w:rPr>
          <w:rFonts w:ascii="Times New Roman" w:hAnsi="Times New Roman" w:cs="Times New Roman"/>
          <w:sz w:val="28"/>
          <w:szCs w:val="28"/>
        </w:rPr>
      </w:pPr>
    </w:p>
    <w:p w14:paraId="6EDD2CB4" w14:textId="77777777" w:rsidR="00A51CB9" w:rsidRPr="00DF4295" w:rsidRDefault="00A51CB9" w:rsidP="001D1B46">
      <w:pPr>
        <w:jc w:val="center"/>
        <w:rPr>
          <w:rFonts w:ascii="Times New Roman" w:hAnsi="Times New Roman" w:cs="Times New Roman"/>
          <w:sz w:val="28"/>
          <w:szCs w:val="28"/>
        </w:rPr>
      </w:pPr>
    </w:p>
    <w:p w14:paraId="3608D5E6" w14:textId="77777777" w:rsidR="00A51CB9" w:rsidRPr="00DF4295" w:rsidRDefault="00A51CB9" w:rsidP="001D1B46">
      <w:pPr>
        <w:jc w:val="center"/>
        <w:rPr>
          <w:rFonts w:ascii="Times New Roman" w:hAnsi="Times New Roman" w:cs="Times New Roman"/>
          <w:sz w:val="28"/>
          <w:szCs w:val="28"/>
        </w:rPr>
      </w:pPr>
    </w:p>
    <w:p w14:paraId="0C02B099" w14:textId="77777777" w:rsidR="00570348" w:rsidRPr="00DF4295" w:rsidRDefault="00570348" w:rsidP="001D1B46">
      <w:pPr>
        <w:jc w:val="center"/>
        <w:rPr>
          <w:rFonts w:ascii="Times New Roman" w:hAnsi="Times New Roman" w:cs="Times New Roman"/>
          <w:sz w:val="28"/>
          <w:szCs w:val="28"/>
        </w:rPr>
      </w:pPr>
      <w:r w:rsidRPr="00DF4295">
        <w:rPr>
          <w:rFonts w:ascii="Times New Roman" w:hAnsi="Times New Roman" w:cs="Times New Roman"/>
          <w:sz w:val="28"/>
          <w:szCs w:val="28"/>
        </w:rPr>
        <w:t>Finanšu ministrija</w:t>
      </w:r>
    </w:p>
    <w:p w14:paraId="5E3DA177" w14:textId="082765C8" w:rsidR="00570348" w:rsidRPr="00DF4295" w:rsidRDefault="00F37A23" w:rsidP="001D1B46">
      <w:pPr>
        <w:jc w:val="center"/>
        <w:rPr>
          <w:rFonts w:ascii="Times New Roman" w:hAnsi="Times New Roman" w:cs="Times New Roman"/>
          <w:sz w:val="28"/>
          <w:szCs w:val="28"/>
        </w:rPr>
      </w:pPr>
      <w:r>
        <w:rPr>
          <w:rFonts w:ascii="Times New Roman" w:hAnsi="Times New Roman" w:cs="Times New Roman"/>
          <w:sz w:val="28"/>
          <w:szCs w:val="28"/>
        </w:rPr>
        <w:t xml:space="preserve">2024.gada </w:t>
      </w:r>
      <w:r w:rsidR="002F7807">
        <w:rPr>
          <w:rFonts w:ascii="Times New Roman" w:hAnsi="Times New Roman" w:cs="Times New Roman"/>
          <w:sz w:val="28"/>
          <w:szCs w:val="28"/>
        </w:rPr>
        <w:t>decembris</w:t>
      </w:r>
    </w:p>
    <w:p w14:paraId="7D6841CC" w14:textId="77777777" w:rsidR="00C92636" w:rsidRPr="00DF4295" w:rsidRDefault="00C92636" w:rsidP="001D1B46">
      <w:pPr>
        <w:rPr>
          <w:rFonts w:ascii="Times New Roman" w:hAnsi="Times New Roman" w:cs="Times New Roman"/>
          <w:sz w:val="28"/>
          <w:szCs w:val="28"/>
        </w:rPr>
      </w:pPr>
      <w:r w:rsidRPr="00DF4295">
        <w:rPr>
          <w:rFonts w:ascii="Times New Roman" w:hAnsi="Times New Roman" w:cs="Times New Roman"/>
          <w:sz w:val="28"/>
          <w:szCs w:val="28"/>
        </w:rPr>
        <w:br w:type="page"/>
      </w:r>
    </w:p>
    <w:p w14:paraId="23B11AB5" w14:textId="77777777" w:rsidR="00806DD5" w:rsidRPr="00DF4295" w:rsidRDefault="00806DD5" w:rsidP="001D1B46">
      <w:pPr>
        <w:pStyle w:val="Heading1"/>
        <w:spacing w:before="120" w:after="120"/>
        <w:rPr>
          <w:rFonts w:cs="Times New Roman"/>
          <w:sz w:val="28"/>
          <w:szCs w:val="28"/>
        </w:rPr>
      </w:pPr>
      <w:bookmarkStart w:id="0" w:name="_Toc495244115"/>
      <w:bookmarkStart w:id="1" w:name="_Toc500939843"/>
      <w:bookmarkStart w:id="2" w:name="_Toc522646446"/>
      <w:bookmarkStart w:id="3" w:name="_Toc15391534"/>
      <w:r w:rsidRPr="00DF4295">
        <w:rPr>
          <w:rFonts w:cs="Times New Roman"/>
          <w:sz w:val="28"/>
          <w:szCs w:val="28"/>
        </w:rPr>
        <w:lastRenderedPageBreak/>
        <w:t>Saturs</w:t>
      </w:r>
      <w:bookmarkEnd w:id="0"/>
      <w:bookmarkEnd w:id="1"/>
      <w:bookmarkEnd w:id="2"/>
      <w:bookmarkEnd w:id="3"/>
    </w:p>
    <w:sdt>
      <w:sdtPr>
        <w:rPr>
          <w:rFonts w:ascii="Times New Roman" w:eastAsiaTheme="minorHAnsi" w:hAnsi="Times New Roman" w:cs="Times New Roman"/>
          <w:color w:val="auto"/>
          <w:sz w:val="28"/>
          <w:szCs w:val="28"/>
          <w:lang w:val="lv-LV"/>
        </w:rPr>
        <w:id w:val="-1698701387"/>
        <w:docPartObj>
          <w:docPartGallery w:val="Table of Contents"/>
          <w:docPartUnique/>
        </w:docPartObj>
      </w:sdtPr>
      <w:sdtEndPr>
        <w:rPr>
          <w:b/>
          <w:bCs/>
          <w:noProof/>
        </w:rPr>
      </w:sdtEndPr>
      <w:sdtContent>
        <w:p w14:paraId="71EF6249" w14:textId="562FF1A3" w:rsidR="00110AE1" w:rsidRPr="00F52651" w:rsidRDefault="00110AE1" w:rsidP="001D1B46">
          <w:pPr>
            <w:pStyle w:val="TOCHeading"/>
            <w:spacing w:before="120" w:after="120" w:line="240" w:lineRule="auto"/>
            <w:rPr>
              <w:rFonts w:ascii="Times New Roman" w:hAnsi="Times New Roman" w:cs="Times New Roman"/>
              <w:sz w:val="28"/>
              <w:szCs w:val="28"/>
            </w:rPr>
          </w:pPr>
        </w:p>
        <w:p w14:paraId="6F481652" w14:textId="2E599504" w:rsidR="001329EC" w:rsidRPr="00F52651" w:rsidRDefault="00110AE1">
          <w:pPr>
            <w:pStyle w:val="TOC1"/>
            <w:tabs>
              <w:tab w:val="right" w:leader="dot" w:pos="9771"/>
            </w:tabs>
            <w:rPr>
              <w:rFonts w:ascii="Times New Roman" w:eastAsiaTheme="minorEastAsia" w:hAnsi="Times New Roman" w:cs="Times New Roman"/>
              <w:noProof/>
              <w:sz w:val="28"/>
              <w:szCs w:val="28"/>
              <w:lang w:eastAsia="lv-LV"/>
            </w:rPr>
          </w:pPr>
          <w:r w:rsidRPr="00F52651">
            <w:rPr>
              <w:rFonts w:ascii="Times New Roman" w:hAnsi="Times New Roman" w:cs="Times New Roman"/>
              <w:sz w:val="28"/>
              <w:szCs w:val="28"/>
            </w:rPr>
            <w:fldChar w:fldCharType="begin"/>
          </w:r>
          <w:r w:rsidRPr="00F52651">
            <w:rPr>
              <w:rFonts w:ascii="Times New Roman" w:hAnsi="Times New Roman" w:cs="Times New Roman"/>
              <w:sz w:val="28"/>
              <w:szCs w:val="28"/>
            </w:rPr>
            <w:instrText xml:space="preserve"> TOC \o "1-3" \h \z \u </w:instrText>
          </w:r>
          <w:r w:rsidRPr="00F52651">
            <w:rPr>
              <w:rFonts w:ascii="Times New Roman" w:hAnsi="Times New Roman" w:cs="Times New Roman"/>
              <w:sz w:val="28"/>
              <w:szCs w:val="28"/>
            </w:rPr>
            <w:fldChar w:fldCharType="separate"/>
          </w:r>
          <w:hyperlink w:anchor="_Toc15391535" w:history="1">
            <w:r w:rsidR="001329EC" w:rsidRPr="00F52651">
              <w:rPr>
                <w:rStyle w:val="Hyperlink"/>
                <w:rFonts w:ascii="Times New Roman" w:hAnsi="Times New Roman" w:cs="Times New Roman"/>
                <w:noProof/>
                <w:sz w:val="28"/>
                <w:szCs w:val="28"/>
              </w:rPr>
              <w:t>Tekstā lietotie saīsinājumi</w:t>
            </w:r>
            <w:r w:rsidR="001329EC" w:rsidRPr="00F52651">
              <w:rPr>
                <w:rFonts w:ascii="Times New Roman" w:hAnsi="Times New Roman" w:cs="Times New Roman"/>
                <w:noProof/>
                <w:webHidden/>
                <w:sz w:val="28"/>
                <w:szCs w:val="28"/>
              </w:rPr>
              <w:tab/>
            </w:r>
            <w:r w:rsidR="001329EC" w:rsidRPr="00F52651">
              <w:rPr>
                <w:rFonts w:ascii="Times New Roman" w:hAnsi="Times New Roman" w:cs="Times New Roman"/>
                <w:noProof/>
                <w:webHidden/>
                <w:sz w:val="28"/>
                <w:szCs w:val="28"/>
              </w:rPr>
              <w:fldChar w:fldCharType="begin"/>
            </w:r>
            <w:r w:rsidR="001329EC" w:rsidRPr="00F52651">
              <w:rPr>
                <w:rFonts w:ascii="Times New Roman" w:hAnsi="Times New Roman" w:cs="Times New Roman"/>
                <w:noProof/>
                <w:webHidden/>
                <w:sz w:val="28"/>
                <w:szCs w:val="28"/>
              </w:rPr>
              <w:instrText xml:space="preserve"> PAGEREF _Toc15391535 \h </w:instrText>
            </w:r>
            <w:r w:rsidR="001329EC" w:rsidRPr="00F52651">
              <w:rPr>
                <w:rFonts w:ascii="Times New Roman" w:hAnsi="Times New Roman" w:cs="Times New Roman"/>
                <w:noProof/>
                <w:webHidden/>
                <w:sz w:val="28"/>
                <w:szCs w:val="28"/>
              </w:rPr>
            </w:r>
            <w:r w:rsidR="001329EC" w:rsidRPr="00F52651">
              <w:rPr>
                <w:rFonts w:ascii="Times New Roman" w:hAnsi="Times New Roman" w:cs="Times New Roman"/>
                <w:noProof/>
                <w:webHidden/>
                <w:sz w:val="28"/>
                <w:szCs w:val="28"/>
              </w:rPr>
              <w:fldChar w:fldCharType="separate"/>
            </w:r>
            <w:r w:rsidR="00B729A9">
              <w:rPr>
                <w:rFonts w:ascii="Times New Roman" w:hAnsi="Times New Roman" w:cs="Times New Roman"/>
                <w:noProof/>
                <w:webHidden/>
                <w:sz w:val="28"/>
                <w:szCs w:val="28"/>
              </w:rPr>
              <w:t>3</w:t>
            </w:r>
            <w:r w:rsidR="001329EC" w:rsidRPr="00F52651">
              <w:rPr>
                <w:rFonts w:ascii="Times New Roman" w:hAnsi="Times New Roman" w:cs="Times New Roman"/>
                <w:noProof/>
                <w:webHidden/>
                <w:sz w:val="28"/>
                <w:szCs w:val="28"/>
              </w:rPr>
              <w:fldChar w:fldCharType="end"/>
            </w:r>
          </w:hyperlink>
        </w:p>
        <w:p w14:paraId="3B8D4299" w14:textId="1ECE8528" w:rsidR="001329EC" w:rsidRPr="00F52651" w:rsidRDefault="001329EC">
          <w:pPr>
            <w:pStyle w:val="TOC1"/>
            <w:tabs>
              <w:tab w:val="right" w:leader="dot" w:pos="9771"/>
            </w:tabs>
            <w:rPr>
              <w:rFonts w:ascii="Times New Roman" w:eastAsiaTheme="minorEastAsia" w:hAnsi="Times New Roman" w:cs="Times New Roman"/>
              <w:noProof/>
              <w:sz w:val="28"/>
              <w:szCs w:val="28"/>
              <w:lang w:eastAsia="lv-LV"/>
            </w:rPr>
          </w:pPr>
          <w:hyperlink w:anchor="_Toc15391536" w:history="1">
            <w:r w:rsidRPr="00F52651">
              <w:rPr>
                <w:rStyle w:val="Hyperlink"/>
                <w:rFonts w:ascii="Times New Roman" w:hAnsi="Times New Roman" w:cs="Times New Roman"/>
                <w:noProof/>
                <w:sz w:val="28"/>
                <w:szCs w:val="28"/>
              </w:rPr>
              <w:t>Ievads</w:t>
            </w:r>
            <w:r w:rsidRPr="00F52651">
              <w:rPr>
                <w:rFonts w:ascii="Times New Roman" w:hAnsi="Times New Roman" w:cs="Times New Roman"/>
                <w:noProof/>
                <w:webHidden/>
                <w:sz w:val="28"/>
                <w:szCs w:val="28"/>
              </w:rPr>
              <w:tab/>
            </w:r>
            <w:r w:rsidRPr="00F52651">
              <w:rPr>
                <w:rFonts w:ascii="Times New Roman" w:hAnsi="Times New Roman" w:cs="Times New Roman"/>
                <w:noProof/>
                <w:webHidden/>
                <w:sz w:val="28"/>
                <w:szCs w:val="28"/>
              </w:rPr>
              <w:fldChar w:fldCharType="begin"/>
            </w:r>
            <w:r w:rsidRPr="00F52651">
              <w:rPr>
                <w:rFonts w:ascii="Times New Roman" w:hAnsi="Times New Roman" w:cs="Times New Roman"/>
                <w:noProof/>
                <w:webHidden/>
                <w:sz w:val="28"/>
                <w:szCs w:val="28"/>
              </w:rPr>
              <w:instrText xml:space="preserve"> PAGEREF _Toc15391536 \h </w:instrText>
            </w:r>
            <w:r w:rsidRPr="00F52651">
              <w:rPr>
                <w:rFonts w:ascii="Times New Roman" w:hAnsi="Times New Roman" w:cs="Times New Roman"/>
                <w:noProof/>
                <w:webHidden/>
                <w:sz w:val="28"/>
                <w:szCs w:val="28"/>
              </w:rPr>
            </w:r>
            <w:r w:rsidRPr="00F52651">
              <w:rPr>
                <w:rFonts w:ascii="Times New Roman" w:hAnsi="Times New Roman" w:cs="Times New Roman"/>
                <w:noProof/>
                <w:webHidden/>
                <w:sz w:val="28"/>
                <w:szCs w:val="28"/>
              </w:rPr>
              <w:fldChar w:fldCharType="separate"/>
            </w:r>
            <w:r w:rsidR="00B729A9">
              <w:rPr>
                <w:rFonts w:ascii="Times New Roman" w:hAnsi="Times New Roman" w:cs="Times New Roman"/>
                <w:noProof/>
                <w:webHidden/>
                <w:sz w:val="28"/>
                <w:szCs w:val="28"/>
              </w:rPr>
              <w:t>4</w:t>
            </w:r>
            <w:r w:rsidRPr="00F52651">
              <w:rPr>
                <w:rFonts w:ascii="Times New Roman" w:hAnsi="Times New Roman" w:cs="Times New Roman"/>
                <w:noProof/>
                <w:webHidden/>
                <w:sz w:val="28"/>
                <w:szCs w:val="28"/>
              </w:rPr>
              <w:fldChar w:fldCharType="end"/>
            </w:r>
          </w:hyperlink>
        </w:p>
        <w:p w14:paraId="3540B655" w14:textId="1B618C7A" w:rsidR="001329EC" w:rsidRPr="00F52651" w:rsidRDefault="001329EC">
          <w:pPr>
            <w:pStyle w:val="TOC1"/>
            <w:tabs>
              <w:tab w:val="left" w:pos="440"/>
              <w:tab w:val="right" w:leader="dot" w:pos="9771"/>
            </w:tabs>
            <w:rPr>
              <w:rFonts w:ascii="Times New Roman" w:eastAsiaTheme="minorEastAsia" w:hAnsi="Times New Roman" w:cs="Times New Roman"/>
              <w:noProof/>
              <w:sz w:val="28"/>
              <w:szCs w:val="28"/>
              <w:lang w:eastAsia="lv-LV"/>
            </w:rPr>
          </w:pPr>
          <w:hyperlink w:anchor="_Toc15391537" w:history="1">
            <w:r w:rsidRPr="00F52651">
              <w:rPr>
                <w:rStyle w:val="Hyperlink"/>
                <w:rFonts w:ascii="Times New Roman" w:hAnsi="Times New Roman" w:cs="Times New Roman"/>
                <w:noProof/>
                <w:sz w:val="28"/>
                <w:szCs w:val="28"/>
              </w:rPr>
              <w:t>1.</w:t>
            </w:r>
            <w:r w:rsidRPr="00F52651">
              <w:rPr>
                <w:rFonts w:ascii="Times New Roman" w:eastAsiaTheme="minorEastAsia" w:hAnsi="Times New Roman" w:cs="Times New Roman"/>
                <w:noProof/>
                <w:sz w:val="28"/>
                <w:szCs w:val="28"/>
                <w:lang w:eastAsia="lv-LV"/>
              </w:rPr>
              <w:tab/>
            </w:r>
            <w:r w:rsidRPr="00F52651">
              <w:rPr>
                <w:rStyle w:val="Hyperlink"/>
                <w:rFonts w:ascii="Times New Roman" w:hAnsi="Times New Roman" w:cs="Times New Roman"/>
                <w:noProof/>
                <w:sz w:val="28"/>
                <w:szCs w:val="28"/>
              </w:rPr>
              <w:t>VTNP jēdziens</w:t>
            </w:r>
            <w:r w:rsidRPr="00F52651">
              <w:rPr>
                <w:rFonts w:ascii="Times New Roman" w:hAnsi="Times New Roman" w:cs="Times New Roman"/>
                <w:noProof/>
                <w:webHidden/>
                <w:sz w:val="28"/>
                <w:szCs w:val="28"/>
              </w:rPr>
              <w:tab/>
            </w:r>
            <w:r w:rsidRPr="00F52651">
              <w:rPr>
                <w:rFonts w:ascii="Times New Roman" w:hAnsi="Times New Roman" w:cs="Times New Roman"/>
                <w:noProof/>
                <w:webHidden/>
                <w:sz w:val="28"/>
                <w:szCs w:val="28"/>
              </w:rPr>
              <w:fldChar w:fldCharType="begin"/>
            </w:r>
            <w:r w:rsidRPr="00F52651">
              <w:rPr>
                <w:rFonts w:ascii="Times New Roman" w:hAnsi="Times New Roman" w:cs="Times New Roman"/>
                <w:noProof/>
                <w:webHidden/>
                <w:sz w:val="28"/>
                <w:szCs w:val="28"/>
              </w:rPr>
              <w:instrText xml:space="preserve"> PAGEREF _Toc15391537 \h </w:instrText>
            </w:r>
            <w:r w:rsidRPr="00F52651">
              <w:rPr>
                <w:rFonts w:ascii="Times New Roman" w:hAnsi="Times New Roman" w:cs="Times New Roman"/>
                <w:noProof/>
                <w:webHidden/>
                <w:sz w:val="28"/>
                <w:szCs w:val="28"/>
              </w:rPr>
            </w:r>
            <w:r w:rsidRPr="00F52651">
              <w:rPr>
                <w:rFonts w:ascii="Times New Roman" w:hAnsi="Times New Roman" w:cs="Times New Roman"/>
                <w:noProof/>
                <w:webHidden/>
                <w:sz w:val="28"/>
                <w:szCs w:val="28"/>
              </w:rPr>
              <w:fldChar w:fldCharType="separate"/>
            </w:r>
            <w:r w:rsidR="00B729A9">
              <w:rPr>
                <w:rFonts w:ascii="Times New Roman" w:hAnsi="Times New Roman" w:cs="Times New Roman"/>
                <w:noProof/>
                <w:webHidden/>
                <w:sz w:val="28"/>
                <w:szCs w:val="28"/>
              </w:rPr>
              <w:t>6</w:t>
            </w:r>
            <w:r w:rsidRPr="00F52651">
              <w:rPr>
                <w:rFonts w:ascii="Times New Roman" w:hAnsi="Times New Roman" w:cs="Times New Roman"/>
                <w:noProof/>
                <w:webHidden/>
                <w:sz w:val="28"/>
                <w:szCs w:val="28"/>
              </w:rPr>
              <w:fldChar w:fldCharType="end"/>
            </w:r>
          </w:hyperlink>
        </w:p>
        <w:p w14:paraId="0E9FB10D" w14:textId="09F45881" w:rsidR="001329EC" w:rsidRPr="00F52651" w:rsidRDefault="001329EC">
          <w:pPr>
            <w:pStyle w:val="TOC1"/>
            <w:tabs>
              <w:tab w:val="left" w:pos="440"/>
              <w:tab w:val="right" w:leader="dot" w:pos="9771"/>
            </w:tabs>
            <w:rPr>
              <w:rFonts w:ascii="Times New Roman" w:eastAsiaTheme="minorEastAsia" w:hAnsi="Times New Roman" w:cs="Times New Roman"/>
              <w:noProof/>
              <w:sz w:val="28"/>
              <w:szCs w:val="28"/>
              <w:lang w:eastAsia="lv-LV"/>
            </w:rPr>
          </w:pPr>
          <w:hyperlink w:anchor="_Toc15391538" w:history="1">
            <w:r w:rsidRPr="00F52651">
              <w:rPr>
                <w:rStyle w:val="Hyperlink"/>
                <w:rFonts w:ascii="Times New Roman" w:hAnsi="Times New Roman" w:cs="Times New Roman"/>
                <w:noProof/>
                <w:sz w:val="28"/>
                <w:szCs w:val="28"/>
              </w:rPr>
              <w:t>2.</w:t>
            </w:r>
            <w:r w:rsidRPr="00F52651">
              <w:rPr>
                <w:rFonts w:ascii="Times New Roman" w:eastAsiaTheme="minorEastAsia" w:hAnsi="Times New Roman" w:cs="Times New Roman"/>
                <w:noProof/>
                <w:sz w:val="28"/>
                <w:szCs w:val="28"/>
                <w:lang w:eastAsia="lv-LV"/>
              </w:rPr>
              <w:tab/>
            </w:r>
            <w:r w:rsidRPr="00F52651">
              <w:rPr>
                <w:rStyle w:val="Hyperlink"/>
                <w:rFonts w:ascii="Times New Roman" w:hAnsi="Times New Roman" w:cs="Times New Roman"/>
                <w:noProof/>
                <w:sz w:val="28"/>
                <w:szCs w:val="28"/>
              </w:rPr>
              <w:t>Izņēmums no komercdarbības atbalsta normu piemērošanas - Altmark spriedumā definētie kritēriji</w:t>
            </w:r>
            <w:r w:rsidRPr="00F52651">
              <w:rPr>
                <w:rFonts w:ascii="Times New Roman" w:hAnsi="Times New Roman" w:cs="Times New Roman"/>
                <w:noProof/>
                <w:webHidden/>
                <w:sz w:val="28"/>
                <w:szCs w:val="28"/>
              </w:rPr>
              <w:tab/>
            </w:r>
            <w:r w:rsidRPr="00F52651">
              <w:rPr>
                <w:rFonts w:ascii="Times New Roman" w:hAnsi="Times New Roman" w:cs="Times New Roman"/>
                <w:noProof/>
                <w:webHidden/>
                <w:sz w:val="28"/>
                <w:szCs w:val="28"/>
              </w:rPr>
              <w:fldChar w:fldCharType="begin"/>
            </w:r>
            <w:r w:rsidRPr="00F52651">
              <w:rPr>
                <w:rFonts w:ascii="Times New Roman" w:hAnsi="Times New Roman" w:cs="Times New Roman"/>
                <w:noProof/>
                <w:webHidden/>
                <w:sz w:val="28"/>
                <w:szCs w:val="28"/>
              </w:rPr>
              <w:instrText xml:space="preserve"> PAGEREF _Toc15391538 \h </w:instrText>
            </w:r>
            <w:r w:rsidRPr="00F52651">
              <w:rPr>
                <w:rFonts w:ascii="Times New Roman" w:hAnsi="Times New Roman" w:cs="Times New Roman"/>
                <w:noProof/>
                <w:webHidden/>
                <w:sz w:val="28"/>
                <w:szCs w:val="28"/>
              </w:rPr>
            </w:r>
            <w:r w:rsidRPr="00F52651">
              <w:rPr>
                <w:rFonts w:ascii="Times New Roman" w:hAnsi="Times New Roman" w:cs="Times New Roman"/>
                <w:noProof/>
                <w:webHidden/>
                <w:sz w:val="28"/>
                <w:szCs w:val="28"/>
              </w:rPr>
              <w:fldChar w:fldCharType="separate"/>
            </w:r>
            <w:r w:rsidR="00B729A9">
              <w:rPr>
                <w:rFonts w:ascii="Times New Roman" w:hAnsi="Times New Roman" w:cs="Times New Roman"/>
                <w:noProof/>
                <w:webHidden/>
                <w:sz w:val="28"/>
                <w:szCs w:val="28"/>
              </w:rPr>
              <w:t>9</w:t>
            </w:r>
            <w:r w:rsidRPr="00F52651">
              <w:rPr>
                <w:rFonts w:ascii="Times New Roman" w:hAnsi="Times New Roman" w:cs="Times New Roman"/>
                <w:noProof/>
                <w:webHidden/>
                <w:sz w:val="28"/>
                <w:szCs w:val="28"/>
              </w:rPr>
              <w:fldChar w:fldCharType="end"/>
            </w:r>
          </w:hyperlink>
        </w:p>
        <w:p w14:paraId="1F57EEDB" w14:textId="15D78E9B" w:rsidR="001329EC" w:rsidRPr="00F52651" w:rsidRDefault="001329EC">
          <w:pPr>
            <w:pStyle w:val="TOC1"/>
            <w:tabs>
              <w:tab w:val="left" w:pos="440"/>
              <w:tab w:val="right" w:leader="dot" w:pos="9771"/>
            </w:tabs>
            <w:rPr>
              <w:rFonts w:ascii="Times New Roman" w:eastAsiaTheme="minorEastAsia" w:hAnsi="Times New Roman" w:cs="Times New Roman"/>
              <w:noProof/>
              <w:sz w:val="28"/>
              <w:szCs w:val="28"/>
              <w:lang w:eastAsia="lv-LV"/>
            </w:rPr>
          </w:pPr>
          <w:hyperlink w:anchor="_Toc15391539" w:history="1">
            <w:r w:rsidRPr="00F52651">
              <w:rPr>
                <w:rStyle w:val="Hyperlink"/>
                <w:rFonts w:ascii="Times New Roman" w:hAnsi="Times New Roman" w:cs="Times New Roman"/>
                <w:noProof/>
                <w:sz w:val="28"/>
                <w:szCs w:val="28"/>
              </w:rPr>
              <w:t>3.</w:t>
            </w:r>
            <w:r w:rsidRPr="00F52651">
              <w:rPr>
                <w:rFonts w:ascii="Times New Roman" w:eastAsiaTheme="minorEastAsia" w:hAnsi="Times New Roman" w:cs="Times New Roman"/>
                <w:noProof/>
                <w:sz w:val="28"/>
                <w:szCs w:val="28"/>
                <w:lang w:eastAsia="lv-LV"/>
              </w:rPr>
              <w:tab/>
            </w:r>
            <w:r w:rsidRPr="00F52651">
              <w:rPr>
                <w:rStyle w:val="Hyperlink"/>
                <w:rFonts w:ascii="Times New Roman" w:hAnsi="Times New Roman" w:cs="Times New Roman"/>
                <w:noProof/>
                <w:sz w:val="28"/>
                <w:szCs w:val="28"/>
              </w:rPr>
              <w:t>Procedūras, kas jāievēro, plānojot atbalsta programmas vai individuāla atbalsta piešķiršanu ar VTNP regulējumu</w:t>
            </w:r>
            <w:r w:rsidRPr="00F52651">
              <w:rPr>
                <w:rFonts w:ascii="Times New Roman" w:hAnsi="Times New Roman" w:cs="Times New Roman"/>
                <w:noProof/>
                <w:webHidden/>
                <w:sz w:val="28"/>
                <w:szCs w:val="28"/>
              </w:rPr>
              <w:tab/>
            </w:r>
            <w:r w:rsidRPr="00F52651">
              <w:rPr>
                <w:rFonts w:ascii="Times New Roman" w:hAnsi="Times New Roman" w:cs="Times New Roman"/>
                <w:noProof/>
                <w:webHidden/>
                <w:sz w:val="28"/>
                <w:szCs w:val="28"/>
              </w:rPr>
              <w:fldChar w:fldCharType="begin"/>
            </w:r>
            <w:r w:rsidRPr="00F52651">
              <w:rPr>
                <w:rFonts w:ascii="Times New Roman" w:hAnsi="Times New Roman" w:cs="Times New Roman"/>
                <w:noProof/>
                <w:webHidden/>
                <w:sz w:val="28"/>
                <w:szCs w:val="28"/>
              </w:rPr>
              <w:instrText xml:space="preserve"> PAGEREF _Toc15391539 \h </w:instrText>
            </w:r>
            <w:r w:rsidRPr="00F52651">
              <w:rPr>
                <w:rFonts w:ascii="Times New Roman" w:hAnsi="Times New Roman" w:cs="Times New Roman"/>
                <w:noProof/>
                <w:webHidden/>
                <w:sz w:val="28"/>
                <w:szCs w:val="28"/>
              </w:rPr>
            </w:r>
            <w:r w:rsidRPr="00F52651">
              <w:rPr>
                <w:rFonts w:ascii="Times New Roman" w:hAnsi="Times New Roman" w:cs="Times New Roman"/>
                <w:noProof/>
                <w:webHidden/>
                <w:sz w:val="28"/>
                <w:szCs w:val="28"/>
              </w:rPr>
              <w:fldChar w:fldCharType="separate"/>
            </w:r>
            <w:r w:rsidR="00B729A9">
              <w:rPr>
                <w:rFonts w:ascii="Times New Roman" w:hAnsi="Times New Roman" w:cs="Times New Roman"/>
                <w:noProof/>
                <w:webHidden/>
                <w:sz w:val="28"/>
                <w:szCs w:val="28"/>
              </w:rPr>
              <w:t>12</w:t>
            </w:r>
            <w:r w:rsidRPr="00F52651">
              <w:rPr>
                <w:rFonts w:ascii="Times New Roman" w:hAnsi="Times New Roman" w:cs="Times New Roman"/>
                <w:noProof/>
                <w:webHidden/>
                <w:sz w:val="28"/>
                <w:szCs w:val="28"/>
              </w:rPr>
              <w:fldChar w:fldCharType="end"/>
            </w:r>
          </w:hyperlink>
        </w:p>
        <w:p w14:paraId="0B7304B4" w14:textId="0B20E92D" w:rsidR="001329EC" w:rsidRPr="00F52651" w:rsidRDefault="001329EC">
          <w:pPr>
            <w:pStyle w:val="TOC1"/>
            <w:tabs>
              <w:tab w:val="left" w:pos="440"/>
              <w:tab w:val="right" w:leader="dot" w:pos="9771"/>
            </w:tabs>
            <w:rPr>
              <w:rFonts w:ascii="Times New Roman" w:eastAsiaTheme="minorEastAsia" w:hAnsi="Times New Roman" w:cs="Times New Roman"/>
              <w:noProof/>
              <w:sz w:val="28"/>
              <w:szCs w:val="28"/>
              <w:lang w:eastAsia="lv-LV"/>
            </w:rPr>
          </w:pPr>
          <w:hyperlink w:anchor="_Toc15391540" w:history="1">
            <w:r w:rsidRPr="00F52651">
              <w:rPr>
                <w:rStyle w:val="Hyperlink"/>
                <w:rFonts w:ascii="Times New Roman" w:hAnsi="Times New Roman" w:cs="Times New Roman"/>
                <w:noProof/>
                <w:sz w:val="28"/>
                <w:szCs w:val="28"/>
              </w:rPr>
              <w:t>4.</w:t>
            </w:r>
            <w:r w:rsidRPr="00F52651">
              <w:rPr>
                <w:rFonts w:ascii="Times New Roman" w:eastAsiaTheme="minorEastAsia" w:hAnsi="Times New Roman" w:cs="Times New Roman"/>
                <w:noProof/>
                <w:sz w:val="28"/>
                <w:szCs w:val="28"/>
                <w:lang w:eastAsia="lv-LV"/>
              </w:rPr>
              <w:tab/>
            </w:r>
            <w:r w:rsidRPr="00F52651">
              <w:rPr>
                <w:rStyle w:val="Hyperlink"/>
                <w:rFonts w:ascii="Times New Roman" w:hAnsi="Times New Roman" w:cs="Times New Roman"/>
                <w:noProof/>
                <w:sz w:val="28"/>
                <w:szCs w:val="28"/>
              </w:rPr>
              <w:t>Juridiskais pamats</w:t>
            </w:r>
            <w:r w:rsidRPr="00F52651">
              <w:rPr>
                <w:rFonts w:ascii="Times New Roman" w:hAnsi="Times New Roman" w:cs="Times New Roman"/>
                <w:noProof/>
                <w:webHidden/>
                <w:sz w:val="28"/>
                <w:szCs w:val="28"/>
              </w:rPr>
              <w:tab/>
            </w:r>
            <w:r w:rsidRPr="00F52651">
              <w:rPr>
                <w:rFonts w:ascii="Times New Roman" w:hAnsi="Times New Roman" w:cs="Times New Roman"/>
                <w:noProof/>
                <w:webHidden/>
                <w:sz w:val="28"/>
                <w:szCs w:val="28"/>
              </w:rPr>
              <w:fldChar w:fldCharType="begin"/>
            </w:r>
            <w:r w:rsidRPr="00F52651">
              <w:rPr>
                <w:rFonts w:ascii="Times New Roman" w:hAnsi="Times New Roman" w:cs="Times New Roman"/>
                <w:noProof/>
                <w:webHidden/>
                <w:sz w:val="28"/>
                <w:szCs w:val="28"/>
              </w:rPr>
              <w:instrText xml:space="preserve"> PAGEREF _Toc15391540 \h </w:instrText>
            </w:r>
            <w:r w:rsidRPr="00F52651">
              <w:rPr>
                <w:rFonts w:ascii="Times New Roman" w:hAnsi="Times New Roman" w:cs="Times New Roman"/>
                <w:noProof/>
                <w:webHidden/>
                <w:sz w:val="28"/>
                <w:szCs w:val="28"/>
              </w:rPr>
            </w:r>
            <w:r w:rsidRPr="00F52651">
              <w:rPr>
                <w:rFonts w:ascii="Times New Roman" w:hAnsi="Times New Roman" w:cs="Times New Roman"/>
                <w:noProof/>
                <w:webHidden/>
                <w:sz w:val="28"/>
                <w:szCs w:val="28"/>
              </w:rPr>
              <w:fldChar w:fldCharType="separate"/>
            </w:r>
            <w:r w:rsidR="00B729A9">
              <w:rPr>
                <w:rFonts w:ascii="Times New Roman" w:hAnsi="Times New Roman" w:cs="Times New Roman"/>
                <w:noProof/>
                <w:webHidden/>
                <w:sz w:val="28"/>
                <w:szCs w:val="28"/>
              </w:rPr>
              <w:t>13</w:t>
            </w:r>
            <w:r w:rsidRPr="00F52651">
              <w:rPr>
                <w:rFonts w:ascii="Times New Roman" w:hAnsi="Times New Roman" w:cs="Times New Roman"/>
                <w:noProof/>
                <w:webHidden/>
                <w:sz w:val="28"/>
                <w:szCs w:val="28"/>
              </w:rPr>
              <w:fldChar w:fldCharType="end"/>
            </w:r>
          </w:hyperlink>
        </w:p>
        <w:p w14:paraId="56882942" w14:textId="31C7C661" w:rsidR="001329EC" w:rsidRPr="00F52651" w:rsidRDefault="001329EC" w:rsidP="001329EC">
          <w:pPr>
            <w:pStyle w:val="TOC1"/>
            <w:tabs>
              <w:tab w:val="right" w:leader="dot" w:pos="9771"/>
            </w:tabs>
            <w:ind w:left="720"/>
            <w:rPr>
              <w:rFonts w:ascii="Times New Roman" w:eastAsiaTheme="minorEastAsia" w:hAnsi="Times New Roman" w:cs="Times New Roman"/>
              <w:noProof/>
              <w:sz w:val="28"/>
              <w:szCs w:val="28"/>
              <w:lang w:eastAsia="lv-LV"/>
            </w:rPr>
          </w:pPr>
          <w:hyperlink w:anchor="_Toc15391541" w:history="1">
            <w:r w:rsidRPr="00F52651">
              <w:rPr>
                <w:rStyle w:val="Hyperlink"/>
                <w:rFonts w:ascii="Times New Roman" w:hAnsi="Times New Roman" w:cs="Times New Roman"/>
                <w:noProof/>
                <w:sz w:val="28"/>
                <w:szCs w:val="28"/>
              </w:rPr>
              <w:t>4.1. Pilnvarojuma akta sagatavošana</w:t>
            </w:r>
            <w:r w:rsidRPr="00F52651">
              <w:rPr>
                <w:rFonts w:ascii="Times New Roman" w:hAnsi="Times New Roman" w:cs="Times New Roman"/>
                <w:noProof/>
                <w:webHidden/>
                <w:sz w:val="28"/>
                <w:szCs w:val="28"/>
              </w:rPr>
              <w:tab/>
            </w:r>
            <w:r w:rsidRPr="00F52651">
              <w:rPr>
                <w:rFonts w:ascii="Times New Roman" w:hAnsi="Times New Roman" w:cs="Times New Roman"/>
                <w:noProof/>
                <w:webHidden/>
                <w:sz w:val="28"/>
                <w:szCs w:val="28"/>
              </w:rPr>
              <w:fldChar w:fldCharType="begin"/>
            </w:r>
            <w:r w:rsidRPr="00F52651">
              <w:rPr>
                <w:rFonts w:ascii="Times New Roman" w:hAnsi="Times New Roman" w:cs="Times New Roman"/>
                <w:noProof/>
                <w:webHidden/>
                <w:sz w:val="28"/>
                <w:szCs w:val="28"/>
              </w:rPr>
              <w:instrText xml:space="preserve"> PAGEREF _Toc15391541 \h </w:instrText>
            </w:r>
            <w:r w:rsidRPr="00F52651">
              <w:rPr>
                <w:rFonts w:ascii="Times New Roman" w:hAnsi="Times New Roman" w:cs="Times New Roman"/>
                <w:noProof/>
                <w:webHidden/>
                <w:sz w:val="28"/>
                <w:szCs w:val="28"/>
              </w:rPr>
            </w:r>
            <w:r w:rsidRPr="00F52651">
              <w:rPr>
                <w:rFonts w:ascii="Times New Roman" w:hAnsi="Times New Roman" w:cs="Times New Roman"/>
                <w:noProof/>
                <w:webHidden/>
                <w:sz w:val="28"/>
                <w:szCs w:val="28"/>
              </w:rPr>
              <w:fldChar w:fldCharType="separate"/>
            </w:r>
            <w:r w:rsidR="00B729A9">
              <w:rPr>
                <w:rFonts w:ascii="Times New Roman" w:hAnsi="Times New Roman" w:cs="Times New Roman"/>
                <w:noProof/>
                <w:webHidden/>
                <w:sz w:val="28"/>
                <w:szCs w:val="28"/>
              </w:rPr>
              <w:t>14</w:t>
            </w:r>
            <w:r w:rsidRPr="00F52651">
              <w:rPr>
                <w:rFonts w:ascii="Times New Roman" w:hAnsi="Times New Roman" w:cs="Times New Roman"/>
                <w:noProof/>
                <w:webHidden/>
                <w:sz w:val="28"/>
                <w:szCs w:val="28"/>
              </w:rPr>
              <w:fldChar w:fldCharType="end"/>
            </w:r>
          </w:hyperlink>
        </w:p>
        <w:p w14:paraId="40A3A7D6" w14:textId="518F4002" w:rsidR="001329EC" w:rsidRPr="00F52651" w:rsidRDefault="001329EC" w:rsidP="001329EC">
          <w:pPr>
            <w:pStyle w:val="TOC1"/>
            <w:tabs>
              <w:tab w:val="right" w:leader="dot" w:pos="9771"/>
            </w:tabs>
            <w:ind w:left="720"/>
            <w:rPr>
              <w:rFonts w:ascii="Times New Roman" w:eastAsiaTheme="minorEastAsia" w:hAnsi="Times New Roman" w:cs="Times New Roman"/>
              <w:noProof/>
              <w:sz w:val="28"/>
              <w:szCs w:val="28"/>
              <w:lang w:eastAsia="lv-LV"/>
            </w:rPr>
          </w:pPr>
          <w:hyperlink w:anchor="_Toc15391542" w:history="1">
            <w:r w:rsidRPr="00F52651">
              <w:rPr>
                <w:rStyle w:val="Hyperlink"/>
                <w:rFonts w:ascii="Times New Roman" w:hAnsi="Times New Roman" w:cs="Times New Roman"/>
                <w:noProof/>
                <w:sz w:val="28"/>
                <w:szCs w:val="28"/>
              </w:rPr>
              <w:t>4.2. VTNP lēmums un tā nosacījumi</w:t>
            </w:r>
            <w:r w:rsidRPr="00F52651">
              <w:rPr>
                <w:rFonts w:ascii="Times New Roman" w:hAnsi="Times New Roman" w:cs="Times New Roman"/>
                <w:noProof/>
                <w:webHidden/>
                <w:sz w:val="28"/>
                <w:szCs w:val="28"/>
              </w:rPr>
              <w:tab/>
            </w:r>
            <w:r w:rsidRPr="00F52651">
              <w:rPr>
                <w:rFonts w:ascii="Times New Roman" w:hAnsi="Times New Roman" w:cs="Times New Roman"/>
                <w:noProof/>
                <w:webHidden/>
                <w:sz w:val="28"/>
                <w:szCs w:val="28"/>
              </w:rPr>
              <w:fldChar w:fldCharType="begin"/>
            </w:r>
            <w:r w:rsidRPr="00F52651">
              <w:rPr>
                <w:rFonts w:ascii="Times New Roman" w:hAnsi="Times New Roman" w:cs="Times New Roman"/>
                <w:noProof/>
                <w:webHidden/>
                <w:sz w:val="28"/>
                <w:szCs w:val="28"/>
              </w:rPr>
              <w:instrText xml:space="preserve"> PAGEREF _Toc15391542 \h </w:instrText>
            </w:r>
            <w:r w:rsidRPr="00F52651">
              <w:rPr>
                <w:rFonts w:ascii="Times New Roman" w:hAnsi="Times New Roman" w:cs="Times New Roman"/>
                <w:noProof/>
                <w:webHidden/>
                <w:sz w:val="28"/>
                <w:szCs w:val="28"/>
              </w:rPr>
            </w:r>
            <w:r w:rsidRPr="00F52651">
              <w:rPr>
                <w:rFonts w:ascii="Times New Roman" w:hAnsi="Times New Roman" w:cs="Times New Roman"/>
                <w:noProof/>
                <w:webHidden/>
                <w:sz w:val="28"/>
                <w:szCs w:val="28"/>
              </w:rPr>
              <w:fldChar w:fldCharType="separate"/>
            </w:r>
            <w:r w:rsidR="00B729A9">
              <w:rPr>
                <w:rFonts w:ascii="Times New Roman" w:hAnsi="Times New Roman" w:cs="Times New Roman"/>
                <w:noProof/>
                <w:webHidden/>
                <w:sz w:val="28"/>
                <w:szCs w:val="28"/>
              </w:rPr>
              <w:t>15</w:t>
            </w:r>
            <w:r w:rsidRPr="00F52651">
              <w:rPr>
                <w:rFonts w:ascii="Times New Roman" w:hAnsi="Times New Roman" w:cs="Times New Roman"/>
                <w:noProof/>
                <w:webHidden/>
                <w:sz w:val="28"/>
                <w:szCs w:val="28"/>
              </w:rPr>
              <w:fldChar w:fldCharType="end"/>
            </w:r>
          </w:hyperlink>
        </w:p>
        <w:p w14:paraId="616A94EE" w14:textId="6C976DBE" w:rsidR="001329EC" w:rsidRPr="00F52651" w:rsidRDefault="001329EC" w:rsidP="001329EC">
          <w:pPr>
            <w:pStyle w:val="TOC1"/>
            <w:tabs>
              <w:tab w:val="right" w:leader="dot" w:pos="9771"/>
            </w:tabs>
            <w:ind w:left="720"/>
            <w:rPr>
              <w:rFonts w:ascii="Times New Roman" w:eastAsiaTheme="minorEastAsia" w:hAnsi="Times New Roman" w:cs="Times New Roman"/>
              <w:noProof/>
              <w:sz w:val="28"/>
              <w:szCs w:val="28"/>
              <w:lang w:eastAsia="lv-LV"/>
            </w:rPr>
          </w:pPr>
          <w:hyperlink w:anchor="_Toc15391543" w:history="1">
            <w:r w:rsidRPr="00F52651">
              <w:rPr>
                <w:rStyle w:val="Hyperlink"/>
                <w:rFonts w:ascii="Times New Roman" w:hAnsi="Times New Roman" w:cs="Times New Roman"/>
                <w:noProof/>
                <w:sz w:val="28"/>
                <w:szCs w:val="28"/>
              </w:rPr>
              <w:t>4.3. Kompensācijas aprēķins</w:t>
            </w:r>
            <w:r w:rsidRPr="00F52651">
              <w:rPr>
                <w:rFonts w:ascii="Times New Roman" w:hAnsi="Times New Roman" w:cs="Times New Roman"/>
                <w:noProof/>
                <w:webHidden/>
                <w:sz w:val="28"/>
                <w:szCs w:val="28"/>
              </w:rPr>
              <w:tab/>
            </w:r>
            <w:r w:rsidRPr="00F52651">
              <w:rPr>
                <w:rFonts w:ascii="Times New Roman" w:hAnsi="Times New Roman" w:cs="Times New Roman"/>
                <w:noProof/>
                <w:webHidden/>
                <w:sz w:val="28"/>
                <w:szCs w:val="28"/>
              </w:rPr>
              <w:fldChar w:fldCharType="begin"/>
            </w:r>
            <w:r w:rsidRPr="00F52651">
              <w:rPr>
                <w:rFonts w:ascii="Times New Roman" w:hAnsi="Times New Roman" w:cs="Times New Roman"/>
                <w:noProof/>
                <w:webHidden/>
                <w:sz w:val="28"/>
                <w:szCs w:val="28"/>
              </w:rPr>
              <w:instrText xml:space="preserve"> PAGEREF _Toc15391543 \h </w:instrText>
            </w:r>
            <w:r w:rsidRPr="00F52651">
              <w:rPr>
                <w:rFonts w:ascii="Times New Roman" w:hAnsi="Times New Roman" w:cs="Times New Roman"/>
                <w:noProof/>
                <w:webHidden/>
                <w:sz w:val="28"/>
                <w:szCs w:val="28"/>
              </w:rPr>
            </w:r>
            <w:r w:rsidRPr="00F52651">
              <w:rPr>
                <w:rFonts w:ascii="Times New Roman" w:hAnsi="Times New Roman" w:cs="Times New Roman"/>
                <w:noProof/>
                <w:webHidden/>
                <w:sz w:val="28"/>
                <w:szCs w:val="28"/>
              </w:rPr>
              <w:fldChar w:fldCharType="separate"/>
            </w:r>
            <w:r w:rsidR="00B729A9">
              <w:rPr>
                <w:rFonts w:ascii="Times New Roman" w:hAnsi="Times New Roman" w:cs="Times New Roman"/>
                <w:noProof/>
                <w:webHidden/>
                <w:sz w:val="28"/>
                <w:szCs w:val="28"/>
              </w:rPr>
              <w:t>18</w:t>
            </w:r>
            <w:r w:rsidRPr="00F52651">
              <w:rPr>
                <w:rFonts w:ascii="Times New Roman" w:hAnsi="Times New Roman" w:cs="Times New Roman"/>
                <w:noProof/>
                <w:webHidden/>
                <w:sz w:val="28"/>
                <w:szCs w:val="28"/>
              </w:rPr>
              <w:fldChar w:fldCharType="end"/>
            </w:r>
          </w:hyperlink>
        </w:p>
        <w:p w14:paraId="50E066A5" w14:textId="030F8619" w:rsidR="001329EC" w:rsidRPr="00F52651" w:rsidRDefault="001329EC" w:rsidP="001329EC">
          <w:pPr>
            <w:pStyle w:val="TOC1"/>
            <w:tabs>
              <w:tab w:val="right" w:leader="dot" w:pos="9771"/>
            </w:tabs>
            <w:ind w:left="720"/>
            <w:rPr>
              <w:rFonts w:ascii="Times New Roman" w:eastAsiaTheme="minorEastAsia" w:hAnsi="Times New Roman" w:cs="Times New Roman"/>
              <w:noProof/>
              <w:sz w:val="28"/>
              <w:szCs w:val="28"/>
              <w:lang w:eastAsia="lv-LV"/>
            </w:rPr>
          </w:pPr>
          <w:hyperlink w:anchor="_Toc15391544" w:history="1">
            <w:r w:rsidRPr="00F52651">
              <w:rPr>
                <w:rStyle w:val="Hyperlink"/>
                <w:rFonts w:ascii="Times New Roman" w:hAnsi="Times New Roman" w:cs="Times New Roman"/>
                <w:noProof/>
                <w:sz w:val="28"/>
                <w:szCs w:val="28"/>
              </w:rPr>
              <w:t>4.4. Uzraudzība un pārkompensācijas novēršana</w:t>
            </w:r>
            <w:r w:rsidRPr="00F52651">
              <w:rPr>
                <w:rFonts w:ascii="Times New Roman" w:hAnsi="Times New Roman" w:cs="Times New Roman"/>
                <w:noProof/>
                <w:webHidden/>
                <w:sz w:val="28"/>
                <w:szCs w:val="28"/>
              </w:rPr>
              <w:tab/>
            </w:r>
            <w:r w:rsidRPr="00F52651">
              <w:rPr>
                <w:rFonts w:ascii="Times New Roman" w:hAnsi="Times New Roman" w:cs="Times New Roman"/>
                <w:noProof/>
                <w:webHidden/>
                <w:sz w:val="28"/>
                <w:szCs w:val="28"/>
              </w:rPr>
              <w:fldChar w:fldCharType="begin"/>
            </w:r>
            <w:r w:rsidRPr="00F52651">
              <w:rPr>
                <w:rFonts w:ascii="Times New Roman" w:hAnsi="Times New Roman" w:cs="Times New Roman"/>
                <w:noProof/>
                <w:webHidden/>
                <w:sz w:val="28"/>
                <w:szCs w:val="28"/>
              </w:rPr>
              <w:instrText xml:space="preserve"> PAGEREF _Toc15391544 \h </w:instrText>
            </w:r>
            <w:r w:rsidRPr="00F52651">
              <w:rPr>
                <w:rFonts w:ascii="Times New Roman" w:hAnsi="Times New Roman" w:cs="Times New Roman"/>
                <w:noProof/>
                <w:webHidden/>
                <w:sz w:val="28"/>
                <w:szCs w:val="28"/>
              </w:rPr>
            </w:r>
            <w:r w:rsidRPr="00F52651">
              <w:rPr>
                <w:rFonts w:ascii="Times New Roman" w:hAnsi="Times New Roman" w:cs="Times New Roman"/>
                <w:noProof/>
                <w:webHidden/>
                <w:sz w:val="28"/>
                <w:szCs w:val="28"/>
              </w:rPr>
              <w:fldChar w:fldCharType="separate"/>
            </w:r>
            <w:r w:rsidR="00B729A9">
              <w:rPr>
                <w:rFonts w:ascii="Times New Roman" w:hAnsi="Times New Roman" w:cs="Times New Roman"/>
                <w:noProof/>
                <w:webHidden/>
                <w:sz w:val="28"/>
                <w:szCs w:val="28"/>
              </w:rPr>
              <w:t>20</w:t>
            </w:r>
            <w:r w:rsidRPr="00F52651">
              <w:rPr>
                <w:rFonts w:ascii="Times New Roman" w:hAnsi="Times New Roman" w:cs="Times New Roman"/>
                <w:noProof/>
                <w:webHidden/>
                <w:sz w:val="28"/>
                <w:szCs w:val="28"/>
              </w:rPr>
              <w:fldChar w:fldCharType="end"/>
            </w:r>
          </w:hyperlink>
        </w:p>
        <w:p w14:paraId="4BCEAF44" w14:textId="35C19B2C" w:rsidR="001329EC" w:rsidRPr="00F52651" w:rsidRDefault="001329EC" w:rsidP="001329EC">
          <w:pPr>
            <w:pStyle w:val="TOC1"/>
            <w:tabs>
              <w:tab w:val="right" w:leader="dot" w:pos="9771"/>
            </w:tabs>
            <w:ind w:left="720"/>
            <w:rPr>
              <w:rFonts w:ascii="Times New Roman" w:eastAsiaTheme="minorEastAsia" w:hAnsi="Times New Roman" w:cs="Times New Roman"/>
              <w:noProof/>
              <w:sz w:val="28"/>
              <w:szCs w:val="28"/>
              <w:lang w:eastAsia="lv-LV"/>
            </w:rPr>
          </w:pPr>
          <w:hyperlink w:anchor="_Toc15391545" w:history="1">
            <w:r w:rsidRPr="00F52651">
              <w:rPr>
                <w:rStyle w:val="Hyperlink"/>
                <w:rFonts w:ascii="Times New Roman" w:hAnsi="Times New Roman" w:cs="Times New Roman"/>
                <w:noProof/>
                <w:sz w:val="28"/>
                <w:szCs w:val="28"/>
              </w:rPr>
              <w:t>4.5. Dokumentu glabāšana</w:t>
            </w:r>
            <w:r w:rsidRPr="00F52651">
              <w:rPr>
                <w:rFonts w:ascii="Times New Roman" w:hAnsi="Times New Roman" w:cs="Times New Roman"/>
                <w:noProof/>
                <w:webHidden/>
                <w:sz w:val="28"/>
                <w:szCs w:val="28"/>
              </w:rPr>
              <w:tab/>
            </w:r>
            <w:r w:rsidRPr="00F52651">
              <w:rPr>
                <w:rFonts w:ascii="Times New Roman" w:hAnsi="Times New Roman" w:cs="Times New Roman"/>
                <w:noProof/>
                <w:webHidden/>
                <w:sz w:val="28"/>
                <w:szCs w:val="28"/>
              </w:rPr>
              <w:fldChar w:fldCharType="begin"/>
            </w:r>
            <w:r w:rsidRPr="00F52651">
              <w:rPr>
                <w:rFonts w:ascii="Times New Roman" w:hAnsi="Times New Roman" w:cs="Times New Roman"/>
                <w:noProof/>
                <w:webHidden/>
                <w:sz w:val="28"/>
                <w:szCs w:val="28"/>
              </w:rPr>
              <w:instrText xml:space="preserve"> PAGEREF _Toc15391545 \h </w:instrText>
            </w:r>
            <w:r w:rsidRPr="00F52651">
              <w:rPr>
                <w:rFonts w:ascii="Times New Roman" w:hAnsi="Times New Roman" w:cs="Times New Roman"/>
                <w:noProof/>
                <w:webHidden/>
                <w:sz w:val="28"/>
                <w:szCs w:val="28"/>
              </w:rPr>
            </w:r>
            <w:r w:rsidRPr="00F52651">
              <w:rPr>
                <w:rFonts w:ascii="Times New Roman" w:hAnsi="Times New Roman" w:cs="Times New Roman"/>
                <w:noProof/>
                <w:webHidden/>
                <w:sz w:val="28"/>
                <w:szCs w:val="28"/>
              </w:rPr>
              <w:fldChar w:fldCharType="separate"/>
            </w:r>
            <w:r w:rsidR="00B729A9">
              <w:rPr>
                <w:rFonts w:ascii="Times New Roman" w:hAnsi="Times New Roman" w:cs="Times New Roman"/>
                <w:noProof/>
                <w:webHidden/>
                <w:sz w:val="28"/>
                <w:szCs w:val="28"/>
              </w:rPr>
              <w:t>21</w:t>
            </w:r>
            <w:r w:rsidRPr="00F52651">
              <w:rPr>
                <w:rFonts w:ascii="Times New Roman" w:hAnsi="Times New Roman" w:cs="Times New Roman"/>
                <w:noProof/>
                <w:webHidden/>
                <w:sz w:val="28"/>
                <w:szCs w:val="28"/>
              </w:rPr>
              <w:fldChar w:fldCharType="end"/>
            </w:r>
          </w:hyperlink>
        </w:p>
        <w:p w14:paraId="5326B00C" w14:textId="1A65F77E" w:rsidR="001329EC" w:rsidRPr="00F52651" w:rsidRDefault="001329EC" w:rsidP="001329EC">
          <w:pPr>
            <w:pStyle w:val="TOC1"/>
            <w:tabs>
              <w:tab w:val="right" w:leader="dot" w:pos="9771"/>
            </w:tabs>
            <w:ind w:left="720"/>
            <w:rPr>
              <w:rFonts w:ascii="Times New Roman" w:eastAsiaTheme="minorEastAsia" w:hAnsi="Times New Roman" w:cs="Times New Roman"/>
              <w:noProof/>
              <w:sz w:val="28"/>
              <w:szCs w:val="28"/>
              <w:lang w:eastAsia="lv-LV"/>
            </w:rPr>
          </w:pPr>
          <w:hyperlink w:anchor="_Toc15391546" w:history="1">
            <w:r w:rsidRPr="00F52651">
              <w:rPr>
                <w:rStyle w:val="Hyperlink"/>
                <w:rFonts w:ascii="Times New Roman" w:hAnsi="Times New Roman" w:cs="Times New Roman"/>
                <w:noProof/>
                <w:sz w:val="28"/>
                <w:szCs w:val="28"/>
              </w:rPr>
              <w:t>4.6. VTNP nostādnes un to nosacījumi</w:t>
            </w:r>
            <w:r w:rsidRPr="00F52651">
              <w:rPr>
                <w:rFonts w:ascii="Times New Roman" w:hAnsi="Times New Roman" w:cs="Times New Roman"/>
                <w:noProof/>
                <w:webHidden/>
                <w:sz w:val="28"/>
                <w:szCs w:val="28"/>
              </w:rPr>
              <w:tab/>
            </w:r>
            <w:r w:rsidRPr="00F52651">
              <w:rPr>
                <w:rFonts w:ascii="Times New Roman" w:hAnsi="Times New Roman" w:cs="Times New Roman"/>
                <w:noProof/>
                <w:webHidden/>
                <w:sz w:val="28"/>
                <w:szCs w:val="28"/>
              </w:rPr>
              <w:fldChar w:fldCharType="begin"/>
            </w:r>
            <w:r w:rsidRPr="00F52651">
              <w:rPr>
                <w:rFonts w:ascii="Times New Roman" w:hAnsi="Times New Roman" w:cs="Times New Roman"/>
                <w:noProof/>
                <w:webHidden/>
                <w:sz w:val="28"/>
                <w:szCs w:val="28"/>
              </w:rPr>
              <w:instrText xml:space="preserve"> PAGEREF _Toc15391546 \h </w:instrText>
            </w:r>
            <w:r w:rsidRPr="00F52651">
              <w:rPr>
                <w:rFonts w:ascii="Times New Roman" w:hAnsi="Times New Roman" w:cs="Times New Roman"/>
                <w:noProof/>
                <w:webHidden/>
                <w:sz w:val="28"/>
                <w:szCs w:val="28"/>
              </w:rPr>
            </w:r>
            <w:r w:rsidRPr="00F52651">
              <w:rPr>
                <w:rFonts w:ascii="Times New Roman" w:hAnsi="Times New Roman" w:cs="Times New Roman"/>
                <w:noProof/>
                <w:webHidden/>
                <w:sz w:val="28"/>
                <w:szCs w:val="28"/>
              </w:rPr>
              <w:fldChar w:fldCharType="separate"/>
            </w:r>
            <w:r w:rsidR="00B729A9">
              <w:rPr>
                <w:rFonts w:ascii="Times New Roman" w:hAnsi="Times New Roman" w:cs="Times New Roman"/>
                <w:noProof/>
                <w:webHidden/>
                <w:sz w:val="28"/>
                <w:szCs w:val="28"/>
              </w:rPr>
              <w:t>21</w:t>
            </w:r>
            <w:r w:rsidRPr="00F52651">
              <w:rPr>
                <w:rFonts w:ascii="Times New Roman" w:hAnsi="Times New Roman" w:cs="Times New Roman"/>
                <w:noProof/>
                <w:webHidden/>
                <w:sz w:val="28"/>
                <w:szCs w:val="28"/>
              </w:rPr>
              <w:fldChar w:fldCharType="end"/>
            </w:r>
          </w:hyperlink>
        </w:p>
        <w:p w14:paraId="0E3CAF3A" w14:textId="70F7AED5" w:rsidR="001329EC" w:rsidRPr="00F52651" w:rsidRDefault="001329EC" w:rsidP="001329EC">
          <w:pPr>
            <w:pStyle w:val="TOC1"/>
            <w:tabs>
              <w:tab w:val="right" w:leader="dot" w:pos="9771"/>
            </w:tabs>
            <w:ind w:left="720"/>
            <w:rPr>
              <w:rFonts w:ascii="Times New Roman" w:eastAsiaTheme="minorEastAsia" w:hAnsi="Times New Roman" w:cs="Times New Roman"/>
              <w:noProof/>
              <w:sz w:val="28"/>
              <w:szCs w:val="28"/>
              <w:lang w:eastAsia="lv-LV"/>
            </w:rPr>
          </w:pPr>
          <w:hyperlink w:anchor="_Toc15391547" w:history="1">
            <w:r w:rsidRPr="00F52651">
              <w:rPr>
                <w:rStyle w:val="Hyperlink"/>
                <w:rFonts w:ascii="Times New Roman" w:hAnsi="Times New Roman" w:cs="Times New Roman"/>
                <w:noProof/>
                <w:sz w:val="28"/>
                <w:szCs w:val="28"/>
              </w:rPr>
              <w:t>4.7. VTNP de minimis regula un tās nosacījumi</w:t>
            </w:r>
            <w:r w:rsidRPr="00F52651">
              <w:rPr>
                <w:rFonts w:ascii="Times New Roman" w:hAnsi="Times New Roman" w:cs="Times New Roman"/>
                <w:noProof/>
                <w:webHidden/>
                <w:sz w:val="28"/>
                <w:szCs w:val="28"/>
              </w:rPr>
              <w:tab/>
            </w:r>
            <w:r w:rsidRPr="00F52651">
              <w:rPr>
                <w:rFonts w:ascii="Times New Roman" w:hAnsi="Times New Roman" w:cs="Times New Roman"/>
                <w:noProof/>
                <w:webHidden/>
                <w:sz w:val="28"/>
                <w:szCs w:val="28"/>
              </w:rPr>
              <w:fldChar w:fldCharType="begin"/>
            </w:r>
            <w:r w:rsidRPr="00F52651">
              <w:rPr>
                <w:rFonts w:ascii="Times New Roman" w:hAnsi="Times New Roman" w:cs="Times New Roman"/>
                <w:noProof/>
                <w:webHidden/>
                <w:sz w:val="28"/>
                <w:szCs w:val="28"/>
              </w:rPr>
              <w:instrText xml:space="preserve"> PAGEREF _Toc15391547 \h </w:instrText>
            </w:r>
            <w:r w:rsidRPr="00F52651">
              <w:rPr>
                <w:rFonts w:ascii="Times New Roman" w:hAnsi="Times New Roman" w:cs="Times New Roman"/>
                <w:noProof/>
                <w:webHidden/>
                <w:sz w:val="28"/>
                <w:szCs w:val="28"/>
              </w:rPr>
            </w:r>
            <w:r w:rsidRPr="00F52651">
              <w:rPr>
                <w:rFonts w:ascii="Times New Roman" w:hAnsi="Times New Roman" w:cs="Times New Roman"/>
                <w:noProof/>
                <w:webHidden/>
                <w:sz w:val="28"/>
                <w:szCs w:val="28"/>
              </w:rPr>
              <w:fldChar w:fldCharType="separate"/>
            </w:r>
            <w:r w:rsidR="00B729A9">
              <w:rPr>
                <w:rFonts w:ascii="Times New Roman" w:hAnsi="Times New Roman" w:cs="Times New Roman"/>
                <w:noProof/>
                <w:webHidden/>
                <w:sz w:val="28"/>
                <w:szCs w:val="28"/>
              </w:rPr>
              <w:t>23</w:t>
            </w:r>
            <w:r w:rsidRPr="00F52651">
              <w:rPr>
                <w:rFonts w:ascii="Times New Roman" w:hAnsi="Times New Roman" w:cs="Times New Roman"/>
                <w:noProof/>
                <w:webHidden/>
                <w:sz w:val="28"/>
                <w:szCs w:val="28"/>
              </w:rPr>
              <w:fldChar w:fldCharType="end"/>
            </w:r>
          </w:hyperlink>
        </w:p>
        <w:p w14:paraId="491B0901" w14:textId="03053CBF" w:rsidR="001329EC" w:rsidRPr="00F52651" w:rsidRDefault="001329EC" w:rsidP="001329EC">
          <w:pPr>
            <w:pStyle w:val="TOC1"/>
            <w:tabs>
              <w:tab w:val="right" w:leader="dot" w:pos="9771"/>
            </w:tabs>
            <w:ind w:left="720"/>
            <w:rPr>
              <w:rFonts w:ascii="Times New Roman" w:eastAsiaTheme="minorEastAsia" w:hAnsi="Times New Roman" w:cs="Times New Roman"/>
              <w:noProof/>
              <w:sz w:val="28"/>
              <w:szCs w:val="28"/>
              <w:lang w:eastAsia="lv-LV"/>
            </w:rPr>
          </w:pPr>
          <w:hyperlink w:anchor="_Toc15391548" w:history="1">
            <w:r w:rsidRPr="00F52651">
              <w:rPr>
                <w:rStyle w:val="Hyperlink"/>
                <w:rFonts w:ascii="Times New Roman" w:hAnsi="Times New Roman" w:cs="Times New Roman"/>
                <w:noProof/>
                <w:sz w:val="28"/>
                <w:szCs w:val="28"/>
              </w:rPr>
              <w:t>4.8. Kumulācija</w:t>
            </w:r>
            <w:r w:rsidRPr="00F52651">
              <w:rPr>
                <w:rFonts w:ascii="Times New Roman" w:hAnsi="Times New Roman" w:cs="Times New Roman"/>
                <w:noProof/>
                <w:webHidden/>
                <w:sz w:val="28"/>
                <w:szCs w:val="28"/>
              </w:rPr>
              <w:tab/>
            </w:r>
            <w:r w:rsidRPr="00F52651">
              <w:rPr>
                <w:rFonts w:ascii="Times New Roman" w:hAnsi="Times New Roman" w:cs="Times New Roman"/>
                <w:noProof/>
                <w:webHidden/>
                <w:sz w:val="28"/>
                <w:szCs w:val="28"/>
              </w:rPr>
              <w:fldChar w:fldCharType="begin"/>
            </w:r>
            <w:r w:rsidRPr="00F52651">
              <w:rPr>
                <w:rFonts w:ascii="Times New Roman" w:hAnsi="Times New Roman" w:cs="Times New Roman"/>
                <w:noProof/>
                <w:webHidden/>
                <w:sz w:val="28"/>
                <w:szCs w:val="28"/>
              </w:rPr>
              <w:instrText xml:space="preserve"> PAGEREF _Toc15391548 \h </w:instrText>
            </w:r>
            <w:r w:rsidRPr="00F52651">
              <w:rPr>
                <w:rFonts w:ascii="Times New Roman" w:hAnsi="Times New Roman" w:cs="Times New Roman"/>
                <w:noProof/>
                <w:webHidden/>
                <w:sz w:val="28"/>
                <w:szCs w:val="28"/>
              </w:rPr>
            </w:r>
            <w:r w:rsidRPr="00F52651">
              <w:rPr>
                <w:rFonts w:ascii="Times New Roman" w:hAnsi="Times New Roman" w:cs="Times New Roman"/>
                <w:noProof/>
                <w:webHidden/>
                <w:sz w:val="28"/>
                <w:szCs w:val="28"/>
              </w:rPr>
              <w:fldChar w:fldCharType="separate"/>
            </w:r>
            <w:r w:rsidR="00B729A9">
              <w:rPr>
                <w:rFonts w:ascii="Times New Roman" w:hAnsi="Times New Roman" w:cs="Times New Roman"/>
                <w:noProof/>
                <w:webHidden/>
                <w:sz w:val="28"/>
                <w:szCs w:val="28"/>
              </w:rPr>
              <w:t>25</w:t>
            </w:r>
            <w:r w:rsidRPr="00F52651">
              <w:rPr>
                <w:rFonts w:ascii="Times New Roman" w:hAnsi="Times New Roman" w:cs="Times New Roman"/>
                <w:noProof/>
                <w:webHidden/>
                <w:sz w:val="28"/>
                <w:szCs w:val="28"/>
              </w:rPr>
              <w:fldChar w:fldCharType="end"/>
            </w:r>
          </w:hyperlink>
        </w:p>
        <w:p w14:paraId="2D354966" w14:textId="19C80CDA" w:rsidR="001329EC" w:rsidRPr="00F52651" w:rsidRDefault="001329EC">
          <w:pPr>
            <w:pStyle w:val="TOC1"/>
            <w:tabs>
              <w:tab w:val="left" w:pos="440"/>
              <w:tab w:val="right" w:leader="dot" w:pos="9771"/>
            </w:tabs>
            <w:rPr>
              <w:rFonts w:ascii="Times New Roman" w:eastAsiaTheme="minorEastAsia" w:hAnsi="Times New Roman" w:cs="Times New Roman"/>
              <w:noProof/>
              <w:sz w:val="28"/>
              <w:szCs w:val="28"/>
              <w:lang w:eastAsia="lv-LV"/>
            </w:rPr>
          </w:pPr>
          <w:hyperlink w:anchor="_Toc15391549" w:history="1">
            <w:r w:rsidRPr="00F52651">
              <w:rPr>
                <w:rStyle w:val="Hyperlink"/>
                <w:rFonts w:ascii="Times New Roman" w:hAnsi="Times New Roman" w:cs="Times New Roman"/>
                <w:noProof/>
                <w:sz w:val="28"/>
                <w:szCs w:val="28"/>
              </w:rPr>
              <w:t>5.</w:t>
            </w:r>
            <w:r w:rsidRPr="00F52651">
              <w:rPr>
                <w:rFonts w:ascii="Times New Roman" w:eastAsiaTheme="minorEastAsia" w:hAnsi="Times New Roman" w:cs="Times New Roman"/>
                <w:noProof/>
                <w:sz w:val="28"/>
                <w:szCs w:val="28"/>
                <w:lang w:eastAsia="lv-LV"/>
              </w:rPr>
              <w:tab/>
            </w:r>
            <w:r w:rsidRPr="00F52651">
              <w:rPr>
                <w:rStyle w:val="Hyperlink"/>
                <w:rFonts w:ascii="Times New Roman" w:hAnsi="Times New Roman" w:cs="Times New Roman"/>
                <w:noProof/>
                <w:sz w:val="28"/>
                <w:szCs w:val="28"/>
              </w:rPr>
              <w:t>Piemēri par VTNP piemērošanu Latvijā</w:t>
            </w:r>
            <w:r w:rsidRPr="00F52651">
              <w:rPr>
                <w:rFonts w:ascii="Times New Roman" w:hAnsi="Times New Roman" w:cs="Times New Roman"/>
                <w:noProof/>
                <w:webHidden/>
                <w:sz w:val="28"/>
                <w:szCs w:val="28"/>
              </w:rPr>
              <w:tab/>
            </w:r>
            <w:r w:rsidRPr="00F52651">
              <w:rPr>
                <w:rFonts w:ascii="Times New Roman" w:hAnsi="Times New Roman" w:cs="Times New Roman"/>
                <w:noProof/>
                <w:webHidden/>
                <w:sz w:val="28"/>
                <w:szCs w:val="28"/>
              </w:rPr>
              <w:fldChar w:fldCharType="begin"/>
            </w:r>
            <w:r w:rsidRPr="00F52651">
              <w:rPr>
                <w:rFonts w:ascii="Times New Roman" w:hAnsi="Times New Roman" w:cs="Times New Roman"/>
                <w:noProof/>
                <w:webHidden/>
                <w:sz w:val="28"/>
                <w:szCs w:val="28"/>
              </w:rPr>
              <w:instrText xml:space="preserve"> PAGEREF _Toc15391549 \h </w:instrText>
            </w:r>
            <w:r w:rsidRPr="00F52651">
              <w:rPr>
                <w:rFonts w:ascii="Times New Roman" w:hAnsi="Times New Roman" w:cs="Times New Roman"/>
                <w:noProof/>
                <w:webHidden/>
                <w:sz w:val="28"/>
                <w:szCs w:val="28"/>
              </w:rPr>
            </w:r>
            <w:r w:rsidRPr="00F52651">
              <w:rPr>
                <w:rFonts w:ascii="Times New Roman" w:hAnsi="Times New Roman" w:cs="Times New Roman"/>
                <w:noProof/>
                <w:webHidden/>
                <w:sz w:val="28"/>
                <w:szCs w:val="28"/>
              </w:rPr>
              <w:fldChar w:fldCharType="separate"/>
            </w:r>
            <w:r w:rsidR="00B729A9">
              <w:rPr>
                <w:rFonts w:ascii="Times New Roman" w:hAnsi="Times New Roman" w:cs="Times New Roman"/>
                <w:noProof/>
                <w:webHidden/>
                <w:sz w:val="28"/>
                <w:szCs w:val="28"/>
              </w:rPr>
              <w:t>26</w:t>
            </w:r>
            <w:r w:rsidRPr="00F52651">
              <w:rPr>
                <w:rFonts w:ascii="Times New Roman" w:hAnsi="Times New Roman" w:cs="Times New Roman"/>
                <w:noProof/>
                <w:webHidden/>
                <w:sz w:val="28"/>
                <w:szCs w:val="28"/>
              </w:rPr>
              <w:fldChar w:fldCharType="end"/>
            </w:r>
          </w:hyperlink>
        </w:p>
        <w:p w14:paraId="704DA651" w14:textId="1CF88254" w:rsidR="001329EC" w:rsidRPr="00F52651" w:rsidRDefault="001329EC">
          <w:pPr>
            <w:pStyle w:val="TOC1"/>
            <w:tabs>
              <w:tab w:val="right" w:leader="dot" w:pos="9771"/>
            </w:tabs>
            <w:rPr>
              <w:rFonts w:ascii="Times New Roman" w:eastAsiaTheme="minorEastAsia" w:hAnsi="Times New Roman" w:cs="Times New Roman"/>
              <w:noProof/>
              <w:sz w:val="28"/>
              <w:szCs w:val="28"/>
              <w:lang w:eastAsia="lv-LV"/>
            </w:rPr>
          </w:pPr>
          <w:hyperlink w:anchor="_Toc15391551" w:history="1">
            <w:r w:rsidRPr="00F52651">
              <w:rPr>
                <w:rStyle w:val="Hyperlink"/>
                <w:rFonts w:ascii="Times New Roman" w:hAnsi="Times New Roman" w:cs="Times New Roman"/>
                <w:noProof/>
                <w:sz w:val="28"/>
                <w:szCs w:val="28"/>
              </w:rPr>
              <w:t>Pielikums “Praktiski piemēri VTNP pilnvarojuma akta sagatavošanai, piemērojot VTNP lēmumu”</w:t>
            </w:r>
            <w:r w:rsidRPr="00F52651">
              <w:rPr>
                <w:rFonts w:ascii="Times New Roman" w:hAnsi="Times New Roman" w:cs="Times New Roman"/>
                <w:noProof/>
                <w:webHidden/>
                <w:sz w:val="28"/>
                <w:szCs w:val="28"/>
              </w:rPr>
              <w:tab/>
            </w:r>
            <w:r w:rsidRPr="00F52651">
              <w:rPr>
                <w:rFonts w:ascii="Times New Roman" w:hAnsi="Times New Roman" w:cs="Times New Roman"/>
                <w:noProof/>
                <w:webHidden/>
                <w:sz w:val="28"/>
                <w:szCs w:val="28"/>
              </w:rPr>
              <w:fldChar w:fldCharType="begin"/>
            </w:r>
            <w:r w:rsidRPr="00F52651">
              <w:rPr>
                <w:rFonts w:ascii="Times New Roman" w:hAnsi="Times New Roman" w:cs="Times New Roman"/>
                <w:noProof/>
                <w:webHidden/>
                <w:sz w:val="28"/>
                <w:szCs w:val="28"/>
              </w:rPr>
              <w:instrText xml:space="preserve"> PAGEREF _Toc15391551 \h </w:instrText>
            </w:r>
            <w:r w:rsidRPr="00F52651">
              <w:rPr>
                <w:rFonts w:ascii="Times New Roman" w:hAnsi="Times New Roman" w:cs="Times New Roman"/>
                <w:noProof/>
                <w:webHidden/>
                <w:sz w:val="28"/>
                <w:szCs w:val="28"/>
              </w:rPr>
            </w:r>
            <w:r w:rsidRPr="00F52651">
              <w:rPr>
                <w:rFonts w:ascii="Times New Roman" w:hAnsi="Times New Roman" w:cs="Times New Roman"/>
                <w:noProof/>
                <w:webHidden/>
                <w:sz w:val="28"/>
                <w:szCs w:val="28"/>
              </w:rPr>
              <w:fldChar w:fldCharType="separate"/>
            </w:r>
            <w:r w:rsidR="00B729A9">
              <w:rPr>
                <w:rFonts w:ascii="Times New Roman" w:hAnsi="Times New Roman" w:cs="Times New Roman"/>
                <w:noProof/>
                <w:webHidden/>
                <w:sz w:val="28"/>
                <w:szCs w:val="28"/>
              </w:rPr>
              <w:t>29</w:t>
            </w:r>
            <w:r w:rsidRPr="00F52651">
              <w:rPr>
                <w:rFonts w:ascii="Times New Roman" w:hAnsi="Times New Roman" w:cs="Times New Roman"/>
                <w:noProof/>
                <w:webHidden/>
                <w:sz w:val="28"/>
                <w:szCs w:val="28"/>
              </w:rPr>
              <w:fldChar w:fldCharType="end"/>
            </w:r>
          </w:hyperlink>
        </w:p>
        <w:p w14:paraId="1231DFDE" w14:textId="1C7FBDC5" w:rsidR="00806DD5" w:rsidRPr="00DF4295" w:rsidRDefault="00110AE1" w:rsidP="001D1B46">
          <w:pPr>
            <w:rPr>
              <w:rFonts w:ascii="Times New Roman" w:hAnsi="Times New Roman" w:cs="Times New Roman"/>
              <w:sz w:val="28"/>
              <w:szCs w:val="28"/>
            </w:rPr>
          </w:pPr>
          <w:r w:rsidRPr="00F52651">
            <w:rPr>
              <w:rFonts w:ascii="Times New Roman" w:hAnsi="Times New Roman" w:cs="Times New Roman"/>
              <w:b/>
              <w:bCs/>
              <w:noProof/>
              <w:sz w:val="28"/>
              <w:szCs w:val="28"/>
            </w:rPr>
            <w:fldChar w:fldCharType="end"/>
          </w:r>
        </w:p>
      </w:sdtContent>
    </w:sdt>
    <w:p w14:paraId="57C51C35" w14:textId="5DED3042" w:rsidR="002E6DBF" w:rsidRPr="00DF4295" w:rsidRDefault="002E6DBF" w:rsidP="001D1B46">
      <w:pPr>
        <w:rPr>
          <w:rFonts w:ascii="Times New Roman" w:eastAsiaTheme="majorEastAsia" w:hAnsi="Times New Roman" w:cs="Times New Roman"/>
          <w:b/>
          <w:sz w:val="28"/>
          <w:szCs w:val="28"/>
        </w:rPr>
      </w:pPr>
      <w:bookmarkStart w:id="4" w:name="_Toc500939844"/>
      <w:r w:rsidRPr="00DF4295">
        <w:rPr>
          <w:rFonts w:ascii="Times New Roman" w:hAnsi="Times New Roman" w:cs="Times New Roman"/>
          <w:sz w:val="28"/>
          <w:szCs w:val="28"/>
        </w:rPr>
        <w:br w:type="page"/>
      </w:r>
    </w:p>
    <w:p w14:paraId="1E6613A1" w14:textId="1DF8403D" w:rsidR="00EB71FF" w:rsidRPr="00DF4295" w:rsidRDefault="00EB71FF" w:rsidP="001D1B46">
      <w:pPr>
        <w:pStyle w:val="Heading1"/>
        <w:spacing w:before="120" w:after="120"/>
        <w:rPr>
          <w:rFonts w:cs="Times New Roman"/>
          <w:sz w:val="28"/>
          <w:szCs w:val="28"/>
        </w:rPr>
      </w:pPr>
      <w:bookmarkStart w:id="5" w:name="_Toc15391535"/>
      <w:r w:rsidRPr="00DF4295">
        <w:rPr>
          <w:rFonts w:cs="Times New Roman"/>
          <w:sz w:val="28"/>
          <w:szCs w:val="28"/>
        </w:rPr>
        <w:lastRenderedPageBreak/>
        <w:t>Tekstā lietotie saīsinājumi</w:t>
      </w:r>
      <w:bookmarkEnd w:id="4"/>
      <w:bookmarkEnd w:id="5"/>
    </w:p>
    <w:tbl>
      <w:tblPr>
        <w:tblStyle w:val="TableGrid"/>
        <w:tblW w:w="9634" w:type="dxa"/>
        <w:tblLook w:val="04A0" w:firstRow="1" w:lastRow="0" w:firstColumn="1" w:lastColumn="0" w:noHBand="0" w:noVBand="1"/>
      </w:tblPr>
      <w:tblGrid>
        <w:gridCol w:w="1129"/>
        <w:gridCol w:w="2552"/>
        <w:gridCol w:w="5953"/>
      </w:tblGrid>
      <w:tr w:rsidR="009E5CAA" w:rsidRPr="006A5866" w14:paraId="65134D7C" w14:textId="77777777" w:rsidTr="00893ED8">
        <w:tc>
          <w:tcPr>
            <w:tcW w:w="1129" w:type="dxa"/>
          </w:tcPr>
          <w:p w14:paraId="4D0BC202" w14:textId="77777777" w:rsidR="009E5CAA" w:rsidRPr="006A5866" w:rsidRDefault="009E5CAA" w:rsidP="00097423">
            <w:pPr>
              <w:pStyle w:val="ListParagraph"/>
              <w:numPr>
                <w:ilvl w:val="0"/>
                <w:numId w:val="4"/>
              </w:numPr>
              <w:contextualSpacing w:val="0"/>
              <w:rPr>
                <w:rFonts w:ascii="Times New Roman" w:hAnsi="Times New Roman" w:cs="Times New Roman"/>
                <w:sz w:val="24"/>
                <w:szCs w:val="24"/>
              </w:rPr>
            </w:pPr>
          </w:p>
        </w:tc>
        <w:tc>
          <w:tcPr>
            <w:tcW w:w="2552" w:type="dxa"/>
          </w:tcPr>
          <w:p w14:paraId="571E9B3F" w14:textId="77777777" w:rsidR="009E5CAA" w:rsidRPr="006A5866" w:rsidRDefault="00B91935" w:rsidP="001D1B46">
            <w:pPr>
              <w:rPr>
                <w:rFonts w:ascii="Times New Roman" w:hAnsi="Times New Roman" w:cs="Times New Roman"/>
                <w:b/>
                <w:sz w:val="24"/>
                <w:szCs w:val="24"/>
              </w:rPr>
            </w:pPr>
            <w:r w:rsidRPr="006A5866">
              <w:rPr>
                <w:rFonts w:ascii="Times New Roman" w:hAnsi="Times New Roman" w:cs="Times New Roman"/>
                <w:b/>
                <w:sz w:val="24"/>
                <w:szCs w:val="24"/>
              </w:rPr>
              <w:t>EK</w:t>
            </w:r>
          </w:p>
        </w:tc>
        <w:tc>
          <w:tcPr>
            <w:tcW w:w="5953" w:type="dxa"/>
          </w:tcPr>
          <w:p w14:paraId="4C369588" w14:textId="77777777" w:rsidR="009E5CAA" w:rsidRPr="006A5866" w:rsidRDefault="00B91935" w:rsidP="001D1B46">
            <w:pPr>
              <w:rPr>
                <w:rFonts w:ascii="Times New Roman" w:hAnsi="Times New Roman" w:cs="Times New Roman"/>
                <w:sz w:val="24"/>
                <w:szCs w:val="24"/>
              </w:rPr>
            </w:pPr>
            <w:r w:rsidRPr="006A5866">
              <w:rPr>
                <w:rFonts w:ascii="Times New Roman" w:hAnsi="Times New Roman" w:cs="Times New Roman"/>
                <w:sz w:val="24"/>
                <w:szCs w:val="24"/>
              </w:rPr>
              <w:t>Eiropas Komisija</w:t>
            </w:r>
          </w:p>
        </w:tc>
      </w:tr>
      <w:tr w:rsidR="009E5CAA" w:rsidRPr="006A5866" w14:paraId="64DA3B70" w14:textId="77777777" w:rsidTr="00893ED8">
        <w:tc>
          <w:tcPr>
            <w:tcW w:w="1129" w:type="dxa"/>
          </w:tcPr>
          <w:p w14:paraId="30906809" w14:textId="77777777" w:rsidR="009E5CAA" w:rsidRPr="006A5866" w:rsidRDefault="009E5CAA" w:rsidP="00097423">
            <w:pPr>
              <w:pStyle w:val="ListParagraph"/>
              <w:numPr>
                <w:ilvl w:val="0"/>
                <w:numId w:val="4"/>
              </w:numPr>
              <w:contextualSpacing w:val="0"/>
              <w:rPr>
                <w:rFonts w:ascii="Times New Roman" w:hAnsi="Times New Roman" w:cs="Times New Roman"/>
                <w:sz w:val="24"/>
                <w:szCs w:val="24"/>
              </w:rPr>
            </w:pPr>
          </w:p>
        </w:tc>
        <w:tc>
          <w:tcPr>
            <w:tcW w:w="2552" w:type="dxa"/>
          </w:tcPr>
          <w:p w14:paraId="2EF400E1" w14:textId="77777777" w:rsidR="009E5CAA" w:rsidRPr="006A5866" w:rsidRDefault="00FB4045" w:rsidP="001D1B46">
            <w:pPr>
              <w:rPr>
                <w:rFonts w:ascii="Times New Roman" w:hAnsi="Times New Roman" w:cs="Times New Roman"/>
                <w:b/>
                <w:sz w:val="24"/>
                <w:szCs w:val="24"/>
              </w:rPr>
            </w:pPr>
            <w:r w:rsidRPr="006A5866">
              <w:rPr>
                <w:rFonts w:ascii="Times New Roman" w:hAnsi="Times New Roman" w:cs="Times New Roman"/>
                <w:b/>
                <w:sz w:val="24"/>
                <w:szCs w:val="24"/>
              </w:rPr>
              <w:t>ES</w:t>
            </w:r>
          </w:p>
        </w:tc>
        <w:tc>
          <w:tcPr>
            <w:tcW w:w="5953" w:type="dxa"/>
          </w:tcPr>
          <w:p w14:paraId="61D288E2" w14:textId="77777777" w:rsidR="009E5CAA" w:rsidRPr="006A5866" w:rsidRDefault="00FB4045" w:rsidP="001D1B46">
            <w:pPr>
              <w:rPr>
                <w:rFonts w:ascii="Times New Roman" w:hAnsi="Times New Roman" w:cs="Times New Roman"/>
                <w:sz w:val="24"/>
                <w:szCs w:val="24"/>
              </w:rPr>
            </w:pPr>
            <w:r w:rsidRPr="006A5866">
              <w:rPr>
                <w:rFonts w:ascii="Times New Roman" w:hAnsi="Times New Roman" w:cs="Times New Roman"/>
                <w:sz w:val="24"/>
                <w:szCs w:val="24"/>
              </w:rPr>
              <w:t xml:space="preserve">Eiropas Savienība </w:t>
            </w:r>
          </w:p>
        </w:tc>
      </w:tr>
      <w:tr w:rsidR="009E5CAA" w:rsidRPr="006A5866" w14:paraId="487719DF" w14:textId="77777777" w:rsidTr="00893ED8">
        <w:tc>
          <w:tcPr>
            <w:tcW w:w="1129" w:type="dxa"/>
          </w:tcPr>
          <w:p w14:paraId="232722C3" w14:textId="77777777" w:rsidR="009E5CAA" w:rsidRPr="006A5866" w:rsidRDefault="009E5CAA" w:rsidP="00097423">
            <w:pPr>
              <w:pStyle w:val="ListParagraph"/>
              <w:numPr>
                <w:ilvl w:val="0"/>
                <w:numId w:val="4"/>
              </w:numPr>
              <w:contextualSpacing w:val="0"/>
              <w:rPr>
                <w:rFonts w:ascii="Times New Roman" w:hAnsi="Times New Roman" w:cs="Times New Roman"/>
                <w:sz w:val="24"/>
                <w:szCs w:val="24"/>
              </w:rPr>
            </w:pPr>
          </w:p>
        </w:tc>
        <w:tc>
          <w:tcPr>
            <w:tcW w:w="2552" w:type="dxa"/>
          </w:tcPr>
          <w:p w14:paraId="2F6D5BF9" w14:textId="77777777" w:rsidR="009E5CAA" w:rsidRPr="006A5866" w:rsidRDefault="00FB4045" w:rsidP="001D1B46">
            <w:pPr>
              <w:rPr>
                <w:rFonts w:ascii="Times New Roman" w:hAnsi="Times New Roman" w:cs="Times New Roman"/>
                <w:b/>
                <w:sz w:val="24"/>
                <w:szCs w:val="24"/>
              </w:rPr>
            </w:pPr>
            <w:r w:rsidRPr="006A5866">
              <w:rPr>
                <w:rFonts w:ascii="Times New Roman" w:hAnsi="Times New Roman" w:cs="Times New Roman"/>
                <w:b/>
                <w:sz w:val="24"/>
                <w:szCs w:val="24"/>
              </w:rPr>
              <w:t>FM</w:t>
            </w:r>
          </w:p>
        </w:tc>
        <w:tc>
          <w:tcPr>
            <w:tcW w:w="5953" w:type="dxa"/>
          </w:tcPr>
          <w:p w14:paraId="116E1DBA" w14:textId="77777777" w:rsidR="009E5CAA" w:rsidRPr="006A5866" w:rsidRDefault="00FB4045" w:rsidP="001D1B46">
            <w:pPr>
              <w:rPr>
                <w:rFonts w:ascii="Times New Roman" w:hAnsi="Times New Roman" w:cs="Times New Roman"/>
                <w:sz w:val="24"/>
                <w:szCs w:val="24"/>
              </w:rPr>
            </w:pPr>
            <w:r w:rsidRPr="006A5866">
              <w:rPr>
                <w:rFonts w:ascii="Times New Roman" w:hAnsi="Times New Roman" w:cs="Times New Roman"/>
                <w:sz w:val="24"/>
                <w:szCs w:val="24"/>
              </w:rPr>
              <w:t>Finanšu ministrija</w:t>
            </w:r>
          </w:p>
        </w:tc>
      </w:tr>
      <w:tr w:rsidR="009E5CAA" w:rsidRPr="006A5866" w14:paraId="1D22A2CC" w14:textId="77777777" w:rsidTr="00893ED8">
        <w:tc>
          <w:tcPr>
            <w:tcW w:w="1129" w:type="dxa"/>
          </w:tcPr>
          <w:p w14:paraId="1C286DC9" w14:textId="77777777" w:rsidR="009E5CAA" w:rsidRPr="006A5866" w:rsidRDefault="009E5CAA" w:rsidP="00097423">
            <w:pPr>
              <w:pStyle w:val="ListParagraph"/>
              <w:numPr>
                <w:ilvl w:val="0"/>
                <w:numId w:val="4"/>
              </w:numPr>
              <w:contextualSpacing w:val="0"/>
              <w:rPr>
                <w:rFonts w:ascii="Times New Roman" w:hAnsi="Times New Roman" w:cs="Times New Roman"/>
                <w:sz w:val="24"/>
                <w:szCs w:val="24"/>
              </w:rPr>
            </w:pPr>
          </w:p>
        </w:tc>
        <w:tc>
          <w:tcPr>
            <w:tcW w:w="2552" w:type="dxa"/>
          </w:tcPr>
          <w:p w14:paraId="56086F77" w14:textId="77777777" w:rsidR="009E5CAA" w:rsidRPr="006A5866" w:rsidRDefault="00B91935" w:rsidP="001D1B46">
            <w:pPr>
              <w:rPr>
                <w:rFonts w:ascii="Times New Roman" w:hAnsi="Times New Roman" w:cs="Times New Roman"/>
                <w:b/>
                <w:sz w:val="24"/>
                <w:szCs w:val="24"/>
              </w:rPr>
            </w:pPr>
            <w:r w:rsidRPr="006A5866">
              <w:rPr>
                <w:rFonts w:ascii="Times New Roman" w:hAnsi="Times New Roman" w:cs="Times New Roman"/>
                <w:b/>
                <w:sz w:val="24"/>
                <w:szCs w:val="24"/>
              </w:rPr>
              <w:t>LESD</w:t>
            </w:r>
          </w:p>
        </w:tc>
        <w:tc>
          <w:tcPr>
            <w:tcW w:w="5953" w:type="dxa"/>
          </w:tcPr>
          <w:p w14:paraId="1CA911F5" w14:textId="77777777" w:rsidR="009E5CAA" w:rsidRPr="006A5866" w:rsidRDefault="00B91935" w:rsidP="001D1B46">
            <w:pPr>
              <w:rPr>
                <w:rFonts w:ascii="Times New Roman" w:hAnsi="Times New Roman" w:cs="Times New Roman"/>
                <w:sz w:val="24"/>
                <w:szCs w:val="24"/>
              </w:rPr>
            </w:pPr>
            <w:r w:rsidRPr="006A5866">
              <w:rPr>
                <w:rFonts w:ascii="Times New Roman" w:hAnsi="Times New Roman" w:cs="Times New Roman"/>
                <w:sz w:val="24"/>
                <w:szCs w:val="24"/>
              </w:rPr>
              <w:t>Līgums par ES darbību</w:t>
            </w:r>
          </w:p>
        </w:tc>
      </w:tr>
      <w:tr w:rsidR="009E5CAA" w:rsidRPr="006A5866" w14:paraId="72437FD5" w14:textId="77777777" w:rsidTr="00893ED8">
        <w:trPr>
          <w:trHeight w:val="483"/>
        </w:trPr>
        <w:tc>
          <w:tcPr>
            <w:tcW w:w="1129" w:type="dxa"/>
          </w:tcPr>
          <w:p w14:paraId="54CC27D4" w14:textId="77777777" w:rsidR="009E5CAA" w:rsidRPr="006A5866" w:rsidRDefault="009E5CAA" w:rsidP="00097423">
            <w:pPr>
              <w:pStyle w:val="ListParagraph"/>
              <w:numPr>
                <w:ilvl w:val="0"/>
                <w:numId w:val="4"/>
              </w:numPr>
              <w:contextualSpacing w:val="0"/>
              <w:rPr>
                <w:rFonts w:ascii="Times New Roman" w:hAnsi="Times New Roman" w:cs="Times New Roman"/>
                <w:sz w:val="24"/>
                <w:szCs w:val="24"/>
              </w:rPr>
            </w:pPr>
          </w:p>
        </w:tc>
        <w:tc>
          <w:tcPr>
            <w:tcW w:w="2552" w:type="dxa"/>
          </w:tcPr>
          <w:p w14:paraId="3720C0F0" w14:textId="77777777" w:rsidR="009E5CAA" w:rsidRPr="006A5866" w:rsidRDefault="00B91935" w:rsidP="001D1B46">
            <w:pPr>
              <w:rPr>
                <w:rFonts w:ascii="Times New Roman" w:hAnsi="Times New Roman" w:cs="Times New Roman"/>
                <w:b/>
                <w:sz w:val="24"/>
                <w:szCs w:val="24"/>
              </w:rPr>
            </w:pPr>
            <w:r w:rsidRPr="006A5866">
              <w:rPr>
                <w:rFonts w:ascii="Times New Roman" w:hAnsi="Times New Roman" w:cs="Times New Roman"/>
                <w:b/>
                <w:sz w:val="24"/>
                <w:szCs w:val="24"/>
              </w:rPr>
              <w:t>MK</w:t>
            </w:r>
          </w:p>
        </w:tc>
        <w:tc>
          <w:tcPr>
            <w:tcW w:w="5953" w:type="dxa"/>
          </w:tcPr>
          <w:p w14:paraId="7E96979E" w14:textId="77777777" w:rsidR="009E5CAA" w:rsidRPr="006A5866" w:rsidRDefault="00B91935" w:rsidP="001D1B46">
            <w:pPr>
              <w:rPr>
                <w:rFonts w:ascii="Times New Roman" w:hAnsi="Times New Roman" w:cs="Times New Roman"/>
                <w:sz w:val="24"/>
                <w:szCs w:val="24"/>
              </w:rPr>
            </w:pPr>
            <w:r w:rsidRPr="006A5866">
              <w:rPr>
                <w:rFonts w:ascii="Times New Roman" w:hAnsi="Times New Roman" w:cs="Times New Roman"/>
                <w:sz w:val="24"/>
                <w:szCs w:val="24"/>
              </w:rPr>
              <w:t>Ministru kabinets</w:t>
            </w:r>
          </w:p>
        </w:tc>
      </w:tr>
      <w:tr w:rsidR="009E5CAA" w:rsidRPr="006A5866" w14:paraId="530966B2" w14:textId="77777777" w:rsidTr="00893ED8">
        <w:tc>
          <w:tcPr>
            <w:tcW w:w="1129" w:type="dxa"/>
          </w:tcPr>
          <w:p w14:paraId="228BFCE6" w14:textId="77777777" w:rsidR="009E5CAA" w:rsidRPr="006A5866" w:rsidRDefault="009E5CAA" w:rsidP="00097423">
            <w:pPr>
              <w:pStyle w:val="ListParagraph"/>
              <w:numPr>
                <w:ilvl w:val="0"/>
                <w:numId w:val="4"/>
              </w:numPr>
              <w:contextualSpacing w:val="0"/>
              <w:rPr>
                <w:rFonts w:ascii="Times New Roman" w:hAnsi="Times New Roman" w:cs="Times New Roman"/>
                <w:sz w:val="24"/>
                <w:szCs w:val="24"/>
              </w:rPr>
            </w:pPr>
          </w:p>
        </w:tc>
        <w:tc>
          <w:tcPr>
            <w:tcW w:w="2552" w:type="dxa"/>
          </w:tcPr>
          <w:p w14:paraId="6F71DA65" w14:textId="77777777" w:rsidR="009E5CAA" w:rsidRPr="006A5866" w:rsidRDefault="009E5CAA" w:rsidP="001D1B46">
            <w:pPr>
              <w:rPr>
                <w:rFonts w:ascii="Times New Roman" w:hAnsi="Times New Roman" w:cs="Times New Roman"/>
                <w:b/>
                <w:sz w:val="24"/>
                <w:szCs w:val="24"/>
              </w:rPr>
            </w:pPr>
            <w:r w:rsidRPr="006A5866">
              <w:rPr>
                <w:rFonts w:ascii="Times New Roman" w:hAnsi="Times New Roman" w:cs="Times New Roman"/>
                <w:b/>
                <w:sz w:val="24"/>
                <w:szCs w:val="24"/>
              </w:rPr>
              <w:t>VTNP</w:t>
            </w:r>
          </w:p>
        </w:tc>
        <w:tc>
          <w:tcPr>
            <w:tcW w:w="5953" w:type="dxa"/>
          </w:tcPr>
          <w:p w14:paraId="7DD44288" w14:textId="3D48F3DC" w:rsidR="002E6DBF" w:rsidRPr="006A5866" w:rsidRDefault="009E5CAA" w:rsidP="001D1B46">
            <w:pPr>
              <w:rPr>
                <w:rFonts w:ascii="Times New Roman" w:hAnsi="Times New Roman" w:cs="Times New Roman"/>
                <w:sz w:val="24"/>
                <w:szCs w:val="24"/>
              </w:rPr>
            </w:pPr>
            <w:r w:rsidRPr="006A5866">
              <w:rPr>
                <w:rFonts w:ascii="Times New Roman" w:hAnsi="Times New Roman" w:cs="Times New Roman"/>
                <w:sz w:val="24"/>
                <w:szCs w:val="24"/>
              </w:rPr>
              <w:t>Vispārējas tautsaimnieciskas nozīmes pakalpojums</w:t>
            </w:r>
          </w:p>
        </w:tc>
      </w:tr>
      <w:tr w:rsidR="002E6DBF" w:rsidRPr="006A5866" w14:paraId="52411515" w14:textId="77777777" w:rsidTr="00893ED8">
        <w:tc>
          <w:tcPr>
            <w:tcW w:w="1129" w:type="dxa"/>
          </w:tcPr>
          <w:p w14:paraId="44EB5298" w14:textId="77777777" w:rsidR="002E6DBF" w:rsidRPr="006A5866" w:rsidRDefault="002E6DBF" w:rsidP="00097423">
            <w:pPr>
              <w:pStyle w:val="ListParagraph"/>
              <w:numPr>
                <w:ilvl w:val="0"/>
                <w:numId w:val="4"/>
              </w:numPr>
              <w:contextualSpacing w:val="0"/>
              <w:rPr>
                <w:rFonts w:ascii="Times New Roman" w:hAnsi="Times New Roman" w:cs="Times New Roman"/>
                <w:sz w:val="24"/>
                <w:szCs w:val="24"/>
              </w:rPr>
            </w:pPr>
          </w:p>
        </w:tc>
        <w:tc>
          <w:tcPr>
            <w:tcW w:w="2552" w:type="dxa"/>
          </w:tcPr>
          <w:p w14:paraId="12CC612C" w14:textId="462589DB" w:rsidR="002E6DBF" w:rsidRPr="006A5866" w:rsidRDefault="00E3107A" w:rsidP="001D1B46">
            <w:pPr>
              <w:rPr>
                <w:rFonts w:ascii="Times New Roman" w:hAnsi="Times New Roman" w:cs="Times New Roman"/>
                <w:b/>
                <w:sz w:val="24"/>
                <w:szCs w:val="24"/>
              </w:rPr>
            </w:pPr>
            <w:r w:rsidRPr="006A5866">
              <w:rPr>
                <w:rFonts w:ascii="Times New Roman" w:hAnsi="Times New Roman" w:cs="Times New Roman"/>
                <w:b/>
                <w:sz w:val="24"/>
                <w:szCs w:val="24"/>
              </w:rPr>
              <w:t>VTNP lēmums</w:t>
            </w:r>
          </w:p>
        </w:tc>
        <w:tc>
          <w:tcPr>
            <w:tcW w:w="5953" w:type="dxa"/>
          </w:tcPr>
          <w:p w14:paraId="45B88131" w14:textId="3EA46CC2" w:rsidR="002E6DBF" w:rsidRPr="006A5866" w:rsidRDefault="00FC3C0A" w:rsidP="001D1B46">
            <w:pPr>
              <w:rPr>
                <w:rFonts w:ascii="Times New Roman" w:hAnsi="Times New Roman" w:cs="Times New Roman"/>
                <w:sz w:val="24"/>
                <w:szCs w:val="24"/>
              </w:rPr>
            </w:pPr>
            <w:r w:rsidRPr="006A5866">
              <w:rPr>
                <w:rFonts w:ascii="Times New Roman" w:hAnsi="Times New Roman" w:cs="Times New Roman"/>
                <w:i/>
                <w:sz w:val="24"/>
                <w:szCs w:val="24"/>
              </w:rPr>
              <w:t>Komisijas 2011. gada 20. decembra lēmumā (2012/21/ES)</w:t>
            </w:r>
            <w:r w:rsidRPr="006A5866">
              <w:rPr>
                <w:rFonts w:ascii="Times New Roman" w:hAnsi="Times New Roman" w:cs="Times New Roman"/>
                <w:sz w:val="24"/>
                <w:szCs w:val="24"/>
              </w:rPr>
              <w:t xml:space="preserve"> par LESD 106.panta 2.punkta piemērošanu valsts atbalstam attiecībā uz kompensāciju par sabiedriskajiem pakalpojumiem dažiem uzņēmumiem, kuriem uzticēts sniegt pakalpojumus ar vispārēju tautsaimniecisku nozīmi</w:t>
            </w:r>
          </w:p>
        </w:tc>
      </w:tr>
      <w:tr w:rsidR="002E6DBF" w:rsidRPr="006A5866" w14:paraId="3D5BF071" w14:textId="77777777" w:rsidTr="00893ED8">
        <w:tc>
          <w:tcPr>
            <w:tcW w:w="1129" w:type="dxa"/>
          </w:tcPr>
          <w:p w14:paraId="30982702" w14:textId="77777777" w:rsidR="002E6DBF" w:rsidRPr="006A5866" w:rsidRDefault="002E6DBF" w:rsidP="00097423">
            <w:pPr>
              <w:pStyle w:val="ListParagraph"/>
              <w:numPr>
                <w:ilvl w:val="0"/>
                <w:numId w:val="4"/>
              </w:numPr>
              <w:contextualSpacing w:val="0"/>
              <w:rPr>
                <w:rFonts w:ascii="Times New Roman" w:hAnsi="Times New Roman" w:cs="Times New Roman"/>
                <w:sz w:val="24"/>
                <w:szCs w:val="24"/>
              </w:rPr>
            </w:pPr>
          </w:p>
        </w:tc>
        <w:tc>
          <w:tcPr>
            <w:tcW w:w="2552" w:type="dxa"/>
          </w:tcPr>
          <w:p w14:paraId="581D37B7" w14:textId="5592FE0B" w:rsidR="002E6DBF" w:rsidRPr="006A5866" w:rsidRDefault="00E3107A" w:rsidP="001D1B46">
            <w:pPr>
              <w:rPr>
                <w:rFonts w:ascii="Times New Roman" w:hAnsi="Times New Roman" w:cs="Times New Roman"/>
                <w:b/>
                <w:sz w:val="24"/>
                <w:szCs w:val="24"/>
              </w:rPr>
            </w:pPr>
            <w:r w:rsidRPr="006A5866">
              <w:rPr>
                <w:rFonts w:ascii="Times New Roman" w:hAnsi="Times New Roman" w:cs="Times New Roman"/>
                <w:b/>
                <w:sz w:val="24"/>
                <w:szCs w:val="24"/>
              </w:rPr>
              <w:t>VTNP nostādnes</w:t>
            </w:r>
          </w:p>
        </w:tc>
        <w:tc>
          <w:tcPr>
            <w:tcW w:w="5953" w:type="dxa"/>
          </w:tcPr>
          <w:p w14:paraId="73EF45F6" w14:textId="5C880819" w:rsidR="002E6DBF" w:rsidRPr="006A5866" w:rsidRDefault="00FC3C0A" w:rsidP="001D1B46">
            <w:pPr>
              <w:rPr>
                <w:rFonts w:ascii="Times New Roman" w:hAnsi="Times New Roman" w:cs="Times New Roman"/>
                <w:sz w:val="24"/>
                <w:szCs w:val="24"/>
              </w:rPr>
            </w:pPr>
            <w:r w:rsidRPr="006A5866">
              <w:rPr>
                <w:rFonts w:ascii="Times New Roman" w:hAnsi="Times New Roman" w:cs="Times New Roman"/>
                <w:sz w:val="24"/>
                <w:szCs w:val="24"/>
              </w:rPr>
              <w:t>Eiropas Savienības nostādnēs par valsts atbalstu, ko piešķir kā kompensāciju par sabiedrisko pakalpojumu sniegšanu (2011)</w:t>
            </w:r>
          </w:p>
        </w:tc>
      </w:tr>
      <w:tr w:rsidR="00E3107A" w:rsidRPr="006A5866" w14:paraId="3AFEF657" w14:textId="77777777" w:rsidTr="00893ED8">
        <w:tc>
          <w:tcPr>
            <w:tcW w:w="1129" w:type="dxa"/>
          </w:tcPr>
          <w:p w14:paraId="1D0E7229" w14:textId="77777777" w:rsidR="00E3107A" w:rsidRPr="006A5866" w:rsidRDefault="00E3107A" w:rsidP="00097423">
            <w:pPr>
              <w:pStyle w:val="ListParagraph"/>
              <w:numPr>
                <w:ilvl w:val="0"/>
                <w:numId w:val="4"/>
              </w:numPr>
              <w:contextualSpacing w:val="0"/>
              <w:rPr>
                <w:rFonts w:ascii="Times New Roman" w:hAnsi="Times New Roman" w:cs="Times New Roman"/>
                <w:sz w:val="24"/>
                <w:szCs w:val="24"/>
              </w:rPr>
            </w:pPr>
          </w:p>
        </w:tc>
        <w:tc>
          <w:tcPr>
            <w:tcW w:w="2552" w:type="dxa"/>
          </w:tcPr>
          <w:p w14:paraId="4E3E4691" w14:textId="173E89C3" w:rsidR="00E3107A" w:rsidRPr="006A5866" w:rsidRDefault="00E3107A" w:rsidP="001D1B46">
            <w:pPr>
              <w:rPr>
                <w:rFonts w:ascii="Times New Roman" w:hAnsi="Times New Roman" w:cs="Times New Roman"/>
                <w:b/>
                <w:sz w:val="24"/>
                <w:szCs w:val="24"/>
              </w:rPr>
            </w:pPr>
            <w:r w:rsidRPr="006A5866">
              <w:rPr>
                <w:rFonts w:ascii="Times New Roman" w:hAnsi="Times New Roman" w:cs="Times New Roman"/>
                <w:b/>
                <w:sz w:val="24"/>
                <w:szCs w:val="24"/>
              </w:rPr>
              <w:t>VTNP paziņojums</w:t>
            </w:r>
          </w:p>
        </w:tc>
        <w:tc>
          <w:tcPr>
            <w:tcW w:w="5953" w:type="dxa"/>
          </w:tcPr>
          <w:p w14:paraId="462600F1" w14:textId="24743B16" w:rsidR="00E3107A" w:rsidRPr="006A5866" w:rsidRDefault="00FC3C0A" w:rsidP="001D1B46">
            <w:pPr>
              <w:rPr>
                <w:rFonts w:ascii="Times New Roman" w:hAnsi="Times New Roman" w:cs="Times New Roman"/>
                <w:sz w:val="24"/>
                <w:szCs w:val="24"/>
              </w:rPr>
            </w:pPr>
            <w:r w:rsidRPr="006A5866">
              <w:rPr>
                <w:rFonts w:ascii="Times New Roman" w:hAnsi="Times New Roman" w:cs="Times New Roman"/>
                <w:sz w:val="24"/>
                <w:szCs w:val="24"/>
              </w:rPr>
              <w:t>Komisijas 2012. gada 11. janvāra paziņojuma Nr. 2012/C 8/02 par Eiropas Savienības atbalsta noteikumu piemērošanu kompensācijai, kas piešķirta par vispārējas tautsaimnieciskas nozīmes pakalpojumu sniegšanu</w:t>
            </w:r>
          </w:p>
        </w:tc>
      </w:tr>
      <w:tr w:rsidR="00E3107A" w:rsidRPr="006A5866" w14:paraId="2CEBFDC3" w14:textId="77777777" w:rsidTr="00893ED8">
        <w:tc>
          <w:tcPr>
            <w:tcW w:w="1129" w:type="dxa"/>
          </w:tcPr>
          <w:p w14:paraId="5E9CBB74" w14:textId="77777777" w:rsidR="00E3107A" w:rsidRPr="006A5866" w:rsidRDefault="00E3107A" w:rsidP="00097423">
            <w:pPr>
              <w:pStyle w:val="ListParagraph"/>
              <w:numPr>
                <w:ilvl w:val="0"/>
                <w:numId w:val="4"/>
              </w:numPr>
              <w:contextualSpacing w:val="0"/>
              <w:rPr>
                <w:rFonts w:ascii="Times New Roman" w:hAnsi="Times New Roman" w:cs="Times New Roman"/>
                <w:sz w:val="24"/>
                <w:szCs w:val="24"/>
              </w:rPr>
            </w:pPr>
          </w:p>
        </w:tc>
        <w:tc>
          <w:tcPr>
            <w:tcW w:w="2552" w:type="dxa"/>
          </w:tcPr>
          <w:p w14:paraId="3DD04894" w14:textId="5B84DCAD" w:rsidR="00E3107A" w:rsidRPr="006A5866" w:rsidRDefault="00E3107A" w:rsidP="001D1B46">
            <w:pPr>
              <w:rPr>
                <w:rFonts w:ascii="Times New Roman" w:hAnsi="Times New Roman" w:cs="Times New Roman"/>
                <w:b/>
                <w:sz w:val="24"/>
                <w:szCs w:val="24"/>
              </w:rPr>
            </w:pPr>
            <w:r w:rsidRPr="006A5866">
              <w:rPr>
                <w:rFonts w:ascii="Times New Roman" w:hAnsi="Times New Roman" w:cs="Times New Roman"/>
                <w:b/>
                <w:sz w:val="24"/>
                <w:szCs w:val="24"/>
              </w:rPr>
              <w:t>VTNP de minimis regula</w:t>
            </w:r>
          </w:p>
        </w:tc>
        <w:tc>
          <w:tcPr>
            <w:tcW w:w="5953" w:type="dxa"/>
          </w:tcPr>
          <w:p w14:paraId="7A7D1DC5" w14:textId="6E4C4F6C" w:rsidR="00E3107A" w:rsidRPr="006A5866" w:rsidRDefault="00E3107A" w:rsidP="001D1B46">
            <w:pPr>
              <w:rPr>
                <w:rFonts w:ascii="Times New Roman" w:hAnsi="Times New Roman" w:cs="Times New Roman"/>
                <w:sz w:val="24"/>
                <w:szCs w:val="24"/>
              </w:rPr>
            </w:pPr>
            <w:r w:rsidRPr="006A5866">
              <w:rPr>
                <w:rFonts w:ascii="Times New Roman" w:hAnsi="Times New Roman" w:cs="Times New Roman"/>
                <w:i/>
                <w:sz w:val="24"/>
                <w:szCs w:val="24"/>
              </w:rPr>
              <w:t>Komisijas 20</w:t>
            </w:r>
            <w:r w:rsidR="00C90181">
              <w:rPr>
                <w:rFonts w:ascii="Times New Roman" w:hAnsi="Times New Roman" w:cs="Times New Roman"/>
                <w:i/>
                <w:sz w:val="24"/>
                <w:szCs w:val="24"/>
              </w:rPr>
              <w:t>23</w:t>
            </w:r>
            <w:r w:rsidRPr="006A5866">
              <w:rPr>
                <w:rFonts w:ascii="Times New Roman" w:hAnsi="Times New Roman" w:cs="Times New Roman"/>
                <w:i/>
                <w:sz w:val="24"/>
                <w:szCs w:val="24"/>
              </w:rPr>
              <w:t xml:space="preserve">. gada </w:t>
            </w:r>
            <w:r w:rsidR="00C90181">
              <w:rPr>
                <w:rFonts w:ascii="Times New Roman" w:hAnsi="Times New Roman" w:cs="Times New Roman"/>
                <w:i/>
                <w:sz w:val="24"/>
                <w:szCs w:val="24"/>
              </w:rPr>
              <w:t>13.decembra</w:t>
            </w:r>
            <w:r w:rsidRPr="006A5866">
              <w:rPr>
                <w:rFonts w:ascii="Times New Roman" w:hAnsi="Times New Roman" w:cs="Times New Roman"/>
                <w:i/>
                <w:sz w:val="24"/>
                <w:szCs w:val="24"/>
              </w:rPr>
              <w:t xml:space="preserve"> regula (ES) Nr.</w:t>
            </w:r>
            <w:r w:rsidR="00C90181">
              <w:rPr>
                <w:rFonts w:ascii="Times New Roman" w:hAnsi="Times New Roman" w:cs="Times New Roman"/>
                <w:i/>
                <w:sz w:val="24"/>
                <w:szCs w:val="24"/>
              </w:rPr>
              <w:t>2023/2832</w:t>
            </w:r>
            <w:r w:rsidRPr="006A5866">
              <w:rPr>
                <w:rFonts w:ascii="Times New Roman" w:hAnsi="Times New Roman" w:cs="Times New Roman"/>
                <w:i/>
                <w:sz w:val="24"/>
                <w:szCs w:val="24"/>
              </w:rPr>
              <w:t xml:space="preserve"> par Līguma par Eiropas Savienības darbību 107. un 108.panta piemērošanu de minimis atbalstam, ko piešķir uzņēmumiem, kuri sniedz pakalpojumus ar vispārēju tautsaimniecisku nozīmi</w:t>
            </w:r>
          </w:p>
        </w:tc>
      </w:tr>
    </w:tbl>
    <w:p w14:paraId="4C59B57C" w14:textId="77777777" w:rsidR="002E6DBF" w:rsidRPr="00DF4295" w:rsidRDefault="002E6DBF" w:rsidP="001D1B46">
      <w:pPr>
        <w:pStyle w:val="Heading1"/>
        <w:spacing w:before="120" w:after="120"/>
        <w:rPr>
          <w:rFonts w:cs="Times New Roman"/>
          <w:sz w:val="28"/>
          <w:szCs w:val="28"/>
        </w:rPr>
      </w:pPr>
      <w:bookmarkStart w:id="6" w:name="_Toc500939845"/>
    </w:p>
    <w:p w14:paraId="5800C902" w14:textId="77777777" w:rsidR="002E6DBF" w:rsidRPr="00DF4295" w:rsidRDefault="002E6DBF" w:rsidP="001D1B46">
      <w:pPr>
        <w:rPr>
          <w:rFonts w:ascii="Times New Roman" w:eastAsiaTheme="majorEastAsia" w:hAnsi="Times New Roman" w:cs="Times New Roman"/>
          <w:b/>
          <w:sz w:val="28"/>
          <w:szCs w:val="28"/>
        </w:rPr>
      </w:pPr>
      <w:r w:rsidRPr="00DF4295">
        <w:rPr>
          <w:rFonts w:ascii="Times New Roman" w:hAnsi="Times New Roman" w:cs="Times New Roman"/>
          <w:sz w:val="28"/>
          <w:szCs w:val="28"/>
        </w:rPr>
        <w:br w:type="page"/>
      </w:r>
    </w:p>
    <w:p w14:paraId="16EBBE0D" w14:textId="28942FF6" w:rsidR="00CC08E5" w:rsidRPr="00DF4295" w:rsidRDefault="00CC08E5" w:rsidP="001D1B46">
      <w:pPr>
        <w:pStyle w:val="Heading1"/>
        <w:spacing w:before="120" w:after="120"/>
        <w:rPr>
          <w:rFonts w:cs="Times New Roman"/>
          <w:sz w:val="28"/>
          <w:szCs w:val="28"/>
        </w:rPr>
      </w:pPr>
      <w:bookmarkStart w:id="7" w:name="_Toc15391536"/>
      <w:r w:rsidRPr="00DF4295">
        <w:rPr>
          <w:rFonts w:cs="Times New Roman"/>
          <w:sz w:val="28"/>
          <w:szCs w:val="28"/>
        </w:rPr>
        <w:lastRenderedPageBreak/>
        <w:t>Ievads</w:t>
      </w:r>
      <w:bookmarkEnd w:id="6"/>
      <w:bookmarkEnd w:id="7"/>
    </w:p>
    <w:p w14:paraId="6CE6AD8B" w14:textId="4206016F" w:rsidR="000B71BD" w:rsidRPr="00DF4295" w:rsidRDefault="000B71BD"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Līguma par E</w:t>
      </w:r>
      <w:r w:rsidR="00112524" w:rsidRPr="00DF4295">
        <w:rPr>
          <w:rFonts w:ascii="Times New Roman" w:hAnsi="Times New Roman" w:cs="Times New Roman"/>
          <w:sz w:val="28"/>
          <w:szCs w:val="28"/>
        </w:rPr>
        <w:t xml:space="preserve">iropas </w:t>
      </w:r>
      <w:r w:rsidRPr="00DF4295">
        <w:rPr>
          <w:rFonts w:ascii="Times New Roman" w:hAnsi="Times New Roman" w:cs="Times New Roman"/>
          <w:sz w:val="28"/>
          <w:szCs w:val="28"/>
        </w:rPr>
        <w:t>S</w:t>
      </w:r>
      <w:r w:rsidR="00112524" w:rsidRPr="00DF4295">
        <w:rPr>
          <w:rFonts w:ascii="Times New Roman" w:hAnsi="Times New Roman" w:cs="Times New Roman"/>
          <w:sz w:val="28"/>
          <w:szCs w:val="28"/>
        </w:rPr>
        <w:t>avienības</w:t>
      </w:r>
      <w:r w:rsidRPr="00DF4295">
        <w:rPr>
          <w:rFonts w:ascii="Times New Roman" w:hAnsi="Times New Roman" w:cs="Times New Roman"/>
          <w:sz w:val="28"/>
          <w:szCs w:val="28"/>
        </w:rPr>
        <w:t xml:space="preserve"> darbību</w:t>
      </w:r>
      <w:r w:rsidR="00936879" w:rsidRPr="00DF4295">
        <w:rPr>
          <w:rFonts w:ascii="Times New Roman" w:hAnsi="Times New Roman" w:cs="Times New Roman"/>
          <w:sz w:val="28"/>
          <w:szCs w:val="28"/>
        </w:rPr>
        <w:t xml:space="preserve"> (LESD)</w:t>
      </w:r>
      <w:r w:rsidR="00D4301A" w:rsidRPr="00DF4295">
        <w:rPr>
          <w:rStyle w:val="FootnoteReference"/>
          <w:rFonts w:ascii="Times New Roman" w:hAnsi="Times New Roman" w:cs="Times New Roman"/>
          <w:sz w:val="28"/>
          <w:szCs w:val="28"/>
        </w:rPr>
        <w:footnoteReference w:id="1"/>
      </w:r>
      <w:r w:rsidRPr="00DF4295">
        <w:rPr>
          <w:rFonts w:ascii="Times New Roman" w:hAnsi="Times New Roman" w:cs="Times New Roman"/>
          <w:sz w:val="28"/>
          <w:szCs w:val="28"/>
        </w:rPr>
        <w:t xml:space="preserve"> 107.panta 1.</w:t>
      </w:r>
      <w:r w:rsidR="008074F5" w:rsidRPr="00DF4295">
        <w:rPr>
          <w:rFonts w:ascii="Times New Roman" w:hAnsi="Times New Roman" w:cs="Times New Roman"/>
          <w:sz w:val="28"/>
          <w:szCs w:val="28"/>
        </w:rPr>
        <w:t>punkts</w:t>
      </w:r>
      <w:r w:rsidRPr="00DF4295">
        <w:rPr>
          <w:rFonts w:ascii="Times New Roman" w:hAnsi="Times New Roman" w:cs="Times New Roman"/>
          <w:sz w:val="28"/>
          <w:szCs w:val="28"/>
        </w:rPr>
        <w:t xml:space="preserve"> nosaka: “</w:t>
      </w:r>
      <w:r w:rsidRPr="00DF4295">
        <w:rPr>
          <w:rFonts w:ascii="Times New Roman" w:hAnsi="Times New Roman" w:cs="Times New Roman"/>
          <w:i/>
          <w:sz w:val="28"/>
          <w:szCs w:val="28"/>
        </w:rPr>
        <w:t>Ja vien Līgumi neparedz ko citu, ar iekšējo tirgu nav saderīgs nekāds atbalsts, ko piešķir dalībvalstis vai ko jebkādā citā veidā piešķir no valsts līdzekļiem un kas rada vai draud radīt konkurences izkropļojumus, dodot priekšroku konkrētiem uzņēmumiem vai konkrētu preču ražošanai, ciktāl tāds atbalsts iespaido tirdzniecību starp dalībvalstīm.</w:t>
      </w:r>
      <w:r w:rsidR="008074F5" w:rsidRPr="00DF4295">
        <w:rPr>
          <w:rFonts w:ascii="Times New Roman" w:hAnsi="Times New Roman" w:cs="Times New Roman"/>
          <w:sz w:val="28"/>
          <w:szCs w:val="28"/>
        </w:rPr>
        <w:t xml:space="preserve">” </w:t>
      </w:r>
      <w:r w:rsidRPr="00DF4295">
        <w:rPr>
          <w:rFonts w:ascii="Times New Roman" w:hAnsi="Times New Roman" w:cs="Times New Roman"/>
          <w:sz w:val="28"/>
          <w:szCs w:val="28"/>
        </w:rPr>
        <w:t>Š</w:t>
      </w:r>
      <w:r w:rsidR="008074F5" w:rsidRPr="00DF4295">
        <w:rPr>
          <w:rFonts w:ascii="Times New Roman" w:hAnsi="Times New Roman" w:cs="Times New Roman"/>
          <w:sz w:val="28"/>
          <w:szCs w:val="28"/>
        </w:rPr>
        <w:t>āda</w:t>
      </w:r>
      <w:r w:rsidRPr="00DF4295">
        <w:rPr>
          <w:rFonts w:ascii="Times New Roman" w:hAnsi="Times New Roman" w:cs="Times New Roman"/>
          <w:sz w:val="28"/>
          <w:szCs w:val="28"/>
        </w:rPr>
        <w:t xml:space="preserve"> aizlieguma </w:t>
      </w:r>
      <w:r w:rsidR="008074F5" w:rsidRPr="00DF4295">
        <w:rPr>
          <w:rFonts w:ascii="Times New Roman" w:hAnsi="Times New Roman" w:cs="Times New Roman"/>
          <w:sz w:val="28"/>
          <w:szCs w:val="28"/>
        </w:rPr>
        <w:t>pamatmērķis ir</w:t>
      </w:r>
      <w:r w:rsidRPr="00DF4295">
        <w:rPr>
          <w:rFonts w:ascii="Times New Roman" w:hAnsi="Times New Roman" w:cs="Times New Roman"/>
          <w:sz w:val="28"/>
          <w:szCs w:val="28"/>
        </w:rPr>
        <w:t xml:space="preserve"> izveidot un attīstīt vienotu iekšējo tirgu un neizkropļot konkurenci starp</w:t>
      </w:r>
      <w:r w:rsidR="008074F5" w:rsidRPr="00DF4295">
        <w:rPr>
          <w:rFonts w:ascii="Times New Roman" w:hAnsi="Times New Roman" w:cs="Times New Roman"/>
          <w:sz w:val="28"/>
          <w:szCs w:val="28"/>
        </w:rPr>
        <w:t xml:space="preserve"> </w:t>
      </w:r>
      <w:r w:rsidR="005212E9" w:rsidRPr="00DF4295">
        <w:rPr>
          <w:rFonts w:ascii="Times New Roman" w:hAnsi="Times New Roman" w:cs="Times New Roman"/>
          <w:sz w:val="28"/>
          <w:szCs w:val="28"/>
        </w:rPr>
        <w:t>ES</w:t>
      </w:r>
      <w:r w:rsidRPr="00DF4295">
        <w:rPr>
          <w:rFonts w:ascii="Times New Roman" w:hAnsi="Times New Roman" w:cs="Times New Roman"/>
          <w:sz w:val="28"/>
          <w:szCs w:val="28"/>
        </w:rPr>
        <w:t xml:space="preserve"> dalībvalstīm. </w:t>
      </w:r>
      <w:r w:rsidR="000B1477" w:rsidRPr="00DF4295">
        <w:rPr>
          <w:rFonts w:ascii="Times New Roman" w:hAnsi="Times New Roman" w:cs="Times New Roman"/>
          <w:sz w:val="28"/>
          <w:szCs w:val="28"/>
        </w:rPr>
        <w:t>Komercdarbība</w:t>
      </w:r>
      <w:r w:rsidR="00112524" w:rsidRPr="00DF4295">
        <w:rPr>
          <w:rFonts w:ascii="Times New Roman" w:hAnsi="Times New Roman" w:cs="Times New Roman"/>
          <w:sz w:val="28"/>
          <w:szCs w:val="28"/>
        </w:rPr>
        <w:t>s atbalsta kontroles mehānismi palīdz nodrošināt vienlīdzīgus konkurences apstākļus ikvienam uzņēmumam, neatkarīgi no tā, kurā ES dalībvalstī uzņēmums veic savu darbību.</w:t>
      </w:r>
    </w:p>
    <w:p w14:paraId="689CAFDF" w14:textId="19024BD1" w:rsidR="000B71BD" w:rsidRPr="00DF4295" w:rsidRDefault="005212E9"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 xml:space="preserve">LESD </w:t>
      </w:r>
      <w:r w:rsidR="000B71BD" w:rsidRPr="00DF4295">
        <w:rPr>
          <w:rFonts w:ascii="Times New Roman" w:hAnsi="Times New Roman" w:cs="Times New Roman"/>
          <w:sz w:val="28"/>
          <w:szCs w:val="28"/>
        </w:rPr>
        <w:t xml:space="preserve">107.panta 1.punkts, kas tālāk interpretēts </w:t>
      </w:r>
      <w:r w:rsidRPr="00DF4295">
        <w:rPr>
          <w:rFonts w:ascii="Times New Roman" w:hAnsi="Times New Roman" w:cs="Times New Roman"/>
          <w:sz w:val="28"/>
          <w:szCs w:val="28"/>
        </w:rPr>
        <w:t>ES</w:t>
      </w:r>
      <w:r w:rsidR="000B71BD" w:rsidRPr="00DF4295">
        <w:rPr>
          <w:rFonts w:ascii="Times New Roman" w:hAnsi="Times New Roman" w:cs="Times New Roman"/>
          <w:sz w:val="28"/>
          <w:szCs w:val="28"/>
        </w:rPr>
        <w:t xml:space="preserve"> tiesu judikatūrā, definē kritērijus, kuriem izpildoties, valsts</w:t>
      </w:r>
      <w:r w:rsidR="009F1458" w:rsidRPr="00DF4295">
        <w:rPr>
          <w:rFonts w:ascii="Times New Roman" w:hAnsi="Times New Roman" w:cs="Times New Roman"/>
          <w:sz w:val="28"/>
          <w:szCs w:val="28"/>
        </w:rPr>
        <w:t xml:space="preserve"> vai </w:t>
      </w:r>
      <w:r w:rsidR="0072262A" w:rsidRPr="00DF4295">
        <w:rPr>
          <w:rFonts w:ascii="Times New Roman" w:hAnsi="Times New Roman" w:cs="Times New Roman"/>
          <w:sz w:val="28"/>
          <w:szCs w:val="28"/>
        </w:rPr>
        <w:t>pašvaldības</w:t>
      </w:r>
      <w:r w:rsidR="000B71BD" w:rsidRPr="00DF4295">
        <w:rPr>
          <w:rFonts w:ascii="Times New Roman" w:hAnsi="Times New Roman" w:cs="Times New Roman"/>
          <w:sz w:val="28"/>
          <w:szCs w:val="28"/>
        </w:rPr>
        <w:t xml:space="preserve"> īstenots atbalsta pasākums</w:t>
      </w:r>
      <w:r w:rsidR="0083711C" w:rsidRPr="00DF4295">
        <w:rPr>
          <w:rFonts w:ascii="Times New Roman" w:hAnsi="Times New Roman" w:cs="Times New Roman"/>
          <w:sz w:val="28"/>
          <w:szCs w:val="28"/>
        </w:rPr>
        <w:t xml:space="preserve"> </w:t>
      </w:r>
      <w:r w:rsidR="000B71BD" w:rsidRPr="00DF4295">
        <w:rPr>
          <w:rFonts w:ascii="Times New Roman" w:hAnsi="Times New Roman" w:cs="Times New Roman"/>
          <w:sz w:val="28"/>
          <w:szCs w:val="28"/>
        </w:rPr>
        <w:t>kvalificēja</w:t>
      </w:r>
      <w:r w:rsidR="00112524" w:rsidRPr="00DF4295">
        <w:rPr>
          <w:rFonts w:ascii="Times New Roman" w:hAnsi="Times New Roman" w:cs="Times New Roman"/>
          <w:sz w:val="28"/>
          <w:szCs w:val="28"/>
        </w:rPr>
        <w:t>m</w:t>
      </w:r>
      <w:r w:rsidR="000B71BD" w:rsidRPr="00DF4295">
        <w:rPr>
          <w:rFonts w:ascii="Times New Roman" w:hAnsi="Times New Roman" w:cs="Times New Roman"/>
          <w:sz w:val="28"/>
          <w:szCs w:val="28"/>
        </w:rPr>
        <w:t>s kā komercdarbības atbalsts. Tikai tādi valsts</w:t>
      </w:r>
      <w:r w:rsidR="009F1458" w:rsidRPr="00DF4295">
        <w:rPr>
          <w:rFonts w:ascii="Times New Roman" w:hAnsi="Times New Roman" w:cs="Times New Roman"/>
          <w:sz w:val="28"/>
          <w:szCs w:val="28"/>
        </w:rPr>
        <w:t xml:space="preserve"> vai </w:t>
      </w:r>
      <w:r w:rsidR="009F6920" w:rsidRPr="00DF4295">
        <w:rPr>
          <w:rFonts w:ascii="Times New Roman" w:hAnsi="Times New Roman" w:cs="Times New Roman"/>
          <w:sz w:val="28"/>
          <w:szCs w:val="28"/>
        </w:rPr>
        <w:t>pašvaldības</w:t>
      </w:r>
      <w:r w:rsidR="000B71BD" w:rsidRPr="00DF4295">
        <w:rPr>
          <w:rFonts w:ascii="Times New Roman" w:hAnsi="Times New Roman" w:cs="Times New Roman"/>
          <w:sz w:val="28"/>
          <w:szCs w:val="28"/>
        </w:rPr>
        <w:t xml:space="preserve"> īstenoti atbalsta pasākumi, kuri vienlaicīgi izpilda visus LESD 107.panta 1.punkta nosacījumus, ir pakļauti komercdarbības atbalsta kontrolei</w:t>
      </w:r>
      <w:r w:rsidR="00112524" w:rsidRPr="00DF4295">
        <w:rPr>
          <w:rFonts w:ascii="Times New Roman" w:hAnsi="Times New Roman" w:cs="Times New Roman"/>
          <w:sz w:val="28"/>
          <w:szCs w:val="28"/>
        </w:rPr>
        <w:t xml:space="preserve"> un tos atļauts</w:t>
      </w:r>
      <w:r w:rsidR="00E6161F" w:rsidRPr="00DF4295">
        <w:rPr>
          <w:rFonts w:ascii="Times New Roman" w:hAnsi="Times New Roman" w:cs="Times New Roman"/>
          <w:sz w:val="28"/>
          <w:szCs w:val="28"/>
        </w:rPr>
        <w:t xml:space="preserve"> īstenot</w:t>
      </w:r>
      <w:r w:rsidR="00A923F1" w:rsidRPr="00DF4295">
        <w:rPr>
          <w:rFonts w:ascii="Times New Roman" w:hAnsi="Times New Roman" w:cs="Times New Roman"/>
          <w:sz w:val="28"/>
          <w:szCs w:val="28"/>
        </w:rPr>
        <w:t xml:space="preserve"> kā saderīgus ar ES iekšējo tirgu</w:t>
      </w:r>
      <w:r w:rsidR="00E6161F" w:rsidRPr="00DF4295">
        <w:rPr>
          <w:rFonts w:ascii="Times New Roman" w:hAnsi="Times New Roman" w:cs="Times New Roman"/>
          <w:sz w:val="28"/>
          <w:szCs w:val="28"/>
        </w:rPr>
        <w:t>, ja ievēroti atbilstoša</w:t>
      </w:r>
      <w:r w:rsidR="00112524" w:rsidRPr="00DF4295">
        <w:rPr>
          <w:rFonts w:ascii="Times New Roman" w:hAnsi="Times New Roman" w:cs="Times New Roman"/>
          <w:sz w:val="28"/>
          <w:szCs w:val="28"/>
        </w:rPr>
        <w:t xml:space="preserve"> komercdarbības atbalsta regulējuma nosacījumi</w:t>
      </w:r>
      <w:r w:rsidR="000B71BD" w:rsidRPr="00DF4295">
        <w:rPr>
          <w:rFonts w:ascii="Times New Roman" w:hAnsi="Times New Roman" w:cs="Times New Roman"/>
          <w:sz w:val="28"/>
          <w:szCs w:val="28"/>
        </w:rPr>
        <w:t xml:space="preserve">. </w:t>
      </w:r>
    </w:p>
    <w:p w14:paraId="5E13D9F2" w14:textId="75460056" w:rsidR="000B71BD" w:rsidRPr="00DF4295" w:rsidRDefault="000B71BD"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 xml:space="preserve">Lai </w:t>
      </w:r>
      <w:r w:rsidR="00A923F1" w:rsidRPr="00DF4295">
        <w:rPr>
          <w:rFonts w:ascii="Times New Roman" w:hAnsi="Times New Roman" w:cs="Times New Roman"/>
          <w:sz w:val="28"/>
          <w:szCs w:val="28"/>
        </w:rPr>
        <w:t xml:space="preserve">noskaidrotu, vai </w:t>
      </w:r>
      <w:r w:rsidRPr="00DF4295">
        <w:rPr>
          <w:rFonts w:ascii="Times New Roman" w:hAnsi="Times New Roman" w:cs="Times New Roman"/>
          <w:sz w:val="28"/>
          <w:szCs w:val="28"/>
        </w:rPr>
        <w:t>valsts īstenots atbalsta pasākums kvalificē</w:t>
      </w:r>
      <w:r w:rsidR="005D2C3A" w:rsidRPr="00DF4295">
        <w:rPr>
          <w:rFonts w:ascii="Times New Roman" w:hAnsi="Times New Roman" w:cs="Times New Roman"/>
          <w:sz w:val="28"/>
          <w:szCs w:val="28"/>
        </w:rPr>
        <w:t>jams</w:t>
      </w:r>
      <w:r w:rsidRPr="00DF4295">
        <w:rPr>
          <w:rFonts w:ascii="Times New Roman" w:hAnsi="Times New Roman" w:cs="Times New Roman"/>
          <w:sz w:val="28"/>
          <w:szCs w:val="28"/>
        </w:rPr>
        <w:t xml:space="preserve"> kā komercdarbības atbalsts Līguma 107.panta 1.punkta izpratnē, </w:t>
      </w:r>
      <w:r w:rsidR="00461FD5" w:rsidRPr="00DF4295">
        <w:rPr>
          <w:rFonts w:ascii="Times New Roman" w:hAnsi="Times New Roman" w:cs="Times New Roman"/>
          <w:sz w:val="28"/>
          <w:szCs w:val="28"/>
        </w:rPr>
        <w:t>jāveic izvērtējums.</w:t>
      </w:r>
      <w:r w:rsidRPr="00DF4295">
        <w:rPr>
          <w:rFonts w:ascii="Times New Roman" w:hAnsi="Times New Roman" w:cs="Times New Roman"/>
          <w:sz w:val="28"/>
          <w:szCs w:val="28"/>
        </w:rPr>
        <w:t xml:space="preserve"> </w:t>
      </w:r>
      <w:r w:rsidR="00461FD5" w:rsidRPr="00DF4295">
        <w:rPr>
          <w:rFonts w:ascii="Times New Roman" w:hAnsi="Times New Roman" w:cs="Times New Roman"/>
          <w:sz w:val="28"/>
          <w:szCs w:val="28"/>
        </w:rPr>
        <w:t>Ja tiek secināts, ka atbalsta</w:t>
      </w:r>
      <w:r w:rsidRPr="00DF4295">
        <w:rPr>
          <w:rFonts w:ascii="Times New Roman" w:hAnsi="Times New Roman" w:cs="Times New Roman"/>
          <w:sz w:val="28"/>
          <w:szCs w:val="28"/>
        </w:rPr>
        <w:t xml:space="preserve"> saņēmējs ir saimnieciskās darbības veicējs</w:t>
      </w:r>
      <w:r w:rsidR="000D2626" w:rsidRPr="00DF4295">
        <w:rPr>
          <w:rFonts w:ascii="Times New Roman" w:hAnsi="Times New Roman" w:cs="Times New Roman"/>
          <w:sz w:val="28"/>
          <w:szCs w:val="28"/>
        </w:rPr>
        <w:t xml:space="preserve"> (</w:t>
      </w:r>
      <w:r w:rsidR="00461FD5" w:rsidRPr="00DF4295">
        <w:rPr>
          <w:rFonts w:ascii="Times New Roman" w:hAnsi="Times New Roman" w:cs="Times New Roman"/>
          <w:sz w:val="28"/>
          <w:szCs w:val="28"/>
        </w:rPr>
        <w:t>ikviena juridiska vai fiziska persona</w:t>
      </w:r>
      <w:r w:rsidR="003266E4">
        <w:rPr>
          <w:rFonts w:ascii="Times New Roman" w:hAnsi="Times New Roman" w:cs="Times New Roman"/>
          <w:sz w:val="28"/>
          <w:szCs w:val="28"/>
        </w:rPr>
        <w:t xml:space="preserve"> vai</w:t>
      </w:r>
      <w:r w:rsidR="003266E4" w:rsidRPr="003266E4">
        <w:rPr>
          <w:rFonts w:ascii="Times New Roman" w:hAnsi="Times New Roman" w:cs="Times New Roman"/>
          <w:sz w:val="28"/>
          <w:szCs w:val="28"/>
        </w:rPr>
        <w:t xml:space="preserve"> šādu personu apvienība</w:t>
      </w:r>
      <w:r w:rsidR="00461FD5" w:rsidRPr="00DF4295">
        <w:rPr>
          <w:rFonts w:ascii="Times New Roman" w:hAnsi="Times New Roman" w:cs="Times New Roman"/>
          <w:sz w:val="28"/>
          <w:szCs w:val="28"/>
        </w:rPr>
        <w:t xml:space="preserve">, kas piedāvā </w:t>
      </w:r>
      <w:r w:rsidR="003266E4">
        <w:rPr>
          <w:rFonts w:ascii="Times New Roman" w:hAnsi="Times New Roman" w:cs="Times New Roman"/>
          <w:sz w:val="28"/>
          <w:szCs w:val="28"/>
        </w:rPr>
        <w:t xml:space="preserve">vai gatavojas piedāvāt </w:t>
      </w:r>
      <w:r w:rsidR="00461FD5" w:rsidRPr="00DF4295">
        <w:rPr>
          <w:rFonts w:ascii="Times New Roman" w:hAnsi="Times New Roman" w:cs="Times New Roman"/>
          <w:sz w:val="28"/>
          <w:szCs w:val="28"/>
        </w:rPr>
        <w:t>preces un pakalpojumus tirgū</w:t>
      </w:r>
      <w:r w:rsidR="000D2626" w:rsidRPr="00DF4295">
        <w:rPr>
          <w:rFonts w:ascii="Times New Roman" w:hAnsi="Times New Roman" w:cs="Times New Roman"/>
          <w:sz w:val="28"/>
          <w:szCs w:val="28"/>
        </w:rPr>
        <w:t>)</w:t>
      </w:r>
      <w:r w:rsidR="00461FD5" w:rsidRPr="00DF4295">
        <w:rPr>
          <w:rFonts w:ascii="Times New Roman" w:hAnsi="Times New Roman" w:cs="Times New Roman"/>
          <w:sz w:val="28"/>
          <w:szCs w:val="28"/>
        </w:rPr>
        <w:t xml:space="preserve">, jāvērtē, vai </w:t>
      </w:r>
      <w:r w:rsidR="00775923" w:rsidRPr="00DF4295">
        <w:rPr>
          <w:rFonts w:ascii="Times New Roman" w:hAnsi="Times New Roman" w:cs="Times New Roman"/>
          <w:sz w:val="28"/>
          <w:szCs w:val="28"/>
        </w:rPr>
        <w:t xml:space="preserve">attiecībā uz konkrēto pasākumu </w:t>
      </w:r>
      <w:r w:rsidR="00461FD5" w:rsidRPr="00DF4295">
        <w:rPr>
          <w:rFonts w:ascii="Times New Roman" w:hAnsi="Times New Roman" w:cs="Times New Roman"/>
          <w:sz w:val="28"/>
          <w:szCs w:val="28"/>
        </w:rPr>
        <w:t xml:space="preserve">vienlaicīgi izpildās visas </w:t>
      </w:r>
      <w:r w:rsidR="00272564" w:rsidRPr="00DF4295">
        <w:rPr>
          <w:rFonts w:ascii="Times New Roman" w:hAnsi="Times New Roman" w:cs="Times New Roman"/>
          <w:sz w:val="28"/>
          <w:szCs w:val="28"/>
        </w:rPr>
        <w:t>K</w:t>
      </w:r>
      <w:r w:rsidR="00775923" w:rsidRPr="00DF4295">
        <w:rPr>
          <w:rFonts w:ascii="Times New Roman" w:hAnsi="Times New Roman" w:cs="Times New Roman"/>
          <w:sz w:val="28"/>
          <w:szCs w:val="28"/>
        </w:rPr>
        <w:t xml:space="preserve">omercdarbības </w:t>
      </w:r>
      <w:r w:rsidR="00461FD5" w:rsidRPr="00DF4295">
        <w:rPr>
          <w:rFonts w:ascii="Times New Roman" w:hAnsi="Times New Roman" w:cs="Times New Roman"/>
          <w:sz w:val="28"/>
          <w:szCs w:val="28"/>
        </w:rPr>
        <w:t>atbalsta kontroles likuma 5.pantā minētās komercdarbības atbalstu raksturojošās pazīmes:</w:t>
      </w:r>
    </w:p>
    <w:p w14:paraId="3A9D143F" w14:textId="5FC0D355" w:rsidR="00A12A3A" w:rsidRPr="00DF4295" w:rsidRDefault="00A12A3A" w:rsidP="00097423">
      <w:pPr>
        <w:pStyle w:val="ListParagraph"/>
        <w:numPr>
          <w:ilvl w:val="0"/>
          <w:numId w:val="6"/>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finansiālo palīdzību tieši vai pastarpināti sniedz no valsts, pašvaldības, </w:t>
      </w:r>
      <w:r w:rsidR="00636A3F" w:rsidRPr="00DF4295">
        <w:rPr>
          <w:rFonts w:ascii="Times New Roman" w:hAnsi="Times New Roman" w:cs="Times New Roman"/>
          <w:sz w:val="28"/>
          <w:szCs w:val="28"/>
        </w:rPr>
        <w:t>ES</w:t>
      </w:r>
      <w:r w:rsidRPr="00DF4295">
        <w:rPr>
          <w:rFonts w:ascii="Times New Roman" w:hAnsi="Times New Roman" w:cs="Times New Roman"/>
          <w:sz w:val="28"/>
          <w:szCs w:val="28"/>
        </w:rPr>
        <w:t xml:space="preserve"> vai citiem publiskiem līdzekļiem (turpmāk — valsts vai pašvaldības līdzekļi, un valsts institūcijām ir kontrolējoša ietekme pār finanšu līdzekļiem);</w:t>
      </w:r>
    </w:p>
    <w:p w14:paraId="371E8DFA" w14:textId="77777777" w:rsidR="00A12A3A" w:rsidRPr="00DF4295" w:rsidRDefault="00A12A3A" w:rsidP="00097423">
      <w:pPr>
        <w:pStyle w:val="ListParagraph"/>
        <w:numPr>
          <w:ilvl w:val="0"/>
          <w:numId w:val="6"/>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komercsabiedrība veic saimniecisko darbību un attiecībā uz saimniecisko darbību iegūst ekonomiskas priekšrocības, kādas tā nevarētu iegūt, ja komercdarbības atbalsts netiktu sniegts;</w:t>
      </w:r>
    </w:p>
    <w:p w14:paraId="2A398889" w14:textId="77777777" w:rsidR="00A12A3A" w:rsidRPr="00DF4295" w:rsidRDefault="00A12A3A" w:rsidP="00097423">
      <w:pPr>
        <w:pStyle w:val="ListParagraph"/>
        <w:numPr>
          <w:ilvl w:val="0"/>
          <w:numId w:val="6"/>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finansiālā palīdzība neattiecas uz visām komercsabiedrībām vienādi, bet ir paredzēta komercsabiedrībām atkarībā no to lieluma, darbības veida vai atrašanās vietas, kā arī citiem diferencējošiem kritērijiem vai arī ir paredzēta tikai konkrētai komercsabiedrībai;</w:t>
      </w:r>
    </w:p>
    <w:p w14:paraId="3DE9D1E1" w14:textId="68CCFBA2" w:rsidR="001C0B22" w:rsidRPr="00DF4295" w:rsidRDefault="00A12A3A" w:rsidP="00097423">
      <w:pPr>
        <w:pStyle w:val="ListParagraph"/>
        <w:numPr>
          <w:ilvl w:val="0"/>
          <w:numId w:val="6"/>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finansiālā palīdzība ietekmē tirdzniecību un izkropļo konkurenci </w:t>
      </w:r>
      <w:r w:rsidR="00636A3F" w:rsidRPr="00DF4295">
        <w:rPr>
          <w:rFonts w:ascii="Times New Roman" w:hAnsi="Times New Roman" w:cs="Times New Roman"/>
          <w:sz w:val="28"/>
          <w:szCs w:val="28"/>
        </w:rPr>
        <w:t>ES</w:t>
      </w:r>
      <w:r w:rsidRPr="00DF4295">
        <w:rPr>
          <w:rFonts w:ascii="Times New Roman" w:hAnsi="Times New Roman" w:cs="Times New Roman"/>
          <w:sz w:val="28"/>
          <w:szCs w:val="28"/>
        </w:rPr>
        <w:t xml:space="preserve"> iekšējā tirgū</w:t>
      </w:r>
      <w:r w:rsidR="000B71BD" w:rsidRPr="00DF4295">
        <w:rPr>
          <w:rFonts w:ascii="Times New Roman" w:hAnsi="Times New Roman" w:cs="Times New Roman"/>
          <w:sz w:val="28"/>
          <w:szCs w:val="28"/>
        </w:rPr>
        <w:t>.</w:t>
      </w:r>
    </w:p>
    <w:p w14:paraId="4E256AA5" w14:textId="77777777" w:rsidR="006F649B" w:rsidRPr="00DF4295" w:rsidRDefault="006F649B" w:rsidP="001D1B46">
      <w:pPr>
        <w:ind w:firstLine="720"/>
        <w:jc w:val="both"/>
        <w:rPr>
          <w:rFonts w:ascii="Times New Roman" w:hAnsi="Times New Roman" w:cs="Times New Roman"/>
          <w:sz w:val="28"/>
          <w:szCs w:val="28"/>
        </w:rPr>
      </w:pPr>
      <w:r w:rsidRPr="00DF4295">
        <w:rPr>
          <w:rFonts w:ascii="Times New Roman" w:hAnsi="Times New Roman" w:cs="Times New Roman"/>
          <w:sz w:val="28"/>
          <w:szCs w:val="28"/>
        </w:rPr>
        <w:t>Plašāk par to, kā noteikt visu uzskaitīto pazīmju esamību, lūdzam skatīt Finanšu ministrijas izstrādāto metodoloģisko palīgmateriālu</w:t>
      </w:r>
      <w:r w:rsidR="00D55EA6" w:rsidRPr="00DF4295">
        <w:rPr>
          <w:rFonts w:ascii="Times New Roman" w:hAnsi="Times New Roman" w:cs="Times New Roman"/>
          <w:sz w:val="28"/>
          <w:szCs w:val="28"/>
        </w:rPr>
        <w:t xml:space="preserve"> – Valsts </w:t>
      </w:r>
      <w:r w:rsidR="00D30D5F" w:rsidRPr="00DF4295">
        <w:rPr>
          <w:rFonts w:ascii="Times New Roman" w:hAnsi="Times New Roman" w:cs="Times New Roman"/>
          <w:sz w:val="28"/>
          <w:szCs w:val="28"/>
        </w:rPr>
        <w:t>atbalsta vadlīnijas</w:t>
      </w:r>
      <w:r w:rsidR="005A658E" w:rsidRPr="00DF4295">
        <w:rPr>
          <w:rStyle w:val="FootnoteReference"/>
          <w:rFonts w:ascii="Times New Roman" w:hAnsi="Times New Roman" w:cs="Times New Roman"/>
          <w:sz w:val="28"/>
          <w:szCs w:val="28"/>
        </w:rPr>
        <w:footnoteReference w:id="2"/>
      </w:r>
      <w:r w:rsidRPr="00DF4295">
        <w:rPr>
          <w:rFonts w:ascii="Times New Roman" w:hAnsi="Times New Roman" w:cs="Times New Roman"/>
          <w:sz w:val="28"/>
          <w:szCs w:val="28"/>
        </w:rPr>
        <w:t>.</w:t>
      </w:r>
    </w:p>
    <w:p w14:paraId="4E9ECEF9" w14:textId="096263F3" w:rsidR="005D2C3A" w:rsidRPr="00DF4295" w:rsidRDefault="00E6161F" w:rsidP="001D1B46">
      <w:pPr>
        <w:ind w:firstLine="720"/>
        <w:jc w:val="both"/>
        <w:rPr>
          <w:rFonts w:ascii="Times New Roman" w:hAnsi="Times New Roman" w:cs="Times New Roman"/>
          <w:sz w:val="28"/>
          <w:szCs w:val="28"/>
        </w:rPr>
      </w:pPr>
      <w:r w:rsidRPr="00DF4295">
        <w:rPr>
          <w:rFonts w:ascii="Times New Roman" w:hAnsi="Times New Roman" w:cs="Times New Roman"/>
          <w:sz w:val="28"/>
          <w:szCs w:val="28"/>
        </w:rPr>
        <w:lastRenderedPageBreak/>
        <w:t xml:space="preserve">Lai nodrošinātu, ka tiek sniegts ar ES iekšējo tirgu saderīgs komercdarbības atbalsts, </w:t>
      </w:r>
      <w:r w:rsidR="00636A3F" w:rsidRPr="00DF4295">
        <w:rPr>
          <w:rFonts w:ascii="Times New Roman" w:hAnsi="Times New Roman" w:cs="Times New Roman"/>
          <w:sz w:val="28"/>
          <w:szCs w:val="28"/>
        </w:rPr>
        <w:t>EK</w:t>
      </w:r>
      <w:r w:rsidRPr="00DF4295">
        <w:rPr>
          <w:rFonts w:ascii="Times New Roman" w:hAnsi="Times New Roman" w:cs="Times New Roman"/>
          <w:sz w:val="28"/>
          <w:szCs w:val="28"/>
        </w:rPr>
        <w:t xml:space="preserve"> ir izstrādājusi virkni dokumentu, kas balstās uz tās un ES Tiesas </w:t>
      </w:r>
      <w:r w:rsidR="005D2C3A" w:rsidRPr="00DF4295">
        <w:rPr>
          <w:rFonts w:ascii="Times New Roman" w:hAnsi="Times New Roman" w:cs="Times New Roman"/>
          <w:sz w:val="28"/>
          <w:szCs w:val="28"/>
        </w:rPr>
        <w:t xml:space="preserve">aktuālo </w:t>
      </w:r>
      <w:r w:rsidRPr="00DF4295">
        <w:rPr>
          <w:rFonts w:ascii="Times New Roman" w:hAnsi="Times New Roman" w:cs="Times New Roman"/>
          <w:sz w:val="28"/>
          <w:szCs w:val="28"/>
        </w:rPr>
        <w:t xml:space="preserve">praksi komercdarbības atbalsta jomā (kas pastāvīgi </w:t>
      </w:r>
      <w:r w:rsidR="005D2C3A" w:rsidRPr="00DF4295">
        <w:rPr>
          <w:rFonts w:ascii="Times New Roman" w:hAnsi="Times New Roman" w:cs="Times New Roman"/>
          <w:sz w:val="28"/>
          <w:szCs w:val="28"/>
        </w:rPr>
        <w:t xml:space="preserve">tiek </w:t>
      </w:r>
      <w:r w:rsidRPr="00DF4295">
        <w:rPr>
          <w:rFonts w:ascii="Times New Roman" w:hAnsi="Times New Roman" w:cs="Times New Roman"/>
          <w:sz w:val="28"/>
          <w:szCs w:val="28"/>
        </w:rPr>
        <w:t>pilnveido</w:t>
      </w:r>
      <w:r w:rsidR="005D2C3A" w:rsidRPr="00DF4295">
        <w:rPr>
          <w:rFonts w:ascii="Times New Roman" w:hAnsi="Times New Roman" w:cs="Times New Roman"/>
          <w:sz w:val="28"/>
          <w:szCs w:val="28"/>
        </w:rPr>
        <w:t>ta</w:t>
      </w:r>
      <w:r w:rsidRPr="00DF4295">
        <w:rPr>
          <w:rFonts w:ascii="Times New Roman" w:hAnsi="Times New Roman" w:cs="Times New Roman"/>
          <w:sz w:val="28"/>
          <w:szCs w:val="28"/>
        </w:rPr>
        <w:t>)</w:t>
      </w:r>
      <w:r w:rsidRPr="00DF4295">
        <w:rPr>
          <w:rStyle w:val="FootnoteReference"/>
          <w:rFonts w:ascii="Times New Roman" w:hAnsi="Times New Roman" w:cs="Times New Roman"/>
          <w:sz w:val="28"/>
          <w:szCs w:val="28"/>
        </w:rPr>
        <w:footnoteReference w:id="3"/>
      </w:r>
      <w:r w:rsidRPr="00DF4295">
        <w:rPr>
          <w:rFonts w:ascii="Times New Roman" w:hAnsi="Times New Roman" w:cs="Times New Roman"/>
          <w:sz w:val="28"/>
          <w:szCs w:val="28"/>
        </w:rPr>
        <w:t xml:space="preserve">. </w:t>
      </w:r>
      <w:r w:rsidR="00056EF5" w:rsidRPr="00DF4295">
        <w:rPr>
          <w:rFonts w:ascii="Times New Roman" w:hAnsi="Times New Roman" w:cs="Times New Roman"/>
          <w:sz w:val="28"/>
          <w:szCs w:val="28"/>
        </w:rPr>
        <w:t>Dokumentos ietvertie nosacījumi atšķiras, piemēram, atkarībā no jomas, uz kuru tie attiecas.</w:t>
      </w:r>
    </w:p>
    <w:p w14:paraId="0C7927D7" w14:textId="28E48696" w:rsidR="00321426" w:rsidRPr="00DF4295" w:rsidRDefault="000344EE" w:rsidP="001D1B46">
      <w:pPr>
        <w:ind w:firstLine="720"/>
        <w:jc w:val="both"/>
        <w:rPr>
          <w:rFonts w:ascii="Times New Roman" w:hAnsi="Times New Roman" w:cs="Times New Roman"/>
          <w:sz w:val="28"/>
          <w:szCs w:val="28"/>
        </w:rPr>
      </w:pPr>
      <w:r w:rsidRPr="00DF4295">
        <w:rPr>
          <w:rFonts w:ascii="Times New Roman" w:hAnsi="Times New Roman" w:cs="Times New Roman"/>
          <w:sz w:val="28"/>
          <w:szCs w:val="28"/>
        </w:rPr>
        <w:t xml:space="preserve">Ja valsts vai pašvaldība plāno atbalstu sniegt tādu pakalpojumu nodrošināšanai, kas svarīgi iedzīvotājiem, ir </w:t>
      </w:r>
      <w:r w:rsidR="00DE1D7C" w:rsidRPr="00DF4295">
        <w:rPr>
          <w:rFonts w:ascii="Times New Roman" w:hAnsi="Times New Roman" w:cs="Times New Roman"/>
          <w:sz w:val="28"/>
          <w:szCs w:val="28"/>
        </w:rPr>
        <w:t xml:space="preserve">ieteicams </w:t>
      </w:r>
      <w:r w:rsidRPr="00DF4295">
        <w:rPr>
          <w:rFonts w:ascii="Times New Roman" w:hAnsi="Times New Roman" w:cs="Times New Roman"/>
          <w:sz w:val="28"/>
          <w:szCs w:val="28"/>
        </w:rPr>
        <w:t>izskatīt iespēju piemērot EK izstrādāto kom</w:t>
      </w:r>
      <w:r w:rsidR="000D2626" w:rsidRPr="00DF4295">
        <w:rPr>
          <w:rFonts w:ascii="Times New Roman" w:hAnsi="Times New Roman" w:cs="Times New Roman"/>
          <w:sz w:val="28"/>
          <w:szCs w:val="28"/>
        </w:rPr>
        <w:t>ercdarbības atbalsta regulējumu</w:t>
      </w:r>
      <w:r w:rsidR="005D2C3A" w:rsidRPr="00DF4295">
        <w:rPr>
          <w:rFonts w:ascii="Times New Roman" w:hAnsi="Times New Roman" w:cs="Times New Roman"/>
          <w:sz w:val="28"/>
          <w:szCs w:val="28"/>
        </w:rPr>
        <w:t xml:space="preserve"> vispārējas tautsaimnieciskas nozīmes pakalpojumu</w:t>
      </w:r>
      <w:r w:rsidR="009532D0" w:rsidRPr="00DF4295">
        <w:rPr>
          <w:rFonts w:ascii="Times New Roman" w:hAnsi="Times New Roman" w:cs="Times New Roman"/>
          <w:sz w:val="28"/>
          <w:szCs w:val="28"/>
        </w:rPr>
        <w:t xml:space="preserve"> </w:t>
      </w:r>
      <w:r w:rsidR="005D2C3A" w:rsidRPr="00DF4295">
        <w:rPr>
          <w:rFonts w:ascii="Times New Roman" w:hAnsi="Times New Roman" w:cs="Times New Roman"/>
          <w:sz w:val="28"/>
          <w:szCs w:val="28"/>
        </w:rPr>
        <w:t xml:space="preserve">(turpmāk – </w:t>
      </w:r>
      <w:r w:rsidR="00EF18E5" w:rsidRPr="00DF4295">
        <w:rPr>
          <w:rFonts w:ascii="Times New Roman" w:hAnsi="Times New Roman" w:cs="Times New Roman"/>
          <w:sz w:val="28"/>
          <w:szCs w:val="28"/>
        </w:rPr>
        <w:t>VTNP</w:t>
      </w:r>
      <w:r w:rsidR="005D2C3A" w:rsidRPr="00DF4295">
        <w:rPr>
          <w:rFonts w:ascii="Times New Roman" w:hAnsi="Times New Roman" w:cs="Times New Roman"/>
          <w:sz w:val="28"/>
          <w:szCs w:val="28"/>
        </w:rPr>
        <w:t>)</w:t>
      </w:r>
      <w:r w:rsidR="000D2626" w:rsidRPr="00DF4295">
        <w:rPr>
          <w:rFonts w:ascii="Times New Roman" w:hAnsi="Times New Roman" w:cs="Times New Roman"/>
          <w:sz w:val="28"/>
          <w:szCs w:val="28"/>
        </w:rPr>
        <w:t xml:space="preserve"> </w:t>
      </w:r>
      <w:r w:rsidR="009532D0" w:rsidRPr="00DF4295">
        <w:rPr>
          <w:rFonts w:ascii="Times New Roman" w:hAnsi="Times New Roman" w:cs="Times New Roman"/>
          <w:sz w:val="28"/>
          <w:szCs w:val="28"/>
        </w:rPr>
        <w:t>sniegšanai</w:t>
      </w:r>
      <w:r w:rsidR="002D0785" w:rsidRPr="00DF4295">
        <w:rPr>
          <w:rStyle w:val="FootnoteReference"/>
          <w:rFonts w:ascii="Times New Roman" w:hAnsi="Times New Roman" w:cs="Times New Roman"/>
          <w:sz w:val="28"/>
          <w:szCs w:val="28"/>
        </w:rPr>
        <w:footnoteReference w:id="4"/>
      </w:r>
      <w:r w:rsidRPr="00DF4295">
        <w:rPr>
          <w:rFonts w:ascii="Times New Roman" w:hAnsi="Times New Roman" w:cs="Times New Roman"/>
          <w:sz w:val="28"/>
          <w:szCs w:val="28"/>
        </w:rPr>
        <w:t>.</w:t>
      </w:r>
      <w:r w:rsidR="00321426" w:rsidRPr="00DF4295">
        <w:rPr>
          <w:rFonts w:ascii="Times New Roman" w:hAnsi="Times New Roman" w:cs="Times New Roman"/>
          <w:sz w:val="28"/>
          <w:szCs w:val="28"/>
        </w:rPr>
        <w:t xml:space="preserve"> Taču </w:t>
      </w:r>
      <w:r w:rsidR="005D2C3A" w:rsidRPr="00DF4295">
        <w:rPr>
          <w:rFonts w:ascii="Times New Roman" w:hAnsi="Times New Roman" w:cs="Times New Roman"/>
          <w:sz w:val="28"/>
          <w:szCs w:val="28"/>
        </w:rPr>
        <w:t xml:space="preserve">vienlaikus arī </w:t>
      </w:r>
      <w:r w:rsidR="00321426" w:rsidRPr="00DF4295">
        <w:rPr>
          <w:rFonts w:ascii="Times New Roman" w:hAnsi="Times New Roman" w:cs="Times New Roman"/>
          <w:sz w:val="28"/>
          <w:szCs w:val="28"/>
        </w:rPr>
        <w:t xml:space="preserve">eksistē virkne citu </w:t>
      </w:r>
      <w:r w:rsidR="00775923" w:rsidRPr="00DF4295">
        <w:rPr>
          <w:rFonts w:ascii="Times New Roman" w:hAnsi="Times New Roman" w:cs="Times New Roman"/>
          <w:sz w:val="28"/>
          <w:szCs w:val="28"/>
        </w:rPr>
        <w:t xml:space="preserve">komercdarbības </w:t>
      </w:r>
      <w:r w:rsidR="00321426" w:rsidRPr="00DF4295">
        <w:rPr>
          <w:rFonts w:ascii="Times New Roman" w:hAnsi="Times New Roman" w:cs="Times New Roman"/>
          <w:sz w:val="28"/>
          <w:szCs w:val="28"/>
        </w:rPr>
        <w:t xml:space="preserve">atbalsta regulējumu, tai skaitā </w:t>
      </w:r>
      <w:r w:rsidR="00321426" w:rsidRPr="00DF4295">
        <w:rPr>
          <w:rFonts w:ascii="Times New Roman" w:hAnsi="Times New Roman" w:cs="Times New Roman"/>
          <w:i/>
          <w:sz w:val="28"/>
          <w:szCs w:val="28"/>
        </w:rPr>
        <w:t>de minimis</w:t>
      </w:r>
      <w:r w:rsidR="00321426" w:rsidRPr="00DF4295">
        <w:rPr>
          <w:rFonts w:ascii="Times New Roman" w:hAnsi="Times New Roman" w:cs="Times New Roman"/>
          <w:sz w:val="28"/>
          <w:szCs w:val="28"/>
        </w:rPr>
        <w:t xml:space="preserve"> atbalsta regulējums</w:t>
      </w:r>
      <w:r w:rsidR="00321426" w:rsidRPr="00DF4295">
        <w:rPr>
          <w:rStyle w:val="FootnoteReference"/>
          <w:rFonts w:ascii="Times New Roman" w:hAnsi="Times New Roman" w:cs="Times New Roman"/>
          <w:sz w:val="28"/>
          <w:szCs w:val="28"/>
        </w:rPr>
        <w:footnoteReference w:id="5"/>
      </w:r>
      <w:r w:rsidR="00321426" w:rsidRPr="00DF4295">
        <w:rPr>
          <w:rFonts w:ascii="Times New Roman" w:hAnsi="Times New Roman" w:cs="Times New Roman"/>
          <w:sz w:val="28"/>
          <w:szCs w:val="28"/>
        </w:rPr>
        <w:t xml:space="preserve"> un iespēja piemērot Vispārējo grupu atbrīvojuma regulu</w:t>
      </w:r>
      <w:r w:rsidR="00321426" w:rsidRPr="00DF4295">
        <w:rPr>
          <w:rStyle w:val="FootnoteReference"/>
          <w:rFonts w:ascii="Times New Roman" w:hAnsi="Times New Roman" w:cs="Times New Roman"/>
          <w:sz w:val="28"/>
          <w:szCs w:val="28"/>
        </w:rPr>
        <w:footnoteReference w:id="6"/>
      </w:r>
      <w:r w:rsidR="00321426" w:rsidRPr="00DF4295">
        <w:rPr>
          <w:rFonts w:ascii="Times New Roman" w:hAnsi="Times New Roman" w:cs="Times New Roman"/>
          <w:sz w:val="28"/>
          <w:szCs w:val="28"/>
        </w:rPr>
        <w:t>.</w:t>
      </w:r>
    </w:p>
    <w:p w14:paraId="7E7CFE8D" w14:textId="06DEAC4A" w:rsidR="00303157" w:rsidRDefault="000344EE" w:rsidP="001D1B46">
      <w:pPr>
        <w:ind w:firstLine="720"/>
        <w:jc w:val="both"/>
        <w:rPr>
          <w:rFonts w:ascii="Times New Roman" w:hAnsi="Times New Roman" w:cs="Times New Roman"/>
          <w:sz w:val="28"/>
          <w:szCs w:val="28"/>
        </w:rPr>
      </w:pPr>
      <w:r w:rsidRPr="00DF4295">
        <w:rPr>
          <w:rFonts w:ascii="Times New Roman" w:hAnsi="Times New Roman" w:cs="Times New Roman"/>
          <w:sz w:val="28"/>
          <w:szCs w:val="28"/>
        </w:rPr>
        <w:t xml:space="preserve">Šī </w:t>
      </w:r>
      <w:r w:rsidRPr="00DF4295">
        <w:rPr>
          <w:rFonts w:ascii="Times New Roman" w:hAnsi="Times New Roman" w:cs="Times New Roman"/>
          <w:sz w:val="28"/>
          <w:szCs w:val="28"/>
          <w:u w:val="single"/>
        </w:rPr>
        <w:t>metodoloģiskā materiāla mērķis</w:t>
      </w:r>
      <w:r w:rsidRPr="00DF4295">
        <w:rPr>
          <w:rFonts w:ascii="Times New Roman" w:hAnsi="Times New Roman" w:cs="Times New Roman"/>
          <w:sz w:val="28"/>
          <w:szCs w:val="28"/>
        </w:rPr>
        <w:t xml:space="preserve"> ir sniegt plašāku informāciju un skaidrojumus par </w:t>
      </w:r>
      <w:r w:rsidR="00EF18E5" w:rsidRPr="00DF4295">
        <w:rPr>
          <w:rFonts w:ascii="Times New Roman" w:hAnsi="Times New Roman" w:cs="Times New Roman"/>
          <w:sz w:val="28"/>
          <w:szCs w:val="28"/>
        </w:rPr>
        <w:t>VTNP</w:t>
      </w:r>
      <w:r w:rsidR="00EF18E5" w:rsidRPr="00DF4295" w:rsidDel="00EF18E5">
        <w:rPr>
          <w:rFonts w:ascii="Times New Roman" w:hAnsi="Times New Roman" w:cs="Times New Roman"/>
          <w:sz w:val="28"/>
          <w:szCs w:val="28"/>
        </w:rPr>
        <w:t xml:space="preserve"> </w:t>
      </w:r>
      <w:r w:rsidRPr="00DF4295">
        <w:rPr>
          <w:rFonts w:ascii="Times New Roman" w:hAnsi="Times New Roman" w:cs="Times New Roman"/>
          <w:sz w:val="28"/>
          <w:szCs w:val="28"/>
        </w:rPr>
        <w:t>jēdzienu, šādu pakalpojumu juridisko pamatu ES un nacionālā līmenī, par procedūrām, kas jāievēro, plānojot atbalsta programmas vai individuāla atbalsta piešķiršanu</w:t>
      </w:r>
      <w:r w:rsidR="00DE1D7C" w:rsidRPr="00DF4295">
        <w:rPr>
          <w:rFonts w:ascii="Times New Roman" w:hAnsi="Times New Roman" w:cs="Times New Roman"/>
          <w:sz w:val="28"/>
          <w:szCs w:val="28"/>
        </w:rPr>
        <w:t xml:space="preserve"> VTNP jomā</w:t>
      </w:r>
      <w:r w:rsidRPr="00DF4295">
        <w:rPr>
          <w:rFonts w:ascii="Times New Roman" w:hAnsi="Times New Roman" w:cs="Times New Roman"/>
          <w:sz w:val="28"/>
          <w:szCs w:val="28"/>
        </w:rPr>
        <w:t>. Materiālā sniegta informācija par līdzšinējo pieredzi VTNP nosacījumu piemērošanā Latvijā. Materiāls paredzēts gan atbalsta pasākumu plānotājiem un sniedzējiem, gan komercdarbības atbalsta saņēmējiem.</w:t>
      </w:r>
    </w:p>
    <w:p w14:paraId="27844397" w14:textId="029AF52A" w:rsidR="00C106E1" w:rsidRPr="00DF4295" w:rsidRDefault="00C106E1" w:rsidP="00C106E1">
      <w:pPr>
        <w:ind w:firstLine="720"/>
        <w:jc w:val="both"/>
        <w:rPr>
          <w:rFonts w:ascii="Times New Roman" w:hAnsi="Times New Roman" w:cs="Times New Roman"/>
          <w:sz w:val="28"/>
          <w:szCs w:val="28"/>
        </w:rPr>
      </w:pPr>
      <w:r>
        <w:rPr>
          <w:rFonts w:ascii="Times New Roman" w:hAnsi="Times New Roman" w:cs="Times New Roman"/>
          <w:sz w:val="28"/>
          <w:szCs w:val="28"/>
        </w:rPr>
        <w:t xml:space="preserve">Šajā palīgmateriālā netiek </w:t>
      </w:r>
      <w:r w:rsidR="00431DF4">
        <w:rPr>
          <w:rFonts w:ascii="Times New Roman" w:hAnsi="Times New Roman" w:cs="Times New Roman"/>
          <w:sz w:val="28"/>
          <w:szCs w:val="28"/>
        </w:rPr>
        <w:t xml:space="preserve">apskatītas </w:t>
      </w:r>
      <w:r w:rsidR="00431DF4" w:rsidRPr="00DF4295">
        <w:rPr>
          <w:rFonts w:ascii="Times New Roman" w:hAnsi="Times New Roman" w:cs="Times New Roman"/>
          <w:sz w:val="28"/>
          <w:szCs w:val="28"/>
        </w:rPr>
        <w:t>sīkāk specifiskās prasības, kas izriet no komercdarbības atbalsta regulējuma sabiedrisko elektronisko plašsaziņas līdzekļu nozarē, pasta nozarē vai pasažieru pārvadājumu nozarē.</w:t>
      </w:r>
      <w:r>
        <w:rPr>
          <w:rFonts w:ascii="Times New Roman" w:hAnsi="Times New Roman" w:cs="Times New Roman"/>
          <w:sz w:val="28"/>
          <w:szCs w:val="28"/>
        </w:rPr>
        <w:t xml:space="preserve"> </w:t>
      </w:r>
    </w:p>
    <w:p w14:paraId="15E807C1" w14:textId="77777777" w:rsidR="00DE1D7C" w:rsidRPr="00DF4295" w:rsidRDefault="00DE1D7C" w:rsidP="00097423">
      <w:pPr>
        <w:pStyle w:val="Heading1"/>
        <w:numPr>
          <w:ilvl w:val="0"/>
          <w:numId w:val="7"/>
        </w:numPr>
        <w:spacing w:before="120" w:after="120"/>
        <w:rPr>
          <w:rFonts w:cs="Times New Roman"/>
          <w:sz w:val="28"/>
          <w:szCs w:val="28"/>
        </w:rPr>
      </w:pPr>
      <w:bookmarkStart w:id="8" w:name="_Toc500939846"/>
      <w:bookmarkStart w:id="9" w:name="_Toc15391537"/>
      <w:r w:rsidRPr="00DF4295">
        <w:rPr>
          <w:rFonts w:cs="Times New Roman"/>
          <w:sz w:val="28"/>
          <w:szCs w:val="28"/>
        </w:rPr>
        <w:t>VTNP jēdziens</w:t>
      </w:r>
      <w:bookmarkEnd w:id="8"/>
      <w:bookmarkEnd w:id="9"/>
    </w:p>
    <w:p w14:paraId="017E45DE" w14:textId="77777777" w:rsidR="00DE1D7C" w:rsidRPr="00DF4295" w:rsidRDefault="00DE1D7C" w:rsidP="001D1B46">
      <w:pPr>
        <w:ind w:firstLine="720"/>
        <w:jc w:val="both"/>
        <w:rPr>
          <w:rFonts w:ascii="Times New Roman" w:hAnsi="Times New Roman" w:cs="Times New Roman"/>
          <w:sz w:val="28"/>
          <w:szCs w:val="28"/>
        </w:rPr>
      </w:pPr>
      <w:r w:rsidRPr="00DF4295">
        <w:rPr>
          <w:rFonts w:ascii="Times New Roman" w:hAnsi="Times New Roman" w:cs="Times New Roman"/>
          <w:sz w:val="28"/>
          <w:szCs w:val="28"/>
        </w:rPr>
        <w:t xml:space="preserve">ES dalībvalstis un to pašvaldības nodrošina dažādus pakalpojumus iedzīvotājiem. Tie aptver daudz un dažādas jomas (piemēram, pasta pakalpojumi, telekomunikāciju vai </w:t>
      </w:r>
      <w:r w:rsidRPr="00DF4295">
        <w:rPr>
          <w:rFonts w:ascii="Times New Roman" w:hAnsi="Times New Roman" w:cs="Times New Roman"/>
          <w:sz w:val="28"/>
          <w:szCs w:val="28"/>
        </w:rPr>
        <w:lastRenderedPageBreak/>
        <w:t xml:space="preserve">sabiedriskā transporta nodrošināšana, sociālie pakalpojumi, piemēram, vecu cilvēku un invalīdu aprūpe, siltumapgāde, ūdensapgāde un kanalizācija, veselība, bērnu aprūpe, sociālie mājokļi, vispārējās izglītības nodrošināšana) atkarībā no situācijas konkrētajā valstī vai teritorijā. </w:t>
      </w:r>
    </w:p>
    <w:p w14:paraId="644B0573" w14:textId="29E9E512" w:rsidR="00DE1D7C" w:rsidRPr="00DF4295" w:rsidRDefault="00DE1D7C" w:rsidP="001D1B46">
      <w:pPr>
        <w:ind w:firstLine="720"/>
        <w:jc w:val="both"/>
        <w:rPr>
          <w:rFonts w:ascii="Times New Roman" w:hAnsi="Times New Roman" w:cs="Times New Roman"/>
          <w:sz w:val="28"/>
          <w:szCs w:val="28"/>
        </w:rPr>
      </w:pPr>
      <w:r w:rsidRPr="00DF4295">
        <w:rPr>
          <w:rFonts w:ascii="Times New Roman" w:hAnsi="Times New Roman" w:cs="Times New Roman"/>
          <w:sz w:val="28"/>
          <w:szCs w:val="28"/>
        </w:rPr>
        <w:t>Tomēr ir svarīgi nodalīt, kuros gadījumos šādi pakalpojumi ir valsts pienākums, kuros sociāla rakstura pakalpojumi un</w:t>
      </w:r>
      <w:r w:rsidR="002B40A3">
        <w:rPr>
          <w:rFonts w:ascii="Times New Roman" w:hAnsi="Times New Roman" w:cs="Times New Roman"/>
          <w:sz w:val="28"/>
          <w:szCs w:val="28"/>
        </w:rPr>
        <w:t>,</w:t>
      </w:r>
      <w:r w:rsidRPr="00DF4295">
        <w:rPr>
          <w:rFonts w:ascii="Times New Roman" w:hAnsi="Times New Roman" w:cs="Times New Roman"/>
          <w:sz w:val="28"/>
          <w:szCs w:val="28"/>
        </w:rPr>
        <w:t xml:space="preserve"> kuros tiem ir ekonomisks raksturs un tie būtu uzskatāmi par ekonomisku aktivitāti jeb saimnieciskās darbības veikšanu. Ja pakalpojums ir valsts pienākums, piemēram vispārējās izglītības nodrošināšana, komercdarbības atbalsta kontroles regulējums nav jāpiemēro.</w:t>
      </w:r>
    </w:p>
    <w:p w14:paraId="2D1D08A3" w14:textId="77777777" w:rsidR="00DE1D7C" w:rsidRPr="00DF4295" w:rsidRDefault="00DE1D7C" w:rsidP="001D1B46">
      <w:pPr>
        <w:ind w:firstLine="720"/>
        <w:jc w:val="both"/>
        <w:rPr>
          <w:rFonts w:ascii="Times New Roman" w:hAnsi="Times New Roman" w:cs="Times New Roman"/>
          <w:sz w:val="28"/>
          <w:szCs w:val="28"/>
        </w:rPr>
      </w:pPr>
      <w:r w:rsidRPr="00DF4295">
        <w:rPr>
          <w:rFonts w:ascii="Times New Roman" w:hAnsi="Times New Roman" w:cs="Times New Roman"/>
          <w:sz w:val="28"/>
          <w:szCs w:val="28"/>
        </w:rPr>
        <w:t>ES tiesa ir noteikusi, ka sabiedriskie pakalpojumi ir pakalpojumi, kam salīdzinājumā ar citām saimnieciskām darbībām ir īpašas pazīmes</w:t>
      </w:r>
      <w:r w:rsidRPr="00DF4295">
        <w:rPr>
          <w:rStyle w:val="FootnoteReference"/>
          <w:rFonts w:ascii="Times New Roman" w:hAnsi="Times New Roman" w:cs="Times New Roman"/>
          <w:sz w:val="28"/>
          <w:szCs w:val="28"/>
        </w:rPr>
        <w:footnoteReference w:id="7"/>
      </w:r>
      <w:r w:rsidRPr="00DF4295">
        <w:rPr>
          <w:rFonts w:ascii="Times New Roman" w:hAnsi="Times New Roman" w:cs="Times New Roman"/>
          <w:sz w:val="28"/>
          <w:szCs w:val="28"/>
        </w:rPr>
        <w:t xml:space="preserve">. </w:t>
      </w:r>
    </w:p>
    <w:p w14:paraId="4DE11DD2" w14:textId="7E21D252" w:rsidR="00DE1D7C" w:rsidRPr="00DF4295" w:rsidRDefault="00DE1D7C" w:rsidP="001D1B46">
      <w:pPr>
        <w:ind w:firstLine="720"/>
        <w:jc w:val="both"/>
        <w:rPr>
          <w:rFonts w:ascii="Times New Roman" w:hAnsi="Times New Roman" w:cs="Times New Roman"/>
          <w:sz w:val="28"/>
          <w:szCs w:val="28"/>
        </w:rPr>
      </w:pPr>
      <w:r w:rsidRPr="00DF4295">
        <w:rPr>
          <w:rFonts w:ascii="Times New Roman" w:hAnsi="Times New Roman" w:cs="Times New Roman"/>
          <w:sz w:val="28"/>
          <w:szCs w:val="28"/>
        </w:rPr>
        <w:t xml:space="preserve">Nav izstrādāti konkrēti noteikumi ES līmenī par to, kad pakalpojums ir vai nav </w:t>
      </w:r>
      <w:r w:rsidR="003F2EE5" w:rsidRPr="00DF4295">
        <w:rPr>
          <w:rFonts w:ascii="Times New Roman" w:hAnsi="Times New Roman" w:cs="Times New Roman"/>
          <w:sz w:val="28"/>
          <w:szCs w:val="28"/>
        </w:rPr>
        <w:t>VTNP</w:t>
      </w:r>
      <w:r w:rsidRPr="00DF4295">
        <w:rPr>
          <w:rFonts w:ascii="Times New Roman" w:hAnsi="Times New Roman" w:cs="Times New Roman"/>
          <w:sz w:val="28"/>
          <w:szCs w:val="28"/>
        </w:rPr>
        <w:t xml:space="preserve">. ES dalībvalstīm ir plaša rīcības brīvība, attiecīgo pakalpojumu definējot par VTNP un piešķirot kompensāciju pakalpojuma sniedzējam. EK kompetence VTNP definēšanas jautājumā aprobežojas tikai ar pārbaudīšanu, vai attiecīgā dalībvalsts nav pieļāvusi acīmredzamu kļūdu, konkrēto pakalpojumu definējot par </w:t>
      </w:r>
      <w:r w:rsidR="008C7A56">
        <w:rPr>
          <w:rFonts w:ascii="Times New Roman" w:hAnsi="Times New Roman" w:cs="Times New Roman"/>
          <w:sz w:val="28"/>
          <w:szCs w:val="28"/>
        </w:rPr>
        <w:t>VTNP</w:t>
      </w:r>
      <w:r w:rsidRPr="00DF4295">
        <w:rPr>
          <w:rStyle w:val="FootnoteReference"/>
          <w:rFonts w:ascii="Times New Roman" w:hAnsi="Times New Roman" w:cs="Times New Roman"/>
          <w:sz w:val="28"/>
          <w:szCs w:val="28"/>
        </w:rPr>
        <w:footnoteReference w:id="8"/>
      </w:r>
      <w:r w:rsidRPr="00DF4295">
        <w:rPr>
          <w:rFonts w:ascii="Times New Roman" w:hAnsi="Times New Roman" w:cs="Times New Roman"/>
          <w:sz w:val="28"/>
          <w:szCs w:val="28"/>
        </w:rPr>
        <w:t>, un izvērtējot kompensācija</w:t>
      </w:r>
      <w:r w:rsidR="00353919" w:rsidRPr="00DF4295">
        <w:rPr>
          <w:rFonts w:ascii="Times New Roman" w:hAnsi="Times New Roman" w:cs="Times New Roman"/>
          <w:sz w:val="28"/>
          <w:szCs w:val="28"/>
        </w:rPr>
        <w:t>s</w:t>
      </w:r>
      <w:r w:rsidRPr="00DF4295">
        <w:rPr>
          <w:rFonts w:ascii="Times New Roman" w:hAnsi="Times New Roman" w:cs="Times New Roman"/>
          <w:sz w:val="28"/>
          <w:szCs w:val="28"/>
        </w:rPr>
        <w:t xml:space="preserve"> apmēru. </w:t>
      </w:r>
    </w:p>
    <w:p w14:paraId="5041DB81" w14:textId="728E87ED" w:rsidR="00DE1D7C" w:rsidRPr="00DF4295" w:rsidRDefault="00DE1D7C" w:rsidP="001D1B46">
      <w:pPr>
        <w:ind w:firstLine="720"/>
        <w:jc w:val="both"/>
        <w:rPr>
          <w:rFonts w:ascii="Times New Roman" w:hAnsi="Times New Roman" w:cs="Times New Roman"/>
          <w:sz w:val="28"/>
          <w:szCs w:val="28"/>
        </w:rPr>
      </w:pPr>
      <w:r w:rsidRPr="00DF4295">
        <w:rPr>
          <w:rFonts w:ascii="Times New Roman" w:hAnsi="Times New Roman" w:cs="Times New Roman"/>
          <w:sz w:val="28"/>
          <w:szCs w:val="28"/>
        </w:rPr>
        <w:t xml:space="preserve">EK uzskata, ka nebūtu lietderīgi noteikt īpašu </w:t>
      </w:r>
      <w:r w:rsidR="008C7A56">
        <w:rPr>
          <w:rFonts w:ascii="Times New Roman" w:hAnsi="Times New Roman" w:cs="Times New Roman"/>
          <w:sz w:val="28"/>
          <w:szCs w:val="28"/>
        </w:rPr>
        <w:t>VTNP</w:t>
      </w:r>
      <w:r w:rsidRPr="00DF4295">
        <w:rPr>
          <w:rFonts w:ascii="Times New Roman" w:hAnsi="Times New Roman" w:cs="Times New Roman"/>
          <w:sz w:val="28"/>
          <w:szCs w:val="28"/>
        </w:rPr>
        <w:t xml:space="preserve"> sniegšanas pienākumu darbībai, ko uzņēmumi, kas darbojas normālos tirgus apstākļos</w:t>
      </w:r>
      <w:r w:rsidRPr="00DF4295">
        <w:rPr>
          <w:rStyle w:val="FootnoteReference"/>
          <w:rFonts w:ascii="Times New Roman" w:hAnsi="Times New Roman" w:cs="Times New Roman"/>
          <w:sz w:val="28"/>
          <w:szCs w:val="28"/>
        </w:rPr>
        <w:footnoteReference w:id="9"/>
      </w:r>
      <w:r w:rsidRPr="00DF4295">
        <w:rPr>
          <w:rFonts w:ascii="Times New Roman" w:hAnsi="Times New Roman" w:cs="Times New Roman"/>
          <w:sz w:val="28"/>
          <w:szCs w:val="28"/>
        </w:rPr>
        <w:t>, jau sniedz vai var sniegt apmierinošā līmenī un ievērojot valsts noteiktus, sabiedrības interesēm atbilstošus nosacījumus, piemēram attiecībā uz cenu, objektīviem kvalitātes raksturlielumiem, nepārtrauktību un piekļuvi attiecīgajam pakalpojumam. Attiecībā uz to, vai pakalpojumu var piedāvāt tirgus, EK vērtējums aprobežojas ar to, ka tiek pārbaudīts, vai attiecīgā dalībvalsts ir pieļāvusi acīmredzamu kļūdu.</w:t>
      </w:r>
    </w:p>
    <w:p w14:paraId="098EB204" w14:textId="77777777" w:rsidR="00DE1D7C" w:rsidRPr="00DF4295" w:rsidRDefault="00DE1D7C" w:rsidP="001D1B46">
      <w:pPr>
        <w:ind w:firstLine="720"/>
        <w:jc w:val="both"/>
        <w:rPr>
          <w:rFonts w:ascii="Times New Roman" w:hAnsi="Times New Roman" w:cs="Times New Roman"/>
          <w:sz w:val="28"/>
          <w:szCs w:val="28"/>
        </w:rPr>
      </w:pPr>
      <w:r w:rsidRPr="00DF4295">
        <w:rPr>
          <w:rFonts w:ascii="Times New Roman" w:hAnsi="Times New Roman" w:cs="Times New Roman"/>
          <w:sz w:val="28"/>
          <w:szCs w:val="28"/>
        </w:rPr>
        <w:t>ES tiesas judikatūrā un Komisijas lēmumu pieņemšanas praksē ir skatīti daži acīmredzamas kļūdas piemēri:</w:t>
      </w:r>
    </w:p>
    <w:p w14:paraId="4250083D" w14:textId="77777777" w:rsidR="00DE1D7C" w:rsidRPr="00DF4295" w:rsidRDefault="00DE1D7C" w:rsidP="00097423">
      <w:pPr>
        <w:pStyle w:val="ListParagraph"/>
        <w:numPr>
          <w:ilvl w:val="0"/>
          <w:numId w:val="8"/>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Ostu darbības, t. i., vispārēja preču vai jebkādu iekārtu iekraušana, izkraušana, pārkraušana, uzglabāšana un pārvietošana valsts ostās, ne vienmēr ir tādi VTNP, kam piemīt īpašas iezīmes salīdzinājumā ar citu saimniecisko darbību vispārējo tautsaimniecisko nozīmi</w:t>
      </w:r>
      <w:r w:rsidRPr="00DF4295">
        <w:rPr>
          <w:rStyle w:val="FootnoteReference"/>
          <w:rFonts w:ascii="Times New Roman" w:hAnsi="Times New Roman" w:cs="Times New Roman"/>
          <w:sz w:val="28"/>
          <w:szCs w:val="28"/>
        </w:rPr>
        <w:footnoteReference w:id="10"/>
      </w:r>
      <w:r w:rsidRPr="00DF4295">
        <w:rPr>
          <w:rFonts w:ascii="Times New Roman" w:hAnsi="Times New Roman" w:cs="Times New Roman"/>
          <w:sz w:val="28"/>
          <w:szCs w:val="28"/>
        </w:rPr>
        <w:t>.</w:t>
      </w:r>
    </w:p>
    <w:p w14:paraId="1358DC43" w14:textId="77777777" w:rsidR="00DE1D7C" w:rsidRPr="00DF4295" w:rsidRDefault="00DE1D7C" w:rsidP="00097423">
      <w:pPr>
        <w:pStyle w:val="ListParagraph"/>
        <w:numPr>
          <w:ilvl w:val="0"/>
          <w:numId w:val="8"/>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Darbības, kuras ir saistītas ar reklāmu, tirdzniecību internetā, speciālo tālruņa numuru izmantošanu spēlēs ar balvu, sponsorēšanu vai preces virzību tirgū. To iekļaušana </w:t>
      </w:r>
      <w:r w:rsidRPr="00DF4295">
        <w:rPr>
          <w:rFonts w:ascii="Times New Roman" w:hAnsi="Times New Roman" w:cs="Times New Roman"/>
          <w:sz w:val="28"/>
          <w:szCs w:val="28"/>
        </w:rPr>
        <w:lastRenderedPageBreak/>
        <w:t>audiovizuālā sabiedriskā pakalpojuma jomā ir uzskatāma par acīmredzamu kļūdu vērtējumā</w:t>
      </w:r>
      <w:r w:rsidRPr="00DF4295">
        <w:rPr>
          <w:rStyle w:val="FootnoteReference"/>
          <w:rFonts w:ascii="Times New Roman" w:hAnsi="Times New Roman" w:cs="Times New Roman"/>
          <w:sz w:val="28"/>
          <w:szCs w:val="28"/>
        </w:rPr>
        <w:footnoteReference w:id="11"/>
      </w:r>
      <w:r w:rsidRPr="00DF4295">
        <w:rPr>
          <w:rFonts w:ascii="Times New Roman" w:hAnsi="Times New Roman" w:cs="Times New Roman"/>
          <w:sz w:val="28"/>
          <w:szCs w:val="28"/>
        </w:rPr>
        <w:t>.</w:t>
      </w:r>
    </w:p>
    <w:p w14:paraId="5306B07C" w14:textId="77777777" w:rsidR="00DE1D7C" w:rsidRPr="00DF4295" w:rsidRDefault="00DE1D7C" w:rsidP="00097423">
      <w:pPr>
        <w:pStyle w:val="ListParagraph"/>
        <w:numPr>
          <w:ilvl w:val="0"/>
          <w:numId w:val="8"/>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Dzīvnieku līķu iznīcināšana, kas ir tikai tādu ekonomikas dalībnieku interesēs, kuri gūst labumu no šīs darbības. Šiem uzņēmumiem pašiem jāsedz izmaksas par savu radīto atkritumu iznīcināšanu (princips „piesārņotājs maksā”)</w:t>
      </w:r>
      <w:r w:rsidRPr="00DF4295">
        <w:rPr>
          <w:rStyle w:val="FootnoteReference"/>
          <w:rFonts w:ascii="Times New Roman" w:hAnsi="Times New Roman" w:cs="Times New Roman"/>
          <w:sz w:val="28"/>
          <w:szCs w:val="28"/>
        </w:rPr>
        <w:footnoteReference w:id="12"/>
      </w:r>
      <w:r w:rsidRPr="00DF4295">
        <w:rPr>
          <w:rFonts w:ascii="Times New Roman" w:hAnsi="Times New Roman" w:cs="Times New Roman"/>
          <w:sz w:val="28"/>
          <w:szCs w:val="28"/>
        </w:rPr>
        <w:t>.</w:t>
      </w:r>
    </w:p>
    <w:p w14:paraId="42AD5D16" w14:textId="77777777" w:rsidR="00DE1D7C" w:rsidRPr="00DF4295" w:rsidRDefault="00DE1D7C" w:rsidP="00097423">
      <w:pPr>
        <w:pStyle w:val="ListParagraph"/>
        <w:numPr>
          <w:ilvl w:val="0"/>
          <w:numId w:val="8"/>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LESD I pielikumā uzskaitīto produktu ražošana un tirdzniecība</w:t>
      </w:r>
      <w:r w:rsidRPr="00DF4295">
        <w:rPr>
          <w:rStyle w:val="FootnoteReference"/>
          <w:rFonts w:ascii="Times New Roman" w:hAnsi="Times New Roman" w:cs="Times New Roman"/>
          <w:sz w:val="28"/>
          <w:szCs w:val="28"/>
        </w:rPr>
        <w:footnoteReference w:id="13"/>
      </w:r>
      <w:r w:rsidRPr="00DF4295">
        <w:rPr>
          <w:rFonts w:ascii="Times New Roman" w:hAnsi="Times New Roman" w:cs="Times New Roman"/>
          <w:sz w:val="28"/>
          <w:szCs w:val="28"/>
        </w:rPr>
        <w:t>.</w:t>
      </w:r>
    </w:p>
    <w:p w14:paraId="0FD8FF3E" w14:textId="77777777" w:rsidR="00DE1D7C" w:rsidRPr="00DF4295" w:rsidRDefault="00DE1D7C" w:rsidP="00097423">
      <w:pPr>
        <w:pStyle w:val="ListParagraph"/>
        <w:numPr>
          <w:ilvl w:val="0"/>
          <w:numId w:val="8"/>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Platjoslas pakalpojumu nodrošināšana tikai biznesa parkiem, kas tādējādi nedod labumu plašākai sabiedrībai nevar tikt definēta kā VTNP</w:t>
      </w:r>
      <w:r w:rsidRPr="00DF4295">
        <w:rPr>
          <w:rStyle w:val="FootnoteReference"/>
          <w:rFonts w:ascii="Times New Roman" w:hAnsi="Times New Roman" w:cs="Times New Roman"/>
          <w:sz w:val="28"/>
          <w:szCs w:val="28"/>
        </w:rPr>
        <w:footnoteReference w:id="14"/>
      </w:r>
      <w:r w:rsidRPr="00DF4295">
        <w:rPr>
          <w:rFonts w:ascii="Times New Roman" w:hAnsi="Times New Roman" w:cs="Times New Roman"/>
          <w:sz w:val="28"/>
          <w:szCs w:val="28"/>
        </w:rPr>
        <w:t xml:space="preserve">. </w:t>
      </w:r>
    </w:p>
    <w:p w14:paraId="12C4B6BB" w14:textId="77777777" w:rsidR="00DE1D7C" w:rsidRPr="00DF4295" w:rsidRDefault="00DE1D7C" w:rsidP="00097423">
      <w:pPr>
        <w:pStyle w:val="ListParagraph"/>
        <w:numPr>
          <w:ilvl w:val="0"/>
          <w:numId w:val="8"/>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Darbavietu radīšanu vai saglabāšanu kādā uzņēmumā nav iespējams uzskatīt par VTNP. VTNP ir pakalpojumi iedzīvotājiem vai pakalpojumi, ko sniedz visas sabiedrības interesēs; konkrētajā gadījumā minētais aspekts nepastāv, tāpēc to nevar uzskatīt par pamatojumu pasākuma saderīgumu nodrošināt saskaņā ar LESD 106. panta 2. punktu</w:t>
      </w:r>
      <w:r w:rsidRPr="00DF4295">
        <w:rPr>
          <w:rStyle w:val="FootnoteReference"/>
          <w:rFonts w:ascii="Times New Roman" w:hAnsi="Times New Roman" w:cs="Times New Roman"/>
          <w:sz w:val="28"/>
          <w:szCs w:val="28"/>
        </w:rPr>
        <w:footnoteReference w:id="15"/>
      </w:r>
      <w:r w:rsidRPr="00DF4295">
        <w:rPr>
          <w:rFonts w:ascii="Times New Roman" w:hAnsi="Times New Roman" w:cs="Times New Roman"/>
          <w:sz w:val="28"/>
          <w:szCs w:val="28"/>
        </w:rPr>
        <w:t>.</w:t>
      </w:r>
    </w:p>
    <w:p w14:paraId="1FA2E92B" w14:textId="77777777" w:rsidR="00DE1D7C" w:rsidRPr="00DF4295" w:rsidRDefault="00DE1D7C" w:rsidP="001D1B46">
      <w:pPr>
        <w:ind w:firstLine="720"/>
        <w:jc w:val="both"/>
        <w:rPr>
          <w:rFonts w:ascii="Times New Roman" w:hAnsi="Times New Roman" w:cs="Times New Roman"/>
          <w:sz w:val="28"/>
          <w:szCs w:val="28"/>
        </w:rPr>
      </w:pPr>
      <w:r w:rsidRPr="00DF4295">
        <w:rPr>
          <w:rFonts w:ascii="Times New Roman" w:hAnsi="Times New Roman" w:cs="Times New Roman"/>
          <w:sz w:val="28"/>
          <w:szCs w:val="28"/>
        </w:rPr>
        <w:t>Gadījumos, kad parastos tirgus apstākļos darbojas citi uzņēmumi, kuri nav pilnvaroti sniegt VTNP, bet kuri pakalpojumu jau sniedz vai var sniegt apmierinoši un saskaņā ar tādiem nosacījumiem, piem., attiecībā uz cenu, objektīvām kvalitātes īpašībām, nepārtrauktību un piekļuvi pakalpojumam, kas atbilst valsts noteiktajām sabiedrības interesēm, EK uzskata, ka nebūtu pareizi šādam pakalpojumam noteikt VTNP sniegšanas saistības. Tādēļ ir svarīgi, lai ES dalībvalstis skaidri precizētu attiecīgā pakalpojuma iezīmes, īpaši, pakalpojuma sniegšanas nosacījumus un mērķa grupu. Ja pakalpojums tirgū jau tiek sniegts, tomēr attiecīgā dalībvalsts uzskata, ka tā sniegšanas nosacījumi nav apmierinoši, piem., tādēļ, ka tirgus nevar nodrošināt tādu kvalitāti vai cenu, kura, pēc valsts iestāžu viedokļa, atbilstu sabiedrības interesēm (piem., maksa par sabiedrisko transportu ir pārāk augsta ģimenēm ar maziem ienākumiem), šādu pakalpojumu var uzskatīt par VTNP. Šis pakalpojums jāpiedāvā nediskriminējošā veidā.</w:t>
      </w:r>
    </w:p>
    <w:p w14:paraId="47D7EA2A" w14:textId="3A255C02" w:rsidR="00DE1D7C" w:rsidRPr="00DF4295" w:rsidRDefault="00DE1D7C" w:rsidP="001D1B46">
      <w:pPr>
        <w:ind w:firstLine="720"/>
        <w:jc w:val="both"/>
        <w:rPr>
          <w:rFonts w:ascii="Times New Roman" w:hAnsi="Times New Roman" w:cs="Times New Roman"/>
          <w:sz w:val="28"/>
          <w:szCs w:val="28"/>
        </w:rPr>
      </w:pPr>
      <w:r w:rsidRPr="00DF4295">
        <w:rPr>
          <w:rFonts w:ascii="Times New Roman" w:hAnsi="Times New Roman" w:cs="Times New Roman"/>
          <w:noProof/>
          <w:sz w:val="28"/>
          <w:szCs w:val="28"/>
          <w:lang w:eastAsia="lv-LV"/>
        </w:rPr>
        <w:lastRenderedPageBreak/>
        <mc:AlternateContent>
          <mc:Choice Requires="wps">
            <w:drawing>
              <wp:anchor distT="0" distB="0" distL="114300" distR="114300" simplePos="0" relativeHeight="251790336" behindDoc="0" locked="0" layoutInCell="1" allowOverlap="1" wp14:anchorId="56586E09" wp14:editId="1E744BE8">
                <wp:simplePos x="0" y="0"/>
                <wp:positionH relativeFrom="column">
                  <wp:posOffset>2660650</wp:posOffset>
                </wp:positionH>
                <wp:positionV relativeFrom="paragraph">
                  <wp:posOffset>1925955</wp:posOffset>
                </wp:positionV>
                <wp:extent cx="3420110" cy="1690370"/>
                <wp:effectExtent l="0" t="0" r="27940" b="24130"/>
                <wp:wrapSquare wrapText="bothSides"/>
                <wp:docPr id="15" name="Rectangle: Rounded Corners 9"/>
                <wp:cNvGraphicFramePr/>
                <a:graphic xmlns:a="http://schemas.openxmlformats.org/drawingml/2006/main">
                  <a:graphicData uri="http://schemas.microsoft.com/office/word/2010/wordprocessingShape">
                    <wps:wsp>
                      <wps:cNvSpPr/>
                      <wps:spPr>
                        <a:xfrm>
                          <a:off x="0" y="0"/>
                          <a:ext cx="3420110" cy="169037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79F408BD" w14:textId="31A16288" w:rsidR="00431DF4" w:rsidRPr="00F4794A" w:rsidRDefault="00431DF4" w:rsidP="00DE1D7C">
                            <w:pPr>
                              <w:spacing w:before="0" w:after="0"/>
                              <w:jc w:val="both"/>
                              <w:rPr>
                                <w:rFonts w:ascii="Times New Roman" w:hAnsi="Times New Roman" w:cs="Times New Roman"/>
                                <w:b/>
                                <w:sz w:val="24"/>
                                <w:szCs w:val="24"/>
                              </w:rPr>
                            </w:pPr>
                            <w:r w:rsidRPr="00F4794A">
                              <w:rPr>
                                <w:rFonts w:ascii="Times New Roman" w:hAnsi="Times New Roman" w:cs="Times New Roman"/>
                                <w:b/>
                                <w:sz w:val="24"/>
                                <w:szCs w:val="24"/>
                              </w:rPr>
                              <w:t>VTNP sniegšana ir saimnieciskā darbība, ko tirgus dalībnieki vieni paši bez komercdarbības atbalsta sniegt nespēj, vienlaikus nodrošinot, ka pakalpojums ir bez diskriminācijas (tostarp saistībā ar cenu, kvalitāti, nepārtrauktību un piekļuvi pakalpojumam) pieejams visiem iedzīvotājiem. VTNP tiek sniegti sabiedrības interesēs.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56586E09" id="Rectangle: Rounded Corners 9" o:spid="_x0000_s1026" style="position:absolute;left:0;text-align:left;margin-left:209.5pt;margin-top:151.65pt;width:269.3pt;height:133.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3iWAIAAP0EAAAOAAAAZHJzL2Uyb0RvYy54bWysVN9P2zAQfp+0/8Hy+5qmdDAqUlQVMU1C&#10;UFEmnl3HptEcn3d2m3R//c5OGhjr07QXx+f7/d13ubpua8P2Cn0FtuD5aMyZshLKyr4U/PvT7acv&#10;nPkgbCkMWFXwg/L8ev7xw1XjZmoCWzClQkZBrJ81ruDbENwsy7zcqlr4EThlSakBaxFIxJesRNFQ&#10;9Npkk/H4PGsAS4cglff0etMp+TzF11rJ8KC1V4GZglNtIZ2Yzk08s/mVmL2gcNtK9mWIf6iiFpWl&#10;pEOoGxEE22H1V6i6kggedBhJqDPQupIq9UDd5ON33ay3wqnUC4Hj3QCT/39h5f1+7VZIMDTOzzxd&#10;Yxetxjp+qT7WJrAOA1iqDUzS49mUKs4JU0m6/PxyfHaR4Mxe3R368FVBzeKl4Ag7Wz7SSBJSYn/n&#10;A+Ul+6MdCa9VpFs4GBULMfZRaVaVlHeSvBNB1NIg2wsarZBS2TCJ46R4yTq66cqYwTE/5WhC3jv1&#10;ttFNJeIMjuNTjn9mHDxSVrBhcK4rC3gqQPljyNzZH7vveo7th3bT9pPZQHlYIUPoGOydvK0I1Dvh&#10;w0ogUZYGQWsYHujQBpqCQ3/jbAv469R7tCcmkZazhlag4P7nTqDizHyzxLHLfDqNO5OE6eeLCQn4&#10;VrN5q7G7egk0ipwW3sl0jfbBHK8aoX6mbV3ErKQSVlLugsuAR2EZutWkfZdqsUhmtCdOhDu7djIG&#10;jwBHvjy1zwJdz6xApLyH47qI2TtudbbR08JiF0BXiXgR4g7XHnrascSf/n8Ql/itnKxe/1rz3wAA&#10;AP//AwBQSwMEFAAGAAgAAAAhAGyWo9flAAAACwEAAA8AAABkcnMvZG93bnJldi54bWxMj8tOwzAU&#10;RPdI/IN1kdggapeQQEKciocoq0pQChU7J77EEbEd2U6b8vWYFSxHM5o5Uy4m3ZMdOt9Zw2E+Y0DQ&#10;NFZ2puWweX08vwbigzBS9NYghwN6WFTHR6UopN2bF9ytQ0tiifGF4KBCGApKfaNQCz+zA5rofVqn&#10;RYjStVQ6sY/luqcXjGVUi87EBSUGvFfYfK1HzUFu3lZPh7Px4XnJ7tT3x9a9r7Y156cn0+0NkIBT&#10;+AvDL35Ehyoy1XY00pOew+U8j18Ch4QlCZCYyNOrDEjNIc3yFGhV0v8fqh8AAAD//wMAUEsBAi0A&#10;FAAGAAgAAAAhALaDOJL+AAAA4QEAABMAAAAAAAAAAAAAAAAAAAAAAFtDb250ZW50X1R5cGVzXS54&#10;bWxQSwECLQAUAAYACAAAACEAOP0h/9YAAACUAQAACwAAAAAAAAAAAAAAAAAvAQAAX3JlbHMvLnJl&#10;bHNQSwECLQAUAAYACAAAACEA1Es94lgCAAD9BAAADgAAAAAAAAAAAAAAAAAuAgAAZHJzL2Uyb0Rv&#10;Yy54bWxQSwECLQAUAAYACAAAACEAbJaj1+UAAAALAQAADwAAAAAAAAAAAAAAAACyBAAAZHJzL2Rv&#10;d25yZXYueG1sUEsFBgAAAAAEAAQA8wAAAMQFAAAAAA==&#10;" fillcolor="white [3201]" strokecolor="#ed7d31 [3205]" strokeweight="1pt">
                <v:stroke joinstyle="miter"/>
                <v:textbox>
                  <w:txbxContent>
                    <w:p w14:paraId="79F408BD" w14:textId="31A16288" w:rsidR="00431DF4" w:rsidRPr="00F4794A" w:rsidRDefault="00431DF4" w:rsidP="00DE1D7C">
                      <w:pPr>
                        <w:spacing w:before="0" w:after="0"/>
                        <w:jc w:val="both"/>
                        <w:rPr>
                          <w:rFonts w:ascii="Times New Roman" w:hAnsi="Times New Roman" w:cs="Times New Roman"/>
                          <w:b/>
                          <w:sz w:val="24"/>
                          <w:szCs w:val="24"/>
                        </w:rPr>
                      </w:pPr>
                      <w:r w:rsidRPr="00F4794A">
                        <w:rPr>
                          <w:rFonts w:ascii="Times New Roman" w:hAnsi="Times New Roman" w:cs="Times New Roman"/>
                          <w:b/>
                          <w:sz w:val="24"/>
                          <w:szCs w:val="24"/>
                        </w:rPr>
                        <w:t>VTNP sniegšana ir saimnieciskā darbība, ko tirgus dalībnieki vieni paši bez komercdarbības atbalsta sniegt nespēj, vienlaikus nodrošinot, ka pakalpojums ir bez diskriminācijas (tostarp saistībā ar cenu, kvalitāti, nepārtrauktību un piekļuvi pakalpojumam) pieejams visiem iedzīvotājiem. VTNP tiek sniegti sabiedrības interesēs.</w:t>
                      </w:r>
                    </w:p>
                  </w:txbxContent>
                </v:textbox>
                <w10:wrap type="square"/>
              </v:roundrect>
            </w:pict>
          </mc:Fallback>
        </mc:AlternateContent>
      </w:r>
      <w:r w:rsidRPr="00DF4295">
        <w:rPr>
          <w:rFonts w:ascii="Times New Roman" w:hAnsi="Times New Roman" w:cs="Times New Roman"/>
          <w:sz w:val="28"/>
          <w:szCs w:val="28"/>
        </w:rPr>
        <w:t>Savukārt, ja tirgus vēl nepiedāvā attiecīgo pakalpojumu, dalībvalsts ziņā ir lemt, vai tirgus varētu sniegt šādu pakalpojumu, savukārt EK var tikai pārbaudīt, vai nav pieļauta acīmredzama kļūda. Ja pakalpojums citos aspektos ir pamatoti klasificējams kā VTNP, tas vien, ka tirgus varētu nākotnē nodrošināt šo pakalpojumu, principā nekavē dalībvalsti pašreizējā brīdī definēt pakalpojumu kā VTNP. Tomēr gadījumos, kad ir skaidrs, ka tirgus pēc neilga laika varēs sniegt pakalpojumu atbilstoši dalībvalsts paredzētajiem nosacījumiem (tostarp saistībā ar cenu, kvalitāti, nepārtrauktību un piekļuvi pakalpojumam), valsts iestādēm attiecīgi jāsaīsina pilnvarojuma periods un jāuzrauga tirgus attīstība, lai tad, kad beigsies iepriekšējais pilnvarojums, varētu pieņemt lēmumu, vai ir vajadzīgs jauns pilnvarojums. Ja pilnvarojuma perioda beigās tirgus joprojām nespēj nodrošināt konkrēto pakalpojumu un dalībvalsts uzskata, ka pakalpojumu joprojām var klasificēt kā VTNP, ir iespējams sniegt jaunu pilnvarojumu atbilstoši LESD 106. panta 2. punktam.</w:t>
      </w:r>
    </w:p>
    <w:p w14:paraId="413F3B67" w14:textId="54575D81" w:rsidR="00DE1D7C" w:rsidRPr="00DF4295" w:rsidRDefault="00012C46" w:rsidP="001D1B46">
      <w:pPr>
        <w:ind w:firstLine="720"/>
        <w:jc w:val="both"/>
        <w:rPr>
          <w:rFonts w:ascii="Times New Roman" w:hAnsi="Times New Roman" w:cs="Times New Roman"/>
          <w:sz w:val="28"/>
          <w:szCs w:val="28"/>
        </w:rPr>
      </w:pPr>
      <w:r w:rsidRPr="00DF4295">
        <w:rPr>
          <w:rFonts w:ascii="Times New Roman" w:hAnsi="Times New Roman" w:cs="Times New Roman"/>
          <w:noProof/>
          <w:sz w:val="28"/>
          <w:szCs w:val="28"/>
          <w:lang w:eastAsia="lv-LV"/>
        </w:rPr>
        <mc:AlternateContent>
          <mc:Choice Requires="wps">
            <w:drawing>
              <wp:anchor distT="0" distB="0" distL="114300" distR="114300" simplePos="0" relativeHeight="251795456" behindDoc="0" locked="0" layoutInCell="1" allowOverlap="1" wp14:anchorId="3BB67D22" wp14:editId="4F6C52D0">
                <wp:simplePos x="0" y="0"/>
                <wp:positionH relativeFrom="margin">
                  <wp:posOffset>-29210</wp:posOffset>
                </wp:positionH>
                <wp:positionV relativeFrom="paragraph">
                  <wp:posOffset>1078865</wp:posOffset>
                </wp:positionV>
                <wp:extent cx="6209030" cy="2870200"/>
                <wp:effectExtent l="0" t="0" r="20320" b="25400"/>
                <wp:wrapSquare wrapText="bothSides"/>
                <wp:docPr id="2" name="Rectangle: Rounded Corners 9"/>
                <wp:cNvGraphicFramePr/>
                <a:graphic xmlns:a="http://schemas.openxmlformats.org/drawingml/2006/main">
                  <a:graphicData uri="http://schemas.microsoft.com/office/word/2010/wordprocessingShape">
                    <wps:wsp>
                      <wps:cNvSpPr/>
                      <wps:spPr>
                        <a:xfrm>
                          <a:off x="0" y="0"/>
                          <a:ext cx="6209030" cy="287020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A210AB3" w14:textId="77777777" w:rsidR="00431DF4" w:rsidRPr="00012C46" w:rsidRDefault="00431DF4" w:rsidP="00012C46">
                            <w:pPr>
                              <w:spacing w:before="0" w:after="0"/>
                              <w:jc w:val="both"/>
                              <w:rPr>
                                <w:rFonts w:ascii="Times New Roman" w:hAnsi="Times New Roman" w:cs="Times New Roman"/>
                                <w:sz w:val="24"/>
                                <w:szCs w:val="28"/>
                              </w:rPr>
                            </w:pPr>
                            <w:r w:rsidRPr="00012C46">
                              <w:rPr>
                                <w:rFonts w:ascii="Times New Roman" w:hAnsi="Times New Roman" w:cs="Times New Roman"/>
                                <w:sz w:val="24"/>
                                <w:szCs w:val="28"/>
                              </w:rPr>
                              <w:t>Saskaņā ar ES tiesību aktos  noteikto, ES dalībvalstij ir plašas pilnvaras definēt, ko tās uzskata par VTNP. Tai pat laikā, valstij īstenojot savas tiesības definēt VTNP, jāievēro  šādi pamatprincipi:</w:t>
                            </w:r>
                          </w:p>
                          <w:p w14:paraId="40A45EFA" w14:textId="77777777" w:rsidR="00431DF4" w:rsidRPr="00012C46" w:rsidRDefault="00431DF4" w:rsidP="00097423">
                            <w:pPr>
                              <w:pStyle w:val="ListParagraph"/>
                              <w:numPr>
                                <w:ilvl w:val="0"/>
                                <w:numId w:val="17"/>
                              </w:numPr>
                              <w:spacing w:before="0" w:after="0"/>
                              <w:contextualSpacing w:val="0"/>
                              <w:rPr>
                                <w:rFonts w:ascii="Times New Roman" w:hAnsi="Times New Roman" w:cs="Times New Roman"/>
                                <w:sz w:val="24"/>
                                <w:szCs w:val="28"/>
                              </w:rPr>
                            </w:pPr>
                            <w:r w:rsidRPr="00012C46">
                              <w:rPr>
                                <w:rFonts w:ascii="Times New Roman" w:hAnsi="Times New Roman" w:cs="Times New Roman"/>
                                <w:sz w:val="24"/>
                                <w:szCs w:val="28"/>
                              </w:rPr>
                              <w:t>VTNP jābūt vērstam uz iedzīvotāju interešu nodrošināšanu vai jābūt visas sabiedrības interesēs;</w:t>
                            </w:r>
                          </w:p>
                          <w:p w14:paraId="7CDC7083" w14:textId="77777777" w:rsidR="00431DF4" w:rsidRPr="00012C46" w:rsidRDefault="00431DF4" w:rsidP="00097423">
                            <w:pPr>
                              <w:pStyle w:val="ListParagraph"/>
                              <w:numPr>
                                <w:ilvl w:val="0"/>
                                <w:numId w:val="17"/>
                              </w:numPr>
                              <w:spacing w:before="0" w:after="0"/>
                              <w:contextualSpacing w:val="0"/>
                              <w:rPr>
                                <w:rFonts w:ascii="Times New Roman" w:hAnsi="Times New Roman" w:cs="Times New Roman"/>
                                <w:sz w:val="24"/>
                                <w:szCs w:val="28"/>
                              </w:rPr>
                            </w:pPr>
                            <w:r w:rsidRPr="00012C46">
                              <w:rPr>
                                <w:rFonts w:ascii="Times New Roman" w:hAnsi="Times New Roman" w:cs="Times New Roman"/>
                                <w:sz w:val="24"/>
                                <w:szCs w:val="28"/>
                              </w:rPr>
                              <w:t>Par VTNP var atzīt tikai tādu pakalpojumu, ko tirgus dalībnieks, ja tas ņemtu vērā savas komerciālās intereses, neuzņemtos sniegt vispār vai neuzņemtos sniegt tādā pašā apmērā pie tādiem pašiem nosacījumiem kā definētajā “īpašajā uzdevumā”;</w:t>
                            </w:r>
                          </w:p>
                          <w:p w14:paraId="2FD54DAC" w14:textId="77777777" w:rsidR="00431DF4" w:rsidRPr="00012C46" w:rsidRDefault="00431DF4" w:rsidP="00097423">
                            <w:pPr>
                              <w:pStyle w:val="ListParagraph"/>
                              <w:numPr>
                                <w:ilvl w:val="0"/>
                                <w:numId w:val="17"/>
                              </w:numPr>
                              <w:spacing w:before="0" w:after="0"/>
                              <w:contextualSpacing w:val="0"/>
                              <w:rPr>
                                <w:rFonts w:ascii="Times New Roman" w:hAnsi="Times New Roman" w:cs="Times New Roman"/>
                                <w:sz w:val="24"/>
                                <w:szCs w:val="28"/>
                              </w:rPr>
                            </w:pPr>
                            <w:r w:rsidRPr="00012C46">
                              <w:rPr>
                                <w:rFonts w:ascii="Times New Roman" w:hAnsi="Times New Roman" w:cs="Times New Roman"/>
                                <w:sz w:val="24"/>
                                <w:szCs w:val="28"/>
                              </w:rPr>
                              <w:t>Ir jānorāda iemesli, kuru dēļ valsts uzskata, ka attiecīgo pakalpojumu tā īpašā rakstura dēļ ir jāklasificē kā VTNP un to jānošķir no citas saimnieciskās darbības;</w:t>
                            </w:r>
                          </w:p>
                          <w:p w14:paraId="25119188" w14:textId="77777777" w:rsidR="00431DF4" w:rsidRPr="00012C46" w:rsidRDefault="00431DF4" w:rsidP="00097423">
                            <w:pPr>
                              <w:pStyle w:val="ListParagraph"/>
                              <w:numPr>
                                <w:ilvl w:val="0"/>
                                <w:numId w:val="17"/>
                              </w:numPr>
                              <w:spacing w:before="0" w:after="0"/>
                              <w:contextualSpacing w:val="0"/>
                              <w:rPr>
                                <w:rFonts w:ascii="Times New Roman" w:hAnsi="Times New Roman" w:cs="Times New Roman"/>
                                <w:sz w:val="24"/>
                                <w:szCs w:val="28"/>
                              </w:rPr>
                            </w:pPr>
                            <w:r w:rsidRPr="00012C46">
                              <w:rPr>
                                <w:rFonts w:ascii="Times New Roman" w:hAnsi="Times New Roman" w:cs="Times New Roman"/>
                                <w:sz w:val="24"/>
                                <w:szCs w:val="28"/>
                              </w:rPr>
                              <w:t>VTNP jābūt precīzi definētam, ir jābūt skaidram tā saturam.</w:t>
                            </w:r>
                          </w:p>
                          <w:p w14:paraId="2E08E447" w14:textId="77777777" w:rsidR="00431DF4" w:rsidRPr="00012C46" w:rsidRDefault="00431DF4" w:rsidP="00012C46">
                            <w:pPr>
                              <w:pStyle w:val="ListParagraph"/>
                              <w:spacing w:before="0" w:after="0"/>
                              <w:ind w:left="0"/>
                              <w:contextualSpacing w:val="0"/>
                              <w:jc w:val="both"/>
                              <w:rPr>
                                <w:rFonts w:ascii="Times New Roman" w:hAnsi="Times New Roman" w:cs="Times New Roman"/>
                                <w:sz w:val="24"/>
                                <w:szCs w:val="28"/>
                              </w:rPr>
                            </w:pPr>
                            <w:r w:rsidRPr="00012C46">
                              <w:rPr>
                                <w:rFonts w:ascii="Times New Roman" w:hAnsi="Times New Roman" w:cs="Times New Roman"/>
                                <w:sz w:val="24"/>
                                <w:szCs w:val="28"/>
                              </w:rPr>
                              <w:t>Pēc tam, kad valsts ir nepārprotami definējusi VTNP, šo pakalpojumu ar speciālu pilnvarojuma aktu (piemēram, līgumu) uztic sniegt vienam vai vairākiem komersantiem. Pilnvarojuma aktā iekļauj visas prasības, kuras izriet no konkrēti piemērojamā ES tiesību akta.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3BB67D22" id="_x0000_s1027" style="position:absolute;left:0;text-align:left;margin-left:-2.3pt;margin-top:84.95pt;width:488.9pt;height:226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nWQIAAAQFAAAOAAAAZHJzL2Uyb0RvYy54bWysVEtv2zAMvg/YfxB0X+14XR9BnSJI0WFA&#10;0RZth54VWUqMyaJGKbGzXz9Kdpyuy2nYRaZEfnx/vrruGsO2Cn0NtuSTk5wzZSVUtV2V/PvL7acL&#10;znwQthIGrCr5Tnl+Pfv44ap1U1XAGkylkJET66etK/k6BDfNMi/XqhH+BJyypNSAjQh0xVVWoWjJ&#10;e2OyIs/PshawcghSeU+vN72Sz5J/rZUMD1p7FZgpOeUW0onpXMYzm12J6QqFW9dySEP8QxaNqC0F&#10;HV3diCDYBuu/XDW1RPCgw4mEJgOta6lSDVTNJH9XzfNaOJVqoeZ4N7bJ/z+38n777B6R2tA6P/Uk&#10;xio6jU38Un6sS83ajc1SXWCSHs+K/DL/TD2VpCsuznMaR2xndoA79OGrgoZFoeQIG1s90UhSp8T2&#10;zofefm9H4EMWSQo7o2Iixj4pzeqK4hYJnRZELQyyraDRCimVDcUQP1lHmK6NGYGTY0ATJgNosI0w&#10;lRZnBObHgH9GHBEpKtgwgpvaAh5zUP0YI/f2++r7mmP5oVt2VDTxKuYYX5ZQ7R6RIfSL7J28ram3&#10;d8KHR4G0uTQPYmN4oEMbaEsOg8TZGvDXsfdoTwtFWs5aYkLJ/c+NQMWZ+WZp1S4np6eROuly+uW8&#10;oAu+1SzfauymWQBNZEK8dzKJ0T6YvagRmlci7TxGJZWwkmKXXAbcXxahZyjRXqr5PJkRXZwId/bZ&#10;yeg89jmuzUv3KtANCxZoN+9hzxoxfbdivW1EWphvAug67d+hr8MEiGppjYffQuTy23uyOvy8Zr8B&#10;AAD//wMAUEsDBBQABgAIAAAAIQD27c7g4wAAAAoBAAAPAAAAZHJzL2Rvd25yZXYueG1sTI/LTsMw&#10;EEX3SPyDNUhsUOs0oEBCnIqHgFUlKIWKnRMPcURsR7bTpnw9wwqWM3N059xyOZme7dCHzlkBi3kC&#10;DG3jVGdbAZvXh9kVsBClVbJ3FgUcMMCyOj4qZaHc3r7gbh1bRiE2FFKAjnEoOA+NRiPD3A1o6fbp&#10;vJGRRt9y5eWewk3P0yTJuJGdpQ9aDninsflaj0aA2rytng5n4/3zY3Krvz+2/n21rYU4PZluroFF&#10;nOIfDL/6pA4VOdVutCqwXsDsIiOS9lmeAyMgvzxPgdUCsnSRA69K/r9C9QMAAP//AwBQSwECLQAU&#10;AAYACAAAACEAtoM4kv4AAADhAQAAEwAAAAAAAAAAAAAAAAAAAAAAW0NvbnRlbnRfVHlwZXNdLnht&#10;bFBLAQItABQABgAIAAAAIQA4/SH/1gAAAJQBAAALAAAAAAAAAAAAAAAAAC8BAABfcmVscy8ucmVs&#10;c1BLAQItABQABgAIAAAAIQBh+vtnWQIAAAQFAAAOAAAAAAAAAAAAAAAAAC4CAABkcnMvZTJvRG9j&#10;LnhtbFBLAQItABQABgAIAAAAIQD27c7g4wAAAAoBAAAPAAAAAAAAAAAAAAAAALMEAABkcnMvZG93&#10;bnJldi54bWxQSwUGAAAAAAQABADzAAAAwwUAAAAA&#10;" fillcolor="white [3201]" strokecolor="#ed7d31 [3205]" strokeweight="1pt">
                <v:stroke joinstyle="miter"/>
                <v:textbox>
                  <w:txbxContent>
                    <w:p w14:paraId="5A210AB3" w14:textId="77777777" w:rsidR="00431DF4" w:rsidRPr="00012C46" w:rsidRDefault="00431DF4" w:rsidP="00012C46">
                      <w:pPr>
                        <w:spacing w:before="0" w:after="0"/>
                        <w:jc w:val="both"/>
                        <w:rPr>
                          <w:rFonts w:ascii="Times New Roman" w:hAnsi="Times New Roman" w:cs="Times New Roman"/>
                          <w:sz w:val="24"/>
                          <w:szCs w:val="28"/>
                        </w:rPr>
                      </w:pPr>
                      <w:r w:rsidRPr="00012C46">
                        <w:rPr>
                          <w:rFonts w:ascii="Times New Roman" w:hAnsi="Times New Roman" w:cs="Times New Roman"/>
                          <w:sz w:val="24"/>
                          <w:szCs w:val="28"/>
                        </w:rPr>
                        <w:t>Saskaņā ar ES tiesību aktos  noteikto, ES dalībvalstij ir plašas pilnvaras definēt, ko tās uzskata par VTNP. Tai pat laikā, valstij īstenojot savas tiesības definēt VTNP, jāievēro  šādi pamatprincipi:</w:t>
                      </w:r>
                    </w:p>
                    <w:p w14:paraId="40A45EFA" w14:textId="77777777" w:rsidR="00431DF4" w:rsidRPr="00012C46" w:rsidRDefault="00431DF4" w:rsidP="00097423">
                      <w:pPr>
                        <w:pStyle w:val="ListParagraph"/>
                        <w:numPr>
                          <w:ilvl w:val="0"/>
                          <w:numId w:val="17"/>
                        </w:numPr>
                        <w:spacing w:before="0" w:after="0"/>
                        <w:contextualSpacing w:val="0"/>
                        <w:rPr>
                          <w:rFonts w:ascii="Times New Roman" w:hAnsi="Times New Roman" w:cs="Times New Roman"/>
                          <w:sz w:val="24"/>
                          <w:szCs w:val="28"/>
                        </w:rPr>
                      </w:pPr>
                      <w:r w:rsidRPr="00012C46">
                        <w:rPr>
                          <w:rFonts w:ascii="Times New Roman" w:hAnsi="Times New Roman" w:cs="Times New Roman"/>
                          <w:sz w:val="24"/>
                          <w:szCs w:val="28"/>
                        </w:rPr>
                        <w:t>VTNP jābūt vērstam uz iedzīvotāju interešu nodrošināšanu vai jābūt visas sabiedrības interesēs;</w:t>
                      </w:r>
                    </w:p>
                    <w:p w14:paraId="7CDC7083" w14:textId="77777777" w:rsidR="00431DF4" w:rsidRPr="00012C46" w:rsidRDefault="00431DF4" w:rsidP="00097423">
                      <w:pPr>
                        <w:pStyle w:val="ListParagraph"/>
                        <w:numPr>
                          <w:ilvl w:val="0"/>
                          <w:numId w:val="17"/>
                        </w:numPr>
                        <w:spacing w:before="0" w:after="0"/>
                        <w:contextualSpacing w:val="0"/>
                        <w:rPr>
                          <w:rFonts w:ascii="Times New Roman" w:hAnsi="Times New Roman" w:cs="Times New Roman"/>
                          <w:sz w:val="24"/>
                          <w:szCs w:val="28"/>
                        </w:rPr>
                      </w:pPr>
                      <w:r w:rsidRPr="00012C46">
                        <w:rPr>
                          <w:rFonts w:ascii="Times New Roman" w:hAnsi="Times New Roman" w:cs="Times New Roman"/>
                          <w:sz w:val="24"/>
                          <w:szCs w:val="28"/>
                        </w:rPr>
                        <w:t>Par VTNP var atzīt tikai tādu pakalpojumu, ko tirgus dalībnieks, ja tas ņemtu vērā savas komerciālās intereses, neuzņemtos sniegt vispār vai neuzņemtos sniegt tādā pašā apmērā pie tādiem pašiem nosacījumiem kā definētajā “īpašajā uzdevumā”;</w:t>
                      </w:r>
                    </w:p>
                    <w:p w14:paraId="2FD54DAC" w14:textId="77777777" w:rsidR="00431DF4" w:rsidRPr="00012C46" w:rsidRDefault="00431DF4" w:rsidP="00097423">
                      <w:pPr>
                        <w:pStyle w:val="ListParagraph"/>
                        <w:numPr>
                          <w:ilvl w:val="0"/>
                          <w:numId w:val="17"/>
                        </w:numPr>
                        <w:spacing w:before="0" w:after="0"/>
                        <w:contextualSpacing w:val="0"/>
                        <w:rPr>
                          <w:rFonts w:ascii="Times New Roman" w:hAnsi="Times New Roman" w:cs="Times New Roman"/>
                          <w:sz w:val="24"/>
                          <w:szCs w:val="28"/>
                        </w:rPr>
                      </w:pPr>
                      <w:r w:rsidRPr="00012C46">
                        <w:rPr>
                          <w:rFonts w:ascii="Times New Roman" w:hAnsi="Times New Roman" w:cs="Times New Roman"/>
                          <w:sz w:val="24"/>
                          <w:szCs w:val="28"/>
                        </w:rPr>
                        <w:t>Ir jānorāda iemesli, kuru dēļ valsts uzskata, ka attiecīgo pakalpojumu tā īpašā rakstura dēļ ir jāklasificē kā VTNP un to jānošķir no citas saimnieciskās darbības;</w:t>
                      </w:r>
                    </w:p>
                    <w:p w14:paraId="25119188" w14:textId="77777777" w:rsidR="00431DF4" w:rsidRPr="00012C46" w:rsidRDefault="00431DF4" w:rsidP="00097423">
                      <w:pPr>
                        <w:pStyle w:val="ListParagraph"/>
                        <w:numPr>
                          <w:ilvl w:val="0"/>
                          <w:numId w:val="17"/>
                        </w:numPr>
                        <w:spacing w:before="0" w:after="0"/>
                        <w:contextualSpacing w:val="0"/>
                        <w:rPr>
                          <w:rFonts w:ascii="Times New Roman" w:hAnsi="Times New Roman" w:cs="Times New Roman"/>
                          <w:sz w:val="24"/>
                          <w:szCs w:val="28"/>
                        </w:rPr>
                      </w:pPr>
                      <w:r w:rsidRPr="00012C46">
                        <w:rPr>
                          <w:rFonts w:ascii="Times New Roman" w:hAnsi="Times New Roman" w:cs="Times New Roman"/>
                          <w:sz w:val="24"/>
                          <w:szCs w:val="28"/>
                        </w:rPr>
                        <w:t>VTNP jābūt precīzi definētam, ir jābūt skaidram tā saturam.</w:t>
                      </w:r>
                    </w:p>
                    <w:p w14:paraId="2E08E447" w14:textId="77777777" w:rsidR="00431DF4" w:rsidRPr="00012C46" w:rsidRDefault="00431DF4" w:rsidP="00012C46">
                      <w:pPr>
                        <w:pStyle w:val="ListParagraph"/>
                        <w:spacing w:before="0" w:after="0"/>
                        <w:ind w:left="0"/>
                        <w:contextualSpacing w:val="0"/>
                        <w:jc w:val="both"/>
                        <w:rPr>
                          <w:rFonts w:ascii="Times New Roman" w:hAnsi="Times New Roman" w:cs="Times New Roman"/>
                          <w:sz w:val="24"/>
                          <w:szCs w:val="28"/>
                        </w:rPr>
                      </w:pPr>
                      <w:r w:rsidRPr="00012C46">
                        <w:rPr>
                          <w:rFonts w:ascii="Times New Roman" w:hAnsi="Times New Roman" w:cs="Times New Roman"/>
                          <w:sz w:val="24"/>
                          <w:szCs w:val="28"/>
                        </w:rPr>
                        <w:t>Pēc tam, kad valsts ir nepārprotami definējusi VTNP, šo pakalpojumu ar speciālu pilnvarojuma aktu (piemēram, līgumu) uztic sniegt vienam vai vairākiem komersantiem. Pilnvarojuma aktā iekļauj visas prasības, kuras izriet no konkrēti piemērojamā ES tiesību akta.</w:t>
                      </w:r>
                    </w:p>
                  </w:txbxContent>
                </v:textbox>
                <w10:wrap type="square" anchorx="margin"/>
              </v:roundrect>
            </w:pict>
          </mc:Fallback>
        </mc:AlternateContent>
      </w:r>
      <w:r w:rsidR="00DE1D7C" w:rsidRPr="00DF4295">
        <w:rPr>
          <w:rFonts w:ascii="Times New Roman" w:hAnsi="Times New Roman" w:cs="Times New Roman"/>
          <w:sz w:val="28"/>
          <w:szCs w:val="28"/>
        </w:rPr>
        <w:t>Valstij (publiskai personai Valsts pārvaldes iekārtas likuma izpratnē) vajadzētu iejaukties ekonomiskajos procesos tikai tad, ja tirgus nespēj nodrošināt to, kas ir būtisks iedzīvotājiem. Tāpat kā citos gadījumos publiska persona regulāri pārskata un izvērtē savu darbību, lai nodrošinātu pakalpojumus iedzīvotājiem izmaksu efektīvākajā veidā, arī gadījumā, kad runa ir par pakalpojuma definēšanu kā VTNP ir jābūt regulārai situācijas pārskatīšanai (tāpēc EK noteikusi, ka pilnvarojuma periods sniegt noteiktu VTNP nedrīkst parastos apstākļos pārsniegt 10 gadus).</w:t>
      </w:r>
    </w:p>
    <w:p w14:paraId="39E03417" w14:textId="2862A2D3" w:rsidR="00DE1D7C" w:rsidRDefault="00DE1D7C" w:rsidP="001D1B46">
      <w:pPr>
        <w:ind w:firstLine="720"/>
        <w:jc w:val="both"/>
        <w:rPr>
          <w:rFonts w:ascii="Times New Roman" w:hAnsi="Times New Roman" w:cs="Times New Roman"/>
          <w:sz w:val="28"/>
          <w:szCs w:val="28"/>
        </w:rPr>
      </w:pPr>
      <w:r w:rsidRPr="00DF4295">
        <w:rPr>
          <w:rFonts w:ascii="Times New Roman" w:hAnsi="Times New Roman" w:cs="Times New Roman"/>
          <w:sz w:val="28"/>
          <w:szCs w:val="28"/>
        </w:rPr>
        <w:t>Par to, kādi sabiedriskie pakalpojumi Latvijā definēti kā VTNP, iespējams iepazīties šī metodoloģiskā materiāla 5.</w:t>
      </w:r>
      <w:r w:rsidR="00A513A6" w:rsidRPr="00DF4295">
        <w:rPr>
          <w:rFonts w:ascii="Times New Roman" w:hAnsi="Times New Roman" w:cs="Times New Roman"/>
          <w:sz w:val="28"/>
          <w:szCs w:val="28"/>
        </w:rPr>
        <w:t>nodaļā</w:t>
      </w:r>
      <w:r w:rsidRPr="00DF4295">
        <w:rPr>
          <w:rFonts w:ascii="Times New Roman" w:hAnsi="Times New Roman" w:cs="Times New Roman"/>
          <w:sz w:val="28"/>
          <w:szCs w:val="28"/>
        </w:rPr>
        <w:t xml:space="preserve">. </w:t>
      </w:r>
    </w:p>
    <w:p w14:paraId="6B0D4FDE" w14:textId="77777777" w:rsidR="00F52651" w:rsidRPr="00DF4295" w:rsidRDefault="00F52651" w:rsidP="001D1B46">
      <w:pPr>
        <w:ind w:firstLine="720"/>
        <w:jc w:val="both"/>
        <w:rPr>
          <w:rFonts w:ascii="Times New Roman" w:hAnsi="Times New Roman" w:cs="Times New Roman"/>
          <w:sz w:val="28"/>
          <w:szCs w:val="28"/>
        </w:rPr>
      </w:pPr>
    </w:p>
    <w:p w14:paraId="215D4EFC" w14:textId="6B81EF13" w:rsidR="00B67A5F" w:rsidRPr="00DF4295" w:rsidRDefault="0097045A" w:rsidP="00097423">
      <w:pPr>
        <w:pStyle w:val="Heading1"/>
        <w:numPr>
          <w:ilvl w:val="0"/>
          <w:numId w:val="7"/>
        </w:numPr>
        <w:spacing w:before="120" w:after="120"/>
        <w:rPr>
          <w:rFonts w:cs="Times New Roman"/>
          <w:sz w:val="28"/>
          <w:szCs w:val="28"/>
        </w:rPr>
      </w:pPr>
      <w:bookmarkStart w:id="10" w:name="_Toc497228811"/>
      <w:bookmarkStart w:id="11" w:name="_Toc497408986"/>
      <w:bookmarkStart w:id="12" w:name="_Toc500939847"/>
      <w:bookmarkStart w:id="13" w:name="_Toc15391538"/>
      <w:bookmarkEnd w:id="10"/>
      <w:bookmarkEnd w:id="11"/>
      <w:r w:rsidRPr="00DF4295">
        <w:rPr>
          <w:rFonts w:cs="Times New Roman"/>
          <w:sz w:val="28"/>
          <w:szCs w:val="28"/>
        </w:rPr>
        <w:lastRenderedPageBreak/>
        <w:t xml:space="preserve">Izņēmums no komercdarbības atbalsta normu piemērošanas - </w:t>
      </w:r>
      <w:proofErr w:type="spellStart"/>
      <w:r w:rsidR="00B67A5F" w:rsidRPr="00DF4295">
        <w:rPr>
          <w:rFonts w:cs="Times New Roman"/>
          <w:sz w:val="28"/>
          <w:szCs w:val="28"/>
        </w:rPr>
        <w:t>Altmark</w:t>
      </w:r>
      <w:proofErr w:type="spellEnd"/>
      <w:r w:rsidR="00B67A5F" w:rsidRPr="00DF4295">
        <w:rPr>
          <w:rFonts w:cs="Times New Roman"/>
          <w:sz w:val="28"/>
          <w:szCs w:val="28"/>
        </w:rPr>
        <w:t xml:space="preserve"> spriedumā definētie kritēriji</w:t>
      </w:r>
      <w:bookmarkEnd w:id="12"/>
      <w:bookmarkEnd w:id="13"/>
    </w:p>
    <w:p w14:paraId="13ABDB7D" w14:textId="0FCF37CA" w:rsidR="00B67A5F" w:rsidRPr="00DF4295" w:rsidRDefault="007E1B81"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 xml:space="preserve">Komercdarbības atbalsta </w:t>
      </w:r>
      <w:r w:rsidR="005D2C3A" w:rsidRPr="00DF4295">
        <w:rPr>
          <w:rFonts w:ascii="Times New Roman" w:hAnsi="Times New Roman" w:cs="Times New Roman"/>
          <w:sz w:val="28"/>
          <w:szCs w:val="28"/>
        </w:rPr>
        <w:t>esamība</w:t>
      </w:r>
      <w:r w:rsidRPr="00DF4295">
        <w:rPr>
          <w:rFonts w:ascii="Times New Roman" w:hAnsi="Times New Roman" w:cs="Times New Roman"/>
          <w:sz w:val="28"/>
          <w:szCs w:val="28"/>
        </w:rPr>
        <w:t>, sniedzot VTNP var tikt izslēgta tikai tad, ja a</w:t>
      </w:r>
      <w:r w:rsidR="00B67A5F" w:rsidRPr="00DF4295">
        <w:rPr>
          <w:rFonts w:ascii="Times New Roman" w:hAnsi="Times New Roman" w:cs="Times New Roman"/>
          <w:sz w:val="28"/>
          <w:szCs w:val="28"/>
        </w:rPr>
        <w:t xml:space="preserve">ttiecībā uz kompensāciju par izmaksām, kas rodas, sniedzot </w:t>
      </w:r>
      <w:r w:rsidRPr="00DF4295">
        <w:rPr>
          <w:rFonts w:ascii="Times New Roman" w:hAnsi="Times New Roman" w:cs="Times New Roman"/>
          <w:sz w:val="28"/>
          <w:szCs w:val="28"/>
        </w:rPr>
        <w:t>VTNP</w:t>
      </w:r>
      <w:r w:rsidR="00B67A5F" w:rsidRPr="00DF4295">
        <w:rPr>
          <w:rFonts w:ascii="Times New Roman" w:hAnsi="Times New Roman" w:cs="Times New Roman"/>
          <w:sz w:val="28"/>
          <w:szCs w:val="28"/>
        </w:rPr>
        <w:t>,</w:t>
      </w:r>
      <w:r w:rsidRPr="00DF4295">
        <w:rPr>
          <w:rFonts w:ascii="Times New Roman" w:hAnsi="Times New Roman" w:cs="Times New Roman"/>
          <w:sz w:val="28"/>
          <w:szCs w:val="28"/>
        </w:rPr>
        <w:t xml:space="preserve"> tiek ievērots</w:t>
      </w:r>
      <w:r w:rsidR="00B67A5F" w:rsidRPr="00DF4295">
        <w:rPr>
          <w:rFonts w:ascii="Times New Roman" w:hAnsi="Times New Roman" w:cs="Times New Roman"/>
          <w:sz w:val="28"/>
          <w:szCs w:val="28"/>
        </w:rPr>
        <w:t xml:space="preserve"> 2003.gad</w:t>
      </w:r>
      <w:r w:rsidRPr="00DF4295">
        <w:rPr>
          <w:rFonts w:ascii="Times New Roman" w:hAnsi="Times New Roman" w:cs="Times New Roman"/>
          <w:sz w:val="28"/>
          <w:szCs w:val="28"/>
        </w:rPr>
        <w:t>a</w:t>
      </w:r>
      <w:r w:rsidR="00B67A5F" w:rsidRPr="00DF4295">
        <w:rPr>
          <w:rFonts w:ascii="Times New Roman" w:hAnsi="Times New Roman" w:cs="Times New Roman"/>
          <w:sz w:val="28"/>
          <w:szCs w:val="28"/>
        </w:rPr>
        <w:t xml:space="preserve"> ES tiesa</w:t>
      </w:r>
      <w:r w:rsidRPr="00DF4295">
        <w:rPr>
          <w:rFonts w:ascii="Times New Roman" w:hAnsi="Times New Roman" w:cs="Times New Roman"/>
          <w:sz w:val="28"/>
          <w:szCs w:val="28"/>
        </w:rPr>
        <w:t>s</w:t>
      </w:r>
      <w:r w:rsidR="00B67A5F" w:rsidRPr="00DF4295">
        <w:rPr>
          <w:rFonts w:ascii="Times New Roman" w:hAnsi="Times New Roman" w:cs="Times New Roman"/>
          <w:sz w:val="28"/>
          <w:szCs w:val="28"/>
        </w:rPr>
        <w:t xml:space="preserve"> spriedumā lietā </w:t>
      </w:r>
      <w:proofErr w:type="spellStart"/>
      <w:r w:rsidR="00B67A5F" w:rsidRPr="00DF4295">
        <w:rPr>
          <w:rFonts w:ascii="Times New Roman" w:hAnsi="Times New Roman" w:cs="Times New Roman"/>
          <w:i/>
          <w:sz w:val="28"/>
          <w:szCs w:val="28"/>
        </w:rPr>
        <w:t>Altmark</w:t>
      </w:r>
      <w:proofErr w:type="spellEnd"/>
      <w:r w:rsidR="00B67A5F" w:rsidRPr="00DF4295">
        <w:rPr>
          <w:rFonts w:ascii="Times New Roman" w:hAnsi="Times New Roman" w:cs="Times New Roman"/>
          <w:sz w:val="28"/>
          <w:szCs w:val="28"/>
        </w:rPr>
        <w:t xml:space="preserve"> </w:t>
      </w:r>
      <w:r w:rsidRPr="00DF4295">
        <w:rPr>
          <w:rFonts w:ascii="Times New Roman" w:hAnsi="Times New Roman" w:cs="Times New Roman"/>
          <w:sz w:val="28"/>
          <w:szCs w:val="28"/>
        </w:rPr>
        <w:t xml:space="preserve">(turpmāk - </w:t>
      </w:r>
      <w:proofErr w:type="spellStart"/>
      <w:r w:rsidR="00434BA5" w:rsidRPr="00DF4295">
        <w:rPr>
          <w:rFonts w:ascii="Times New Roman" w:hAnsi="Times New Roman" w:cs="Times New Roman"/>
          <w:i/>
          <w:sz w:val="28"/>
          <w:szCs w:val="28"/>
        </w:rPr>
        <w:t>Altmark</w:t>
      </w:r>
      <w:proofErr w:type="spellEnd"/>
      <w:r w:rsidR="00434BA5" w:rsidRPr="00DF4295">
        <w:rPr>
          <w:rFonts w:ascii="Times New Roman" w:hAnsi="Times New Roman" w:cs="Times New Roman"/>
          <w:sz w:val="28"/>
          <w:szCs w:val="28"/>
        </w:rPr>
        <w:t xml:space="preserve">  </w:t>
      </w:r>
      <w:r w:rsidRPr="00DF4295">
        <w:rPr>
          <w:rFonts w:ascii="Times New Roman" w:hAnsi="Times New Roman" w:cs="Times New Roman"/>
          <w:sz w:val="28"/>
          <w:szCs w:val="28"/>
        </w:rPr>
        <w:t>spriedums) noteiktais -</w:t>
      </w:r>
      <w:r w:rsidR="00B67A5F" w:rsidRPr="00DF4295">
        <w:rPr>
          <w:rFonts w:ascii="Times New Roman" w:hAnsi="Times New Roman" w:cs="Times New Roman"/>
          <w:sz w:val="28"/>
          <w:szCs w:val="28"/>
        </w:rPr>
        <w:t xml:space="preserve"> ekonomiskā priekšrocība uzņēmumam nav piešķirta, ja ir izpildīti </w:t>
      </w:r>
      <w:r w:rsidR="00161550" w:rsidRPr="00DF4295">
        <w:rPr>
          <w:rFonts w:ascii="Times New Roman" w:hAnsi="Times New Roman" w:cs="Times New Roman"/>
          <w:sz w:val="28"/>
          <w:szCs w:val="28"/>
        </w:rPr>
        <w:t xml:space="preserve">visi </w:t>
      </w:r>
      <w:r w:rsidR="00B67A5F" w:rsidRPr="00DF4295">
        <w:rPr>
          <w:rFonts w:ascii="Times New Roman" w:hAnsi="Times New Roman" w:cs="Times New Roman"/>
          <w:sz w:val="28"/>
          <w:szCs w:val="28"/>
        </w:rPr>
        <w:t xml:space="preserve">četri </w:t>
      </w:r>
      <w:r w:rsidR="0082369F" w:rsidRPr="00DF4295">
        <w:rPr>
          <w:rFonts w:ascii="Times New Roman" w:hAnsi="Times New Roman" w:cs="Times New Roman"/>
          <w:sz w:val="28"/>
          <w:szCs w:val="28"/>
        </w:rPr>
        <w:t>kritēriji</w:t>
      </w:r>
      <w:r w:rsidR="00B67A5F" w:rsidRPr="00DF4295">
        <w:rPr>
          <w:rStyle w:val="FootnoteReference"/>
          <w:rFonts w:ascii="Times New Roman" w:hAnsi="Times New Roman" w:cs="Times New Roman"/>
          <w:sz w:val="28"/>
          <w:szCs w:val="28"/>
        </w:rPr>
        <w:footnoteReference w:id="16"/>
      </w:r>
      <w:r w:rsidR="00323684" w:rsidRPr="00DF4295">
        <w:rPr>
          <w:rFonts w:ascii="Times New Roman" w:hAnsi="Times New Roman" w:cs="Times New Roman"/>
          <w:sz w:val="28"/>
          <w:szCs w:val="28"/>
        </w:rPr>
        <w:t>, t.i.:</w:t>
      </w:r>
      <w:r w:rsidR="00B67A5F" w:rsidRPr="00DF4295">
        <w:rPr>
          <w:rFonts w:ascii="Times New Roman" w:hAnsi="Times New Roman" w:cs="Times New Roman"/>
          <w:sz w:val="28"/>
          <w:szCs w:val="28"/>
        </w:rPr>
        <w:t xml:space="preserve"> </w:t>
      </w:r>
    </w:p>
    <w:p w14:paraId="430FF7E4" w14:textId="1EBDED76" w:rsidR="00B67A5F" w:rsidRPr="00DF4295" w:rsidRDefault="00B67A5F" w:rsidP="001D1B46">
      <w:pPr>
        <w:pStyle w:val="ListParagraph"/>
        <w:numPr>
          <w:ilvl w:val="0"/>
          <w:numId w:val="1"/>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pakalpojuma sniedzējam ir uzlikts pienākums sniegt </w:t>
      </w:r>
      <w:r w:rsidR="007E1B81" w:rsidRPr="00DF4295">
        <w:rPr>
          <w:rFonts w:ascii="Times New Roman" w:hAnsi="Times New Roman" w:cs="Times New Roman"/>
          <w:sz w:val="28"/>
          <w:szCs w:val="28"/>
        </w:rPr>
        <w:t>VTNP</w:t>
      </w:r>
      <w:r w:rsidRPr="00DF4295">
        <w:rPr>
          <w:rFonts w:ascii="Times New Roman" w:hAnsi="Times New Roman" w:cs="Times New Roman"/>
          <w:sz w:val="28"/>
          <w:szCs w:val="28"/>
        </w:rPr>
        <w:t>, un šis pienākum</w:t>
      </w:r>
      <w:r w:rsidR="007E1B81" w:rsidRPr="00DF4295">
        <w:rPr>
          <w:rFonts w:ascii="Times New Roman" w:hAnsi="Times New Roman" w:cs="Times New Roman"/>
          <w:sz w:val="28"/>
          <w:szCs w:val="28"/>
        </w:rPr>
        <w:t>s</w:t>
      </w:r>
      <w:r w:rsidRPr="00DF4295">
        <w:rPr>
          <w:rFonts w:ascii="Times New Roman" w:hAnsi="Times New Roman" w:cs="Times New Roman"/>
          <w:sz w:val="28"/>
          <w:szCs w:val="28"/>
        </w:rPr>
        <w:t xml:space="preserve"> ir skaidri noteikts;</w:t>
      </w:r>
    </w:p>
    <w:p w14:paraId="56A5C97B" w14:textId="77777777" w:rsidR="00B67A5F" w:rsidRPr="00DF4295" w:rsidRDefault="00B67A5F" w:rsidP="001D1B46">
      <w:pPr>
        <w:pStyle w:val="ListParagraph"/>
        <w:numPr>
          <w:ilvl w:val="0"/>
          <w:numId w:val="1"/>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parametri, uz kuru pamata aprēķina kompensāciju, ir noteikti iepriekš, ievērojot objektivitāti un </w:t>
      </w:r>
      <w:proofErr w:type="spellStart"/>
      <w:r w:rsidRPr="00DF4295">
        <w:rPr>
          <w:rFonts w:ascii="Times New Roman" w:hAnsi="Times New Roman" w:cs="Times New Roman"/>
          <w:sz w:val="28"/>
          <w:szCs w:val="28"/>
        </w:rPr>
        <w:t>pārredzamību</w:t>
      </w:r>
      <w:proofErr w:type="spellEnd"/>
      <w:r w:rsidRPr="00DF4295">
        <w:rPr>
          <w:rFonts w:ascii="Times New Roman" w:hAnsi="Times New Roman" w:cs="Times New Roman"/>
          <w:sz w:val="28"/>
          <w:szCs w:val="28"/>
        </w:rPr>
        <w:t>;</w:t>
      </w:r>
    </w:p>
    <w:p w14:paraId="312F63DA" w14:textId="774B8A7A" w:rsidR="00B67A5F" w:rsidRPr="00DF4295" w:rsidRDefault="00B67A5F" w:rsidP="001D1B46">
      <w:pPr>
        <w:pStyle w:val="ListParagraph"/>
        <w:numPr>
          <w:ilvl w:val="0"/>
          <w:numId w:val="1"/>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kompensācija nepārsniedz summu, kas nepieciešama, lai segtu visas izmaksas vai daļu no izmaksām, kas rodas, pildot </w:t>
      </w:r>
      <w:r w:rsidR="007E1B81" w:rsidRPr="00DF4295">
        <w:rPr>
          <w:rFonts w:ascii="Times New Roman" w:hAnsi="Times New Roman" w:cs="Times New Roman"/>
          <w:sz w:val="28"/>
          <w:szCs w:val="28"/>
        </w:rPr>
        <w:t>VTNP</w:t>
      </w:r>
      <w:r w:rsidRPr="00DF4295">
        <w:rPr>
          <w:rFonts w:ascii="Times New Roman" w:hAnsi="Times New Roman" w:cs="Times New Roman"/>
          <w:sz w:val="28"/>
          <w:szCs w:val="28"/>
        </w:rPr>
        <w:t xml:space="preserve"> sniegšanas pienākumu, ņemot vērā ieņēmumus no šāda pakalpojuma sniegšanas un saprātīgu peļņu;</w:t>
      </w:r>
    </w:p>
    <w:p w14:paraId="021678D1" w14:textId="0303EEB5" w:rsidR="00B67A5F" w:rsidRPr="00DF4295" w:rsidRDefault="00B67A5F" w:rsidP="001D1B46">
      <w:pPr>
        <w:pStyle w:val="ListParagraph"/>
        <w:numPr>
          <w:ilvl w:val="0"/>
          <w:numId w:val="1"/>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lai izvēlētos pretendentu, kurš ir spējīgs sniegt nepieciešamo </w:t>
      </w:r>
      <w:r w:rsidR="007E1B81" w:rsidRPr="00DF4295">
        <w:rPr>
          <w:rFonts w:ascii="Times New Roman" w:hAnsi="Times New Roman" w:cs="Times New Roman"/>
          <w:sz w:val="28"/>
          <w:szCs w:val="28"/>
        </w:rPr>
        <w:t>VTNP</w:t>
      </w:r>
      <w:r w:rsidRPr="00DF4295">
        <w:rPr>
          <w:rFonts w:ascii="Times New Roman" w:hAnsi="Times New Roman" w:cs="Times New Roman"/>
          <w:sz w:val="28"/>
          <w:szCs w:val="28"/>
        </w:rPr>
        <w:t xml:space="preserve"> par zemāko cenu, pakalpojuma sniedzējs ir izvēlēts saskaņā ar publiskā iepirkuma procedūru</w:t>
      </w:r>
      <w:r w:rsidR="002668F8" w:rsidRPr="00DF4295">
        <w:rPr>
          <w:rFonts w:ascii="Times New Roman" w:hAnsi="Times New Roman" w:cs="Times New Roman"/>
          <w:sz w:val="28"/>
          <w:szCs w:val="28"/>
        </w:rPr>
        <w:t xml:space="preserve"> (īstenojot atklātu, pārredzamu, nediskriminējošu un konkurenci nodrošinošu konkursa procedūru)</w:t>
      </w:r>
      <w:r w:rsidRPr="00DF4295">
        <w:rPr>
          <w:rFonts w:ascii="Times New Roman" w:hAnsi="Times New Roman" w:cs="Times New Roman"/>
          <w:sz w:val="28"/>
          <w:szCs w:val="28"/>
        </w:rPr>
        <w:t xml:space="preserve"> vai, ja pakalpojuma sniedzējs nav izvēlēts saskaņā ar publiskā iepirkuma procedūru, nepieciešamās kompensācijas līmenis ir noteikts pirms pakalpojuma saistību uzlikšanas, pamatojoties uz izmaksu analīzi, kuras tāda pat pakalpojuma sniegšanas nodrošināšanai rastos tipiskam</w:t>
      </w:r>
      <w:r w:rsidR="000D2626" w:rsidRPr="00DF4295">
        <w:rPr>
          <w:rFonts w:ascii="Times New Roman" w:hAnsi="Times New Roman" w:cs="Times New Roman"/>
          <w:sz w:val="28"/>
          <w:szCs w:val="28"/>
        </w:rPr>
        <w:t xml:space="preserve"> uzņēmumam</w:t>
      </w:r>
      <w:r w:rsidRPr="00DF4295">
        <w:rPr>
          <w:rFonts w:ascii="Times New Roman" w:hAnsi="Times New Roman" w:cs="Times New Roman"/>
          <w:sz w:val="28"/>
          <w:szCs w:val="28"/>
        </w:rPr>
        <w:t xml:space="preserve">, kas ir labi vadīts un adekvāti nodrošināts ar līdzekļiem, lai spētu izpildīt </w:t>
      </w:r>
      <w:r w:rsidR="007E1B81" w:rsidRPr="00DF4295">
        <w:rPr>
          <w:rFonts w:ascii="Times New Roman" w:hAnsi="Times New Roman" w:cs="Times New Roman"/>
          <w:sz w:val="28"/>
          <w:szCs w:val="28"/>
        </w:rPr>
        <w:t>VTNP</w:t>
      </w:r>
      <w:r w:rsidRPr="00DF4295">
        <w:rPr>
          <w:rFonts w:ascii="Times New Roman" w:hAnsi="Times New Roman" w:cs="Times New Roman"/>
          <w:sz w:val="28"/>
          <w:szCs w:val="28"/>
        </w:rPr>
        <w:t xml:space="preserve"> sniegšanas saistības, ņemot vērā attiecīgos ieņēmumus un paredzot saprātīgu peļņu par šo saistību izpildi. </w:t>
      </w:r>
    </w:p>
    <w:p w14:paraId="29DF9722" w14:textId="5E4593EB" w:rsidR="00431DF4" w:rsidRDefault="00B67A5F" w:rsidP="00497585">
      <w:pPr>
        <w:autoSpaceDE w:val="0"/>
        <w:autoSpaceDN w:val="0"/>
        <w:adjustRightInd w:val="0"/>
        <w:ind w:firstLine="720"/>
        <w:jc w:val="both"/>
        <w:rPr>
          <w:rFonts w:ascii="Times New Roman" w:hAnsi="Times New Roman" w:cs="Times New Roman"/>
          <w:sz w:val="28"/>
          <w:szCs w:val="28"/>
        </w:rPr>
      </w:pPr>
      <w:r w:rsidRPr="00DF4295">
        <w:rPr>
          <w:rFonts w:ascii="Times New Roman" w:hAnsi="Times New Roman" w:cs="Times New Roman"/>
          <w:sz w:val="28"/>
          <w:szCs w:val="28"/>
        </w:rPr>
        <w:t xml:space="preserve">Savu izpratni par katru no šiem nosacījumiem EK ir precizējusi </w:t>
      </w:r>
      <w:r w:rsidRPr="00DF4295">
        <w:rPr>
          <w:rFonts w:ascii="Times New Roman" w:hAnsi="Times New Roman" w:cs="Times New Roman"/>
          <w:i/>
          <w:sz w:val="28"/>
          <w:szCs w:val="28"/>
        </w:rPr>
        <w:t xml:space="preserve">Paziņojumā par Eiropas Savienības </w:t>
      </w:r>
      <w:r w:rsidR="0042679E" w:rsidRPr="00DF4295">
        <w:rPr>
          <w:rFonts w:ascii="Times New Roman" w:hAnsi="Times New Roman" w:cs="Times New Roman"/>
          <w:i/>
          <w:sz w:val="28"/>
          <w:szCs w:val="28"/>
        </w:rPr>
        <w:t xml:space="preserve">komercdarbības </w:t>
      </w:r>
      <w:r w:rsidRPr="00DF4295">
        <w:rPr>
          <w:rFonts w:ascii="Times New Roman" w:hAnsi="Times New Roman" w:cs="Times New Roman"/>
          <w:i/>
          <w:sz w:val="28"/>
          <w:szCs w:val="28"/>
        </w:rPr>
        <w:t>atbalsta noteikumu piemērošanu kompensācijai, kas piešķirta par vispārējas tautsaimnieciskas nozīmes pakalpojumu sniegšanu</w:t>
      </w:r>
      <w:r w:rsidRPr="00DF4295">
        <w:rPr>
          <w:rStyle w:val="FootnoteReference"/>
          <w:rFonts w:ascii="Times New Roman" w:hAnsi="Times New Roman" w:cs="Times New Roman"/>
          <w:i/>
          <w:sz w:val="28"/>
          <w:szCs w:val="28"/>
        </w:rPr>
        <w:footnoteReference w:id="17"/>
      </w:r>
      <w:r w:rsidR="00823034" w:rsidRPr="00DF4295">
        <w:rPr>
          <w:rFonts w:ascii="Times New Roman" w:hAnsi="Times New Roman" w:cs="Times New Roman"/>
          <w:sz w:val="28"/>
          <w:szCs w:val="28"/>
        </w:rPr>
        <w:t xml:space="preserve">. </w:t>
      </w:r>
      <w:proofErr w:type="spellStart"/>
      <w:r w:rsidR="00434BA5" w:rsidRPr="00DF4295">
        <w:rPr>
          <w:rFonts w:ascii="Times New Roman" w:hAnsi="Times New Roman" w:cs="Times New Roman"/>
          <w:i/>
          <w:sz w:val="28"/>
          <w:szCs w:val="28"/>
        </w:rPr>
        <w:t>Altmark</w:t>
      </w:r>
      <w:proofErr w:type="spellEnd"/>
      <w:r w:rsidR="00434BA5" w:rsidRPr="00DF4295">
        <w:rPr>
          <w:rFonts w:ascii="Times New Roman" w:hAnsi="Times New Roman" w:cs="Times New Roman"/>
          <w:sz w:val="28"/>
          <w:szCs w:val="28"/>
        </w:rPr>
        <w:t xml:space="preserve"> s</w:t>
      </w:r>
      <w:r w:rsidRPr="00DF4295">
        <w:rPr>
          <w:rFonts w:ascii="Times New Roman" w:hAnsi="Times New Roman" w:cs="Times New Roman"/>
          <w:sz w:val="28"/>
          <w:szCs w:val="28"/>
        </w:rPr>
        <w:t xml:space="preserve">priedums nosaka, </w:t>
      </w:r>
      <w:r w:rsidR="00823034" w:rsidRPr="00DF4295">
        <w:rPr>
          <w:rFonts w:ascii="Times New Roman" w:hAnsi="Times New Roman" w:cs="Times New Roman"/>
          <w:sz w:val="28"/>
          <w:szCs w:val="28"/>
        </w:rPr>
        <w:t>pie kādiem nosacījumiem publisko līdzekļu piešķiršana netiek kvalificēt</w:t>
      </w:r>
      <w:r w:rsidR="00416DBD" w:rsidRPr="00DF4295">
        <w:rPr>
          <w:rFonts w:ascii="Times New Roman" w:hAnsi="Times New Roman" w:cs="Times New Roman"/>
          <w:sz w:val="28"/>
          <w:szCs w:val="28"/>
        </w:rPr>
        <w:t>a</w:t>
      </w:r>
      <w:r w:rsidR="00823034" w:rsidRPr="00DF4295">
        <w:rPr>
          <w:rFonts w:ascii="Times New Roman" w:hAnsi="Times New Roman" w:cs="Times New Roman"/>
          <w:sz w:val="28"/>
          <w:szCs w:val="28"/>
        </w:rPr>
        <w:t xml:space="preserve"> kā komercdarbības atbalsts</w:t>
      </w:r>
      <w:r w:rsidRPr="00DF4295">
        <w:rPr>
          <w:rFonts w:ascii="Times New Roman" w:hAnsi="Times New Roman" w:cs="Times New Roman"/>
          <w:sz w:val="28"/>
          <w:szCs w:val="28"/>
        </w:rPr>
        <w:t xml:space="preserve">, savukārt </w:t>
      </w:r>
      <w:r w:rsidR="007722BF" w:rsidRPr="00DF4295">
        <w:rPr>
          <w:rFonts w:ascii="Times New Roman" w:hAnsi="Times New Roman" w:cs="Times New Roman"/>
          <w:i/>
          <w:sz w:val="28"/>
          <w:szCs w:val="28"/>
        </w:rPr>
        <w:t>Komisijas 2011. gada 20. decembra lēmumā (2012/21/ES)</w:t>
      </w:r>
      <w:r w:rsidR="007722BF" w:rsidRPr="00DF4295">
        <w:rPr>
          <w:rFonts w:ascii="Times New Roman" w:hAnsi="Times New Roman" w:cs="Times New Roman"/>
          <w:sz w:val="28"/>
          <w:szCs w:val="28"/>
        </w:rPr>
        <w:t xml:space="preserve"> par LESD 106.panta 2.punkta piemērošanu valsts atbalstam attiecībā uz kompensāciju par sabiedriskajiem pakalpojumiem dažiem uzņēmumiem, kuriem uzticēts sniegt pakalpojumus ar vispārēju tautsaimniecisku nozīmi (turpmāk – VTNP lēmums)</w:t>
      </w:r>
      <w:r w:rsidR="007722BF" w:rsidRPr="00DF4295">
        <w:rPr>
          <w:rStyle w:val="FootnoteReference"/>
          <w:rFonts w:ascii="Times New Roman" w:hAnsi="Times New Roman" w:cs="Times New Roman"/>
          <w:sz w:val="28"/>
          <w:szCs w:val="28"/>
        </w:rPr>
        <w:footnoteReference w:id="18"/>
      </w:r>
      <w:r w:rsidRPr="00DF4295">
        <w:rPr>
          <w:rFonts w:ascii="Times New Roman" w:hAnsi="Times New Roman" w:cs="Times New Roman"/>
          <w:sz w:val="28"/>
          <w:szCs w:val="28"/>
        </w:rPr>
        <w:t xml:space="preserve"> un </w:t>
      </w:r>
      <w:r w:rsidR="0034026A" w:rsidRPr="00DF4295">
        <w:rPr>
          <w:rFonts w:ascii="Times New Roman" w:hAnsi="Times New Roman" w:cs="Times New Roman"/>
          <w:sz w:val="28"/>
          <w:szCs w:val="28"/>
        </w:rPr>
        <w:t xml:space="preserve">Eiropas Savienības nostādnēs par valsts atbalstu, ko piešķir kā kompensāciju par sabiedrisko pakalpojumu sniegšanu (2011) (turpmāk – VTNP </w:t>
      </w:r>
      <w:r w:rsidR="0034026A" w:rsidRPr="00DF4295">
        <w:rPr>
          <w:rFonts w:ascii="Times New Roman" w:hAnsi="Times New Roman" w:cs="Times New Roman"/>
          <w:sz w:val="28"/>
          <w:szCs w:val="28"/>
        </w:rPr>
        <w:lastRenderedPageBreak/>
        <w:t>nostādnes)</w:t>
      </w:r>
      <w:r w:rsidR="0034026A" w:rsidRPr="00DF4295">
        <w:rPr>
          <w:rStyle w:val="FootnoteReference"/>
          <w:rFonts w:ascii="Times New Roman" w:hAnsi="Times New Roman" w:cs="Times New Roman"/>
          <w:sz w:val="28"/>
          <w:szCs w:val="28"/>
        </w:rPr>
        <w:footnoteReference w:id="19"/>
      </w:r>
      <w:r w:rsidR="0034026A" w:rsidRPr="00DF4295">
        <w:rPr>
          <w:rFonts w:ascii="Times New Roman" w:hAnsi="Times New Roman" w:cs="Times New Roman"/>
          <w:sz w:val="28"/>
          <w:szCs w:val="28"/>
        </w:rPr>
        <w:t xml:space="preserve"> </w:t>
      </w:r>
      <w:r w:rsidRPr="00DF4295">
        <w:rPr>
          <w:rFonts w:ascii="Times New Roman" w:hAnsi="Times New Roman" w:cs="Times New Roman"/>
          <w:sz w:val="28"/>
          <w:szCs w:val="28"/>
        </w:rPr>
        <w:t xml:space="preserve">ir noteikts, saskaņā ar kādiem nosacījumiem </w:t>
      </w:r>
      <w:r w:rsidR="00416DBD" w:rsidRPr="00DF4295">
        <w:rPr>
          <w:rFonts w:ascii="Times New Roman" w:hAnsi="Times New Roman" w:cs="Times New Roman"/>
          <w:sz w:val="28"/>
          <w:szCs w:val="28"/>
        </w:rPr>
        <w:t>publisko līdzekļu piešķiršana, kas ir kvalificējama kā komercdarbības atbalsts ir saderīga ar ES iekšējo tirgu.</w:t>
      </w:r>
    </w:p>
    <w:p w14:paraId="66F5A13F" w14:textId="4D03E7C7" w:rsidR="004B28F1" w:rsidRPr="00B021D6" w:rsidRDefault="00C0169F" w:rsidP="00497585">
      <w:pPr>
        <w:autoSpaceDE w:val="0"/>
        <w:autoSpaceDN w:val="0"/>
        <w:adjustRightInd w:val="0"/>
        <w:ind w:firstLine="720"/>
        <w:jc w:val="both"/>
        <w:rPr>
          <w:rFonts w:ascii="Times New Roman" w:hAnsi="Times New Roman" w:cs="Times New Roman"/>
          <w:sz w:val="24"/>
          <w:szCs w:val="28"/>
        </w:rPr>
      </w:pPr>
      <w:proofErr w:type="spellStart"/>
      <w:r w:rsidRPr="00DF4295">
        <w:rPr>
          <w:rFonts w:ascii="Times New Roman" w:hAnsi="Times New Roman" w:cs="Times New Roman"/>
          <w:i/>
          <w:sz w:val="28"/>
          <w:szCs w:val="28"/>
        </w:rPr>
        <w:t>Altmark</w:t>
      </w:r>
      <w:proofErr w:type="spellEnd"/>
      <w:r w:rsidRPr="00DF4295">
        <w:rPr>
          <w:rFonts w:ascii="Times New Roman" w:hAnsi="Times New Roman" w:cs="Times New Roman"/>
          <w:sz w:val="28"/>
          <w:szCs w:val="28"/>
        </w:rPr>
        <w:t xml:space="preserve"> spriedumā</w:t>
      </w:r>
      <w:r w:rsidR="00B67A5F" w:rsidRPr="00DF4295">
        <w:rPr>
          <w:rFonts w:ascii="Times New Roman" w:hAnsi="Times New Roman" w:cs="Times New Roman"/>
          <w:sz w:val="28"/>
          <w:szCs w:val="28"/>
        </w:rPr>
        <w:t xml:space="preserve"> noteiktais ceturtais kritērijs ir izpildīts, ja noteiktais kompensācijas apmērs nepārsniedz līmeni, kāds būtu nepieciešams efektīvam uzņēmumam (kurš var uzvarēt konkursā vai ir noteikts salīdzinošā analīzē). Proti, lai aprēķinātu kompensācijas apmēru, nepietiek tikai ar iepriekš noteiktu vidējo statistisko izmaksu izmantošanu</w:t>
      </w:r>
      <w:r w:rsidR="007D6539" w:rsidRPr="00DF4295">
        <w:rPr>
          <w:rFonts w:ascii="Times New Roman" w:hAnsi="Times New Roman" w:cs="Times New Roman"/>
          <w:sz w:val="28"/>
          <w:szCs w:val="28"/>
        </w:rPr>
        <w:t>, ir jāpierāda, ka šād</w:t>
      </w:r>
      <w:r w:rsidR="008A1949" w:rsidRPr="00DF4295">
        <w:rPr>
          <w:rFonts w:ascii="Times New Roman" w:hAnsi="Times New Roman" w:cs="Times New Roman"/>
          <w:sz w:val="28"/>
          <w:szCs w:val="28"/>
        </w:rPr>
        <w:t>a</w:t>
      </w:r>
      <w:r w:rsidR="007D6539" w:rsidRPr="00DF4295">
        <w:rPr>
          <w:rFonts w:ascii="Times New Roman" w:hAnsi="Times New Roman" w:cs="Times New Roman"/>
          <w:sz w:val="28"/>
          <w:szCs w:val="28"/>
        </w:rPr>
        <w:t>s izmaksas ir reprezentatīvs atspoguļojums izmaksām, kādas veidotos tipiskam, labi strādājošam un atbilstoši aprīkotam uzņēmumam.</w:t>
      </w:r>
      <w:r w:rsidR="00B67A5F" w:rsidRPr="00DF4295">
        <w:rPr>
          <w:rStyle w:val="FootnoteReference"/>
          <w:rFonts w:ascii="Times New Roman" w:hAnsi="Times New Roman" w:cs="Times New Roman"/>
          <w:sz w:val="28"/>
          <w:szCs w:val="28"/>
        </w:rPr>
        <w:footnoteReference w:id="20"/>
      </w:r>
    </w:p>
    <w:p w14:paraId="09815CBC" w14:textId="4A348197" w:rsidR="00B67A5F" w:rsidRPr="00DF4295" w:rsidRDefault="009F789F" w:rsidP="001D1B46">
      <w:pPr>
        <w:autoSpaceDE w:val="0"/>
        <w:autoSpaceDN w:val="0"/>
        <w:adjustRightInd w:val="0"/>
        <w:ind w:firstLine="720"/>
        <w:jc w:val="both"/>
        <w:rPr>
          <w:rFonts w:ascii="Times New Roman" w:hAnsi="Times New Roman" w:cs="Times New Roman"/>
          <w:sz w:val="28"/>
          <w:szCs w:val="28"/>
        </w:rPr>
      </w:pPr>
      <w:r w:rsidRPr="00DF4295">
        <w:rPr>
          <w:rFonts w:ascii="Times New Roman" w:hAnsi="Times New Roman" w:cs="Times New Roman"/>
          <w:sz w:val="28"/>
          <w:szCs w:val="28"/>
        </w:rPr>
        <w:t>Ja tiek piemērota publiskā iepirkum</w:t>
      </w:r>
      <w:r w:rsidR="003C442E" w:rsidRPr="00DF4295">
        <w:rPr>
          <w:rFonts w:ascii="Times New Roman" w:hAnsi="Times New Roman" w:cs="Times New Roman"/>
          <w:sz w:val="28"/>
          <w:szCs w:val="28"/>
        </w:rPr>
        <w:t>a</w:t>
      </w:r>
      <w:r w:rsidRPr="00DF4295">
        <w:rPr>
          <w:rFonts w:ascii="Times New Roman" w:hAnsi="Times New Roman" w:cs="Times New Roman"/>
          <w:sz w:val="28"/>
          <w:szCs w:val="28"/>
        </w:rPr>
        <w:t xml:space="preserve"> procedūra, tad jāņem vērā, ka </w:t>
      </w:r>
      <w:r w:rsidR="00B67A5F" w:rsidRPr="00DF4295">
        <w:rPr>
          <w:rFonts w:ascii="Times New Roman" w:hAnsi="Times New Roman" w:cs="Times New Roman"/>
          <w:sz w:val="28"/>
          <w:szCs w:val="28"/>
        </w:rPr>
        <w:t xml:space="preserve">ES tiesa </w:t>
      </w:r>
      <w:proofErr w:type="spellStart"/>
      <w:r w:rsidR="008B3107" w:rsidRPr="00DF4295">
        <w:rPr>
          <w:rFonts w:ascii="Times New Roman" w:hAnsi="Times New Roman" w:cs="Times New Roman"/>
          <w:i/>
          <w:sz w:val="28"/>
          <w:szCs w:val="28"/>
        </w:rPr>
        <w:t>Altmark</w:t>
      </w:r>
      <w:proofErr w:type="spellEnd"/>
      <w:r w:rsidR="008B3107" w:rsidRPr="00DF4295">
        <w:rPr>
          <w:rFonts w:ascii="Times New Roman" w:hAnsi="Times New Roman" w:cs="Times New Roman"/>
          <w:sz w:val="28"/>
          <w:szCs w:val="28"/>
        </w:rPr>
        <w:t xml:space="preserve"> spriedumā </w:t>
      </w:r>
      <w:r w:rsidR="00B67A5F" w:rsidRPr="00DF4295">
        <w:rPr>
          <w:rFonts w:ascii="Times New Roman" w:hAnsi="Times New Roman" w:cs="Times New Roman"/>
          <w:sz w:val="28"/>
          <w:szCs w:val="28"/>
        </w:rPr>
        <w:t xml:space="preserve">noteica prasību, ka jāievēro </w:t>
      </w:r>
      <w:r w:rsidR="00D93A41" w:rsidRPr="00DF4295">
        <w:rPr>
          <w:rFonts w:ascii="Times New Roman" w:hAnsi="Times New Roman" w:cs="Times New Roman"/>
          <w:sz w:val="28"/>
          <w:szCs w:val="28"/>
        </w:rPr>
        <w:t xml:space="preserve">tāda </w:t>
      </w:r>
      <w:r w:rsidR="00B67A5F" w:rsidRPr="00DF4295">
        <w:rPr>
          <w:rFonts w:ascii="Times New Roman" w:hAnsi="Times New Roman" w:cs="Times New Roman"/>
          <w:sz w:val="28"/>
          <w:szCs w:val="28"/>
        </w:rPr>
        <w:t xml:space="preserve">publiskā iepirkuma procedūra, kas ļauj pakalpojumu sniegt par „zemākajām izmaksām sabiedrībai”. Paziņojumā ir skaidrots, ka jēdziens „par zemākajām izmaksām sabiedrībai” ir plašāks nekā jēdziens „par zemāko cenu”, un publiskā iepirkuma procedūrā līgumslēgšanas tiesību piešķiršanai ne obligāti jāizvirza kritērijs par zemāko cenu. </w:t>
      </w:r>
      <w:r w:rsidR="002F08B6" w:rsidRPr="00DF4295">
        <w:rPr>
          <w:rFonts w:ascii="Times New Roman" w:hAnsi="Times New Roman" w:cs="Times New Roman"/>
          <w:sz w:val="28"/>
          <w:szCs w:val="28"/>
        </w:rPr>
        <w:t>V</w:t>
      </w:r>
      <w:r w:rsidR="00B67A5F" w:rsidRPr="00DF4295">
        <w:rPr>
          <w:rFonts w:ascii="Times New Roman" w:hAnsi="Times New Roman" w:cs="Times New Roman"/>
          <w:sz w:val="28"/>
          <w:szCs w:val="28"/>
        </w:rPr>
        <w:t>ar izmantot arī „saimnieciski visizdevīgāko piedāvājumu”, ja piešķiršanas kritēriji ir cieši saistīti ar sniedzamo pakalpojumu un saimnieciski visizdevīgākais piedāvājums ļauj panākt atbils</w:t>
      </w:r>
      <w:r w:rsidR="002F08B6" w:rsidRPr="00DF4295">
        <w:rPr>
          <w:rFonts w:ascii="Times New Roman" w:hAnsi="Times New Roman" w:cs="Times New Roman"/>
          <w:sz w:val="28"/>
          <w:szCs w:val="28"/>
        </w:rPr>
        <w:t>tību</w:t>
      </w:r>
      <w:r w:rsidR="00B67A5F" w:rsidRPr="00DF4295">
        <w:rPr>
          <w:rFonts w:ascii="Times New Roman" w:hAnsi="Times New Roman" w:cs="Times New Roman"/>
          <w:sz w:val="28"/>
          <w:szCs w:val="28"/>
        </w:rPr>
        <w:t xml:space="preserve"> tirgus vērtībai. Šis kritērijs ļauj ņemt vērā virkni elementu, tostarp kvalitātes apsvērumus (papildus tiem, kuri minēti tehniskajās specifikācijās un atlases kritērijos) un sociālos un vides kritērijus, bet kritērijiem jābūt definētiem iepriekš tā, lai nodrošinātu efektīvu konkurenci.</w:t>
      </w:r>
    </w:p>
    <w:p w14:paraId="15F7B25A" w14:textId="5D1A46A5" w:rsidR="000E53FB" w:rsidRPr="00DF4295" w:rsidRDefault="0029334B" w:rsidP="001D1B46">
      <w:pPr>
        <w:autoSpaceDE w:val="0"/>
        <w:autoSpaceDN w:val="0"/>
        <w:adjustRightInd w:val="0"/>
        <w:ind w:firstLine="720"/>
        <w:jc w:val="both"/>
        <w:rPr>
          <w:rFonts w:ascii="Times New Roman" w:hAnsi="Times New Roman" w:cs="Times New Roman"/>
          <w:sz w:val="28"/>
          <w:szCs w:val="28"/>
        </w:rPr>
      </w:pPr>
      <w:r w:rsidRPr="00DF4295">
        <w:rPr>
          <w:rFonts w:ascii="Times New Roman" w:hAnsi="Times New Roman" w:cs="Times New Roman"/>
          <w:i/>
          <w:sz w:val="28"/>
          <w:szCs w:val="28"/>
        </w:rPr>
        <w:t>Komisijas 2012. gada 11. janvāra paziņojum</w:t>
      </w:r>
      <w:r w:rsidR="00E8760D" w:rsidRPr="00DF4295">
        <w:rPr>
          <w:rFonts w:ascii="Times New Roman" w:hAnsi="Times New Roman" w:cs="Times New Roman"/>
          <w:i/>
          <w:sz w:val="28"/>
          <w:szCs w:val="28"/>
        </w:rPr>
        <w:t>a</w:t>
      </w:r>
      <w:r w:rsidRPr="00DF4295">
        <w:rPr>
          <w:rFonts w:ascii="Times New Roman" w:hAnsi="Times New Roman" w:cs="Times New Roman"/>
          <w:i/>
          <w:sz w:val="28"/>
          <w:szCs w:val="28"/>
        </w:rPr>
        <w:t xml:space="preserve"> Nr. 2012/C 8/02 par Eiropas Savienības atbalsta noteikumu piemērošanu kompensācijai, kas piešķirta par vispārējas tautsaimnieciskas nozīmes pakalpojumu sniegšanu </w:t>
      </w:r>
      <w:r w:rsidRPr="00DF4295">
        <w:rPr>
          <w:rFonts w:ascii="Times New Roman" w:hAnsi="Times New Roman" w:cs="Times New Roman"/>
          <w:sz w:val="28"/>
          <w:szCs w:val="28"/>
        </w:rPr>
        <w:t>(turpmāk – VTNP paziņojums)</w:t>
      </w:r>
      <w:r w:rsidRPr="00DF4295">
        <w:rPr>
          <w:rStyle w:val="FootnoteReference"/>
          <w:rFonts w:ascii="Times New Roman" w:hAnsi="Times New Roman" w:cs="Times New Roman"/>
          <w:sz w:val="28"/>
          <w:szCs w:val="28"/>
        </w:rPr>
        <w:footnoteReference w:id="21"/>
      </w:r>
      <w:r w:rsidRPr="00DF4295">
        <w:rPr>
          <w:rFonts w:ascii="Times New Roman" w:hAnsi="Times New Roman" w:cs="Times New Roman"/>
          <w:sz w:val="28"/>
          <w:szCs w:val="28"/>
        </w:rPr>
        <w:t xml:space="preserve"> </w:t>
      </w:r>
      <w:r w:rsidR="00B14A9B" w:rsidRPr="00DF4295">
        <w:rPr>
          <w:rFonts w:ascii="Times New Roman" w:hAnsi="Times New Roman" w:cs="Times New Roman"/>
          <w:sz w:val="28"/>
          <w:szCs w:val="28"/>
        </w:rPr>
        <w:t>68. punktā</w:t>
      </w:r>
      <w:r w:rsidR="00931C7C" w:rsidRPr="00DF4295">
        <w:rPr>
          <w:rFonts w:ascii="Times New Roman" w:hAnsi="Times New Roman" w:cs="Times New Roman"/>
          <w:sz w:val="28"/>
          <w:szCs w:val="28"/>
        </w:rPr>
        <w:t xml:space="preserve"> ir noteikts vispārējs princips, saskaņā ar kuru procedūra, kad tiek iesniegts tikai viens pieteikums, principā nav pietiekama, lai nodrošinātu atbilstību spriedumā </w:t>
      </w:r>
      <w:proofErr w:type="spellStart"/>
      <w:r w:rsidR="00931C7C" w:rsidRPr="00DF4295">
        <w:rPr>
          <w:rFonts w:ascii="Times New Roman" w:hAnsi="Times New Roman" w:cs="Times New Roman"/>
          <w:i/>
          <w:sz w:val="28"/>
          <w:szCs w:val="28"/>
        </w:rPr>
        <w:t>Altmark</w:t>
      </w:r>
      <w:proofErr w:type="spellEnd"/>
      <w:r w:rsidR="00931C7C" w:rsidRPr="00DF4295">
        <w:rPr>
          <w:rFonts w:ascii="Times New Roman" w:hAnsi="Times New Roman" w:cs="Times New Roman"/>
          <w:sz w:val="28"/>
          <w:szCs w:val="28"/>
        </w:rPr>
        <w:t xml:space="preserve"> lietā noteiktā ceturtā kritērija pirmajai alternatīvai</w:t>
      </w:r>
      <w:r w:rsidR="00E8760D" w:rsidRPr="00DF4295">
        <w:rPr>
          <w:rFonts w:ascii="Times New Roman" w:hAnsi="Times New Roman" w:cs="Times New Roman"/>
          <w:sz w:val="28"/>
          <w:szCs w:val="28"/>
        </w:rPr>
        <w:t xml:space="preserve"> (publiskā iepirkuma procedūra)</w:t>
      </w:r>
      <w:r w:rsidR="00931C7C" w:rsidRPr="00DF4295">
        <w:rPr>
          <w:rFonts w:ascii="Times New Roman" w:hAnsi="Times New Roman" w:cs="Times New Roman"/>
          <w:sz w:val="28"/>
          <w:szCs w:val="28"/>
        </w:rPr>
        <w:t>. Tomēr tas nenozīmē, ka nevar būt gadījumi, kad, pateicoties īpaši spēcīgiem aizsardzības mehānismiem izstrādātajā procedūrā, pakalpojuma sniegšanai par zemākajām izmaksām sabiedrībai var būt pietiekama arī tāda procedūra, kurā iesniegts viens pieteikums.</w:t>
      </w:r>
      <w:r w:rsidR="00E8760D" w:rsidRPr="00DF4295">
        <w:rPr>
          <w:rFonts w:ascii="Times New Roman" w:hAnsi="Times New Roman" w:cs="Times New Roman"/>
          <w:sz w:val="28"/>
          <w:szCs w:val="28"/>
        </w:rPr>
        <w:t xml:space="preserve"> Institūcija, kas plāno VTNP noteikšanu šādā gadījumā var veikt </w:t>
      </w:r>
      <w:r w:rsidR="002C36C8" w:rsidRPr="00DF4295">
        <w:rPr>
          <w:rFonts w:ascii="Times New Roman" w:hAnsi="Times New Roman" w:cs="Times New Roman"/>
          <w:sz w:val="28"/>
          <w:szCs w:val="28"/>
        </w:rPr>
        <w:t>salīdzinošo analīzi un pierādīt, ka izmaksas ir reprezentatīvs atspoguļojums izmaksām, kādas veidotos tipiskam, labi strādājošam un atbilstoši aprīkotam uzņēmumam. Vienlaikus jāņem vērā, ka daudz vienkāršāk š</w:t>
      </w:r>
      <w:r w:rsidR="00931C7C" w:rsidRPr="00DF4295">
        <w:rPr>
          <w:rFonts w:ascii="Times New Roman" w:hAnsi="Times New Roman" w:cs="Times New Roman"/>
          <w:sz w:val="28"/>
          <w:szCs w:val="28"/>
        </w:rPr>
        <w:t>ādās situācijās</w:t>
      </w:r>
      <w:r w:rsidR="002C36C8" w:rsidRPr="00DF4295">
        <w:rPr>
          <w:rFonts w:ascii="Times New Roman" w:hAnsi="Times New Roman" w:cs="Times New Roman"/>
          <w:sz w:val="28"/>
          <w:szCs w:val="28"/>
        </w:rPr>
        <w:t xml:space="preserve"> ir</w:t>
      </w:r>
      <w:r w:rsidR="00115FB3" w:rsidRPr="00DF4295">
        <w:rPr>
          <w:rFonts w:ascii="Times New Roman" w:hAnsi="Times New Roman" w:cs="Times New Roman"/>
          <w:sz w:val="28"/>
          <w:szCs w:val="28"/>
        </w:rPr>
        <w:t xml:space="preserve"> nodrošināt sniegtā komercdarbības atbalsta saderīgumu ar ES iekšējo tirgu,</w:t>
      </w:r>
      <w:r w:rsidR="002C36C8" w:rsidRPr="00DF4295">
        <w:rPr>
          <w:rFonts w:ascii="Times New Roman" w:hAnsi="Times New Roman" w:cs="Times New Roman"/>
          <w:sz w:val="28"/>
          <w:szCs w:val="28"/>
        </w:rPr>
        <w:t xml:space="preserve"> piemēro</w:t>
      </w:r>
      <w:r w:rsidR="00115FB3" w:rsidRPr="00DF4295">
        <w:rPr>
          <w:rFonts w:ascii="Times New Roman" w:hAnsi="Times New Roman" w:cs="Times New Roman"/>
          <w:sz w:val="28"/>
          <w:szCs w:val="28"/>
        </w:rPr>
        <w:t>jo</w:t>
      </w:r>
      <w:r w:rsidR="002C36C8" w:rsidRPr="00DF4295">
        <w:rPr>
          <w:rFonts w:ascii="Times New Roman" w:hAnsi="Times New Roman" w:cs="Times New Roman"/>
          <w:sz w:val="28"/>
          <w:szCs w:val="28"/>
        </w:rPr>
        <w:t>t VTNP lēmumu vai</w:t>
      </w:r>
      <w:r w:rsidR="00931C7C" w:rsidRPr="00DF4295">
        <w:rPr>
          <w:rFonts w:ascii="Times New Roman" w:hAnsi="Times New Roman" w:cs="Times New Roman"/>
          <w:sz w:val="28"/>
          <w:szCs w:val="28"/>
        </w:rPr>
        <w:t xml:space="preserve"> paziņo</w:t>
      </w:r>
      <w:r w:rsidR="00115FB3" w:rsidRPr="00DF4295">
        <w:rPr>
          <w:rFonts w:ascii="Times New Roman" w:hAnsi="Times New Roman" w:cs="Times New Roman"/>
          <w:sz w:val="28"/>
          <w:szCs w:val="28"/>
        </w:rPr>
        <w:t>jo</w:t>
      </w:r>
      <w:r w:rsidR="00931C7C" w:rsidRPr="00DF4295">
        <w:rPr>
          <w:rFonts w:ascii="Times New Roman" w:hAnsi="Times New Roman" w:cs="Times New Roman"/>
          <w:sz w:val="28"/>
          <w:szCs w:val="28"/>
        </w:rPr>
        <w:t>t par šo pasākumu</w:t>
      </w:r>
      <w:r w:rsidR="002F08B6" w:rsidRPr="00DF4295">
        <w:rPr>
          <w:rFonts w:ascii="Times New Roman" w:hAnsi="Times New Roman" w:cs="Times New Roman"/>
          <w:sz w:val="28"/>
          <w:szCs w:val="28"/>
        </w:rPr>
        <w:t xml:space="preserve"> EK</w:t>
      </w:r>
      <w:r w:rsidR="00931C7C" w:rsidRPr="00DF4295">
        <w:rPr>
          <w:rFonts w:ascii="Times New Roman" w:hAnsi="Times New Roman" w:cs="Times New Roman"/>
          <w:sz w:val="28"/>
          <w:szCs w:val="28"/>
        </w:rPr>
        <w:t xml:space="preserve">, ja uz to neattiecas </w:t>
      </w:r>
      <w:r w:rsidR="00B14A9B" w:rsidRPr="00DF4295">
        <w:rPr>
          <w:rFonts w:ascii="Times New Roman" w:hAnsi="Times New Roman" w:cs="Times New Roman"/>
          <w:sz w:val="28"/>
          <w:szCs w:val="28"/>
        </w:rPr>
        <w:t xml:space="preserve">VTNP </w:t>
      </w:r>
      <w:r w:rsidR="00931C7C" w:rsidRPr="00DF4295">
        <w:rPr>
          <w:rFonts w:ascii="Times New Roman" w:hAnsi="Times New Roman" w:cs="Times New Roman"/>
          <w:sz w:val="28"/>
          <w:szCs w:val="28"/>
        </w:rPr>
        <w:t>lēmumā noteiktais atbrīvojums.</w:t>
      </w:r>
    </w:p>
    <w:p w14:paraId="67F8C8B0" w14:textId="77777777" w:rsidR="00541B06" w:rsidRPr="00DF4295" w:rsidRDefault="00541B06" w:rsidP="001D1B46">
      <w:pPr>
        <w:jc w:val="both"/>
        <w:rPr>
          <w:rFonts w:ascii="Times New Roman" w:hAnsi="Times New Roman" w:cs="Times New Roman"/>
          <w:sz w:val="28"/>
          <w:szCs w:val="28"/>
        </w:rPr>
      </w:pPr>
      <w:r w:rsidRPr="00DF4295">
        <w:rPr>
          <w:rFonts w:ascii="Times New Roman" w:hAnsi="Times New Roman" w:cs="Times New Roman"/>
          <w:b/>
          <w:sz w:val="28"/>
          <w:szCs w:val="28"/>
        </w:rPr>
        <w:lastRenderedPageBreak/>
        <w:t xml:space="preserve">Piemērs: </w:t>
      </w:r>
      <w:r w:rsidRPr="00DF4295">
        <w:rPr>
          <w:rFonts w:ascii="Times New Roman" w:hAnsi="Times New Roman" w:cs="Times New Roman"/>
          <w:sz w:val="28"/>
          <w:szCs w:val="28"/>
        </w:rPr>
        <w:t>Valsts iestāde pieņem lēmumu pilnvarot uzņēmumu sniegt VTNP un nodrošināt pakalpojumu sniedzējam finansējumu par šo pakalpojumu. Ir trīs iespējamie scenāriji:</w:t>
      </w:r>
    </w:p>
    <w:p w14:paraId="4E380704" w14:textId="77777777" w:rsidR="00541B06" w:rsidRPr="00DF4295" w:rsidRDefault="00541B06" w:rsidP="00097423">
      <w:pPr>
        <w:pStyle w:val="ListParagraph"/>
        <w:numPr>
          <w:ilvl w:val="0"/>
          <w:numId w:val="3"/>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attiecīgo VTNP sniedz uzņēmums, kas izvēlēts konkursa procedūrā atbilstoši </w:t>
      </w:r>
      <w:proofErr w:type="spellStart"/>
      <w:r w:rsidRPr="00DF4295">
        <w:rPr>
          <w:rFonts w:ascii="Times New Roman" w:hAnsi="Times New Roman" w:cs="Times New Roman"/>
          <w:i/>
          <w:sz w:val="28"/>
          <w:szCs w:val="28"/>
        </w:rPr>
        <w:t>Altmark</w:t>
      </w:r>
      <w:proofErr w:type="spellEnd"/>
      <w:r w:rsidRPr="00DF4295">
        <w:rPr>
          <w:rFonts w:ascii="Times New Roman" w:hAnsi="Times New Roman" w:cs="Times New Roman"/>
          <w:sz w:val="28"/>
          <w:szCs w:val="28"/>
        </w:rPr>
        <w:t xml:space="preserve"> spriedumā noteiktajam ceturtajam kritērijam, par cenu, kas ir 90 naudas vienības. Ja izpildīti visi pārējie </w:t>
      </w:r>
      <w:proofErr w:type="spellStart"/>
      <w:r w:rsidRPr="00DF4295">
        <w:rPr>
          <w:rFonts w:ascii="Times New Roman" w:hAnsi="Times New Roman" w:cs="Times New Roman"/>
          <w:i/>
          <w:sz w:val="28"/>
          <w:szCs w:val="28"/>
        </w:rPr>
        <w:t>Altmark</w:t>
      </w:r>
      <w:proofErr w:type="spellEnd"/>
      <w:r w:rsidRPr="00DF4295">
        <w:rPr>
          <w:rFonts w:ascii="Times New Roman" w:hAnsi="Times New Roman" w:cs="Times New Roman"/>
          <w:sz w:val="28"/>
          <w:szCs w:val="28"/>
        </w:rPr>
        <w:t xml:space="preserve"> spriedumā noteiktie kritēriji, kompensācija, kas ir 90 naudas vienības, nav komercdarbības atbalsts; </w:t>
      </w:r>
    </w:p>
    <w:p w14:paraId="567200B0" w14:textId="77777777" w:rsidR="00541B06" w:rsidRPr="00DF4295" w:rsidRDefault="00541B06" w:rsidP="00097423">
      <w:pPr>
        <w:pStyle w:val="ListParagraph"/>
        <w:numPr>
          <w:ilvl w:val="0"/>
          <w:numId w:val="3"/>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VTNP sniedz uzņēmums, kas nav izvēlēts konkursa procedūrā atbilstoši </w:t>
      </w:r>
      <w:proofErr w:type="spellStart"/>
      <w:r w:rsidRPr="00DF4295">
        <w:rPr>
          <w:rFonts w:ascii="Times New Roman" w:hAnsi="Times New Roman" w:cs="Times New Roman"/>
          <w:sz w:val="28"/>
          <w:szCs w:val="28"/>
        </w:rPr>
        <w:t>Altmark</w:t>
      </w:r>
      <w:proofErr w:type="spellEnd"/>
      <w:r w:rsidRPr="00DF4295">
        <w:rPr>
          <w:rFonts w:ascii="Times New Roman" w:hAnsi="Times New Roman" w:cs="Times New Roman"/>
          <w:sz w:val="28"/>
          <w:szCs w:val="28"/>
        </w:rPr>
        <w:t xml:space="preserve"> spriedumā noteiktajam ceturtajam kritērijam, un tā neto izmaksas saistībā ar pakalpojuma sniegšanu ir 90 naudas vienības. Ja šīs izmaksas atbilst izmaksām, kādas veidojas tipiskam labi strādājošam un atbilstoši aprīkotam uzņēmumam, saskaņā ar </w:t>
      </w:r>
      <w:proofErr w:type="spellStart"/>
      <w:r w:rsidRPr="00DF4295">
        <w:rPr>
          <w:rFonts w:ascii="Times New Roman" w:hAnsi="Times New Roman" w:cs="Times New Roman"/>
          <w:i/>
          <w:sz w:val="28"/>
          <w:szCs w:val="28"/>
        </w:rPr>
        <w:t>Altmark</w:t>
      </w:r>
      <w:proofErr w:type="spellEnd"/>
      <w:r w:rsidRPr="00DF4295">
        <w:rPr>
          <w:rFonts w:ascii="Times New Roman" w:hAnsi="Times New Roman" w:cs="Times New Roman"/>
          <w:sz w:val="28"/>
          <w:szCs w:val="28"/>
        </w:rPr>
        <w:t xml:space="preserve"> spriedumā noteikto ceturto kritēriju un ja ir izpildīti visi pārējie </w:t>
      </w:r>
      <w:proofErr w:type="spellStart"/>
      <w:r w:rsidRPr="00DF4295">
        <w:rPr>
          <w:rFonts w:ascii="Times New Roman" w:hAnsi="Times New Roman" w:cs="Times New Roman"/>
          <w:i/>
          <w:sz w:val="28"/>
          <w:szCs w:val="28"/>
        </w:rPr>
        <w:t>Altmark</w:t>
      </w:r>
      <w:proofErr w:type="spellEnd"/>
      <w:r w:rsidRPr="00DF4295">
        <w:rPr>
          <w:rFonts w:ascii="Times New Roman" w:hAnsi="Times New Roman" w:cs="Times New Roman"/>
          <w:sz w:val="28"/>
          <w:szCs w:val="28"/>
        </w:rPr>
        <w:t xml:space="preserve"> spriedumā noteiktie kritēriji, kompensācija, kas ir 90 naudas vienības, nav komercdarbības atbalsts. Vienlaikus jāņem vērā tas, ka </w:t>
      </w:r>
      <w:proofErr w:type="spellStart"/>
      <w:r w:rsidRPr="00DF4295">
        <w:rPr>
          <w:rFonts w:ascii="Times New Roman" w:hAnsi="Times New Roman" w:cs="Times New Roman"/>
          <w:i/>
          <w:sz w:val="28"/>
          <w:szCs w:val="28"/>
        </w:rPr>
        <w:t>Altmark</w:t>
      </w:r>
      <w:proofErr w:type="spellEnd"/>
      <w:r w:rsidRPr="00DF4295">
        <w:rPr>
          <w:rFonts w:ascii="Times New Roman" w:hAnsi="Times New Roman" w:cs="Times New Roman"/>
          <w:sz w:val="28"/>
          <w:szCs w:val="28"/>
        </w:rPr>
        <w:t xml:space="preserve"> ceturtā kritērija pierādīšana, gadījumos, kad cenas noteikšana nav veikta saskaņā ar publiskā iepirkuma procedūrām ir sarežģīta no izmaksu pamatotības pierādīšanas viedokļa;</w:t>
      </w:r>
    </w:p>
    <w:p w14:paraId="6E9150C7" w14:textId="23C8AF38" w:rsidR="00541B06" w:rsidRPr="00DF4295" w:rsidRDefault="00541B06" w:rsidP="00097423">
      <w:pPr>
        <w:pStyle w:val="ListParagraph"/>
        <w:numPr>
          <w:ilvl w:val="0"/>
          <w:numId w:val="3"/>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VTNP sniedz uzņēmums, kas nav izvēlēts konkursa procedūrā un atbilstoši </w:t>
      </w:r>
      <w:proofErr w:type="spellStart"/>
      <w:r w:rsidRPr="00DF4295">
        <w:rPr>
          <w:rFonts w:ascii="Times New Roman" w:hAnsi="Times New Roman" w:cs="Times New Roman"/>
          <w:i/>
          <w:sz w:val="28"/>
          <w:szCs w:val="28"/>
        </w:rPr>
        <w:t>Altmark</w:t>
      </w:r>
      <w:proofErr w:type="spellEnd"/>
      <w:r w:rsidRPr="00DF4295">
        <w:rPr>
          <w:rFonts w:ascii="Times New Roman" w:hAnsi="Times New Roman" w:cs="Times New Roman"/>
          <w:sz w:val="28"/>
          <w:szCs w:val="28"/>
        </w:rPr>
        <w:t xml:space="preserve"> spriedumā noteiktajam ceturtajam kritērijam nav veikta arī kompensācijas apmēra salīdzinošā analīze, un neto izmaksas nepārsniedz 90 naudas vienības. Saskaņā ar lēmumu kompensācija, kas ir 90 naudas vienības, tiks uzskatīta par saderīgu komercdarbības atbalstu, ja tā nepārsniedz apmēru, kāds ir nepieciešams, lai segtu neto izmaksas, kas faktiski radušās uzņēmumam, sniedzot VTNP, ieskaitot saprātīgu peļņu. VTNP lēmumu piemērot ir iespējams, ja attiecīgais VTNP pieder pie </w:t>
      </w:r>
      <w:r w:rsidR="007D3ECD">
        <w:rPr>
          <w:rFonts w:ascii="Times New Roman" w:hAnsi="Times New Roman" w:cs="Times New Roman"/>
          <w:sz w:val="28"/>
          <w:szCs w:val="28"/>
        </w:rPr>
        <w:t xml:space="preserve">VTNP </w:t>
      </w:r>
      <w:r w:rsidRPr="00DF4295">
        <w:rPr>
          <w:rFonts w:ascii="Times New Roman" w:hAnsi="Times New Roman" w:cs="Times New Roman"/>
          <w:sz w:val="28"/>
          <w:szCs w:val="28"/>
        </w:rPr>
        <w:t xml:space="preserve">lēmumā noteiktajām kategorijām un atbilst visiem VTNP lēmuma nosacījumiem, tai skaitā nosacījumam, ka kompensācijai par VTNP ir jābūt noteiktai </w:t>
      </w:r>
      <w:proofErr w:type="spellStart"/>
      <w:r w:rsidRPr="00DF4295">
        <w:rPr>
          <w:rFonts w:ascii="Times New Roman" w:hAnsi="Times New Roman" w:cs="Times New Roman"/>
          <w:i/>
          <w:sz w:val="28"/>
          <w:szCs w:val="28"/>
        </w:rPr>
        <w:t>ex-ante</w:t>
      </w:r>
      <w:proofErr w:type="spellEnd"/>
      <w:r w:rsidRPr="00DF4295">
        <w:rPr>
          <w:rFonts w:ascii="Times New Roman" w:hAnsi="Times New Roman" w:cs="Times New Roman"/>
          <w:sz w:val="28"/>
          <w:szCs w:val="28"/>
        </w:rPr>
        <w:t>.</w:t>
      </w:r>
    </w:p>
    <w:p w14:paraId="578D5955" w14:textId="0823FEB2" w:rsidR="00004866" w:rsidRPr="00497585" w:rsidRDefault="00004866" w:rsidP="0049758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G</w:t>
      </w:r>
      <w:r w:rsidRPr="00497585">
        <w:rPr>
          <w:rFonts w:ascii="Times New Roman" w:hAnsi="Times New Roman" w:cs="Times New Roman"/>
          <w:sz w:val="28"/>
          <w:szCs w:val="28"/>
        </w:rPr>
        <w:t xml:space="preserve">adījumi, kad vienlaikus izpildītos </w:t>
      </w:r>
      <w:proofErr w:type="spellStart"/>
      <w:r w:rsidRPr="00497585">
        <w:rPr>
          <w:rFonts w:ascii="Times New Roman" w:hAnsi="Times New Roman" w:cs="Times New Roman"/>
          <w:i/>
          <w:sz w:val="28"/>
          <w:szCs w:val="28"/>
        </w:rPr>
        <w:t>Altmark</w:t>
      </w:r>
      <w:proofErr w:type="spellEnd"/>
      <w:r w:rsidRPr="00497585">
        <w:rPr>
          <w:rFonts w:ascii="Times New Roman" w:hAnsi="Times New Roman" w:cs="Times New Roman"/>
          <w:sz w:val="28"/>
          <w:szCs w:val="28"/>
        </w:rPr>
        <w:t xml:space="preserve"> spriedumā minētie četri kritēriji, lai uzskatītu, ka VTNP nekvalificējas kā komercdarbības atbalsts, Latvijā ir ļoti reti, jo parasti nav iespējams pierādīt </w:t>
      </w:r>
      <w:proofErr w:type="spellStart"/>
      <w:r w:rsidRPr="00497585">
        <w:rPr>
          <w:rFonts w:ascii="Times New Roman" w:hAnsi="Times New Roman" w:cs="Times New Roman"/>
          <w:i/>
          <w:sz w:val="28"/>
          <w:szCs w:val="28"/>
        </w:rPr>
        <w:t>Altmark</w:t>
      </w:r>
      <w:proofErr w:type="spellEnd"/>
      <w:r w:rsidRPr="00497585">
        <w:rPr>
          <w:rFonts w:ascii="Times New Roman" w:hAnsi="Times New Roman" w:cs="Times New Roman"/>
          <w:sz w:val="28"/>
          <w:szCs w:val="28"/>
        </w:rPr>
        <w:t xml:space="preserve"> spriedumā noteikto ceturto kritēriju.</w:t>
      </w:r>
    </w:p>
    <w:p w14:paraId="6B1EBDEF" w14:textId="7963C158" w:rsidR="00B67A5F" w:rsidRDefault="00167FCE" w:rsidP="001D1B46">
      <w:pPr>
        <w:autoSpaceDE w:val="0"/>
        <w:autoSpaceDN w:val="0"/>
        <w:adjustRightInd w:val="0"/>
        <w:ind w:firstLine="720"/>
        <w:jc w:val="both"/>
        <w:rPr>
          <w:rFonts w:ascii="Times New Roman" w:hAnsi="Times New Roman" w:cs="Times New Roman"/>
          <w:sz w:val="28"/>
          <w:szCs w:val="28"/>
        </w:rPr>
      </w:pPr>
      <w:r w:rsidRPr="00DF4295">
        <w:rPr>
          <w:rFonts w:ascii="Times New Roman" w:hAnsi="Times New Roman" w:cs="Times New Roman"/>
          <w:sz w:val="28"/>
          <w:szCs w:val="28"/>
        </w:rPr>
        <w:t xml:space="preserve">Ja </w:t>
      </w:r>
      <w:r w:rsidR="00B67A5F" w:rsidRPr="00DF4295">
        <w:rPr>
          <w:rFonts w:ascii="Times New Roman" w:hAnsi="Times New Roman" w:cs="Times New Roman"/>
          <w:sz w:val="28"/>
          <w:szCs w:val="28"/>
        </w:rPr>
        <w:t xml:space="preserve"> </w:t>
      </w:r>
      <w:proofErr w:type="spellStart"/>
      <w:r w:rsidR="008B3107" w:rsidRPr="00DF4295">
        <w:rPr>
          <w:rFonts w:ascii="Times New Roman" w:hAnsi="Times New Roman" w:cs="Times New Roman"/>
          <w:i/>
          <w:sz w:val="28"/>
          <w:szCs w:val="28"/>
        </w:rPr>
        <w:t>Altmark</w:t>
      </w:r>
      <w:proofErr w:type="spellEnd"/>
      <w:r w:rsidR="008B3107" w:rsidRPr="00DF4295">
        <w:rPr>
          <w:rFonts w:ascii="Times New Roman" w:hAnsi="Times New Roman" w:cs="Times New Roman"/>
          <w:sz w:val="28"/>
          <w:szCs w:val="28"/>
        </w:rPr>
        <w:t xml:space="preserve"> spriedumā </w:t>
      </w:r>
      <w:r w:rsidR="00B67A5F" w:rsidRPr="00DF4295">
        <w:rPr>
          <w:rFonts w:ascii="Times New Roman" w:hAnsi="Times New Roman" w:cs="Times New Roman"/>
          <w:sz w:val="28"/>
          <w:szCs w:val="28"/>
        </w:rPr>
        <w:t>minētie kritēriji nav ievēroti</w:t>
      </w:r>
      <w:r w:rsidR="00F30258" w:rsidRPr="00DF4295">
        <w:rPr>
          <w:rFonts w:ascii="Times New Roman" w:hAnsi="Times New Roman" w:cs="Times New Roman"/>
          <w:sz w:val="28"/>
          <w:szCs w:val="28"/>
        </w:rPr>
        <w:t>,</w:t>
      </w:r>
      <w:r w:rsidR="00B67A5F" w:rsidRPr="00DF4295">
        <w:rPr>
          <w:rFonts w:ascii="Times New Roman" w:hAnsi="Times New Roman" w:cs="Times New Roman"/>
          <w:sz w:val="28"/>
          <w:szCs w:val="28"/>
        </w:rPr>
        <w:t xml:space="preserve"> kompensācija par sabiedrisko pakalpojumu sniegšanu ir uzskatāma par komercdarbības atbalstu</w:t>
      </w:r>
      <w:r w:rsidR="00042EA9">
        <w:rPr>
          <w:rFonts w:ascii="Times New Roman" w:hAnsi="Times New Roman" w:cs="Times New Roman"/>
          <w:sz w:val="28"/>
          <w:szCs w:val="28"/>
        </w:rPr>
        <w:t xml:space="preserve"> (VTNP)</w:t>
      </w:r>
      <w:r w:rsidR="00B67A5F" w:rsidRPr="00DF4295">
        <w:rPr>
          <w:rFonts w:ascii="Times New Roman" w:hAnsi="Times New Roman" w:cs="Times New Roman"/>
          <w:sz w:val="28"/>
          <w:szCs w:val="28"/>
        </w:rPr>
        <w:t xml:space="preserve">. </w:t>
      </w:r>
    </w:p>
    <w:p w14:paraId="696B1C6F" w14:textId="4D1E6115" w:rsidR="00004866" w:rsidRDefault="00004866" w:rsidP="00004866">
      <w:pPr>
        <w:autoSpaceDE w:val="0"/>
        <w:autoSpaceDN w:val="0"/>
        <w:adjustRightInd w:val="0"/>
        <w:ind w:firstLine="720"/>
        <w:jc w:val="both"/>
        <w:rPr>
          <w:rFonts w:ascii="Times New Roman" w:hAnsi="Times New Roman" w:cs="Times New Roman"/>
          <w:sz w:val="28"/>
          <w:szCs w:val="28"/>
        </w:rPr>
      </w:pPr>
    </w:p>
    <w:p w14:paraId="217F3AE6" w14:textId="221BC375" w:rsidR="00431DF4" w:rsidRDefault="00431DF4" w:rsidP="00004866">
      <w:pPr>
        <w:autoSpaceDE w:val="0"/>
        <w:autoSpaceDN w:val="0"/>
        <w:adjustRightInd w:val="0"/>
        <w:ind w:firstLine="720"/>
        <w:jc w:val="both"/>
        <w:rPr>
          <w:rFonts w:ascii="Times New Roman" w:hAnsi="Times New Roman" w:cs="Times New Roman"/>
          <w:sz w:val="28"/>
          <w:szCs w:val="28"/>
        </w:rPr>
      </w:pPr>
    </w:p>
    <w:p w14:paraId="1E2627AA" w14:textId="465948CF" w:rsidR="00293852" w:rsidRDefault="00293852" w:rsidP="00004866">
      <w:pPr>
        <w:autoSpaceDE w:val="0"/>
        <w:autoSpaceDN w:val="0"/>
        <w:adjustRightInd w:val="0"/>
        <w:ind w:firstLine="720"/>
        <w:jc w:val="both"/>
        <w:rPr>
          <w:rFonts w:ascii="Times New Roman" w:hAnsi="Times New Roman" w:cs="Times New Roman"/>
          <w:sz w:val="28"/>
          <w:szCs w:val="28"/>
        </w:rPr>
      </w:pPr>
    </w:p>
    <w:p w14:paraId="6A4B05D6" w14:textId="2C7C85B0" w:rsidR="00293852" w:rsidRDefault="00293852" w:rsidP="00004866">
      <w:pPr>
        <w:autoSpaceDE w:val="0"/>
        <w:autoSpaceDN w:val="0"/>
        <w:adjustRightInd w:val="0"/>
        <w:ind w:firstLine="720"/>
        <w:jc w:val="both"/>
        <w:rPr>
          <w:rFonts w:ascii="Times New Roman" w:hAnsi="Times New Roman" w:cs="Times New Roman"/>
          <w:sz w:val="28"/>
          <w:szCs w:val="28"/>
        </w:rPr>
      </w:pPr>
    </w:p>
    <w:p w14:paraId="40218887" w14:textId="77777777" w:rsidR="00293852" w:rsidRDefault="00293852" w:rsidP="00004866">
      <w:pPr>
        <w:autoSpaceDE w:val="0"/>
        <w:autoSpaceDN w:val="0"/>
        <w:adjustRightInd w:val="0"/>
        <w:ind w:firstLine="720"/>
        <w:jc w:val="both"/>
        <w:rPr>
          <w:rFonts w:ascii="Times New Roman" w:hAnsi="Times New Roman" w:cs="Times New Roman"/>
          <w:sz w:val="28"/>
          <w:szCs w:val="28"/>
        </w:rPr>
      </w:pPr>
    </w:p>
    <w:p w14:paraId="557B383A" w14:textId="77777777" w:rsidR="00431DF4" w:rsidRPr="00DF4295" w:rsidRDefault="00431DF4" w:rsidP="00004866">
      <w:pPr>
        <w:autoSpaceDE w:val="0"/>
        <w:autoSpaceDN w:val="0"/>
        <w:adjustRightInd w:val="0"/>
        <w:ind w:firstLine="720"/>
        <w:jc w:val="both"/>
        <w:rPr>
          <w:rFonts w:ascii="Times New Roman" w:hAnsi="Times New Roman" w:cs="Times New Roman"/>
          <w:sz w:val="28"/>
          <w:szCs w:val="28"/>
        </w:rPr>
      </w:pPr>
    </w:p>
    <w:p w14:paraId="4D2EB20E" w14:textId="7E45C10A" w:rsidR="00004866" w:rsidRDefault="00004866" w:rsidP="00004866">
      <w:pPr>
        <w:autoSpaceDE w:val="0"/>
        <w:autoSpaceDN w:val="0"/>
        <w:adjustRightInd w:val="0"/>
        <w:ind w:firstLine="720"/>
        <w:jc w:val="both"/>
        <w:rPr>
          <w:rFonts w:ascii="Times New Roman" w:hAnsi="Times New Roman" w:cs="Times New Roman"/>
          <w:sz w:val="28"/>
          <w:szCs w:val="28"/>
        </w:rPr>
      </w:pPr>
    </w:p>
    <w:p w14:paraId="550B8C46" w14:textId="1473C8AB" w:rsidR="00431DF4" w:rsidRPr="00DF4295" w:rsidRDefault="00431DF4" w:rsidP="00004866">
      <w:pPr>
        <w:autoSpaceDE w:val="0"/>
        <w:autoSpaceDN w:val="0"/>
        <w:adjustRightInd w:val="0"/>
        <w:ind w:firstLine="720"/>
        <w:jc w:val="both"/>
        <w:rPr>
          <w:rFonts w:ascii="Times New Roman" w:hAnsi="Times New Roman" w:cs="Times New Roman"/>
          <w:sz w:val="28"/>
          <w:szCs w:val="28"/>
        </w:rPr>
      </w:pPr>
      <w:r w:rsidRPr="00DF4295">
        <w:rPr>
          <w:rFonts w:ascii="Times New Roman" w:hAnsi="Times New Roman" w:cs="Times New Roman"/>
          <w:noProof/>
          <w:sz w:val="28"/>
          <w:szCs w:val="28"/>
          <w:lang w:eastAsia="lv-LV"/>
        </w:rPr>
        <mc:AlternateContent>
          <mc:Choice Requires="wpg">
            <w:drawing>
              <wp:anchor distT="0" distB="0" distL="114300" distR="114300" simplePos="0" relativeHeight="251797504" behindDoc="0" locked="0" layoutInCell="1" allowOverlap="1" wp14:anchorId="63D00706" wp14:editId="28409BDB">
                <wp:simplePos x="0" y="0"/>
                <wp:positionH relativeFrom="column">
                  <wp:posOffset>130178</wp:posOffset>
                </wp:positionH>
                <wp:positionV relativeFrom="paragraph">
                  <wp:posOffset>71119</wp:posOffset>
                </wp:positionV>
                <wp:extent cx="5908678" cy="2243470"/>
                <wp:effectExtent l="0" t="0" r="15875" b="23495"/>
                <wp:wrapNone/>
                <wp:docPr id="1" name="Group 1"/>
                <wp:cNvGraphicFramePr/>
                <a:graphic xmlns:a="http://schemas.openxmlformats.org/drawingml/2006/main">
                  <a:graphicData uri="http://schemas.microsoft.com/office/word/2010/wordprocessingGroup">
                    <wpg:wgp>
                      <wpg:cNvGrpSpPr/>
                      <wpg:grpSpPr>
                        <a:xfrm>
                          <a:off x="0" y="0"/>
                          <a:ext cx="5908678" cy="2243470"/>
                          <a:chOff x="-3" y="0"/>
                          <a:chExt cx="5908678" cy="2243470"/>
                        </a:xfrm>
                      </wpg:grpSpPr>
                      <wps:wsp>
                        <wps:cNvPr id="10" name="Rectangle: Rounded Corners 9"/>
                        <wps:cNvSpPr/>
                        <wps:spPr>
                          <a:xfrm>
                            <a:off x="0" y="76200"/>
                            <a:ext cx="2822811" cy="850296"/>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660AE96C" w14:textId="752F98B0" w:rsidR="00431DF4" w:rsidRPr="00D42F25" w:rsidRDefault="00431DF4" w:rsidP="00004866">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Vai i</w:t>
                              </w:r>
                              <w:r w:rsidRPr="00D42F25">
                                <w:rPr>
                                  <w:rFonts w:ascii="TimesNewRoman" w:hAnsi="TimesNewRoman" w:cs="TimesNewRoman"/>
                                  <w:sz w:val="24"/>
                                  <w:szCs w:val="24"/>
                                </w:rPr>
                                <w:t xml:space="preserve">zpildīti visi četri </w:t>
                              </w:r>
                              <w:r w:rsidRPr="00D42F25">
                                <w:rPr>
                                  <w:rFonts w:ascii="TimesNewRoman,Italic" w:hAnsi="TimesNewRoman,Italic" w:cs="TimesNewRoman,Italic"/>
                                  <w:i/>
                                  <w:iCs/>
                                  <w:sz w:val="24"/>
                                  <w:szCs w:val="24"/>
                                </w:rPr>
                                <w:t xml:space="preserve">Altmark </w:t>
                              </w:r>
                              <w:r w:rsidRPr="00D42F25">
                                <w:rPr>
                                  <w:rFonts w:ascii="TimesNewRoman" w:hAnsi="TimesNewRoman" w:cs="TimesNewRoman"/>
                                  <w:sz w:val="24"/>
                                  <w:szCs w:val="24"/>
                                </w:rPr>
                                <w:t>spriedumā</w:t>
                              </w:r>
                              <w:r>
                                <w:rPr>
                                  <w:rFonts w:ascii="TimesNewRoman" w:hAnsi="TimesNewRoman" w:cs="TimesNewRoman"/>
                                  <w:sz w:val="24"/>
                                  <w:szCs w:val="24"/>
                                </w:rPr>
                                <w:t xml:space="preserve"> </w:t>
                              </w:r>
                              <w:r w:rsidRPr="00D42F25">
                                <w:rPr>
                                  <w:rFonts w:ascii="TimesNewRoman" w:hAnsi="TimesNewRoman" w:cs="TimesNewRoman"/>
                                  <w:sz w:val="24"/>
                                  <w:szCs w:val="24"/>
                                </w:rPr>
                                <w:t xml:space="preserve">noteiktie </w:t>
                              </w:r>
                              <w:r>
                                <w:rPr>
                                  <w:rFonts w:ascii="TimesNewRoman" w:hAnsi="TimesNewRoman" w:cs="TimesNewRoman"/>
                                  <w:sz w:val="24"/>
                                  <w:szCs w:val="24"/>
                                </w:rPr>
                                <w:t>kritēriji (skatīt augstāk šajā nodaļā)?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800350" y="0"/>
                            <a:ext cx="727436" cy="36723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A1BF69" w14:textId="77777777" w:rsidR="00431DF4" w:rsidRPr="004020CD" w:rsidRDefault="00431DF4" w:rsidP="00004866">
                              <w:pPr>
                                <w:jc w:val="center"/>
                                <w:rPr>
                                  <w:rFonts w:ascii="Times New Roman" w:hAnsi="Times New Roman" w:cs="Times New Roman"/>
                                  <w:sz w:val="24"/>
                                  <w:szCs w:val="24"/>
                                </w:rPr>
                              </w:pPr>
                              <w:r w:rsidRPr="004020CD">
                                <w:rPr>
                                  <w:rFonts w:ascii="Times New Roman" w:hAnsi="Times New Roman" w:cs="Times New Roman"/>
                                  <w:sz w:val="24"/>
                                  <w:szCs w:val="24"/>
                                </w:rPr>
                                <w:t>Nē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flipV="1">
                            <a:off x="2819400" y="457200"/>
                            <a:ext cx="593571" cy="4037"/>
                          </a:xfrm>
                          <a:prstGeom prst="straightConnector1">
                            <a:avLst/>
                          </a:prstGeom>
                          <a:ln>
                            <a:solidFill>
                              <a:schemeClr val="accent6">
                                <a:lumMod val="50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1466850" y="923925"/>
                            <a:ext cx="11072" cy="484302"/>
                          </a:xfrm>
                          <a:prstGeom prst="straightConnector1">
                            <a:avLst/>
                          </a:prstGeom>
                          <a:ln>
                            <a:solidFill>
                              <a:schemeClr val="accent6">
                                <a:lumMod val="50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6" name="Rectangle 16"/>
                        <wps:cNvSpPr/>
                        <wps:spPr>
                          <a:xfrm>
                            <a:off x="781050" y="914400"/>
                            <a:ext cx="611708" cy="33761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BD44BCB" w14:textId="77777777" w:rsidR="00431DF4" w:rsidRPr="004020CD" w:rsidRDefault="00431DF4" w:rsidP="00004866">
                              <w:pPr>
                                <w:jc w:val="center"/>
                                <w:rPr>
                                  <w:rFonts w:ascii="Times New Roman" w:hAnsi="Times New Roman" w:cs="Times New Roman"/>
                                  <w:sz w:val="24"/>
                                  <w:szCs w:val="24"/>
                                </w:rPr>
                              </w:pPr>
                              <w:r>
                                <w:rPr>
                                  <w:rFonts w:ascii="Times New Roman" w:hAnsi="Times New Roman" w:cs="Times New Roman"/>
                                  <w:sz w:val="24"/>
                                  <w:szCs w:val="24"/>
                                </w:rPr>
                                <w:t>Jā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Rounded Corners 9"/>
                        <wps:cNvSpPr/>
                        <wps:spPr>
                          <a:xfrm>
                            <a:off x="-3" y="1414600"/>
                            <a:ext cx="2822813" cy="82887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34CA6AC1" w14:textId="77777777" w:rsidR="00431DF4" w:rsidRPr="00D42F25" w:rsidRDefault="00431DF4" w:rsidP="00004866">
                              <w:pPr>
                                <w:autoSpaceDE w:val="0"/>
                                <w:autoSpaceDN w:val="0"/>
                                <w:adjustRightInd w:val="0"/>
                                <w:spacing w:before="0" w:after="0"/>
                                <w:jc w:val="center"/>
                                <w:rPr>
                                  <w:rFonts w:ascii="TimesNewRoman" w:hAnsi="TimesNewRoman" w:cs="TimesNewRoman"/>
                                  <w:sz w:val="24"/>
                                  <w:szCs w:val="24"/>
                                </w:rPr>
                              </w:pPr>
                              <w:r w:rsidRPr="005B67CC">
                                <w:rPr>
                                  <w:rFonts w:ascii="TimesNewRoman" w:hAnsi="TimesNewRoman" w:cs="TimesNewRoman"/>
                                  <w:sz w:val="24"/>
                                  <w:szCs w:val="24"/>
                                </w:rPr>
                                <w:t>Pasākums</w:t>
                              </w:r>
                              <w:r>
                                <w:rPr>
                                  <w:rFonts w:ascii="TimesNewRoman" w:hAnsi="TimesNewRoman" w:cs="TimesNewRoman"/>
                                  <w:sz w:val="24"/>
                                  <w:szCs w:val="24"/>
                                </w:rPr>
                                <w:t xml:space="preserve"> </w:t>
                              </w:r>
                              <w:r w:rsidRPr="005B67CC">
                                <w:rPr>
                                  <w:rFonts w:ascii="TimesNewRoman" w:hAnsi="TimesNewRoman" w:cs="TimesNewRoman"/>
                                  <w:sz w:val="24"/>
                                  <w:szCs w:val="24"/>
                                </w:rPr>
                                <w:t xml:space="preserve">nav </w:t>
                              </w:r>
                              <w:r>
                                <w:rPr>
                                  <w:rFonts w:ascii="TimesNewRoman" w:hAnsi="TimesNewRoman" w:cs="TimesNewRoman"/>
                                  <w:sz w:val="24"/>
                                  <w:szCs w:val="24"/>
                                </w:rPr>
                                <w:t>uzskatāms par komercdarbības atbalstu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Rounded Corners 9"/>
                        <wps:cNvSpPr/>
                        <wps:spPr>
                          <a:xfrm>
                            <a:off x="3412964" y="36534"/>
                            <a:ext cx="2495711" cy="889881"/>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23A34625" w14:textId="3E018B8D" w:rsidR="00431DF4" w:rsidRPr="00D42F25" w:rsidRDefault="00431DF4" w:rsidP="00004866">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Nepieciešams izvērtēt, vai un kādu VTNP regulējumu piemērot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63D00706" id="Group 1" o:spid="_x0000_s1028" style="position:absolute;left:0;text-align:left;margin-left:10.25pt;margin-top:5.6pt;width:465.25pt;height:176.65pt;z-index:251797504;mso-width-relative:margin;mso-height-relative:margin" coordorigin="" coordsize="59086,2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WV/QQAAEgbAAAOAAAAZHJzL2Uyb0RvYy54bWzsWVtP4zgUfl9p/4OV96G5NUkjygjBwK40&#10;FwSzO88mcdpoEztru7Tsr99z7DiFUigDO7MSKg8lFx/7+Pj7zvnsHL5ftQ25YVLVgk+94MD3COOF&#10;KGs+m3p/fD17l3lEacpL2gjOpt4tU977o19/OVx2OQvFXDQlkwQ64SpfdlNvrnWXj0aqmLOWqgPR&#10;MQ4vKyFbquFWzkalpEvovW1Goe8no6WQZSdFwZSCp6f2pXdk+q8qVugvVaWYJs3UA9+0+ZXm9xp/&#10;R0eHNJ9J2s3roneDvsCLltYcBh26OqWakoWsH3TV1oUUSlT6oBDtSFRVXTAzB5hN4G/M5lyKRWfm&#10;MsuXs24IE4R2I04v7rb4fHMuu6vuQkIklt0MYmHucC6rSrb4H7wkKxOy2yFkbKVJAQ/HEz9LUljk&#10;At6FYRzFaR/UYg6RR7t3kUfWhsX8ww7TkRt5dM+fZQcIUesgqNcF4WpOO2Ziq3IIwoUkdQkABoxw&#10;2gJQLwE6lM8alpNLseAlK8mJkByQTiaIGnQH7IbIqVxBEB8NW5oAWi3aXOjCLAyzILChy8Z+OEmw&#10;wTB9mndS6XMmWoIXUw/QwEv0yyCN3nxU2rZ37cAY3bKOmCt92zD0qeGXrIIZwnKExtoQjJ00ktxQ&#10;oAYtCsZ12I9vWqNZVTfNYBhsM2x00Bv1bdGMGeINhv42w/sjDhZmVMH1YNzWXMhtHZR/DSPb9m72&#10;ds44fb26XpllNRPDJ9eivIWllsImAtUVZzXE9iNV+oJKYD6sP2Qz/QV+qkYsp57orzwyF/Kfbc+x&#10;PWAR3npkCZlk6qm/F1QyjzS/c0DpJIhjTD3mJh6nIdzIu2+u777hi/ZEwIoALsA7c4ntdeMuKyna&#10;b5D0jnFUeEV5AWNPvUJLd3OibYaDtFmw42PTDNJNR/VHftUV2DnGGWHzdfWNyq4HmAZofhaOGTTf&#10;gJhti5ZcHC+0qGqDv3Vc+xUAllp+/Hi6hg/oSoJhsZ9FzzDz/WgMcVynKEfQNEzjKLH8jJI0jLId&#10;/HySmhi1M+ATUBb5aMPYPwDO45NnsNdxSc6ukbx2naEewARcPTOdAX9whHsEfp7tbh4/PfYPpnKE&#10;a7CG3J7Kb4XKoBJs5b3SktazuSbHUoolVF3OgVhCkmBYe2D2Ce8li6t3VjWQqqm7P12G65ULlNlJ&#10;DOUXOW4S8EYlHk+icdoX4tiP0qdprnr/BsdsNt1Illi310xXoqlLJDs+2lp7E7OOzaL9JEpbk8c+&#10;/PWuDCaQJKCDu71hFj+lam6NSrhCG5prWjcfeEn0bQdyRsvaqJm+v2dmm60l31ZuV3y3awWXakDF&#10;b4oMZ7g7zzxh/IIko1fDyI/pBasOUFNhgvmJZSzejf0YVw7d2oH93zawH8RJAuLSYH8SRpNwbOHh&#10;ilwQ+ClUUZTvcRZHvtOATvw7bdlLhD34USg7JO3B/z3bWScsexS7LRcorI0tFwnMTqhvt3uLlWaB&#10;7yCOYnsjvSdBkPr9FjWK0iTY6zhThf5XHTfks/2W7G1tydIHdH7tCUp/gBTEUMs2uW0PUUA7YgHL&#10;wiyzx0/7Q5TqPz9EMcIBc/KesW+LsVAaNwrwaxkbxQGcZoKqBVJGyTgyyR7OBfuT3zCewH7LnXxm&#10;kyxzguoR1bk/+by7j/qek89BSO1J+7NIaz5bwOcas1XvPy3h96C792aLuf4AdvQvAAAA//8DAFBL&#10;AwQUAAYACAAAACEANYFzeeAAAAAJAQAADwAAAGRycy9kb3ducmV2LnhtbEyPQUvDQBCF74L/YRnB&#10;m90kNcXGbEop6qkItoL0ts1Ok9DsbMhuk/TfO57scd57vPlevppsKwbsfeNIQTyLQCCVzjRUKfje&#10;vz+9gPBBk9GtI1RwRQ+r4v4u15lxI33hsAuV4BLymVZQh9BlUvqyRqv9zHVI7J1cb3Xgs6+k6fXI&#10;5baVSRQtpNUN8Ydad7ipsTzvLlbBx6jH9Tx+G7bn0+Z62KefP9sYlXp8mNavIAJO4T8Mf/iMDgUz&#10;Hd2FjBetgiRKOcl6nIBgf5nGvO2oYL54TkEWubxdUPwCAAD//wMAUEsBAi0AFAAGAAgAAAAhALaD&#10;OJL+AAAA4QEAABMAAAAAAAAAAAAAAAAAAAAAAFtDb250ZW50X1R5cGVzXS54bWxQSwECLQAUAAYA&#10;CAAAACEAOP0h/9YAAACUAQAACwAAAAAAAAAAAAAAAAAvAQAAX3JlbHMvLnJlbHNQSwECLQAUAAYA&#10;CAAAACEAqSAllf0EAABIGwAADgAAAAAAAAAAAAAAAAAuAgAAZHJzL2Uyb0RvYy54bWxQSwECLQAU&#10;AAYACAAAACEANYFzeeAAAAAJAQAADwAAAAAAAAAAAAAAAABXBwAAZHJzL2Rvd25yZXYueG1sUEsF&#10;BgAAAAAEAAQA8wAAAGQIAAAAAA==&#10;">
                <v:roundrect id="_x0000_s1029" style="position:absolute;top:762;width:28228;height:85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fD/xwAAANsAAAAPAAAAZHJzL2Rvd25yZXYueG1sRI9BTwIx&#10;EIXvJv6HZky4GOnqwZCVQhSicCFBRIm3cTtuN26nm7bA4q9nDibeZvLevPfNeNr7Vh0opiawgdth&#10;AYq4Crbh2sD27flmBCplZIttYDJwogTTyeXFGEsbjvxKh02ulYRwKtGAy7krtU6VI49pGDpi0b5D&#10;9JhljbW2EY8S7lt9VxT32mPD0uCwo5mj6mez9wbs9n21OF3v5+uX4sn9fu7ix2r3Zczgqn98AJWp&#10;z//mv+ulFXyhl19kAD05AwAA//8DAFBLAQItABQABgAIAAAAIQDb4fbL7gAAAIUBAAATAAAAAAAA&#10;AAAAAAAAAAAAAABbQ29udGVudF9UeXBlc10ueG1sUEsBAi0AFAAGAAgAAAAhAFr0LFu/AAAAFQEA&#10;AAsAAAAAAAAAAAAAAAAAHwEAAF9yZWxzLy5yZWxzUEsBAi0AFAAGAAgAAAAhADxN8P/HAAAA2wAA&#10;AA8AAAAAAAAAAAAAAAAABwIAAGRycy9kb3ducmV2LnhtbFBLBQYAAAAAAwADALcAAAD7AgAAAAA=&#10;" fillcolor="white [3201]" strokecolor="#ed7d31 [3205]" strokeweight="1pt">
                  <v:stroke joinstyle="miter"/>
                  <v:textbox>
                    <w:txbxContent>
                      <w:p w14:paraId="660AE96C" w14:textId="752F98B0" w:rsidR="00431DF4" w:rsidRPr="00D42F25" w:rsidRDefault="00431DF4" w:rsidP="00004866">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Vai i</w:t>
                        </w:r>
                        <w:r w:rsidRPr="00D42F25">
                          <w:rPr>
                            <w:rFonts w:ascii="TimesNewRoman" w:hAnsi="TimesNewRoman" w:cs="TimesNewRoman"/>
                            <w:sz w:val="24"/>
                            <w:szCs w:val="24"/>
                          </w:rPr>
                          <w:t xml:space="preserve">zpildīti visi četri </w:t>
                        </w:r>
                        <w:r w:rsidRPr="00D42F25">
                          <w:rPr>
                            <w:rFonts w:ascii="TimesNewRoman,Italic" w:hAnsi="TimesNewRoman,Italic" w:cs="TimesNewRoman,Italic"/>
                            <w:i/>
                            <w:iCs/>
                            <w:sz w:val="24"/>
                            <w:szCs w:val="24"/>
                          </w:rPr>
                          <w:t xml:space="preserve">Altmark </w:t>
                        </w:r>
                        <w:r w:rsidRPr="00D42F25">
                          <w:rPr>
                            <w:rFonts w:ascii="TimesNewRoman" w:hAnsi="TimesNewRoman" w:cs="TimesNewRoman"/>
                            <w:sz w:val="24"/>
                            <w:szCs w:val="24"/>
                          </w:rPr>
                          <w:t>spriedumā</w:t>
                        </w:r>
                        <w:r>
                          <w:rPr>
                            <w:rFonts w:ascii="TimesNewRoman" w:hAnsi="TimesNewRoman" w:cs="TimesNewRoman"/>
                            <w:sz w:val="24"/>
                            <w:szCs w:val="24"/>
                          </w:rPr>
                          <w:t xml:space="preserve"> </w:t>
                        </w:r>
                        <w:r w:rsidRPr="00D42F25">
                          <w:rPr>
                            <w:rFonts w:ascii="TimesNewRoman" w:hAnsi="TimesNewRoman" w:cs="TimesNewRoman"/>
                            <w:sz w:val="24"/>
                            <w:szCs w:val="24"/>
                          </w:rPr>
                          <w:t xml:space="preserve">noteiktie </w:t>
                        </w:r>
                        <w:r>
                          <w:rPr>
                            <w:rFonts w:ascii="TimesNewRoman" w:hAnsi="TimesNewRoman" w:cs="TimesNewRoman"/>
                            <w:sz w:val="24"/>
                            <w:szCs w:val="24"/>
                          </w:rPr>
                          <w:t>kritēriji (skatīt augstāk šajā nodaļā)?</w:t>
                        </w:r>
                      </w:p>
                    </w:txbxContent>
                  </v:textbox>
                </v:roundrect>
                <v:rect id="Rectangle 12" o:spid="_x0000_s1030" style="position:absolute;left:28003;width:7274;height:3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mnvQAAANsAAAAPAAAAZHJzL2Rvd25yZXYueG1sRE9Ni8Iw&#10;EL0v7H8II3hb03oQqcaydhHEm+6C16EZm7LJpDSx1n9vBMHbPN7nrMvRWTFQH1rPCvJZBoK49rrl&#10;RsHf7+5rCSJEZI3WMym4U4By8/mxxkL7Gx9pOMVGpBAOBSowMXaFlKE25DDMfEecuIvvHcYE+0bq&#10;Hm8p3Fk5z7KFdNhyajDYUWWo/j9dnYJxe0bpraELSpcdhl3+k1dWqelk/F6BiDTGt/jl3us0fw7P&#10;X9IBcvMAAAD//wMAUEsBAi0AFAAGAAgAAAAhANvh9svuAAAAhQEAABMAAAAAAAAAAAAAAAAAAAAA&#10;AFtDb250ZW50X1R5cGVzXS54bWxQSwECLQAUAAYACAAAACEAWvQsW78AAAAVAQAACwAAAAAAAAAA&#10;AAAAAAAfAQAAX3JlbHMvLnJlbHNQSwECLQAUAAYACAAAACEAxxx5p70AAADbAAAADwAAAAAAAAAA&#10;AAAAAAAHAgAAZHJzL2Rvd25yZXYueG1sUEsFBgAAAAADAAMAtwAAAPECAAAAAA==&#10;" filled="f" stroked="f">
                  <v:textbox>
                    <w:txbxContent>
                      <w:p w14:paraId="47A1BF69" w14:textId="77777777" w:rsidR="00431DF4" w:rsidRPr="004020CD" w:rsidRDefault="00431DF4" w:rsidP="00004866">
                        <w:pPr>
                          <w:jc w:val="center"/>
                          <w:rPr>
                            <w:rFonts w:ascii="Times New Roman" w:hAnsi="Times New Roman" w:cs="Times New Roman"/>
                            <w:sz w:val="24"/>
                            <w:szCs w:val="24"/>
                          </w:rPr>
                        </w:pPr>
                        <w:r w:rsidRPr="004020CD">
                          <w:rPr>
                            <w:rFonts w:ascii="Times New Roman" w:hAnsi="Times New Roman" w:cs="Times New Roman"/>
                            <w:sz w:val="24"/>
                            <w:szCs w:val="24"/>
                          </w:rPr>
                          <w:t>Nē</w:t>
                        </w:r>
                      </w:p>
                    </w:txbxContent>
                  </v:textbox>
                </v:rect>
                <v:shapetype id="_x0000_t32" coordsize="21600,21600" o:spt="32" o:oned="t" path="m,l21600,21600e" filled="f">
                  <v:path arrowok="t" fillok="f" o:connecttype="none"/>
                  <o:lock v:ext="edit" shapetype="t"/>
                </v:shapetype>
                <v:shape id="Straight Arrow Connector 13" o:spid="_x0000_s1031" type="#_x0000_t32" style="position:absolute;left:28194;top:4572;width:5935;height: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9wOwwAAANsAAAAPAAAAZHJzL2Rvd25yZXYueG1sRE/basJA&#10;EH0v9B+WEfqmGyNWia7SChWLfaiXDxizYxLMzqa7a0z/3i0IfZvDuc582ZlatOR8ZVnBcJCAIM6t&#10;rrhQcDx89KcgfEDWWFsmBb/kYbl4fppjpu2Nd9TuQyFiCPsMFZQhNJmUPi/JoB/YhjhyZ+sMhghd&#10;IbXDWww3tUyT5FUarDg2lNjQqqT8sr8aBad0PZEu/dlM1+PR12r7Ld8/21apl173NgMRqAv/4od7&#10;o+P8Efz9Eg+QizsAAAD//wMAUEsBAi0AFAAGAAgAAAAhANvh9svuAAAAhQEAABMAAAAAAAAAAAAA&#10;AAAAAAAAAFtDb250ZW50X1R5cGVzXS54bWxQSwECLQAUAAYACAAAACEAWvQsW78AAAAVAQAACwAA&#10;AAAAAAAAAAAAAAAfAQAAX3JlbHMvLnJlbHNQSwECLQAUAAYACAAAACEAsOvcDsMAAADbAAAADwAA&#10;AAAAAAAAAAAAAAAHAgAAZHJzL2Rvd25yZXYueG1sUEsFBgAAAAADAAMAtwAAAPcCAAAAAA==&#10;" strokecolor="#375623 [1609]" strokeweight=".5pt">
                  <v:stroke dashstyle="dash" endarrow="block" joinstyle="miter"/>
                </v:shape>
                <v:shape id="Straight Arrow Connector 14" o:spid="_x0000_s1032" type="#_x0000_t32" style="position:absolute;left:14668;top:9239;width:111;height:48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6wwAAANsAAAAPAAAAZHJzL2Rvd25yZXYueG1sRE9LbsIw&#10;EN1X4g7WIHUHTlMKKGAQRSqiahf8DjDE0yQiHqe2G8Lt60pI3c3T+8582ZlatOR8ZVnB0zABQZxb&#10;XXGh4HR8G0xB+ICssbZMCm7kYbnoPcwx0/bKe2oPoRAxhH2GCsoQmkxKn5dk0A9tQxy5L+sMhghd&#10;IbXDaww3tUyTZCwNVhwbSmxoXVJ+OfwYBed0M5Eu/d5ONy/Pn+uPnXx9b1ulHvvdagYiUBf+xXf3&#10;Vsf5I/j7JR4gF78AAAD//wMAUEsBAi0AFAAGAAgAAAAhANvh9svuAAAAhQEAABMAAAAAAAAAAAAA&#10;AAAAAAAAAFtDb250ZW50X1R5cGVzXS54bWxQSwECLQAUAAYACAAAACEAWvQsW78AAAAVAQAACwAA&#10;AAAAAAAAAAAAAAAfAQAAX3JlbHMvLnJlbHNQSwECLQAUAAYACAAAACEAPwJEesMAAADbAAAADwAA&#10;AAAAAAAAAAAAAAAHAgAAZHJzL2Rvd25yZXYueG1sUEsFBgAAAAADAAMAtwAAAPcCAAAAAA==&#10;" strokecolor="#375623 [1609]" strokeweight=".5pt">
                  <v:stroke dashstyle="dash" endarrow="block" joinstyle="miter"/>
                </v:shape>
                <v:rect id="Rectangle 16" o:spid="_x0000_s1033" style="position:absolute;left:7810;top:9144;width:6117;height:3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3+kvQAAANsAAAAPAAAAZHJzL2Rvd25yZXYueG1sRE9Ni8Iw&#10;EL0v7H8II3hb03oQqcaydhHEm+6C16EZm7LJpDSx1n9vBMHbPN7nrMvRWTFQH1rPCvJZBoK49rrl&#10;RsHf7+5rCSJEZI3WMym4U4By8/mxxkL7Gx9pOMVGpBAOBSowMXaFlKE25DDMfEecuIvvHcYE+0bq&#10;Hm8p3Fk5z7KFdNhyajDYUWWo/j9dnYJxe0bpraELSpcdhl3+k1dWqelk/F6BiDTGt/jl3us0fwHP&#10;X9IBcvMAAAD//wMAUEsBAi0AFAAGAAgAAAAhANvh9svuAAAAhQEAABMAAAAAAAAAAAAAAAAAAAAA&#10;AFtDb250ZW50X1R5cGVzXS54bWxQSwECLQAUAAYACAAAACEAWvQsW78AAAAVAQAACwAAAAAAAAAA&#10;AAAAAAAfAQAAX3JlbHMvLnJlbHNQSwECLQAUAAYACAAAACEAuCd/pL0AAADbAAAADwAAAAAAAAAA&#10;AAAAAAAHAgAAZHJzL2Rvd25yZXYueG1sUEsFBgAAAAADAAMAtwAAAPECAAAAAA==&#10;" filled="f" stroked="f">
                  <v:textbox>
                    <w:txbxContent>
                      <w:p w14:paraId="5BD44BCB" w14:textId="77777777" w:rsidR="00431DF4" w:rsidRPr="004020CD" w:rsidRDefault="00431DF4" w:rsidP="00004866">
                        <w:pPr>
                          <w:jc w:val="center"/>
                          <w:rPr>
                            <w:rFonts w:ascii="Times New Roman" w:hAnsi="Times New Roman" w:cs="Times New Roman"/>
                            <w:sz w:val="24"/>
                            <w:szCs w:val="24"/>
                          </w:rPr>
                        </w:pPr>
                        <w:r>
                          <w:rPr>
                            <w:rFonts w:ascii="Times New Roman" w:hAnsi="Times New Roman" w:cs="Times New Roman"/>
                            <w:sz w:val="24"/>
                            <w:szCs w:val="24"/>
                          </w:rPr>
                          <w:t>Jā</w:t>
                        </w:r>
                      </w:p>
                    </w:txbxContent>
                  </v:textbox>
                </v:rect>
                <v:roundrect id="_x0000_s1034" style="position:absolute;top:14146;width:28228;height:8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GiLxAAAANsAAAAPAAAAZHJzL2Rvd25yZXYueG1sRE9LawIx&#10;EL4L/Q9hhF5Es+2hldUotqWPi9D6xNu4GTdLN5Mlibr21zeFgrf5+J4znra2FifyoXKs4G6QgSAu&#10;nK64VLBavvaHIEJE1lg7JgUXCjCd3HTGmGt35i86LWIpUgiHHBWYGJtcylAYshgGriFO3MF5izFB&#10;X0rt8ZzCbS3vs+xBWqw4NRhs6NlQ8b04WgV6tZ6/X3rHl8+37Mn87LZ+M9/ulbrttrMRiEhtvIr/&#10;3R86zX+Ev1/SAXLyCwAA//8DAFBLAQItABQABgAIAAAAIQDb4fbL7gAAAIUBAAATAAAAAAAAAAAA&#10;AAAAAAAAAABbQ29udGVudF9UeXBlc10ueG1sUEsBAi0AFAAGAAgAAAAhAFr0LFu/AAAAFQEAAAsA&#10;AAAAAAAAAAAAAAAAHwEAAF9yZWxzLy5yZWxzUEsBAi0AFAAGAAgAAAAhALOkaIvEAAAA2wAAAA8A&#10;AAAAAAAAAAAAAAAABwIAAGRycy9kb3ducmV2LnhtbFBLBQYAAAAAAwADALcAAAD4AgAAAAA=&#10;" fillcolor="white [3201]" strokecolor="#ed7d31 [3205]" strokeweight="1pt">
                  <v:stroke joinstyle="miter"/>
                  <v:textbox>
                    <w:txbxContent>
                      <w:p w14:paraId="34CA6AC1" w14:textId="77777777" w:rsidR="00431DF4" w:rsidRPr="00D42F25" w:rsidRDefault="00431DF4" w:rsidP="00004866">
                        <w:pPr>
                          <w:autoSpaceDE w:val="0"/>
                          <w:autoSpaceDN w:val="0"/>
                          <w:adjustRightInd w:val="0"/>
                          <w:spacing w:before="0" w:after="0"/>
                          <w:jc w:val="center"/>
                          <w:rPr>
                            <w:rFonts w:ascii="TimesNewRoman" w:hAnsi="TimesNewRoman" w:cs="TimesNewRoman"/>
                            <w:sz w:val="24"/>
                            <w:szCs w:val="24"/>
                          </w:rPr>
                        </w:pPr>
                        <w:r w:rsidRPr="005B67CC">
                          <w:rPr>
                            <w:rFonts w:ascii="TimesNewRoman" w:hAnsi="TimesNewRoman" w:cs="TimesNewRoman"/>
                            <w:sz w:val="24"/>
                            <w:szCs w:val="24"/>
                          </w:rPr>
                          <w:t>Pasākums</w:t>
                        </w:r>
                        <w:r>
                          <w:rPr>
                            <w:rFonts w:ascii="TimesNewRoman" w:hAnsi="TimesNewRoman" w:cs="TimesNewRoman"/>
                            <w:sz w:val="24"/>
                            <w:szCs w:val="24"/>
                          </w:rPr>
                          <w:t xml:space="preserve"> </w:t>
                        </w:r>
                        <w:r w:rsidRPr="005B67CC">
                          <w:rPr>
                            <w:rFonts w:ascii="TimesNewRoman" w:hAnsi="TimesNewRoman" w:cs="TimesNewRoman"/>
                            <w:sz w:val="24"/>
                            <w:szCs w:val="24"/>
                          </w:rPr>
                          <w:t xml:space="preserve">nav </w:t>
                        </w:r>
                        <w:r>
                          <w:rPr>
                            <w:rFonts w:ascii="TimesNewRoman" w:hAnsi="TimesNewRoman" w:cs="TimesNewRoman"/>
                            <w:sz w:val="24"/>
                            <w:szCs w:val="24"/>
                          </w:rPr>
                          <w:t>uzskatāms par komercdarbības atbalstu</w:t>
                        </w:r>
                      </w:p>
                    </w:txbxContent>
                  </v:textbox>
                </v:roundrect>
                <v:roundrect id="_x0000_s1035" style="position:absolute;left:34129;top:365;width:24957;height:88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z5xwAAANsAAAAPAAAAZHJzL2Rvd25yZXYueG1sRI9BTwIx&#10;EIXvJv6HZky4GOnqwZCVQhSicCFBRIm3cTtuN26nm7bA4q9nDibeZvLevPfNeNr7Vh0opiawgdth&#10;AYq4Crbh2sD27flmBCplZIttYDJwogTTyeXFGEsbjvxKh02ulYRwKtGAy7krtU6VI49pGDpi0b5D&#10;9JhljbW2EY8S7lt9VxT32mPD0uCwo5mj6mez9wbs9n21OF3v5+uX4sn9fu7ix2r3Zczgqn98AJWp&#10;z//mv+ulFXyBlV9kAD05AwAA//8DAFBLAQItABQABgAIAAAAIQDb4fbL7gAAAIUBAAATAAAAAAAA&#10;AAAAAAAAAAAAAABbQ29udGVudF9UeXBlc10ueG1sUEsBAi0AFAAGAAgAAAAhAFr0LFu/AAAAFQEA&#10;AAsAAAAAAAAAAAAAAAAAHwEAAF9yZWxzLy5yZWxzUEsBAi0AFAAGAAgAAAAhAMI7/PnHAAAA2wAA&#10;AA8AAAAAAAAAAAAAAAAABwIAAGRycy9kb3ducmV2LnhtbFBLBQYAAAAAAwADALcAAAD7AgAAAAA=&#10;" fillcolor="white [3201]" strokecolor="#ed7d31 [3205]" strokeweight="1pt">
                  <v:stroke joinstyle="miter"/>
                  <v:textbox>
                    <w:txbxContent>
                      <w:p w14:paraId="23A34625" w14:textId="3E018B8D" w:rsidR="00431DF4" w:rsidRPr="00D42F25" w:rsidRDefault="00431DF4" w:rsidP="00004866">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Nepieciešams izvērtēt, vai un kādu VTNP regulējumu piemērot</w:t>
                        </w:r>
                      </w:p>
                    </w:txbxContent>
                  </v:textbox>
                </v:roundrect>
              </v:group>
            </w:pict>
          </mc:Fallback>
        </mc:AlternateContent>
      </w:r>
    </w:p>
    <w:p w14:paraId="137193DD" w14:textId="43E71DEC" w:rsidR="00004866" w:rsidRPr="00DF4295" w:rsidRDefault="00004866" w:rsidP="00004866">
      <w:pPr>
        <w:autoSpaceDE w:val="0"/>
        <w:autoSpaceDN w:val="0"/>
        <w:adjustRightInd w:val="0"/>
        <w:ind w:firstLine="720"/>
        <w:jc w:val="both"/>
        <w:rPr>
          <w:rFonts w:ascii="Times New Roman" w:hAnsi="Times New Roman" w:cs="Times New Roman"/>
          <w:sz w:val="28"/>
          <w:szCs w:val="28"/>
        </w:rPr>
      </w:pPr>
    </w:p>
    <w:p w14:paraId="0742316C" w14:textId="77777777" w:rsidR="00004866" w:rsidRPr="00DF4295" w:rsidRDefault="00004866" w:rsidP="00004866">
      <w:pPr>
        <w:autoSpaceDE w:val="0"/>
        <w:autoSpaceDN w:val="0"/>
        <w:adjustRightInd w:val="0"/>
        <w:ind w:firstLine="720"/>
        <w:jc w:val="both"/>
        <w:rPr>
          <w:rFonts w:ascii="Times New Roman" w:hAnsi="Times New Roman" w:cs="Times New Roman"/>
          <w:sz w:val="28"/>
          <w:szCs w:val="28"/>
        </w:rPr>
      </w:pPr>
    </w:p>
    <w:p w14:paraId="116EAF30" w14:textId="77777777" w:rsidR="00004866" w:rsidRPr="00DF4295" w:rsidRDefault="00004866" w:rsidP="00004866">
      <w:pPr>
        <w:autoSpaceDE w:val="0"/>
        <w:autoSpaceDN w:val="0"/>
        <w:adjustRightInd w:val="0"/>
        <w:ind w:firstLine="720"/>
        <w:jc w:val="both"/>
        <w:rPr>
          <w:rFonts w:ascii="Times New Roman" w:hAnsi="Times New Roman" w:cs="Times New Roman"/>
          <w:sz w:val="28"/>
          <w:szCs w:val="28"/>
        </w:rPr>
      </w:pPr>
    </w:p>
    <w:p w14:paraId="5E438BB1" w14:textId="77777777" w:rsidR="00004866" w:rsidRPr="00DF4295" w:rsidRDefault="00004866" w:rsidP="00004866">
      <w:pPr>
        <w:autoSpaceDE w:val="0"/>
        <w:autoSpaceDN w:val="0"/>
        <w:adjustRightInd w:val="0"/>
        <w:ind w:firstLine="720"/>
        <w:jc w:val="both"/>
        <w:rPr>
          <w:rFonts w:ascii="Times New Roman" w:hAnsi="Times New Roman" w:cs="Times New Roman"/>
          <w:sz w:val="28"/>
          <w:szCs w:val="28"/>
        </w:rPr>
      </w:pPr>
    </w:p>
    <w:p w14:paraId="6052FB89" w14:textId="77777777" w:rsidR="00004866" w:rsidRPr="00DF4295" w:rsidRDefault="00004866" w:rsidP="00004866">
      <w:pPr>
        <w:autoSpaceDE w:val="0"/>
        <w:autoSpaceDN w:val="0"/>
        <w:adjustRightInd w:val="0"/>
        <w:ind w:firstLine="720"/>
        <w:jc w:val="both"/>
        <w:rPr>
          <w:rFonts w:ascii="Times New Roman" w:hAnsi="Times New Roman" w:cs="Times New Roman"/>
          <w:sz w:val="28"/>
          <w:szCs w:val="28"/>
        </w:rPr>
      </w:pPr>
    </w:p>
    <w:p w14:paraId="6A88A8BC" w14:textId="77777777" w:rsidR="00004866" w:rsidRPr="00DF4295" w:rsidRDefault="00004866" w:rsidP="00004866">
      <w:pPr>
        <w:autoSpaceDE w:val="0"/>
        <w:autoSpaceDN w:val="0"/>
        <w:adjustRightInd w:val="0"/>
        <w:ind w:firstLine="720"/>
        <w:jc w:val="both"/>
        <w:rPr>
          <w:rFonts w:ascii="Times New Roman" w:hAnsi="Times New Roman" w:cs="Times New Roman"/>
          <w:sz w:val="28"/>
          <w:szCs w:val="28"/>
        </w:rPr>
      </w:pPr>
    </w:p>
    <w:p w14:paraId="17BE18B4" w14:textId="77777777" w:rsidR="00004866" w:rsidRPr="00DF4295" w:rsidRDefault="00004866" w:rsidP="00004866">
      <w:pPr>
        <w:autoSpaceDE w:val="0"/>
        <w:autoSpaceDN w:val="0"/>
        <w:adjustRightInd w:val="0"/>
        <w:ind w:firstLine="720"/>
        <w:jc w:val="both"/>
        <w:rPr>
          <w:rFonts w:ascii="Times New Roman" w:hAnsi="Times New Roman" w:cs="Times New Roman"/>
          <w:sz w:val="28"/>
          <w:szCs w:val="28"/>
        </w:rPr>
      </w:pPr>
    </w:p>
    <w:p w14:paraId="72C67426" w14:textId="77777777" w:rsidR="00004866" w:rsidRPr="00DF4295" w:rsidRDefault="00004866" w:rsidP="00004866">
      <w:pPr>
        <w:autoSpaceDE w:val="0"/>
        <w:autoSpaceDN w:val="0"/>
        <w:adjustRightInd w:val="0"/>
        <w:ind w:firstLine="720"/>
        <w:jc w:val="both"/>
        <w:rPr>
          <w:rFonts w:ascii="Times New Roman" w:hAnsi="Times New Roman" w:cs="Times New Roman"/>
          <w:sz w:val="28"/>
          <w:szCs w:val="28"/>
        </w:rPr>
      </w:pPr>
    </w:p>
    <w:p w14:paraId="4262CFF0" w14:textId="77777777" w:rsidR="00004866" w:rsidRPr="00B021D6" w:rsidRDefault="00004866" w:rsidP="00004866">
      <w:pPr>
        <w:autoSpaceDE w:val="0"/>
        <w:autoSpaceDN w:val="0"/>
        <w:adjustRightInd w:val="0"/>
        <w:jc w:val="center"/>
        <w:rPr>
          <w:rFonts w:ascii="Times New Roman" w:hAnsi="Times New Roman" w:cs="Times New Roman"/>
          <w:sz w:val="24"/>
          <w:szCs w:val="28"/>
        </w:rPr>
      </w:pPr>
      <w:r w:rsidRPr="00B021D6">
        <w:rPr>
          <w:rFonts w:ascii="Times New Roman" w:hAnsi="Times New Roman" w:cs="Times New Roman"/>
          <w:sz w:val="24"/>
          <w:szCs w:val="28"/>
        </w:rPr>
        <w:t>Attēls: “Izvērtējums lēmuma pieņemšanai par komercdarbības atbalsta esamību VTNP gadījumā”</w:t>
      </w:r>
    </w:p>
    <w:p w14:paraId="783A3E95" w14:textId="3BF75034" w:rsidR="003F669B" w:rsidRDefault="00004866" w:rsidP="00F52651">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Attiecīgi, p</w:t>
      </w:r>
      <w:r w:rsidRPr="00DF4295">
        <w:rPr>
          <w:rFonts w:ascii="Times New Roman" w:hAnsi="Times New Roman" w:cs="Times New Roman"/>
          <w:sz w:val="28"/>
          <w:szCs w:val="28"/>
        </w:rPr>
        <w:t>iešķirot finansējumu no publiskajiem resursiem (piemēram, piešķirot pašvaldības dotāciju, nosakot atbrīvojumu no maksas par dividendēm par pašvaldības kapitāla izmantošanu, veicot ieguldījumu kapitālsabiedrības pamatkapitālā, u.tml.), ir jāievēro visi komercdarbības atbalsta piešķiršanas nosacījumi, kas definēti ES aktos.</w:t>
      </w:r>
    </w:p>
    <w:p w14:paraId="19CCA586" w14:textId="77777777" w:rsidR="00F52651" w:rsidRDefault="00F52651" w:rsidP="00F52651">
      <w:pPr>
        <w:autoSpaceDE w:val="0"/>
        <w:autoSpaceDN w:val="0"/>
        <w:adjustRightInd w:val="0"/>
        <w:ind w:firstLine="720"/>
        <w:jc w:val="both"/>
        <w:rPr>
          <w:rFonts w:ascii="Times New Roman" w:hAnsi="Times New Roman" w:cs="Times New Roman"/>
          <w:sz w:val="28"/>
          <w:szCs w:val="28"/>
        </w:rPr>
      </w:pPr>
    </w:p>
    <w:p w14:paraId="561505D8" w14:textId="54CFD000" w:rsidR="007C62DE" w:rsidRPr="00DF4295" w:rsidRDefault="007C62DE" w:rsidP="00097423">
      <w:pPr>
        <w:pStyle w:val="Heading1"/>
        <w:numPr>
          <w:ilvl w:val="0"/>
          <w:numId w:val="7"/>
        </w:numPr>
        <w:spacing w:before="120" w:after="120"/>
        <w:rPr>
          <w:rFonts w:cs="Times New Roman"/>
          <w:sz w:val="28"/>
          <w:szCs w:val="28"/>
        </w:rPr>
      </w:pPr>
      <w:bookmarkStart w:id="14" w:name="_Toc497228813"/>
      <w:bookmarkStart w:id="15" w:name="_Toc497408988"/>
      <w:bookmarkStart w:id="16" w:name="_Toc500939848"/>
      <w:bookmarkStart w:id="17" w:name="_Toc15391539"/>
      <w:bookmarkEnd w:id="14"/>
      <w:bookmarkEnd w:id="15"/>
      <w:r w:rsidRPr="00DF4295">
        <w:rPr>
          <w:rFonts w:cs="Times New Roman"/>
          <w:sz w:val="28"/>
          <w:szCs w:val="28"/>
        </w:rPr>
        <w:t>Procedūras, kas jāievēro, plānojot atbalsta programmas vai individuāla atbalsta piešķiršanu ar VTNP regulējumu</w:t>
      </w:r>
      <w:bookmarkEnd w:id="16"/>
      <w:bookmarkEnd w:id="17"/>
    </w:p>
    <w:p w14:paraId="7F8E148B" w14:textId="7C0633D9" w:rsidR="007C62DE" w:rsidRPr="00DF4295" w:rsidRDefault="007C62DE"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 xml:space="preserve">Kompetentajām institūcijām, kuras ir tiesīgas pieņemt lēmumus par </w:t>
      </w:r>
      <w:r w:rsidR="00042EA9">
        <w:rPr>
          <w:rFonts w:ascii="Times New Roman" w:hAnsi="Times New Roman" w:cs="Times New Roman"/>
          <w:sz w:val="28"/>
          <w:szCs w:val="28"/>
        </w:rPr>
        <w:t xml:space="preserve">VTNP </w:t>
      </w:r>
      <w:r w:rsidRPr="00DF4295">
        <w:rPr>
          <w:rFonts w:ascii="Times New Roman" w:hAnsi="Times New Roman" w:cs="Times New Roman"/>
          <w:sz w:val="28"/>
          <w:szCs w:val="28"/>
        </w:rPr>
        <w:t xml:space="preserve">uzticēšanu uzņēmumam, ir rūpīgi jāizvērtē visi iespējamie ieguvumi un riski, kas saistīti ar </w:t>
      </w:r>
      <w:r w:rsidR="00042EA9">
        <w:rPr>
          <w:rFonts w:ascii="Times New Roman" w:hAnsi="Times New Roman" w:cs="Times New Roman"/>
          <w:sz w:val="28"/>
          <w:szCs w:val="28"/>
        </w:rPr>
        <w:t>VTNP</w:t>
      </w:r>
      <w:r w:rsidRPr="00DF4295">
        <w:rPr>
          <w:rFonts w:ascii="Times New Roman" w:hAnsi="Times New Roman" w:cs="Times New Roman"/>
          <w:sz w:val="28"/>
          <w:szCs w:val="28"/>
        </w:rPr>
        <w:t xml:space="preserve"> sniegšanas tiesību nodošanu uzņēmumam. Galvenajam motīvam </w:t>
      </w:r>
      <w:r w:rsidR="00042EA9">
        <w:rPr>
          <w:rFonts w:ascii="Times New Roman" w:hAnsi="Times New Roman" w:cs="Times New Roman"/>
          <w:sz w:val="28"/>
          <w:szCs w:val="28"/>
        </w:rPr>
        <w:t>VTNP</w:t>
      </w:r>
      <w:r w:rsidRPr="00DF4295">
        <w:rPr>
          <w:rFonts w:ascii="Times New Roman" w:hAnsi="Times New Roman" w:cs="Times New Roman"/>
          <w:sz w:val="28"/>
          <w:szCs w:val="28"/>
        </w:rPr>
        <w:t xml:space="preserve"> sniedzēja izvēlē un kompensācijas parametru noteikšanā būtu jābūt sabiedrības vajadzībām, nevis potenciālajam komersanta labumam.</w:t>
      </w:r>
    </w:p>
    <w:p w14:paraId="08B719FA" w14:textId="5EDA1645" w:rsidR="007C62DE" w:rsidRPr="00DF4295" w:rsidRDefault="007C62DE"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Pirms piemērot VTNP regulējumu, jāizvērtē, vai tirgus nepieciešamo pakalpojumu var piedāvāt iedzīvotajiem nepieciešamajā kvalitātē, apjomā un teritorijā. Tas ļaus nodrošināt, ka VTNP noteikšanā netiek pieļauta acīmredzama kļūda.</w:t>
      </w:r>
    </w:p>
    <w:p w14:paraId="736C3A7F" w14:textId="5B5C6BEC" w:rsidR="007C62DE" w:rsidRPr="00DF4295" w:rsidRDefault="00601BB1"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Kad</w:t>
      </w:r>
      <w:r w:rsidR="007C62DE" w:rsidRPr="00DF4295">
        <w:rPr>
          <w:rFonts w:ascii="Times New Roman" w:hAnsi="Times New Roman" w:cs="Times New Roman"/>
          <w:sz w:val="28"/>
          <w:szCs w:val="28"/>
        </w:rPr>
        <w:t xml:space="preserve"> secināts, ka tirgus nepieciešamo pakalpojumu piedāvāt nespēj</w:t>
      </w:r>
      <w:r w:rsidRPr="00DF4295">
        <w:rPr>
          <w:rFonts w:ascii="Times New Roman" w:hAnsi="Times New Roman" w:cs="Times New Roman"/>
          <w:sz w:val="28"/>
          <w:szCs w:val="28"/>
        </w:rPr>
        <w:t xml:space="preserve"> un</w:t>
      </w:r>
      <w:r w:rsidR="003C7762" w:rsidRPr="00DF4295">
        <w:rPr>
          <w:rFonts w:ascii="Times New Roman" w:hAnsi="Times New Roman" w:cs="Times New Roman"/>
          <w:sz w:val="28"/>
          <w:szCs w:val="28"/>
        </w:rPr>
        <w:t xml:space="preserve"> ir </w:t>
      </w:r>
      <w:r w:rsidR="00740131" w:rsidRPr="00DF4295">
        <w:rPr>
          <w:rFonts w:ascii="Times New Roman" w:hAnsi="Times New Roman" w:cs="Times New Roman"/>
          <w:sz w:val="28"/>
          <w:szCs w:val="28"/>
        </w:rPr>
        <w:t>definēts VTNP</w:t>
      </w:r>
      <w:r w:rsidR="007C62DE" w:rsidRPr="00DF4295">
        <w:rPr>
          <w:rFonts w:ascii="Times New Roman" w:hAnsi="Times New Roman" w:cs="Times New Roman"/>
          <w:sz w:val="28"/>
          <w:szCs w:val="28"/>
        </w:rPr>
        <w:t xml:space="preserve">, ir </w:t>
      </w:r>
      <w:r w:rsidR="003C7762" w:rsidRPr="00DF4295">
        <w:rPr>
          <w:rFonts w:ascii="Times New Roman" w:hAnsi="Times New Roman" w:cs="Times New Roman"/>
          <w:sz w:val="28"/>
          <w:szCs w:val="28"/>
        </w:rPr>
        <w:t>jāi</w:t>
      </w:r>
      <w:r w:rsidR="007C62DE" w:rsidRPr="00DF4295">
        <w:rPr>
          <w:rFonts w:ascii="Times New Roman" w:hAnsi="Times New Roman" w:cs="Times New Roman"/>
          <w:sz w:val="28"/>
          <w:szCs w:val="28"/>
        </w:rPr>
        <w:t xml:space="preserve">zvērtē, kuru VTNP </w:t>
      </w:r>
      <w:r w:rsidR="00491D5F" w:rsidRPr="00DF4295">
        <w:rPr>
          <w:rFonts w:ascii="Times New Roman" w:hAnsi="Times New Roman" w:cs="Times New Roman"/>
          <w:sz w:val="28"/>
          <w:szCs w:val="28"/>
        </w:rPr>
        <w:t xml:space="preserve">regulējumu </w:t>
      </w:r>
      <w:r w:rsidR="007C62DE" w:rsidRPr="00DF4295">
        <w:rPr>
          <w:rFonts w:ascii="Times New Roman" w:hAnsi="Times New Roman" w:cs="Times New Roman"/>
          <w:sz w:val="28"/>
          <w:szCs w:val="28"/>
        </w:rPr>
        <w:t xml:space="preserve">var piemērot konkrētajā gadījumā. </w:t>
      </w:r>
    </w:p>
    <w:p w14:paraId="2B97DFB0" w14:textId="44D1D05D" w:rsidR="005745BA" w:rsidRDefault="007C62DE"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 xml:space="preserve">Tas, ka iestādes uztic </w:t>
      </w:r>
      <w:r w:rsidR="00E96339" w:rsidRPr="00DF4295">
        <w:rPr>
          <w:rFonts w:ascii="Times New Roman" w:hAnsi="Times New Roman" w:cs="Times New Roman"/>
          <w:sz w:val="28"/>
          <w:szCs w:val="28"/>
        </w:rPr>
        <w:t>VTNP</w:t>
      </w:r>
      <w:r w:rsidRPr="00DF4295">
        <w:rPr>
          <w:rFonts w:ascii="Times New Roman" w:hAnsi="Times New Roman" w:cs="Times New Roman"/>
          <w:sz w:val="28"/>
          <w:szCs w:val="28"/>
        </w:rPr>
        <w:t xml:space="preserve"> sniegšanu iekšējam pakalpojumu sniedzējam (kaut arī tām bija ļauts uzticēt šā pakalpojuma sniegšanu trešajām personām), </w:t>
      </w:r>
      <w:r w:rsidR="00491D5F" w:rsidRPr="00DF4295">
        <w:rPr>
          <w:rFonts w:ascii="Times New Roman" w:hAnsi="Times New Roman" w:cs="Times New Roman"/>
          <w:sz w:val="28"/>
          <w:szCs w:val="28"/>
        </w:rPr>
        <w:t>nevar izslēgt iespēju, ka tiek ietekmēta konkurence tirgū</w:t>
      </w:r>
      <w:r w:rsidRPr="00DF4295">
        <w:rPr>
          <w:rFonts w:ascii="Times New Roman" w:hAnsi="Times New Roman" w:cs="Times New Roman"/>
          <w:sz w:val="28"/>
          <w:szCs w:val="28"/>
        </w:rPr>
        <w:t xml:space="preserve">. Papildus, </w:t>
      </w:r>
      <w:r w:rsidR="00311CE5" w:rsidRPr="00DF4295">
        <w:rPr>
          <w:rFonts w:ascii="Times New Roman" w:hAnsi="Times New Roman" w:cs="Times New Roman"/>
          <w:sz w:val="28"/>
          <w:szCs w:val="28"/>
        </w:rPr>
        <w:t xml:space="preserve">komercdarbības </w:t>
      </w:r>
      <w:r w:rsidRPr="00DF4295">
        <w:rPr>
          <w:rFonts w:ascii="Times New Roman" w:hAnsi="Times New Roman" w:cs="Times New Roman"/>
          <w:sz w:val="28"/>
          <w:szCs w:val="28"/>
        </w:rPr>
        <w:t xml:space="preserve">atbalsta noteikumu piemērošana nav atkarīga no tā, vai VTNP sniedzējs ir izveidots ar mērķi gūt peļņu. Līdz ar to, arī gadījumos, kad VTNP nodrošina pati pašvaldība vai tās kapitālsabiedrība, jāievēro atbilstošs </w:t>
      </w:r>
      <w:r w:rsidR="00073165" w:rsidRPr="00DF4295">
        <w:rPr>
          <w:rFonts w:ascii="Times New Roman" w:hAnsi="Times New Roman" w:cs="Times New Roman"/>
          <w:sz w:val="28"/>
          <w:szCs w:val="28"/>
        </w:rPr>
        <w:t xml:space="preserve">komercdarbības </w:t>
      </w:r>
      <w:r w:rsidRPr="00DF4295">
        <w:rPr>
          <w:rFonts w:ascii="Times New Roman" w:hAnsi="Times New Roman" w:cs="Times New Roman"/>
          <w:sz w:val="28"/>
          <w:szCs w:val="28"/>
        </w:rPr>
        <w:t>atbalsta regulējums.</w:t>
      </w:r>
    </w:p>
    <w:p w14:paraId="40335DF8" w14:textId="5E4D2C8F" w:rsidR="003F669B" w:rsidRDefault="003F669B">
      <w:pPr>
        <w:spacing w:before="0"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75BE44C1" w14:textId="6A14E0DC" w:rsidR="00E321DD" w:rsidRPr="00DF4295" w:rsidRDefault="00E321DD" w:rsidP="00097423">
      <w:pPr>
        <w:pStyle w:val="Heading1"/>
        <w:numPr>
          <w:ilvl w:val="0"/>
          <w:numId w:val="7"/>
        </w:numPr>
        <w:spacing w:before="120" w:after="120"/>
        <w:rPr>
          <w:rFonts w:cs="Times New Roman"/>
          <w:sz w:val="28"/>
          <w:szCs w:val="28"/>
        </w:rPr>
      </w:pPr>
      <w:bookmarkStart w:id="18" w:name="_Toc15391540"/>
      <w:bookmarkStart w:id="19" w:name="_Toc500939849"/>
      <w:r w:rsidRPr="00DF4295">
        <w:rPr>
          <w:rFonts w:cs="Times New Roman"/>
          <w:sz w:val="28"/>
          <w:szCs w:val="28"/>
        </w:rPr>
        <w:lastRenderedPageBreak/>
        <w:t>Juridiskais pamats</w:t>
      </w:r>
      <w:bookmarkEnd w:id="18"/>
      <w:r w:rsidRPr="00DF4295">
        <w:rPr>
          <w:rFonts w:cs="Times New Roman"/>
          <w:sz w:val="28"/>
          <w:szCs w:val="28"/>
        </w:rPr>
        <w:t xml:space="preserve"> </w:t>
      </w:r>
      <w:bookmarkEnd w:id="19"/>
    </w:p>
    <w:p w14:paraId="583B1D73" w14:textId="048CD6D5" w:rsidR="009F4ACD" w:rsidRPr="00DF4295" w:rsidRDefault="00956568" w:rsidP="001D1B46">
      <w:pPr>
        <w:ind w:firstLine="720"/>
        <w:jc w:val="both"/>
        <w:rPr>
          <w:rFonts w:ascii="Times New Roman" w:hAnsi="Times New Roman" w:cs="Times New Roman"/>
          <w:sz w:val="28"/>
          <w:szCs w:val="28"/>
        </w:rPr>
      </w:pPr>
      <w:r w:rsidRPr="00DF4295">
        <w:rPr>
          <w:rFonts w:ascii="Times New Roman" w:hAnsi="Times New Roman" w:cs="Times New Roman"/>
          <w:noProof/>
          <w:sz w:val="28"/>
          <w:szCs w:val="28"/>
          <w:lang w:eastAsia="lv-LV"/>
        </w:rPr>
        <mc:AlternateContent>
          <mc:Choice Requires="wps">
            <w:drawing>
              <wp:anchor distT="0" distB="0" distL="114300" distR="114300" simplePos="0" relativeHeight="251772928" behindDoc="0" locked="0" layoutInCell="1" allowOverlap="1" wp14:anchorId="4781FA03" wp14:editId="27489303">
                <wp:simplePos x="0" y="0"/>
                <wp:positionH relativeFrom="margin">
                  <wp:posOffset>3709035</wp:posOffset>
                </wp:positionH>
                <wp:positionV relativeFrom="paragraph">
                  <wp:posOffset>8255</wp:posOffset>
                </wp:positionV>
                <wp:extent cx="2506980" cy="3552825"/>
                <wp:effectExtent l="0" t="0" r="26670" b="28575"/>
                <wp:wrapSquare wrapText="bothSides"/>
                <wp:docPr id="28" name="Rectangle: Rounded Corners 9"/>
                <wp:cNvGraphicFramePr/>
                <a:graphic xmlns:a="http://schemas.openxmlformats.org/drawingml/2006/main">
                  <a:graphicData uri="http://schemas.microsoft.com/office/word/2010/wordprocessingShape">
                    <wps:wsp>
                      <wps:cNvSpPr/>
                      <wps:spPr>
                        <a:xfrm>
                          <a:off x="0" y="0"/>
                          <a:ext cx="2506980" cy="355282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0CB7CFF" w14:textId="77777777" w:rsidR="00431DF4" w:rsidRPr="00247494" w:rsidRDefault="00431DF4" w:rsidP="008E05A0">
                            <w:pPr>
                              <w:jc w:val="both"/>
                              <w:rPr>
                                <w:rFonts w:ascii="Times New Roman" w:hAnsi="Times New Roman" w:cs="Times New Roman"/>
                                <w:b/>
                                <w:sz w:val="24"/>
                                <w:szCs w:val="24"/>
                              </w:rPr>
                            </w:pPr>
                            <w:r w:rsidRPr="00247494">
                              <w:rPr>
                                <w:rFonts w:ascii="Times New Roman" w:hAnsi="Times New Roman" w:cs="Times New Roman"/>
                                <w:b/>
                                <w:sz w:val="24"/>
                                <w:szCs w:val="24"/>
                              </w:rPr>
                              <w:t>Kādu mērķi ES cenšas sasniegt, kontrolējot kompensāciju par VTNP?</w:t>
                            </w:r>
                          </w:p>
                          <w:p w14:paraId="29871BE1" w14:textId="1566A5B6" w:rsidR="00431DF4" w:rsidRPr="00247494" w:rsidRDefault="00431DF4" w:rsidP="00D1320F">
                            <w:pPr>
                              <w:spacing w:before="0" w:after="0"/>
                              <w:jc w:val="both"/>
                              <w:rPr>
                                <w:rFonts w:ascii="Times New Roman" w:hAnsi="Times New Roman" w:cs="Times New Roman"/>
                                <w:sz w:val="24"/>
                                <w:szCs w:val="24"/>
                              </w:rPr>
                            </w:pPr>
                            <w:r w:rsidRPr="00247494">
                              <w:rPr>
                                <w:rFonts w:ascii="Times New Roman" w:hAnsi="Times New Roman" w:cs="Times New Roman"/>
                                <w:sz w:val="24"/>
                                <w:szCs w:val="24"/>
                              </w:rPr>
                              <w:t>Uzņēmumiem, kuri veic saimniecisko darbību, piešķirts publiskais finansējums var sniegt ekonomiskas priekšrocības, kādas nav to konkurentiem. Tas var radīt konkurences kropļojumus ES iekšējā tirgū. VTNP atbalsta kontroles noteikumu piemērošana nodrošina to, ka kompensācija par VTNP</w:t>
                            </w:r>
                            <w:r w:rsidRPr="00247494" w:rsidDel="001C229F">
                              <w:rPr>
                                <w:rFonts w:ascii="Times New Roman" w:hAnsi="Times New Roman" w:cs="Times New Roman"/>
                                <w:sz w:val="24"/>
                                <w:szCs w:val="24"/>
                              </w:rPr>
                              <w:t xml:space="preserve"> </w:t>
                            </w:r>
                            <w:r w:rsidRPr="00247494">
                              <w:rPr>
                                <w:rFonts w:ascii="Times New Roman" w:hAnsi="Times New Roman" w:cs="Times New Roman"/>
                                <w:sz w:val="24"/>
                                <w:szCs w:val="24"/>
                              </w:rPr>
                              <w:t>sniegšanu, nepārsniedz to, kas nepieciešama, lai nodrošinātu pakalpojumu, un ka uzņēmumiem ir stimuls ieviest jauninājumus un konkurēt tirgū.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4781FA03" id="_x0000_s1036" style="position:absolute;left:0;text-align:left;margin-left:292.05pt;margin-top:.65pt;width:197.4pt;height:279.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4WwIAAAQFAAAOAAAAZHJzL2Uyb0RvYy54bWysVEtv2zAMvg/YfxB0X514TR9BnCJo0WFA&#10;0RZth54VWUqMyaJGKbGzXz9Kdpy2y2nYRSZFfnzpo2dXbW3YVqGvwBZ8fDLiTFkJZWVXBf/xcvvl&#10;gjMfhC2FAasKvlOeX80/f5o1bqpyWIMpFTIKYv20cQVfh+CmWeblWtXCn4BTlowasBaBVFxlJYqG&#10;otcmy0ejs6wBLB2CVN7T7U1n5PMUX2slw4PWXgVmCk61hXRiOpfxzOYzMV2hcOtK9mWIf6iiFpWl&#10;pEOoGxEE22D1V6i6kggedDiRUGegdSVV6oG6GY8+dPO8Fk6lXmg43g1j8v8vrLzfPrtHpDE0zk89&#10;ibGLVmMdv1Qfa9OwdsOwVBuYpMt8Mjq7vKCZSrJ9nUzyi3wSx5kd4A59+KagZlEoOMLGlk/0JGlS&#10;YnvnQ+e/9yPwoYokhZ1RsRBjn5RmVRnzJnQiiLo2yLaCnlZIqWzI+/zJO8J0ZcwAHB8DmjDuQb1v&#10;hKlEnAE4OgZ8n3FApKxgwwCuKwt4LED5c8jc+e+773qO7Yd22VLTBT+PNcabJZS7R2QIHZG9k7cV&#10;zfZO+PAokJhL70HbGB7o0AaagkMvcbYG/H3sPvoTocjKWUObUHD/ayNQcWa+W6La5fj0NK5OUk4n&#10;5zkp+NayfGuxm/oa6EXGtPdOJjH6B7MXNUL9Sku7iFnJJKyk3AWXAffKdeg2lNZeqsUiudG6OBHu&#10;7LOTMXicc6TNS/sq0PUEC8TNe9hvjZh+oFjnG5EWFpsAukr8O8y1fwFatUTj/rcQd/mtnrwOP6/5&#10;HwAAAP//AwBQSwMEFAAGAAgAAAAhAGW10HPhAAAACQEAAA8AAABkcnMvZG93bnJldi54bWxMj8tO&#10;wzAQRfdI/IM1SGwQtcujpCFOxUPAqhKUQsXOiU0cEY8j22lTvp5hBcvRubr3TLEYXce2JsTWo4Tp&#10;RAAzWHvdYiNh/fpwmgGLSaFWnUcjYW8iLMrDg0Ll2u/wxWxXqWFUgjFXEmxKfc55rK1xKk58b5DY&#10;pw9OJTpDw3VQOyp3HT8TYsadapEWrOrNnTX112pwEvT6bfm0Pxnunx/Frf3+2IT35aaS8vhovLkG&#10;lsyY/sLwq0/qUJJT5QfUkXUSLrOLKUUJnAMjPr/K5sAqAjORAS8L/v+D8gcAAP//AwBQSwECLQAU&#10;AAYACAAAACEAtoM4kv4AAADhAQAAEwAAAAAAAAAAAAAAAAAAAAAAW0NvbnRlbnRfVHlwZXNdLnht&#10;bFBLAQItABQABgAIAAAAIQA4/SH/1gAAAJQBAAALAAAAAAAAAAAAAAAAAC8BAABfcmVscy8ucmVs&#10;c1BLAQItABQABgAIAAAAIQCL/eE4WwIAAAQFAAAOAAAAAAAAAAAAAAAAAC4CAABkcnMvZTJvRG9j&#10;LnhtbFBLAQItABQABgAIAAAAIQBltdBz4QAAAAkBAAAPAAAAAAAAAAAAAAAAALUEAABkcnMvZG93&#10;bnJldi54bWxQSwUGAAAAAAQABADzAAAAwwUAAAAA&#10;" fillcolor="white [3201]" strokecolor="#ed7d31 [3205]" strokeweight="1pt">
                <v:stroke joinstyle="miter"/>
                <v:textbox>
                  <w:txbxContent>
                    <w:p w14:paraId="50CB7CFF" w14:textId="77777777" w:rsidR="00431DF4" w:rsidRPr="00247494" w:rsidRDefault="00431DF4" w:rsidP="008E05A0">
                      <w:pPr>
                        <w:jc w:val="both"/>
                        <w:rPr>
                          <w:rFonts w:ascii="Times New Roman" w:hAnsi="Times New Roman" w:cs="Times New Roman"/>
                          <w:b/>
                          <w:sz w:val="24"/>
                          <w:szCs w:val="24"/>
                        </w:rPr>
                      </w:pPr>
                      <w:r w:rsidRPr="00247494">
                        <w:rPr>
                          <w:rFonts w:ascii="Times New Roman" w:hAnsi="Times New Roman" w:cs="Times New Roman"/>
                          <w:b/>
                          <w:sz w:val="24"/>
                          <w:szCs w:val="24"/>
                        </w:rPr>
                        <w:t>Kādu mērķi ES cenšas sasniegt, kontrolējot kompensāciju par VTNP?</w:t>
                      </w:r>
                    </w:p>
                    <w:p w14:paraId="29871BE1" w14:textId="1566A5B6" w:rsidR="00431DF4" w:rsidRPr="00247494" w:rsidRDefault="00431DF4" w:rsidP="00D1320F">
                      <w:pPr>
                        <w:spacing w:before="0" w:after="0"/>
                        <w:jc w:val="both"/>
                        <w:rPr>
                          <w:rFonts w:ascii="Times New Roman" w:hAnsi="Times New Roman" w:cs="Times New Roman"/>
                          <w:sz w:val="24"/>
                          <w:szCs w:val="24"/>
                        </w:rPr>
                      </w:pPr>
                      <w:r w:rsidRPr="00247494">
                        <w:rPr>
                          <w:rFonts w:ascii="Times New Roman" w:hAnsi="Times New Roman" w:cs="Times New Roman"/>
                          <w:sz w:val="24"/>
                          <w:szCs w:val="24"/>
                        </w:rPr>
                        <w:t>Uzņēmumiem, kuri veic saimniecisko darbību, piešķirts publiskais finansējums var sniegt ekonomiskas priekšrocības, kādas nav to konkurentiem. Tas var radīt konkurences kropļojumus ES iekšējā tirgū. VTNP atbalsta kontroles noteikumu piemērošana nodrošina to, ka kompensācija par VTNP</w:t>
                      </w:r>
                      <w:r w:rsidRPr="00247494" w:rsidDel="001C229F">
                        <w:rPr>
                          <w:rFonts w:ascii="Times New Roman" w:hAnsi="Times New Roman" w:cs="Times New Roman"/>
                          <w:sz w:val="24"/>
                          <w:szCs w:val="24"/>
                        </w:rPr>
                        <w:t xml:space="preserve"> </w:t>
                      </w:r>
                      <w:r w:rsidRPr="00247494">
                        <w:rPr>
                          <w:rFonts w:ascii="Times New Roman" w:hAnsi="Times New Roman" w:cs="Times New Roman"/>
                          <w:sz w:val="24"/>
                          <w:szCs w:val="24"/>
                        </w:rPr>
                        <w:t>sniegšanu, nepārsniedz to, kas nepieciešama, lai nodrošinātu pakalpojumu, un ka uzņēmumiem ir stimuls ieviest jauninājumus un konkurēt tirgū.</w:t>
                      </w:r>
                    </w:p>
                  </w:txbxContent>
                </v:textbox>
                <w10:wrap type="square" anchorx="margin"/>
              </v:roundrect>
            </w:pict>
          </mc:Fallback>
        </mc:AlternateContent>
      </w:r>
      <w:r w:rsidR="00A41892" w:rsidRPr="00DF4295">
        <w:rPr>
          <w:rFonts w:ascii="Times New Roman" w:hAnsi="Times New Roman" w:cs="Times New Roman"/>
          <w:sz w:val="28"/>
          <w:szCs w:val="28"/>
        </w:rPr>
        <w:t>Ja pakalpojums definēts kā VTNP, tad, lai</w:t>
      </w:r>
      <w:r w:rsidR="007A7818" w:rsidRPr="00DF4295">
        <w:rPr>
          <w:rFonts w:ascii="Times New Roman" w:hAnsi="Times New Roman" w:cs="Times New Roman"/>
          <w:sz w:val="28"/>
          <w:szCs w:val="28"/>
        </w:rPr>
        <w:t xml:space="preserve"> nodrošinātu tā saderību ar iekšējo tirgu</w:t>
      </w:r>
      <w:r w:rsidR="00A41892" w:rsidRPr="00DF4295">
        <w:rPr>
          <w:rFonts w:ascii="Times New Roman" w:hAnsi="Times New Roman" w:cs="Times New Roman"/>
          <w:sz w:val="28"/>
          <w:szCs w:val="28"/>
        </w:rPr>
        <w:t>, pirms atbalsta pasākuma ieviešanas ir jānodrošin</w:t>
      </w:r>
      <w:r w:rsidR="000E42B6" w:rsidRPr="00DF4295">
        <w:rPr>
          <w:rFonts w:ascii="Times New Roman" w:hAnsi="Times New Roman" w:cs="Times New Roman"/>
          <w:sz w:val="28"/>
          <w:szCs w:val="28"/>
        </w:rPr>
        <w:t xml:space="preserve">a tā atbilstība ES regulējumam. </w:t>
      </w:r>
      <w:r w:rsidR="009F4ACD" w:rsidRPr="00DF4295">
        <w:rPr>
          <w:rFonts w:ascii="Times New Roman" w:hAnsi="Times New Roman" w:cs="Times New Roman"/>
          <w:sz w:val="28"/>
          <w:szCs w:val="28"/>
        </w:rPr>
        <w:t xml:space="preserve">EK ir noteikusi </w:t>
      </w:r>
      <w:r w:rsidR="00A41892" w:rsidRPr="00DF4295">
        <w:rPr>
          <w:rFonts w:ascii="Times New Roman" w:hAnsi="Times New Roman" w:cs="Times New Roman"/>
          <w:sz w:val="28"/>
          <w:szCs w:val="28"/>
        </w:rPr>
        <w:t>VTNP</w:t>
      </w:r>
      <w:r w:rsidR="009F4ACD" w:rsidRPr="00DF4295">
        <w:rPr>
          <w:rFonts w:ascii="Times New Roman" w:hAnsi="Times New Roman" w:cs="Times New Roman"/>
          <w:sz w:val="28"/>
          <w:szCs w:val="28"/>
        </w:rPr>
        <w:t xml:space="preserve"> regulējumu jau kopš 1996.gada. Tas ir a</w:t>
      </w:r>
      <w:r w:rsidR="00DD0010" w:rsidRPr="00DF4295">
        <w:rPr>
          <w:rFonts w:ascii="Times New Roman" w:hAnsi="Times New Roman" w:cs="Times New Roman"/>
          <w:sz w:val="28"/>
          <w:szCs w:val="28"/>
        </w:rPr>
        <w:t>ktualizēts</w:t>
      </w:r>
      <w:r w:rsidR="009F4ACD" w:rsidRPr="00DF4295">
        <w:rPr>
          <w:rFonts w:ascii="Times New Roman" w:hAnsi="Times New Roman" w:cs="Times New Roman"/>
          <w:sz w:val="28"/>
          <w:szCs w:val="28"/>
        </w:rPr>
        <w:t xml:space="preserve"> vairākas reizes</w:t>
      </w:r>
      <w:r w:rsidR="00A41892" w:rsidRPr="00DF4295">
        <w:rPr>
          <w:rFonts w:ascii="Times New Roman" w:hAnsi="Times New Roman" w:cs="Times New Roman"/>
          <w:sz w:val="28"/>
          <w:szCs w:val="28"/>
        </w:rPr>
        <w:t xml:space="preserve">, </w:t>
      </w:r>
      <w:r w:rsidR="009F4ACD" w:rsidRPr="00DF4295">
        <w:rPr>
          <w:rFonts w:ascii="Times New Roman" w:hAnsi="Times New Roman" w:cs="Times New Roman"/>
          <w:sz w:val="28"/>
          <w:szCs w:val="28"/>
        </w:rPr>
        <w:t xml:space="preserve">šobrīd esošais regulējums stājās spēkā </w:t>
      </w:r>
      <w:r w:rsidR="00017F3D" w:rsidRPr="00DF4295">
        <w:rPr>
          <w:rFonts w:ascii="Times New Roman" w:hAnsi="Times New Roman" w:cs="Times New Roman"/>
          <w:sz w:val="28"/>
          <w:szCs w:val="28"/>
        </w:rPr>
        <w:t>2012. gada 31. janvārī</w:t>
      </w:r>
      <w:r w:rsidR="009F4ACD" w:rsidRPr="00DF4295">
        <w:rPr>
          <w:rFonts w:ascii="Times New Roman" w:hAnsi="Times New Roman" w:cs="Times New Roman"/>
          <w:sz w:val="28"/>
          <w:szCs w:val="28"/>
        </w:rPr>
        <w:t>.</w:t>
      </w:r>
      <w:r w:rsidR="00D1320F" w:rsidRPr="00DF4295">
        <w:rPr>
          <w:rFonts w:ascii="Times New Roman" w:hAnsi="Times New Roman" w:cs="Times New Roman"/>
          <w:noProof/>
          <w:sz w:val="28"/>
          <w:szCs w:val="28"/>
          <w:lang w:eastAsia="lv-LV"/>
        </w:rPr>
        <w:t xml:space="preserve"> </w:t>
      </w:r>
    </w:p>
    <w:p w14:paraId="6EE5A056" w14:textId="7DC62870" w:rsidR="00017F3D" w:rsidRPr="00DF4295" w:rsidRDefault="00330926" w:rsidP="001D1B46">
      <w:pPr>
        <w:jc w:val="both"/>
        <w:rPr>
          <w:rFonts w:ascii="Times New Roman" w:hAnsi="Times New Roman" w:cs="Times New Roman"/>
          <w:sz w:val="28"/>
          <w:szCs w:val="28"/>
        </w:rPr>
      </w:pPr>
      <w:r w:rsidRPr="00DF4295">
        <w:rPr>
          <w:rFonts w:ascii="Times New Roman" w:hAnsi="Times New Roman" w:cs="Times New Roman"/>
          <w:sz w:val="28"/>
          <w:szCs w:val="28"/>
        </w:rPr>
        <w:t xml:space="preserve">EK noteiktais </w:t>
      </w:r>
      <w:r w:rsidR="009F4ACD" w:rsidRPr="00DF4295">
        <w:rPr>
          <w:rFonts w:ascii="Times New Roman" w:hAnsi="Times New Roman" w:cs="Times New Roman"/>
          <w:sz w:val="28"/>
          <w:szCs w:val="28"/>
        </w:rPr>
        <w:t>VTNP r</w:t>
      </w:r>
      <w:r w:rsidR="00017F3D" w:rsidRPr="00DF4295">
        <w:rPr>
          <w:rFonts w:ascii="Times New Roman" w:hAnsi="Times New Roman" w:cs="Times New Roman"/>
          <w:sz w:val="28"/>
          <w:szCs w:val="28"/>
        </w:rPr>
        <w:t xml:space="preserve">egulējums ir ietverts šādos </w:t>
      </w:r>
      <w:r w:rsidR="006E63DF" w:rsidRPr="00DF4295">
        <w:rPr>
          <w:rFonts w:ascii="Times New Roman" w:hAnsi="Times New Roman" w:cs="Times New Roman"/>
          <w:sz w:val="28"/>
          <w:szCs w:val="28"/>
        </w:rPr>
        <w:t xml:space="preserve">četros </w:t>
      </w:r>
      <w:r w:rsidR="00017F3D" w:rsidRPr="00DF4295">
        <w:rPr>
          <w:rFonts w:ascii="Times New Roman" w:hAnsi="Times New Roman" w:cs="Times New Roman"/>
          <w:sz w:val="28"/>
          <w:szCs w:val="28"/>
        </w:rPr>
        <w:t>dokumentos:</w:t>
      </w:r>
    </w:p>
    <w:p w14:paraId="446E407D" w14:textId="32E23536" w:rsidR="00017F3D" w:rsidRPr="00DF4295" w:rsidRDefault="008B52BC" w:rsidP="00097423">
      <w:pPr>
        <w:pStyle w:val="ListParagraph"/>
        <w:numPr>
          <w:ilvl w:val="0"/>
          <w:numId w:val="9"/>
        </w:numPr>
        <w:contextualSpacing w:val="0"/>
        <w:jc w:val="both"/>
        <w:rPr>
          <w:rFonts w:ascii="Times New Roman" w:hAnsi="Times New Roman" w:cs="Times New Roman"/>
          <w:sz w:val="28"/>
          <w:szCs w:val="28"/>
        </w:rPr>
      </w:pPr>
      <w:r w:rsidRPr="00DF4295">
        <w:rPr>
          <w:rFonts w:ascii="Times New Roman" w:hAnsi="Times New Roman" w:cs="Times New Roman"/>
          <w:b/>
          <w:sz w:val="28"/>
          <w:szCs w:val="28"/>
        </w:rPr>
        <w:t>VTNP lēmums</w:t>
      </w:r>
      <w:r w:rsidR="00BF1009" w:rsidRPr="00DF4295">
        <w:rPr>
          <w:rFonts w:ascii="Times New Roman" w:hAnsi="Times New Roman" w:cs="Times New Roman"/>
          <w:b/>
          <w:sz w:val="28"/>
          <w:szCs w:val="28"/>
        </w:rPr>
        <w:t xml:space="preserve">. </w:t>
      </w:r>
      <w:r w:rsidR="00017F3D" w:rsidRPr="00DF4295">
        <w:rPr>
          <w:rFonts w:ascii="Times New Roman" w:hAnsi="Times New Roman" w:cs="Times New Roman"/>
          <w:sz w:val="28"/>
          <w:szCs w:val="28"/>
        </w:rPr>
        <w:t xml:space="preserve">Atbalsts, kas sniegts saskaņā ar šo dokumentu, ir atbrīvots no iepriekšējas paziņošanas </w:t>
      </w:r>
      <w:r w:rsidR="0045543B" w:rsidRPr="00DF4295">
        <w:rPr>
          <w:rFonts w:ascii="Times New Roman" w:hAnsi="Times New Roman" w:cs="Times New Roman"/>
          <w:sz w:val="28"/>
          <w:szCs w:val="28"/>
        </w:rPr>
        <w:t>EK</w:t>
      </w:r>
      <w:r w:rsidR="00017F3D" w:rsidRPr="00DF4295">
        <w:rPr>
          <w:rFonts w:ascii="Times New Roman" w:hAnsi="Times New Roman" w:cs="Times New Roman"/>
          <w:sz w:val="28"/>
          <w:szCs w:val="28"/>
        </w:rPr>
        <w:t xml:space="preserve"> sask</w:t>
      </w:r>
      <w:r w:rsidR="00E11578" w:rsidRPr="00DF4295">
        <w:rPr>
          <w:rFonts w:ascii="Times New Roman" w:hAnsi="Times New Roman" w:cs="Times New Roman"/>
          <w:sz w:val="28"/>
          <w:szCs w:val="28"/>
        </w:rPr>
        <w:t>aņā ar LESD 108.panta 3.punktu</w:t>
      </w:r>
      <w:r w:rsidR="00017F3D" w:rsidRPr="00DF4295">
        <w:rPr>
          <w:rFonts w:ascii="Times New Roman" w:hAnsi="Times New Roman" w:cs="Times New Roman"/>
          <w:sz w:val="28"/>
          <w:szCs w:val="28"/>
        </w:rPr>
        <w:t>.</w:t>
      </w:r>
    </w:p>
    <w:p w14:paraId="061902F1" w14:textId="476969D8" w:rsidR="00017F3D" w:rsidRPr="00DF4295" w:rsidRDefault="008B52BC" w:rsidP="00097423">
      <w:pPr>
        <w:pStyle w:val="ListParagraph"/>
        <w:numPr>
          <w:ilvl w:val="0"/>
          <w:numId w:val="9"/>
        </w:numPr>
        <w:contextualSpacing w:val="0"/>
        <w:jc w:val="both"/>
        <w:rPr>
          <w:rFonts w:ascii="Times New Roman" w:hAnsi="Times New Roman" w:cs="Times New Roman"/>
          <w:sz w:val="28"/>
          <w:szCs w:val="28"/>
        </w:rPr>
      </w:pPr>
      <w:r w:rsidRPr="00DF4295">
        <w:rPr>
          <w:rFonts w:ascii="Times New Roman" w:hAnsi="Times New Roman" w:cs="Times New Roman"/>
          <w:b/>
          <w:sz w:val="28"/>
          <w:szCs w:val="28"/>
        </w:rPr>
        <w:t>VTNP nostādnes</w:t>
      </w:r>
      <w:r w:rsidR="00BF1009" w:rsidRPr="00DF4295">
        <w:rPr>
          <w:rFonts w:ascii="Times New Roman" w:hAnsi="Times New Roman" w:cs="Times New Roman"/>
          <w:b/>
          <w:sz w:val="28"/>
          <w:szCs w:val="28"/>
        </w:rPr>
        <w:t xml:space="preserve">. </w:t>
      </w:r>
      <w:r w:rsidR="00017F3D" w:rsidRPr="00DF4295">
        <w:rPr>
          <w:rFonts w:ascii="Times New Roman" w:hAnsi="Times New Roman" w:cs="Times New Roman"/>
          <w:sz w:val="28"/>
          <w:szCs w:val="28"/>
        </w:rPr>
        <w:t>Atbalsts, kas sniegts saskaņā ar šo dokumentu, ir paziņojams</w:t>
      </w:r>
      <w:r w:rsidR="00636A3F" w:rsidRPr="00DF4295">
        <w:rPr>
          <w:rFonts w:ascii="Times New Roman" w:hAnsi="Times New Roman" w:cs="Times New Roman"/>
          <w:sz w:val="28"/>
          <w:szCs w:val="28"/>
        </w:rPr>
        <w:t xml:space="preserve"> EK</w:t>
      </w:r>
      <w:r w:rsidR="00017F3D" w:rsidRPr="00DF4295">
        <w:rPr>
          <w:rFonts w:ascii="Times New Roman" w:hAnsi="Times New Roman" w:cs="Times New Roman"/>
          <w:sz w:val="28"/>
          <w:szCs w:val="28"/>
        </w:rPr>
        <w:t xml:space="preserve"> saskaņā ar LESD 108.panta 3.punktu.</w:t>
      </w:r>
    </w:p>
    <w:p w14:paraId="2FDF1E7F" w14:textId="150013D4" w:rsidR="00AB3BC1" w:rsidRPr="00DF4295" w:rsidRDefault="00315609" w:rsidP="00097423">
      <w:pPr>
        <w:pStyle w:val="ListParagraph"/>
        <w:numPr>
          <w:ilvl w:val="0"/>
          <w:numId w:val="9"/>
        </w:numPr>
        <w:contextualSpacing w:val="0"/>
        <w:jc w:val="both"/>
        <w:rPr>
          <w:rFonts w:ascii="Times New Roman" w:hAnsi="Times New Roman" w:cs="Times New Roman"/>
          <w:sz w:val="28"/>
          <w:szCs w:val="28"/>
        </w:rPr>
      </w:pPr>
      <w:r w:rsidRPr="00DF4295">
        <w:rPr>
          <w:rFonts w:ascii="Times New Roman" w:hAnsi="Times New Roman" w:cs="Times New Roman"/>
          <w:b/>
          <w:sz w:val="28"/>
          <w:szCs w:val="28"/>
        </w:rPr>
        <w:t>VTNP paziņojums</w:t>
      </w:r>
      <w:r w:rsidR="000E42B6" w:rsidRPr="00DF4295">
        <w:rPr>
          <w:rFonts w:ascii="Times New Roman" w:hAnsi="Times New Roman" w:cs="Times New Roman"/>
          <w:b/>
          <w:sz w:val="28"/>
          <w:szCs w:val="28"/>
        </w:rPr>
        <w:t xml:space="preserve">. </w:t>
      </w:r>
      <w:r w:rsidR="00171BE0" w:rsidRPr="00DF4295">
        <w:rPr>
          <w:rFonts w:ascii="Times New Roman" w:hAnsi="Times New Roman" w:cs="Times New Roman"/>
          <w:sz w:val="28"/>
          <w:szCs w:val="28"/>
        </w:rPr>
        <w:t xml:space="preserve">VTNP paziņojumā ir skaidroti komercdarbības atbalsta pamatjēdzieni, kuri ir būtiski VTNP jomā, piem., jēdzieni atbalsts, VTNP, saimnieciskā darbība, saikne starp publisko iepirkumu un komercdarbības atbalsta noteikumiem utt. Tajā apkopota būtiskākā ES tiesas judikatūra un EK lēmumu prakse. Paziņojuma mērķis ir atvieglot komercdarbības atbalsta noteikumu piemērošanu valsts vai reģionālām iestādēm un pašvaldībām, kā arī </w:t>
      </w:r>
      <w:r w:rsidR="00042EA9">
        <w:rPr>
          <w:rFonts w:ascii="Times New Roman" w:hAnsi="Times New Roman" w:cs="Times New Roman"/>
          <w:sz w:val="28"/>
          <w:szCs w:val="28"/>
        </w:rPr>
        <w:t>VTNP</w:t>
      </w:r>
      <w:r w:rsidR="00171BE0" w:rsidRPr="00DF4295">
        <w:rPr>
          <w:rFonts w:ascii="Times New Roman" w:hAnsi="Times New Roman" w:cs="Times New Roman"/>
          <w:sz w:val="28"/>
          <w:szCs w:val="28"/>
        </w:rPr>
        <w:t xml:space="preserve"> sniedzējiem. EK ir pēc iespējas centusies nodrošināt lielāku skaidrību par galvenajiem jēdzieniem, piem., saimniecisko darbību, ietekmi uz tirdzniecību un konkurenci, kā arī saikni starp komercdarbības atbalstu un publiskā iepirkuma noteikumiem.  </w:t>
      </w:r>
    </w:p>
    <w:p w14:paraId="3E1892BF" w14:textId="1CD0B52F" w:rsidR="00004866" w:rsidRPr="00004866" w:rsidRDefault="00017F3D" w:rsidP="00097423">
      <w:pPr>
        <w:pStyle w:val="ListParagraph"/>
        <w:numPr>
          <w:ilvl w:val="0"/>
          <w:numId w:val="9"/>
        </w:numPr>
        <w:contextualSpacing w:val="0"/>
        <w:jc w:val="both"/>
        <w:rPr>
          <w:rFonts w:ascii="Times New Roman" w:hAnsi="Times New Roman" w:cs="Times New Roman"/>
          <w:sz w:val="28"/>
          <w:szCs w:val="28"/>
        </w:rPr>
      </w:pPr>
      <w:r w:rsidRPr="00DF4295">
        <w:rPr>
          <w:rFonts w:ascii="Times New Roman" w:hAnsi="Times New Roman" w:cs="Times New Roman"/>
          <w:i/>
          <w:sz w:val="28"/>
          <w:szCs w:val="28"/>
        </w:rPr>
        <w:t xml:space="preserve">Komisijas </w:t>
      </w:r>
      <w:r w:rsidR="00356FF1" w:rsidRPr="00DF4295">
        <w:rPr>
          <w:rFonts w:ascii="Times New Roman" w:hAnsi="Times New Roman" w:cs="Times New Roman"/>
          <w:i/>
          <w:sz w:val="28"/>
          <w:szCs w:val="28"/>
        </w:rPr>
        <w:t>20</w:t>
      </w:r>
      <w:r w:rsidR="00356FF1">
        <w:rPr>
          <w:rFonts w:ascii="Times New Roman" w:hAnsi="Times New Roman" w:cs="Times New Roman"/>
          <w:i/>
          <w:sz w:val="28"/>
          <w:szCs w:val="28"/>
        </w:rPr>
        <w:t>23</w:t>
      </w:r>
      <w:r w:rsidRPr="00DF4295">
        <w:rPr>
          <w:rFonts w:ascii="Times New Roman" w:hAnsi="Times New Roman" w:cs="Times New Roman"/>
          <w:i/>
          <w:sz w:val="28"/>
          <w:szCs w:val="28"/>
        </w:rPr>
        <w:t xml:space="preserve">. gada </w:t>
      </w:r>
      <w:r w:rsidR="00356FF1">
        <w:rPr>
          <w:rFonts w:ascii="Times New Roman" w:hAnsi="Times New Roman" w:cs="Times New Roman"/>
          <w:i/>
          <w:sz w:val="28"/>
          <w:szCs w:val="28"/>
        </w:rPr>
        <w:t>13.decembra</w:t>
      </w:r>
      <w:r w:rsidRPr="00DF4295">
        <w:rPr>
          <w:rFonts w:ascii="Times New Roman" w:hAnsi="Times New Roman" w:cs="Times New Roman"/>
          <w:i/>
          <w:sz w:val="28"/>
          <w:szCs w:val="28"/>
        </w:rPr>
        <w:t xml:space="preserve"> regul</w:t>
      </w:r>
      <w:r w:rsidR="008B52BC" w:rsidRPr="00DF4295">
        <w:rPr>
          <w:rFonts w:ascii="Times New Roman" w:hAnsi="Times New Roman" w:cs="Times New Roman"/>
          <w:i/>
          <w:sz w:val="28"/>
          <w:szCs w:val="28"/>
        </w:rPr>
        <w:t>a</w:t>
      </w:r>
      <w:r w:rsidRPr="00DF4295">
        <w:rPr>
          <w:rFonts w:ascii="Times New Roman" w:hAnsi="Times New Roman" w:cs="Times New Roman"/>
          <w:i/>
          <w:sz w:val="28"/>
          <w:szCs w:val="28"/>
        </w:rPr>
        <w:t xml:space="preserve"> (ES) Nr.</w:t>
      </w:r>
      <w:r w:rsidR="00356FF1">
        <w:rPr>
          <w:rFonts w:ascii="Times New Roman" w:hAnsi="Times New Roman" w:cs="Times New Roman"/>
          <w:i/>
          <w:sz w:val="28"/>
          <w:szCs w:val="28"/>
        </w:rPr>
        <w:t>2023/2832</w:t>
      </w:r>
      <w:r w:rsidRPr="00DF4295">
        <w:rPr>
          <w:rFonts w:ascii="Times New Roman" w:hAnsi="Times New Roman" w:cs="Times New Roman"/>
          <w:i/>
          <w:sz w:val="28"/>
          <w:szCs w:val="28"/>
        </w:rPr>
        <w:t xml:space="preserve"> par Līguma par Eiropas Savienības darbību 107. un 108.panta piemērošanu de minimis atbalstam, ko piešķir uzņēmumiem, kuri sniedz pakalpojumus ar vispārēju t</w:t>
      </w:r>
      <w:r w:rsidR="00E11578" w:rsidRPr="00DF4295">
        <w:rPr>
          <w:rFonts w:ascii="Times New Roman" w:hAnsi="Times New Roman" w:cs="Times New Roman"/>
          <w:i/>
          <w:sz w:val="28"/>
          <w:szCs w:val="28"/>
        </w:rPr>
        <w:t>autsaimniecisku nozīmi</w:t>
      </w:r>
      <w:r w:rsidR="008B52BC" w:rsidRPr="00DF4295">
        <w:rPr>
          <w:rFonts w:ascii="Times New Roman" w:hAnsi="Times New Roman" w:cs="Times New Roman"/>
          <w:i/>
          <w:sz w:val="28"/>
          <w:szCs w:val="28"/>
        </w:rPr>
        <w:t xml:space="preserve"> </w:t>
      </w:r>
      <w:r w:rsidR="008B52BC" w:rsidRPr="00DF4295">
        <w:rPr>
          <w:rFonts w:ascii="Times New Roman" w:hAnsi="Times New Roman" w:cs="Times New Roman"/>
          <w:sz w:val="28"/>
          <w:szCs w:val="28"/>
        </w:rPr>
        <w:t xml:space="preserve">(turpmāk – </w:t>
      </w:r>
      <w:r w:rsidR="008B52BC" w:rsidRPr="00DF4295">
        <w:rPr>
          <w:rFonts w:ascii="Times New Roman" w:hAnsi="Times New Roman" w:cs="Times New Roman"/>
          <w:b/>
          <w:sz w:val="28"/>
          <w:szCs w:val="28"/>
        </w:rPr>
        <w:t>VTNP de minimis</w:t>
      </w:r>
      <w:r w:rsidR="002356A2" w:rsidRPr="00DF4295">
        <w:rPr>
          <w:rFonts w:ascii="Times New Roman" w:hAnsi="Times New Roman" w:cs="Times New Roman"/>
          <w:b/>
          <w:sz w:val="28"/>
          <w:szCs w:val="28"/>
        </w:rPr>
        <w:t xml:space="preserve"> regula</w:t>
      </w:r>
      <w:r w:rsidR="008B52BC" w:rsidRPr="00DF4295">
        <w:rPr>
          <w:rFonts w:ascii="Times New Roman" w:hAnsi="Times New Roman" w:cs="Times New Roman"/>
          <w:sz w:val="28"/>
          <w:szCs w:val="28"/>
        </w:rPr>
        <w:t>)</w:t>
      </w:r>
      <w:r w:rsidR="002B6EF3" w:rsidRPr="00DF4295">
        <w:rPr>
          <w:rStyle w:val="FootnoteReference"/>
          <w:rFonts w:ascii="Times New Roman" w:hAnsi="Times New Roman" w:cs="Times New Roman"/>
          <w:sz w:val="28"/>
          <w:szCs w:val="28"/>
        </w:rPr>
        <w:footnoteReference w:id="22"/>
      </w:r>
      <w:r w:rsidR="00E11578" w:rsidRPr="00DF4295">
        <w:rPr>
          <w:rFonts w:ascii="Times New Roman" w:hAnsi="Times New Roman" w:cs="Times New Roman"/>
          <w:i/>
          <w:sz w:val="28"/>
          <w:szCs w:val="28"/>
        </w:rPr>
        <w:t>.</w:t>
      </w:r>
      <w:r w:rsidR="000E42B6" w:rsidRPr="00DF4295">
        <w:rPr>
          <w:rFonts w:ascii="Times New Roman" w:hAnsi="Times New Roman" w:cs="Times New Roman"/>
          <w:i/>
          <w:sz w:val="28"/>
          <w:szCs w:val="28"/>
        </w:rPr>
        <w:t xml:space="preserve"> </w:t>
      </w:r>
    </w:p>
    <w:p w14:paraId="21DA077D" w14:textId="6FADACC6" w:rsidR="00D335D2" w:rsidRPr="00497585" w:rsidRDefault="00D335D2" w:rsidP="00497585">
      <w:pPr>
        <w:jc w:val="both"/>
        <w:rPr>
          <w:rFonts w:ascii="Times New Roman" w:hAnsi="Times New Roman" w:cs="Times New Roman"/>
          <w:sz w:val="28"/>
          <w:szCs w:val="28"/>
        </w:rPr>
      </w:pPr>
      <w:r w:rsidRPr="00497585">
        <w:rPr>
          <w:rFonts w:ascii="Times New Roman" w:hAnsi="Times New Roman" w:cs="Times New Roman"/>
          <w:sz w:val="28"/>
          <w:szCs w:val="28"/>
        </w:rPr>
        <w:t xml:space="preserve">Nacionālā līmenī ir pieņemti </w:t>
      </w:r>
      <w:r w:rsidR="00004866" w:rsidRPr="00004866">
        <w:rPr>
          <w:rFonts w:ascii="Times New Roman" w:hAnsi="Times New Roman" w:cs="Times New Roman"/>
          <w:sz w:val="28"/>
          <w:szCs w:val="28"/>
        </w:rPr>
        <w:t>Ministru kabineta 2018. gada 2</w:t>
      </w:r>
      <w:r w:rsidR="00004866">
        <w:rPr>
          <w:rFonts w:ascii="Times New Roman" w:hAnsi="Times New Roman" w:cs="Times New Roman"/>
          <w:sz w:val="28"/>
          <w:szCs w:val="28"/>
        </w:rPr>
        <w:t>1. novembra noteikumi Nr. 715 “</w:t>
      </w:r>
      <w:r w:rsidR="00004866" w:rsidRPr="00004866">
        <w:rPr>
          <w:rFonts w:ascii="Times New Roman" w:hAnsi="Times New Roman" w:cs="Times New Roman"/>
          <w:sz w:val="28"/>
          <w:szCs w:val="28"/>
        </w:rPr>
        <w:t>Noteikumi par de minimis atbalsta uzskaites un piešķiršanas kārtību</w:t>
      </w:r>
      <w:r w:rsidR="00004866">
        <w:rPr>
          <w:rFonts w:ascii="Times New Roman" w:hAnsi="Times New Roman" w:cs="Times New Roman"/>
          <w:sz w:val="28"/>
          <w:szCs w:val="28"/>
        </w:rPr>
        <w:t>”</w:t>
      </w:r>
      <w:r w:rsidR="00DC6D01">
        <w:rPr>
          <w:rFonts w:ascii="Times New Roman" w:hAnsi="Times New Roman" w:cs="Times New Roman"/>
          <w:sz w:val="28"/>
          <w:szCs w:val="28"/>
        </w:rPr>
        <w:t xml:space="preserve"> </w:t>
      </w:r>
      <w:r w:rsidR="00DC6D01" w:rsidRPr="00DF4295">
        <w:rPr>
          <w:rFonts w:ascii="Times New Roman" w:hAnsi="Times New Roman" w:cs="Times New Roman"/>
          <w:sz w:val="28"/>
          <w:szCs w:val="28"/>
        </w:rPr>
        <w:t>(turpmāk – MK noteikumi Nr.</w:t>
      </w:r>
      <w:r w:rsidR="00DC6D01">
        <w:rPr>
          <w:rFonts w:ascii="Times New Roman" w:hAnsi="Times New Roman" w:cs="Times New Roman"/>
          <w:sz w:val="28"/>
          <w:szCs w:val="28"/>
        </w:rPr>
        <w:t>715</w:t>
      </w:r>
      <w:r w:rsidR="00DC6D01" w:rsidRPr="00DF4295">
        <w:rPr>
          <w:rFonts w:ascii="Times New Roman" w:hAnsi="Times New Roman" w:cs="Times New Roman"/>
          <w:sz w:val="28"/>
          <w:szCs w:val="28"/>
        </w:rPr>
        <w:t>)</w:t>
      </w:r>
      <w:r w:rsidRPr="00497585">
        <w:rPr>
          <w:rFonts w:ascii="Times New Roman" w:hAnsi="Times New Roman" w:cs="Times New Roman"/>
          <w:sz w:val="28"/>
          <w:szCs w:val="28"/>
        </w:rPr>
        <w:t xml:space="preserve">, kas reglamentē atbalsta piešķiršanas un uzskaites kārtību </w:t>
      </w:r>
      <w:r w:rsidR="00004866">
        <w:rPr>
          <w:rFonts w:ascii="Times New Roman" w:hAnsi="Times New Roman" w:cs="Times New Roman"/>
          <w:sz w:val="28"/>
          <w:szCs w:val="28"/>
        </w:rPr>
        <w:t xml:space="preserve">arī </w:t>
      </w:r>
      <w:r w:rsidRPr="00497585">
        <w:rPr>
          <w:rFonts w:ascii="Times New Roman" w:hAnsi="Times New Roman" w:cs="Times New Roman"/>
          <w:sz w:val="28"/>
          <w:szCs w:val="28"/>
        </w:rPr>
        <w:t>gadījumos, kad komercdarbības atbalsts tiek piešķirts saskaņā ar VTNP de minimis regulu.</w:t>
      </w:r>
      <w:r w:rsidR="00715DDE" w:rsidRPr="00497585">
        <w:rPr>
          <w:rFonts w:ascii="Times New Roman" w:hAnsi="Times New Roman" w:cs="Times New Roman"/>
          <w:sz w:val="28"/>
          <w:szCs w:val="28"/>
        </w:rPr>
        <w:t xml:space="preserve"> Nacionālā līmenī atbalsta piešķiršanas juridiskais pamats </w:t>
      </w:r>
      <w:r w:rsidR="00004866">
        <w:rPr>
          <w:rFonts w:ascii="Times New Roman" w:hAnsi="Times New Roman" w:cs="Times New Roman"/>
          <w:sz w:val="28"/>
          <w:szCs w:val="28"/>
        </w:rPr>
        <w:t xml:space="preserve">ir </w:t>
      </w:r>
      <w:r w:rsidR="00715DDE" w:rsidRPr="00497585">
        <w:rPr>
          <w:rFonts w:ascii="Times New Roman" w:hAnsi="Times New Roman" w:cs="Times New Roman"/>
          <w:sz w:val="28"/>
          <w:szCs w:val="28"/>
        </w:rPr>
        <w:t xml:space="preserve">VTNP sniedzēja ar valsts vai pašvaldības iestādi noslēgtais VTNP sniegšanas pilnvarojuma akts. </w:t>
      </w:r>
    </w:p>
    <w:p w14:paraId="250A7E48" w14:textId="600E5B86" w:rsidR="00157BBA" w:rsidRPr="00DF4295" w:rsidRDefault="00017F3D" w:rsidP="001D1B46">
      <w:pPr>
        <w:ind w:firstLine="709"/>
        <w:jc w:val="both"/>
        <w:rPr>
          <w:rFonts w:ascii="Times New Roman" w:hAnsi="Times New Roman" w:cs="Times New Roman"/>
          <w:sz w:val="28"/>
          <w:szCs w:val="28"/>
        </w:rPr>
      </w:pPr>
      <w:r w:rsidRPr="00DF4295">
        <w:rPr>
          <w:rFonts w:ascii="Times New Roman" w:hAnsi="Times New Roman" w:cs="Times New Roman"/>
          <w:sz w:val="28"/>
          <w:szCs w:val="28"/>
        </w:rPr>
        <w:lastRenderedPageBreak/>
        <w:t xml:space="preserve">Attiecībā uz atsevišķām jomām </w:t>
      </w:r>
      <w:r w:rsidR="00C61DB6" w:rsidRPr="00DF4295">
        <w:rPr>
          <w:rFonts w:ascii="Times New Roman" w:hAnsi="Times New Roman" w:cs="Times New Roman"/>
          <w:sz w:val="28"/>
          <w:szCs w:val="28"/>
        </w:rPr>
        <w:t>EK</w:t>
      </w:r>
      <w:r w:rsidRPr="00DF4295">
        <w:rPr>
          <w:rFonts w:ascii="Times New Roman" w:hAnsi="Times New Roman" w:cs="Times New Roman"/>
          <w:sz w:val="28"/>
          <w:szCs w:val="28"/>
        </w:rPr>
        <w:t xml:space="preserve"> ir pieņēmusi īpašo VTNP regulējumu, piemēram, sabiedriskā apraide</w:t>
      </w:r>
      <w:r w:rsidRPr="00DF4295">
        <w:rPr>
          <w:rStyle w:val="FootnoteReference"/>
          <w:rFonts w:ascii="Times New Roman" w:hAnsi="Times New Roman" w:cs="Times New Roman"/>
          <w:sz w:val="28"/>
          <w:szCs w:val="28"/>
        </w:rPr>
        <w:footnoteReference w:id="23"/>
      </w:r>
      <w:r w:rsidRPr="00DF4295">
        <w:rPr>
          <w:rFonts w:ascii="Times New Roman" w:hAnsi="Times New Roman" w:cs="Times New Roman"/>
          <w:sz w:val="28"/>
          <w:szCs w:val="28"/>
        </w:rPr>
        <w:t>, pasta pakalpojumi</w:t>
      </w:r>
      <w:r w:rsidRPr="00DF4295">
        <w:rPr>
          <w:rStyle w:val="FootnoteReference"/>
          <w:rFonts w:ascii="Times New Roman" w:hAnsi="Times New Roman" w:cs="Times New Roman"/>
          <w:sz w:val="28"/>
          <w:szCs w:val="28"/>
        </w:rPr>
        <w:footnoteReference w:id="24"/>
      </w:r>
      <w:r w:rsidRPr="00DF4295">
        <w:rPr>
          <w:rFonts w:ascii="Times New Roman" w:hAnsi="Times New Roman" w:cs="Times New Roman"/>
          <w:sz w:val="28"/>
          <w:szCs w:val="28"/>
        </w:rPr>
        <w:t>, sabiedriskā pasažieru transporta pakalpojumi, izmantojot dzelzceļu un autoceļus</w:t>
      </w:r>
      <w:r w:rsidRPr="00DF4295">
        <w:rPr>
          <w:rStyle w:val="FootnoteReference"/>
          <w:rFonts w:ascii="Times New Roman" w:hAnsi="Times New Roman" w:cs="Times New Roman"/>
          <w:sz w:val="28"/>
          <w:szCs w:val="28"/>
        </w:rPr>
        <w:footnoteReference w:id="25"/>
      </w:r>
      <w:r w:rsidRPr="00DF4295">
        <w:rPr>
          <w:rFonts w:ascii="Times New Roman" w:hAnsi="Times New Roman" w:cs="Times New Roman"/>
          <w:sz w:val="28"/>
          <w:szCs w:val="28"/>
        </w:rPr>
        <w:t>.</w:t>
      </w:r>
    </w:p>
    <w:p w14:paraId="4497AB4B" w14:textId="65467EC1" w:rsidR="005E5610" w:rsidRPr="00DF4295" w:rsidRDefault="005E5610" w:rsidP="001D1B46">
      <w:pPr>
        <w:ind w:firstLine="709"/>
        <w:jc w:val="both"/>
        <w:rPr>
          <w:rFonts w:ascii="Times New Roman" w:hAnsi="Times New Roman" w:cs="Times New Roman"/>
          <w:sz w:val="28"/>
          <w:szCs w:val="28"/>
        </w:rPr>
      </w:pPr>
      <w:r w:rsidRPr="00DF4295">
        <w:rPr>
          <w:rFonts w:ascii="Times New Roman" w:hAnsi="Times New Roman" w:cs="Times New Roman"/>
          <w:sz w:val="28"/>
          <w:szCs w:val="28"/>
        </w:rPr>
        <w:t xml:space="preserve">Komercdarbības atbalsta noteikumu ievērošana jānodrošina </w:t>
      </w:r>
      <w:r w:rsidR="008E4F69" w:rsidRPr="00DF4295">
        <w:rPr>
          <w:rFonts w:ascii="Times New Roman" w:hAnsi="Times New Roman" w:cs="Times New Roman"/>
          <w:sz w:val="28"/>
          <w:szCs w:val="28"/>
        </w:rPr>
        <w:t xml:space="preserve">gan </w:t>
      </w:r>
      <w:r w:rsidRPr="00DF4295">
        <w:rPr>
          <w:rFonts w:ascii="Times New Roman" w:hAnsi="Times New Roman" w:cs="Times New Roman"/>
          <w:sz w:val="28"/>
          <w:szCs w:val="28"/>
        </w:rPr>
        <w:t>valsts</w:t>
      </w:r>
      <w:r w:rsidR="009A7C8F" w:rsidRPr="00DF4295">
        <w:rPr>
          <w:rFonts w:ascii="Times New Roman" w:hAnsi="Times New Roman" w:cs="Times New Roman"/>
          <w:sz w:val="28"/>
          <w:szCs w:val="28"/>
        </w:rPr>
        <w:t xml:space="preserve"> </w:t>
      </w:r>
      <w:r w:rsidR="008E4F69" w:rsidRPr="00DF4295">
        <w:rPr>
          <w:rFonts w:ascii="Times New Roman" w:hAnsi="Times New Roman" w:cs="Times New Roman"/>
          <w:sz w:val="28"/>
          <w:szCs w:val="28"/>
        </w:rPr>
        <w:t>gan</w:t>
      </w:r>
      <w:r w:rsidR="009A7C8F" w:rsidRPr="00DF4295">
        <w:rPr>
          <w:rFonts w:ascii="Times New Roman" w:hAnsi="Times New Roman" w:cs="Times New Roman"/>
          <w:sz w:val="28"/>
          <w:szCs w:val="28"/>
        </w:rPr>
        <w:t xml:space="preserve"> pašvaldības</w:t>
      </w:r>
      <w:r w:rsidRPr="00DF4295">
        <w:rPr>
          <w:rFonts w:ascii="Times New Roman" w:hAnsi="Times New Roman" w:cs="Times New Roman"/>
          <w:sz w:val="28"/>
          <w:szCs w:val="28"/>
        </w:rPr>
        <w:t xml:space="preserve"> iestādei, kas pakalpojumu sniedzēju pilnvaro </w:t>
      </w:r>
      <w:r w:rsidR="00171BE0" w:rsidRPr="00DF4295">
        <w:rPr>
          <w:rFonts w:ascii="Times New Roman" w:hAnsi="Times New Roman" w:cs="Times New Roman"/>
          <w:sz w:val="28"/>
          <w:szCs w:val="28"/>
        </w:rPr>
        <w:t>sniegt VTNP un</w:t>
      </w:r>
      <w:r w:rsidRPr="00DF4295">
        <w:rPr>
          <w:rFonts w:ascii="Times New Roman" w:hAnsi="Times New Roman" w:cs="Times New Roman"/>
          <w:sz w:val="28"/>
          <w:szCs w:val="28"/>
        </w:rPr>
        <w:t xml:space="preserve"> pilnvarojuma aktā jānorāda nepieciešamie nosacījumi, lai piešķirtā kompensācija atbilstu </w:t>
      </w:r>
      <w:r w:rsidR="00827E4C" w:rsidRPr="00DF4295">
        <w:rPr>
          <w:rFonts w:ascii="Times New Roman" w:hAnsi="Times New Roman" w:cs="Times New Roman"/>
          <w:sz w:val="28"/>
          <w:szCs w:val="28"/>
        </w:rPr>
        <w:t>komercdarbības</w:t>
      </w:r>
      <w:r w:rsidR="00171BE0" w:rsidRPr="00DF4295">
        <w:rPr>
          <w:rFonts w:ascii="Times New Roman" w:hAnsi="Times New Roman" w:cs="Times New Roman"/>
          <w:sz w:val="28"/>
          <w:szCs w:val="28"/>
        </w:rPr>
        <w:t xml:space="preserve"> atbalsta noteikumiem, kā arī</w:t>
      </w:r>
      <w:r w:rsidR="00542900">
        <w:rPr>
          <w:rFonts w:ascii="Times New Roman" w:hAnsi="Times New Roman" w:cs="Times New Roman"/>
          <w:sz w:val="28"/>
          <w:szCs w:val="28"/>
        </w:rPr>
        <w:t xml:space="preserve">, lai </w:t>
      </w:r>
      <w:r w:rsidRPr="00DF4295">
        <w:rPr>
          <w:rFonts w:ascii="Times New Roman" w:hAnsi="Times New Roman" w:cs="Times New Roman"/>
          <w:sz w:val="28"/>
          <w:szCs w:val="28"/>
        </w:rPr>
        <w:t>VTNP pakalpojuma sniedzējs tos pilnībā apzinātos. VTNP sniedzējs</w:t>
      </w:r>
      <w:r w:rsidR="00542900">
        <w:rPr>
          <w:rFonts w:ascii="Times New Roman" w:hAnsi="Times New Roman" w:cs="Times New Roman"/>
          <w:sz w:val="28"/>
          <w:szCs w:val="28"/>
        </w:rPr>
        <w:t>,</w:t>
      </w:r>
      <w:r w:rsidRPr="00DF4295">
        <w:rPr>
          <w:rFonts w:ascii="Times New Roman" w:hAnsi="Times New Roman" w:cs="Times New Roman"/>
          <w:sz w:val="28"/>
          <w:szCs w:val="28"/>
        </w:rPr>
        <w:t xml:space="preserve"> savukārt</w:t>
      </w:r>
      <w:r w:rsidR="00542900">
        <w:rPr>
          <w:rFonts w:ascii="Times New Roman" w:hAnsi="Times New Roman" w:cs="Times New Roman"/>
          <w:sz w:val="28"/>
          <w:szCs w:val="28"/>
        </w:rPr>
        <w:t>,</w:t>
      </w:r>
      <w:r w:rsidRPr="00DF4295">
        <w:rPr>
          <w:rFonts w:ascii="Times New Roman" w:hAnsi="Times New Roman" w:cs="Times New Roman"/>
          <w:sz w:val="28"/>
          <w:szCs w:val="28"/>
        </w:rPr>
        <w:t xml:space="preserve"> </w:t>
      </w:r>
      <w:r w:rsidR="000E1F9E" w:rsidRPr="00DF4295">
        <w:rPr>
          <w:rFonts w:ascii="Times New Roman" w:hAnsi="Times New Roman" w:cs="Times New Roman"/>
          <w:sz w:val="28"/>
          <w:szCs w:val="28"/>
        </w:rPr>
        <w:t>izprot</w:t>
      </w:r>
      <w:r w:rsidRPr="00DF4295">
        <w:rPr>
          <w:rFonts w:ascii="Times New Roman" w:hAnsi="Times New Roman" w:cs="Times New Roman"/>
          <w:sz w:val="28"/>
          <w:szCs w:val="28"/>
        </w:rPr>
        <w:t xml:space="preserve">, ka tam kompensācija ir jāatmaksā, ja tā tikusi piešķirta, pārkāpjot </w:t>
      </w:r>
      <w:r w:rsidR="00827E4C" w:rsidRPr="00DF4295">
        <w:rPr>
          <w:rFonts w:ascii="Times New Roman" w:hAnsi="Times New Roman" w:cs="Times New Roman"/>
          <w:sz w:val="28"/>
          <w:szCs w:val="28"/>
        </w:rPr>
        <w:t>komercdarbības</w:t>
      </w:r>
      <w:r w:rsidRPr="00DF4295">
        <w:rPr>
          <w:rFonts w:ascii="Times New Roman" w:hAnsi="Times New Roman" w:cs="Times New Roman"/>
          <w:sz w:val="28"/>
          <w:szCs w:val="28"/>
        </w:rPr>
        <w:t xml:space="preserve"> atbalsta noteikumus.</w:t>
      </w:r>
    </w:p>
    <w:p w14:paraId="63739511" w14:textId="6F55500C" w:rsidR="00B021D6" w:rsidRPr="00DF4295" w:rsidRDefault="000E1F9E" w:rsidP="001329EC">
      <w:pPr>
        <w:ind w:firstLine="709"/>
        <w:jc w:val="both"/>
        <w:rPr>
          <w:rFonts w:ascii="Times New Roman" w:hAnsi="Times New Roman" w:cs="Times New Roman"/>
          <w:sz w:val="28"/>
          <w:szCs w:val="28"/>
        </w:rPr>
      </w:pPr>
      <w:r w:rsidRPr="00DF4295">
        <w:rPr>
          <w:rFonts w:ascii="Times New Roman" w:hAnsi="Times New Roman" w:cs="Times New Roman"/>
          <w:sz w:val="28"/>
          <w:szCs w:val="28"/>
        </w:rPr>
        <w:t>Tālāk šajā dokumentā sniegti skaidrojumi un labās prakses piemēri VTNP regulējuma piemērošanā</w:t>
      </w:r>
      <w:r w:rsidR="004E1657" w:rsidRPr="00DF4295">
        <w:rPr>
          <w:rFonts w:ascii="Times New Roman" w:hAnsi="Times New Roman" w:cs="Times New Roman"/>
          <w:sz w:val="28"/>
          <w:szCs w:val="28"/>
        </w:rPr>
        <w:t>, neapskatot sīkāk specifiskās prasības, kas izriet no komercdarbības atbalsta regulējuma sabiedrisko elektronisko plašsaziņas līdzekļu nozarē,</w:t>
      </w:r>
      <w:r w:rsidR="00D93A41" w:rsidRPr="00DF4295">
        <w:rPr>
          <w:rFonts w:ascii="Times New Roman" w:hAnsi="Times New Roman" w:cs="Times New Roman"/>
          <w:sz w:val="28"/>
          <w:szCs w:val="28"/>
        </w:rPr>
        <w:t xml:space="preserve"> pasta nozarē vai</w:t>
      </w:r>
      <w:r w:rsidR="004E1657" w:rsidRPr="00DF4295">
        <w:rPr>
          <w:rFonts w:ascii="Times New Roman" w:hAnsi="Times New Roman" w:cs="Times New Roman"/>
          <w:sz w:val="28"/>
          <w:szCs w:val="28"/>
        </w:rPr>
        <w:t xml:space="preserve"> pasažieru pārvadājumu nozarē.</w:t>
      </w:r>
    </w:p>
    <w:p w14:paraId="4F42A49F" w14:textId="0E9AE4AF" w:rsidR="005E5610" w:rsidRPr="00DF4295" w:rsidRDefault="00EB519D" w:rsidP="001D1B46">
      <w:pPr>
        <w:pStyle w:val="Heading1"/>
        <w:spacing w:before="120" w:after="120"/>
        <w:ind w:left="360"/>
        <w:rPr>
          <w:rFonts w:cs="Times New Roman"/>
          <w:sz w:val="28"/>
          <w:szCs w:val="28"/>
        </w:rPr>
      </w:pPr>
      <w:bookmarkStart w:id="20" w:name="_Toc500939850"/>
      <w:bookmarkStart w:id="21" w:name="_Toc15391541"/>
      <w:r w:rsidRPr="00DF4295">
        <w:rPr>
          <w:rFonts w:cs="Times New Roman"/>
          <w:sz w:val="28"/>
          <w:szCs w:val="28"/>
        </w:rPr>
        <w:t>4</w:t>
      </w:r>
      <w:r w:rsidR="005E5610" w:rsidRPr="00DF4295">
        <w:rPr>
          <w:rFonts w:cs="Times New Roman"/>
          <w:sz w:val="28"/>
          <w:szCs w:val="28"/>
        </w:rPr>
        <w:t>.1. Pilnvarojuma akta sagatavošana</w:t>
      </w:r>
      <w:bookmarkEnd w:id="20"/>
      <w:bookmarkEnd w:id="21"/>
    </w:p>
    <w:p w14:paraId="3B4775FA" w14:textId="6071FF12" w:rsidR="00854CCE" w:rsidRPr="00DF4295" w:rsidRDefault="00854CCE"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 xml:space="preserve">Pilnvarojuma </w:t>
      </w:r>
      <w:proofErr w:type="spellStart"/>
      <w:r w:rsidRPr="00DF4295">
        <w:rPr>
          <w:rFonts w:ascii="Times New Roman" w:hAnsi="Times New Roman" w:cs="Times New Roman"/>
          <w:sz w:val="28"/>
          <w:szCs w:val="28"/>
        </w:rPr>
        <w:t>pilnvarojuma</w:t>
      </w:r>
      <w:proofErr w:type="spellEnd"/>
      <w:r w:rsidRPr="00DF4295">
        <w:rPr>
          <w:rFonts w:ascii="Times New Roman" w:hAnsi="Times New Roman" w:cs="Times New Roman"/>
          <w:sz w:val="28"/>
          <w:szCs w:val="28"/>
        </w:rPr>
        <w:t xml:space="preserve"> periodā un informācijas glabāšanu </w:t>
      </w:r>
      <w:r w:rsidR="002A6CB2" w:rsidRPr="00DF4295">
        <w:rPr>
          <w:rFonts w:ascii="Times New Roman" w:hAnsi="Times New Roman" w:cs="Times New Roman"/>
          <w:sz w:val="28"/>
          <w:szCs w:val="28"/>
        </w:rPr>
        <w:t xml:space="preserve">devējs ir tā iestāde, kura nosaka pilnvarojumu, vai slēdz līgumu un kura nodrošina, ka VTNP sniedzējs netiek pārkompensēts, kā arī nodrošina uzraudzību </w:t>
      </w:r>
      <w:r w:rsidRPr="00DF4295">
        <w:rPr>
          <w:rFonts w:ascii="Times New Roman" w:hAnsi="Times New Roman" w:cs="Times New Roman"/>
          <w:sz w:val="28"/>
          <w:szCs w:val="28"/>
        </w:rPr>
        <w:t>10 gadus pēc VTNP pakalpojuma līguma beigām.</w:t>
      </w:r>
    </w:p>
    <w:p w14:paraId="5C7B519F" w14:textId="526AC17B" w:rsidR="005E5610" w:rsidRPr="00DF4295" w:rsidRDefault="005E5610"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 xml:space="preserve">Tiesības sniegt VTNP jāpiešķir ar aktu, kas var būt </w:t>
      </w:r>
      <w:r w:rsidR="00C23ABD" w:rsidRPr="00DF4295">
        <w:rPr>
          <w:rFonts w:ascii="Times New Roman" w:hAnsi="Times New Roman" w:cs="Times New Roman"/>
          <w:sz w:val="28"/>
          <w:szCs w:val="28"/>
        </w:rPr>
        <w:t xml:space="preserve">viens vai vairāki </w:t>
      </w:r>
      <w:r w:rsidR="00D06897" w:rsidRPr="00DF4295">
        <w:rPr>
          <w:rFonts w:ascii="Times New Roman" w:hAnsi="Times New Roman" w:cs="Times New Roman"/>
          <w:sz w:val="28"/>
          <w:szCs w:val="28"/>
        </w:rPr>
        <w:t>normatīv</w:t>
      </w:r>
      <w:r w:rsidR="00C23ABD" w:rsidRPr="00DF4295">
        <w:rPr>
          <w:rFonts w:ascii="Times New Roman" w:hAnsi="Times New Roman" w:cs="Times New Roman"/>
          <w:sz w:val="28"/>
          <w:szCs w:val="28"/>
        </w:rPr>
        <w:t>ie</w:t>
      </w:r>
      <w:r w:rsidR="00D06897" w:rsidRPr="00DF4295">
        <w:rPr>
          <w:rFonts w:ascii="Times New Roman" w:hAnsi="Times New Roman" w:cs="Times New Roman"/>
          <w:sz w:val="28"/>
          <w:szCs w:val="28"/>
        </w:rPr>
        <w:t xml:space="preserve"> </w:t>
      </w:r>
      <w:r w:rsidR="00C23ABD" w:rsidRPr="00DF4295">
        <w:rPr>
          <w:rFonts w:ascii="Times New Roman" w:hAnsi="Times New Roman" w:cs="Times New Roman"/>
          <w:sz w:val="28"/>
          <w:szCs w:val="28"/>
        </w:rPr>
        <w:t>akti</w:t>
      </w:r>
      <w:r w:rsidR="00881A48" w:rsidRPr="00DF4295">
        <w:rPr>
          <w:rFonts w:ascii="Times New Roman" w:hAnsi="Times New Roman" w:cs="Times New Roman"/>
          <w:sz w:val="28"/>
          <w:szCs w:val="28"/>
        </w:rPr>
        <w:t>,</w:t>
      </w:r>
      <w:r w:rsidR="00C23ABD" w:rsidRPr="00DF4295">
        <w:rPr>
          <w:rFonts w:ascii="Times New Roman" w:hAnsi="Times New Roman" w:cs="Times New Roman"/>
          <w:sz w:val="28"/>
          <w:szCs w:val="28"/>
        </w:rPr>
        <w:t xml:space="preserve"> </w:t>
      </w:r>
      <w:r w:rsidRPr="00DF4295">
        <w:rPr>
          <w:rFonts w:ascii="Times New Roman" w:hAnsi="Times New Roman" w:cs="Times New Roman"/>
          <w:sz w:val="28"/>
          <w:szCs w:val="28"/>
        </w:rPr>
        <w:t xml:space="preserve">vai </w:t>
      </w:r>
      <w:r w:rsidR="00981BDB" w:rsidRPr="00DF4295">
        <w:rPr>
          <w:rFonts w:ascii="Times New Roman" w:hAnsi="Times New Roman" w:cs="Times New Roman"/>
          <w:sz w:val="28"/>
          <w:szCs w:val="28"/>
        </w:rPr>
        <w:t>pakalpojum</w:t>
      </w:r>
      <w:r w:rsidR="00881A48" w:rsidRPr="00DF4295">
        <w:rPr>
          <w:rFonts w:ascii="Times New Roman" w:hAnsi="Times New Roman" w:cs="Times New Roman"/>
          <w:sz w:val="28"/>
          <w:szCs w:val="28"/>
        </w:rPr>
        <w:t>a</w:t>
      </w:r>
      <w:r w:rsidR="00981BDB" w:rsidRPr="00DF4295">
        <w:rPr>
          <w:rFonts w:ascii="Times New Roman" w:hAnsi="Times New Roman" w:cs="Times New Roman"/>
          <w:sz w:val="28"/>
          <w:szCs w:val="28"/>
        </w:rPr>
        <w:t xml:space="preserve"> </w:t>
      </w:r>
      <w:r w:rsidRPr="00DF4295">
        <w:rPr>
          <w:rFonts w:ascii="Times New Roman" w:hAnsi="Times New Roman" w:cs="Times New Roman"/>
          <w:sz w:val="28"/>
          <w:szCs w:val="28"/>
        </w:rPr>
        <w:t>līgums</w:t>
      </w:r>
      <w:r w:rsidR="005A4365" w:rsidRPr="00DF4295">
        <w:rPr>
          <w:rFonts w:ascii="Times New Roman" w:hAnsi="Times New Roman" w:cs="Times New Roman"/>
          <w:sz w:val="28"/>
          <w:szCs w:val="28"/>
        </w:rPr>
        <w:t xml:space="preserve"> (turpmāk – pilnvarojuma akts vai līgums)</w:t>
      </w:r>
      <w:r w:rsidRPr="00DF4295">
        <w:rPr>
          <w:rFonts w:ascii="Times New Roman" w:hAnsi="Times New Roman" w:cs="Times New Roman"/>
          <w:sz w:val="28"/>
          <w:szCs w:val="28"/>
        </w:rPr>
        <w:t xml:space="preserve">. </w:t>
      </w:r>
      <w:r w:rsidR="00405945" w:rsidRPr="00DF4295">
        <w:rPr>
          <w:rFonts w:ascii="Times New Roman" w:hAnsi="Times New Roman" w:cs="Times New Roman"/>
          <w:sz w:val="28"/>
          <w:szCs w:val="28"/>
        </w:rPr>
        <w:t xml:space="preserve">Pamatojoties </w:t>
      </w:r>
      <w:r w:rsidRPr="00DF4295">
        <w:rPr>
          <w:rFonts w:ascii="Times New Roman" w:hAnsi="Times New Roman" w:cs="Times New Roman"/>
          <w:sz w:val="28"/>
          <w:szCs w:val="28"/>
        </w:rPr>
        <w:t xml:space="preserve">uz </w:t>
      </w:r>
      <w:r w:rsidR="00D06897" w:rsidRPr="00DF4295">
        <w:rPr>
          <w:rFonts w:ascii="Times New Roman" w:hAnsi="Times New Roman" w:cs="Times New Roman"/>
          <w:sz w:val="28"/>
          <w:szCs w:val="28"/>
        </w:rPr>
        <w:t>EK prasībām</w:t>
      </w:r>
      <w:r w:rsidR="00D93A41" w:rsidRPr="00DF4295">
        <w:rPr>
          <w:rFonts w:ascii="Times New Roman" w:hAnsi="Times New Roman" w:cs="Times New Roman"/>
          <w:sz w:val="28"/>
          <w:szCs w:val="28"/>
        </w:rPr>
        <w:t>,</w:t>
      </w:r>
      <w:r w:rsidR="00D93A41" w:rsidRPr="00DF4295">
        <w:rPr>
          <w:rStyle w:val="FootnoteReference"/>
          <w:rFonts w:ascii="Times New Roman" w:hAnsi="Times New Roman" w:cs="Times New Roman"/>
          <w:sz w:val="28"/>
          <w:szCs w:val="28"/>
        </w:rPr>
        <w:footnoteReference w:id="26"/>
      </w:r>
      <w:r w:rsidR="00D06897" w:rsidRPr="00DF4295">
        <w:rPr>
          <w:rFonts w:ascii="Times New Roman" w:hAnsi="Times New Roman" w:cs="Times New Roman"/>
          <w:sz w:val="28"/>
          <w:szCs w:val="28"/>
        </w:rPr>
        <w:t xml:space="preserve"> </w:t>
      </w:r>
      <w:r w:rsidRPr="00DF4295">
        <w:rPr>
          <w:rFonts w:ascii="Times New Roman" w:hAnsi="Times New Roman" w:cs="Times New Roman"/>
          <w:sz w:val="28"/>
          <w:szCs w:val="28"/>
        </w:rPr>
        <w:t>šādos gadījumos attiecīgajā dokumentā jānorāda vismaz:</w:t>
      </w:r>
    </w:p>
    <w:p w14:paraId="01F732E2" w14:textId="648C4142" w:rsidR="005E5610" w:rsidRPr="00DF4295" w:rsidRDefault="00821CE5" w:rsidP="00097423">
      <w:pPr>
        <w:pStyle w:val="ListParagraph"/>
        <w:numPr>
          <w:ilvl w:val="0"/>
          <w:numId w:val="22"/>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VTNP </w:t>
      </w:r>
      <w:r w:rsidR="005E5610" w:rsidRPr="00DF4295">
        <w:rPr>
          <w:rFonts w:ascii="Times New Roman" w:hAnsi="Times New Roman" w:cs="Times New Roman"/>
          <w:sz w:val="28"/>
          <w:szCs w:val="28"/>
        </w:rPr>
        <w:t>sniegšanas pienākuma raksturs un ilgums</w:t>
      </w:r>
      <w:r w:rsidR="00881A48" w:rsidRPr="00DF4295">
        <w:rPr>
          <w:rFonts w:ascii="Times New Roman" w:hAnsi="Times New Roman" w:cs="Times New Roman"/>
          <w:sz w:val="28"/>
          <w:szCs w:val="28"/>
        </w:rPr>
        <w:t xml:space="preserve"> (konkrēti sniedzamie pakalpojumi un to ilgums)</w:t>
      </w:r>
      <w:r w:rsidR="005E5610" w:rsidRPr="00DF4295">
        <w:rPr>
          <w:rFonts w:ascii="Times New Roman" w:hAnsi="Times New Roman" w:cs="Times New Roman"/>
          <w:sz w:val="28"/>
          <w:szCs w:val="28"/>
        </w:rPr>
        <w:t>;</w:t>
      </w:r>
    </w:p>
    <w:p w14:paraId="0367ADB8" w14:textId="31FDB586" w:rsidR="005E5610" w:rsidRPr="00DF4295" w:rsidRDefault="005E5610" w:rsidP="00097423">
      <w:pPr>
        <w:pStyle w:val="ListParagraph"/>
        <w:numPr>
          <w:ilvl w:val="0"/>
          <w:numId w:val="22"/>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attiecīgais</w:t>
      </w:r>
      <w:r w:rsidR="00171BE0" w:rsidRPr="00DF4295">
        <w:rPr>
          <w:rFonts w:ascii="Times New Roman" w:hAnsi="Times New Roman" w:cs="Times New Roman"/>
          <w:sz w:val="28"/>
          <w:szCs w:val="28"/>
        </w:rPr>
        <w:t xml:space="preserve"> uzņēmums un</w:t>
      </w:r>
      <w:r w:rsidRPr="00DF4295">
        <w:rPr>
          <w:rFonts w:ascii="Times New Roman" w:hAnsi="Times New Roman" w:cs="Times New Roman"/>
          <w:sz w:val="28"/>
          <w:szCs w:val="28"/>
        </w:rPr>
        <w:t xml:space="preserve"> teritorija</w:t>
      </w:r>
      <w:r w:rsidR="00895802" w:rsidRPr="00DF4295">
        <w:rPr>
          <w:rFonts w:ascii="Times New Roman" w:hAnsi="Times New Roman" w:cs="Times New Roman"/>
          <w:sz w:val="28"/>
          <w:szCs w:val="28"/>
        </w:rPr>
        <w:t>, kurā pakalpojums tiks sniegts</w:t>
      </w:r>
      <w:r w:rsidRPr="00DF4295">
        <w:rPr>
          <w:rFonts w:ascii="Times New Roman" w:hAnsi="Times New Roman" w:cs="Times New Roman"/>
          <w:sz w:val="28"/>
          <w:szCs w:val="28"/>
        </w:rPr>
        <w:t>;</w:t>
      </w:r>
    </w:p>
    <w:p w14:paraId="3B80265E" w14:textId="0EECFC79" w:rsidR="005E5610" w:rsidRPr="00DF4295" w:rsidRDefault="005E5610" w:rsidP="00097423">
      <w:pPr>
        <w:pStyle w:val="ListParagraph"/>
        <w:numPr>
          <w:ilvl w:val="0"/>
          <w:numId w:val="22"/>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jebkuru to ekskluzīvo vai īpašo tiesību raksturs, ko attiecīgā iestāde ir piešķīrusi konkrētajam uzņēmumam;</w:t>
      </w:r>
    </w:p>
    <w:p w14:paraId="3E4CA94C" w14:textId="57DBC93F" w:rsidR="005E5610" w:rsidRPr="00DF4295" w:rsidRDefault="005E5610" w:rsidP="00097423">
      <w:pPr>
        <w:pStyle w:val="ListParagraph"/>
        <w:numPr>
          <w:ilvl w:val="0"/>
          <w:numId w:val="22"/>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kompensācijas aprēķināšanas, kontrol</w:t>
      </w:r>
      <w:r w:rsidR="00821CE5" w:rsidRPr="00DF4295">
        <w:rPr>
          <w:rFonts w:ascii="Times New Roman" w:hAnsi="Times New Roman" w:cs="Times New Roman"/>
          <w:sz w:val="28"/>
          <w:szCs w:val="28"/>
        </w:rPr>
        <w:t>es un pārskatīšanas parametri;</w:t>
      </w:r>
    </w:p>
    <w:p w14:paraId="5B66DB66" w14:textId="77777777" w:rsidR="00542900" w:rsidRDefault="005E5610" w:rsidP="00097423">
      <w:pPr>
        <w:pStyle w:val="ListParagraph"/>
        <w:numPr>
          <w:ilvl w:val="0"/>
          <w:numId w:val="22"/>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kārtība, kādā atmaksāt un novērst jebkādu kompensācijas pārmaksu</w:t>
      </w:r>
      <w:r w:rsidR="00BF1573" w:rsidRPr="00DF4295">
        <w:rPr>
          <w:rFonts w:ascii="Times New Roman" w:hAnsi="Times New Roman" w:cs="Times New Roman"/>
          <w:sz w:val="28"/>
          <w:szCs w:val="28"/>
        </w:rPr>
        <w:t xml:space="preserve"> (VTNP lēmuma 6. pants)</w:t>
      </w:r>
      <w:r w:rsidR="00DA4312" w:rsidRPr="00DF4295">
        <w:rPr>
          <w:rFonts w:ascii="Times New Roman" w:hAnsi="Times New Roman" w:cs="Times New Roman"/>
          <w:sz w:val="28"/>
          <w:szCs w:val="28"/>
        </w:rPr>
        <w:t>;</w:t>
      </w:r>
    </w:p>
    <w:p w14:paraId="026F12EB" w14:textId="5C798F9F" w:rsidR="00DA4312" w:rsidRPr="00DF4295" w:rsidRDefault="00DA4312" w:rsidP="00097423">
      <w:pPr>
        <w:pStyle w:val="ListParagraph"/>
        <w:numPr>
          <w:ilvl w:val="0"/>
          <w:numId w:val="22"/>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lastRenderedPageBreak/>
        <w:t>piešķirot atbalstu ar VTNP lēmumu pilnvarojuma aktā norādāma atsauce uz VTNP lēmumu.</w:t>
      </w:r>
    </w:p>
    <w:p w14:paraId="53E0388E" w14:textId="2350640B" w:rsidR="00B021D6" w:rsidRPr="00DF4295" w:rsidRDefault="005C04D7" w:rsidP="001329EC">
      <w:pPr>
        <w:ind w:firstLine="567"/>
        <w:jc w:val="both"/>
        <w:rPr>
          <w:rFonts w:ascii="Times New Roman" w:hAnsi="Times New Roman" w:cs="Times New Roman"/>
          <w:sz w:val="28"/>
          <w:szCs w:val="28"/>
        </w:rPr>
      </w:pPr>
      <w:r w:rsidRPr="00DF4295">
        <w:rPr>
          <w:rFonts w:ascii="Times New Roman" w:hAnsi="Times New Roman" w:cs="Times New Roman"/>
          <w:sz w:val="28"/>
          <w:szCs w:val="28"/>
        </w:rPr>
        <w:t xml:space="preserve">Vienu un to pašu VTNP sniedzēju var atkārtoti pilnvarot sniegt vienu un to pašu VTNP. </w:t>
      </w:r>
      <w:r w:rsidR="00367070" w:rsidRPr="00DF4295">
        <w:rPr>
          <w:rFonts w:ascii="Times New Roman" w:hAnsi="Times New Roman" w:cs="Times New Roman"/>
          <w:sz w:val="28"/>
          <w:szCs w:val="28"/>
        </w:rPr>
        <w:t>V</w:t>
      </w:r>
      <w:r w:rsidR="009A3053" w:rsidRPr="00DF4295">
        <w:rPr>
          <w:rFonts w:ascii="Times New Roman" w:hAnsi="Times New Roman" w:cs="Times New Roman"/>
          <w:sz w:val="28"/>
          <w:szCs w:val="28"/>
        </w:rPr>
        <w:t>alsts vai pašvaldības i</w:t>
      </w:r>
      <w:r w:rsidRPr="00DF4295">
        <w:rPr>
          <w:rFonts w:ascii="Times New Roman" w:hAnsi="Times New Roman" w:cs="Times New Roman"/>
          <w:sz w:val="28"/>
          <w:szCs w:val="28"/>
        </w:rPr>
        <w:t xml:space="preserve">estāde </w:t>
      </w:r>
      <w:r w:rsidR="003551C1" w:rsidRPr="00DF4295">
        <w:rPr>
          <w:rFonts w:ascii="Times New Roman" w:hAnsi="Times New Roman" w:cs="Times New Roman"/>
          <w:sz w:val="28"/>
          <w:szCs w:val="28"/>
        </w:rPr>
        <w:t>noformē jaunu pilnvarojuma aktu</w:t>
      </w:r>
      <w:r w:rsidRPr="00DF4295">
        <w:rPr>
          <w:rFonts w:ascii="Times New Roman" w:hAnsi="Times New Roman" w:cs="Times New Roman"/>
          <w:sz w:val="28"/>
          <w:szCs w:val="28"/>
        </w:rPr>
        <w:t xml:space="preserve"> pēc iepriekšējā izvērtēšanas (juridiski, ja ir </w:t>
      </w:r>
      <w:r w:rsidR="00367070" w:rsidRPr="00DF4295">
        <w:rPr>
          <w:rFonts w:ascii="Times New Roman" w:hAnsi="Times New Roman" w:cs="Times New Roman"/>
          <w:sz w:val="28"/>
          <w:szCs w:val="28"/>
        </w:rPr>
        <w:t xml:space="preserve">valsts vai pašvaldības </w:t>
      </w:r>
      <w:r w:rsidRPr="00DF4295">
        <w:rPr>
          <w:rFonts w:ascii="Times New Roman" w:hAnsi="Times New Roman" w:cs="Times New Roman"/>
          <w:sz w:val="28"/>
          <w:szCs w:val="28"/>
        </w:rPr>
        <w:t>iestādes veikts izvērtējums, tas var būt arī iepriekšējā līguma pagarinājums).</w:t>
      </w:r>
    </w:p>
    <w:p w14:paraId="1E9B43C9" w14:textId="587CB6F5" w:rsidR="004825E7" w:rsidRPr="00DF4295" w:rsidRDefault="00714264" w:rsidP="001D1B46">
      <w:pPr>
        <w:pStyle w:val="Heading1"/>
        <w:spacing w:before="120" w:after="120"/>
        <w:ind w:left="360"/>
        <w:rPr>
          <w:rFonts w:cs="Times New Roman"/>
          <w:sz w:val="28"/>
          <w:szCs w:val="28"/>
        </w:rPr>
      </w:pPr>
      <w:bookmarkStart w:id="22" w:name="_Toc497408993"/>
      <w:bookmarkStart w:id="23" w:name="_Toc500939851"/>
      <w:bookmarkStart w:id="24" w:name="_Toc15391542"/>
      <w:bookmarkEnd w:id="22"/>
      <w:r w:rsidRPr="00DF4295">
        <w:rPr>
          <w:rFonts w:cs="Times New Roman"/>
          <w:sz w:val="28"/>
          <w:szCs w:val="28"/>
        </w:rPr>
        <w:t xml:space="preserve">4.2. </w:t>
      </w:r>
      <w:r w:rsidR="004825E7" w:rsidRPr="00DF4295">
        <w:rPr>
          <w:rFonts w:cs="Times New Roman"/>
          <w:sz w:val="28"/>
          <w:szCs w:val="28"/>
        </w:rPr>
        <w:t>VTNP lēmums</w:t>
      </w:r>
      <w:r w:rsidR="000E1F9E" w:rsidRPr="00DF4295">
        <w:rPr>
          <w:rFonts w:cs="Times New Roman"/>
          <w:sz w:val="28"/>
          <w:szCs w:val="28"/>
        </w:rPr>
        <w:t xml:space="preserve"> un tā nosacījumi</w:t>
      </w:r>
      <w:bookmarkEnd w:id="23"/>
      <w:bookmarkEnd w:id="24"/>
    </w:p>
    <w:p w14:paraId="45842F44" w14:textId="3E87BAFA" w:rsidR="004825E7" w:rsidRPr="00DF4295" w:rsidRDefault="003E4D3D" w:rsidP="001D1B46">
      <w:pPr>
        <w:ind w:firstLine="567"/>
        <w:jc w:val="both"/>
        <w:rPr>
          <w:rFonts w:ascii="Times New Roman" w:hAnsi="Times New Roman" w:cs="Times New Roman"/>
          <w:sz w:val="28"/>
          <w:szCs w:val="28"/>
        </w:rPr>
      </w:pPr>
      <w:r w:rsidRPr="00DF4295">
        <w:rPr>
          <w:rFonts w:ascii="Times New Roman" w:hAnsi="Times New Roman" w:cs="Times New Roman"/>
          <w:noProof/>
          <w:sz w:val="28"/>
          <w:szCs w:val="28"/>
          <w:lang w:eastAsia="lv-LV"/>
        </w:rPr>
        <mc:AlternateContent>
          <mc:Choice Requires="wps">
            <w:drawing>
              <wp:anchor distT="0" distB="0" distL="114300" distR="114300" simplePos="0" relativeHeight="251788288" behindDoc="0" locked="0" layoutInCell="1" allowOverlap="1" wp14:anchorId="0B538676" wp14:editId="771EB580">
                <wp:simplePos x="0" y="0"/>
                <wp:positionH relativeFrom="margin">
                  <wp:posOffset>3458210</wp:posOffset>
                </wp:positionH>
                <wp:positionV relativeFrom="paragraph">
                  <wp:posOffset>36830</wp:posOffset>
                </wp:positionV>
                <wp:extent cx="2708910" cy="1296670"/>
                <wp:effectExtent l="0" t="0" r="15240" b="17780"/>
                <wp:wrapSquare wrapText="bothSides"/>
                <wp:docPr id="225" name="Rectangle: Rounded Corners 9"/>
                <wp:cNvGraphicFramePr/>
                <a:graphic xmlns:a="http://schemas.openxmlformats.org/drawingml/2006/main">
                  <a:graphicData uri="http://schemas.microsoft.com/office/word/2010/wordprocessingShape">
                    <wps:wsp>
                      <wps:cNvSpPr/>
                      <wps:spPr>
                        <a:xfrm>
                          <a:off x="0" y="0"/>
                          <a:ext cx="2708910" cy="129667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FC2AB89" w14:textId="77777777" w:rsidR="00431DF4" w:rsidRPr="00E4429F" w:rsidRDefault="00431DF4" w:rsidP="004825E7">
                            <w:pPr>
                              <w:spacing w:before="0" w:after="0"/>
                              <w:jc w:val="both"/>
                              <w:rPr>
                                <w:rFonts w:ascii="Times New Roman" w:hAnsi="Times New Roman" w:cs="Times New Roman"/>
                                <w:b/>
                                <w:sz w:val="24"/>
                                <w:szCs w:val="24"/>
                              </w:rPr>
                            </w:pPr>
                            <w:r w:rsidRPr="00E4429F">
                              <w:rPr>
                                <w:rFonts w:ascii="Times New Roman" w:hAnsi="Times New Roman" w:cs="Times New Roman"/>
                                <w:b/>
                                <w:sz w:val="24"/>
                                <w:szCs w:val="24"/>
                              </w:rPr>
                              <w:t>VTNP lēmums paredz pilnvarojuma uzlikšanu un virkni nosacījumu, kas iekļaujami pilnvarojuma aktā un ievērojami pilnvarojuma periodā. Paziņojums EK nav jāsniedz. Latvijā tiek plaši piemērots.</w:t>
                            </w:r>
                          </w:p>
                          <w:p w14:paraId="4A3B985C" w14:textId="77777777" w:rsidR="00431DF4" w:rsidRPr="00E4429F" w:rsidRDefault="00431DF4" w:rsidP="004825E7">
                            <w:pPr>
                              <w:spacing w:before="0" w:after="0"/>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0B538676" id="_x0000_s1037" style="position:absolute;left:0;text-align:left;margin-left:272.3pt;margin-top:2.9pt;width:213.3pt;height:102.1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weXAIAAAQFAAAOAAAAZHJzL2Uyb0RvYy54bWysVN1v2jAQf5+0/8Hy+xqCOmhRQ4WoOk1C&#10;LeqH+mwcG6I5Pu9sSNhfv7MJoet4mvbi+Hz3u8/f5ea2rQ3bKfQV2ILnFwPOlJVQVnZd8NeX+y9X&#10;nPkgbCkMWFXwvfL8dvr5003jJmoIGzClQkZOrJ80ruCbENwky7zcqFr4C3DKklID1iKQiOusRNGQ&#10;99pkw8FglDWApUOQynt6vTso+TT511rJ8Ki1V4GZglNuIZ2YzlU8s+mNmKxRuE0luzTEP2RRi8pS&#10;0N7VnQiCbbH6y1VdSQQPOlxIqDPQupIq1UDV5IMP1TxvhFOpFmqOd32b/P9zKx92z26J1IbG+Ymn&#10;a6yi1VjHL+XH2tSsfd8s1QYm6XE4Hlxd59RTSbp8eD0ajVM7sxPcoQ/fFNQsXgqOsLXlE40kdUrs&#10;Fj5QXLI/2pFwyiLdwt6omIixT0qzqoxxEzoRRM0Nsp2g0QoplQ3DOE7yl6wjTFfG9MD8HNCEvAN1&#10;thGmEnF64OAc8M+IPSJFBRt6cF1ZwHMOyh995IP9sfpDzbH80K5aKrrgVzHH+LKCcr9EhnAgsnfy&#10;vqLeLoQPS4HEXJoHbWN4pEMbaAoO3Y2zDeCvc+/RnghFWs4a2oSC+59bgYoz890S1a7zy8u4Okm4&#10;/DoekoDvNav3Grut50ATyWnvnUzXaB/M8aoR6jda2lmMSiphJcUuuAx4FObhsKG09lLNZsmM1sWJ&#10;sLDPTkbnsc+RNi/tm0DXESwQNx/guDVi8oFiB9uItDDbBtBV4t+pr90EaNUSjbrfQtzl93KyOv28&#10;pr8BAAD//wMAUEsDBBQABgAIAAAAIQDdnbPT4gAAAAkBAAAPAAAAZHJzL2Rvd25yZXYueG1sTI/N&#10;TsMwEITvSLyDtUhcUGsnKi2EOBU/gp4qQSlU3Jx4SSJiO7KdNuXpWU5w29GMZr/Jl6Pp2B59aJ2V&#10;kEwFMLSV062tJWxfHydXwEJUVqvOWZRwxADL4vQkV5l2B/uC+02sGZXYkCkJTYx9xnmoGjQqTF2P&#10;lrxP542KJH3NtVcHKjcdT4WYc6NaSx8a1eN9g9XXZjAS9PZtvTpeDA/PT+Ku+f7Y+ff1rpTy/Gy8&#10;vQEWcYx/YfjFJ3QoiKl0g9WBdRIuZ7M5RemgBeRfL5IUWCkhTYQAXuT8/4LiBwAA//8DAFBLAQIt&#10;ABQABgAIAAAAIQC2gziS/gAAAOEBAAATAAAAAAAAAAAAAAAAAAAAAABbQ29udGVudF9UeXBlc10u&#10;eG1sUEsBAi0AFAAGAAgAAAAhADj9If/WAAAAlAEAAAsAAAAAAAAAAAAAAAAALwEAAF9yZWxzLy5y&#10;ZWxzUEsBAi0AFAAGAAgAAAAhAEO0nB5cAgAABAUAAA4AAAAAAAAAAAAAAAAALgIAAGRycy9lMm9E&#10;b2MueG1sUEsBAi0AFAAGAAgAAAAhAN2ds9PiAAAACQEAAA8AAAAAAAAAAAAAAAAAtgQAAGRycy9k&#10;b3ducmV2LnhtbFBLBQYAAAAABAAEAPMAAADFBQAAAAA=&#10;" fillcolor="white [3201]" strokecolor="#ed7d31 [3205]" strokeweight="1pt">
                <v:stroke joinstyle="miter"/>
                <v:textbox>
                  <w:txbxContent>
                    <w:p w14:paraId="5FC2AB89" w14:textId="77777777" w:rsidR="00431DF4" w:rsidRPr="00E4429F" w:rsidRDefault="00431DF4" w:rsidP="004825E7">
                      <w:pPr>
                        <w:spacing w:before="0" w:after="0"/>
                        <w:jc w:val="both"/>
                        <w:rPr>
                          <w:rFonts w:ascii="Times New Roman" w:hAnsi="Times New Roman" w:cs="Times New Roman"/>
                          <w:b/>
                          <w:sz w:val="24"/>
                          <w:szCs w:val="24"/>
                        </w:rPr>
                      </w:pPr>
                      <w:r w:rsidRPr="00E4429F">
                        <w:rPr>
                          <w:rFonts w:ascii="Times New Roman" w:hAnsi="Times New Roman" w:cs="Times New Roman"/>
                          <w:b/>
                          <w:sz w:val="24"/>
                          <w:szCs w:val="24"/>
                        </w:rPr>
                        <w:t>VTNP lēmums paredz pilnvarojuma uzlikšanu un virkni nosacījumu, kas iekļaujami pilnvarojuma aktā un ievērojami pilnvarojuma periodā. Paziņojums EK nav jāsniedz. Latvijā tiek plaši piemērots.</w:t>
                      </w:r>
                    </w:p>
                    <w:p w14:paraId="4A3B985C" w14:textId="77777777" w:rsidR="00431DF4" w:rsidRPr="00E4429F" w:rsidRDefault="00431DF4" w:rsidP="004825E7">
                      <w:pPr>
                        <w:spacing w:before="0" w:after="0"/>
                        <w:jc w:val="both"/>
                        <w:rPr>
                          <w:rFonts w:ascii="Times New Roman" w:hAnsi="Times New Roman" w:cs="Times New Roman"/>
                          <w:sz w:val="24"/>
                          <w:szCs w:val="24"/>
                        </w:rPr>
                      </w:pPr>
                    </w:p>
                  </w:txbxContent>
                </v:textbox>
                <w10:wrap type="square" anchorx="margin"/>
              </v:roundrect>
            </w:pict>
          </mc:Fallback>
        </mc:AlternateContent>
      </w:r>
      <w:r w:rsidR="004825E7" w:rsidRPr="00DF4295">
        <w:rPr>
          <w:rFonts w:ascii="Times New Roman" w:hAnsi="Times New Roman" w:cs="Times New Roman"/>
          <w:sz w:val="28"/>
          <w:szCs w:val="28"/>
        </w:rPr>
        <w:t xml:space="preserve">VTNP lēmumā ir precizēti nosacījumi, saskaņā ar kuriem kompensācija uzņēmumiem par </w:t>
      </w:r>
      <w:r w:rsidR="00042EA9">
        <w:rPr>
          <w:rFonts w:ascii="Times New Roman" w:hAnsi="Times New Roman" w:cs="Times New Roman"/>
          <w:sz w:val="28"/>
          <w:szCs w:val="28"/>
        </w:rPr>
        <w:t>VTNP</w:t>
      </w:r>
      <w:r w:rsidR="004825E7" w:rsidRPr="00DF4295">
        <w:rPr>
          <w:rFonts w:ascii="Times New Roman" w:hAnsi="Times New Roman" w:cs="Times New Roman"/>
          <w:sz w:val="28"/>
          <w:szCs w:val="28"/>
        </w:rPr>
        <w:t xml:space="preserve"> sniegšanu ir saderīga ar ES iekšējo tirgu un par to nav iepriekš jāsniedz paziņojums EK. </w:t>
      </w:r>
    </w:p>
    <w:p w14:paraId="015BBBB9" w14:textId="781CD817" w:rsidR="00AD075F" w:rsidRPr="00DF4295" w:rsidRDefault="00367070"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VTNP lēmuma 2. panta 2. punkts</w:t>
      </w:r>
      <w:r w:rsidR="000E1F9E" w:rsidRPr="00DF4295">
        <w:rPr>
          <w:rFonts w:ascii="Times New Roman" w:hAnsi="Times New Roman" w:cs="Times New Roman"/>
          <w:sz w:val="28"/>
          <w:szCs w:val="28"/>
        </w:rPr>
        <w:t xml:space="preserve"> </w:t>
      </w:r>
      <w:r w:rsidRPr="00DF4295">
        <w:rPr>
          <w:rFonts w:ascii="Times New Roman" w:hAnsi="Times New Roman" w:cs="Times New Roman"/>
          <w:sz w:val="28"/>
          <w:szCs w:val="28"/>
        </w:rPr>
        <w:t>nosaka</w:t>
      </w:r>
      <w:r w:rsidR="000E1F9E" w:rsidRPr="00DF4295">
        <w:rPr>
          <w:rFonts w:ascii="Times New Roman" w:hAnsi="Times New Roman" w:cs="Times New Roman"/>
          <w:sz w:val="28"/>
          <w:szCs w:val="28"/>
        </w:rPr>
        <w:t>, ka jābūt noslēgtam pilnvarojuma aktam, kura darbības ilgums nepārsniedz 10 gadus</w:t>
      </w:r>
      <w:r w:rsidRPr="00DF4295">
        <w:rPr>
          <w:rFonts w:ascii="Times New Roman" w:hAnsi="Times New Roman" w:cs="Times New Roman"/>
          <w:sz w:val="28"/>
          <w:szCs w:val="28"/>
        </w:rPr>
        <w:t xml:space="preserve">. </w:t>
      </w:r>
      <w:r w:rsidR="00AD075F" w:rsidRPr="00DF4295">
        <w:rPr>
          <w:rFonts w:ascii="Times New Roman" w:hAnsi="Times New Roman" w:cs="Times New Roman"/>
          <w:sz w:val="28"/>
          <w:szCs w:val="28"/>
        </w:rPr>
        <w:t xml:space="preserve">VTNP lēmumā tiek pieļauts ilgāks laiks gadījumos, kad ir nepieciešams vērā ņemams </w:t>
      </w:r>
      <w:r w:rsidR="00EC754A" w:rsidRPr="00DF4295">
        <w:rPr>
          <w:rFonts w:ascii="Times New Roman" w:hAnsi="Times New Roman" w:cs="Times New Roman"/>
          <w:sz w:val="28"/>
          <w:szCs w:val="28"/>
        </w:rPr>
        <w:t xml:space="preserve">paša VTNP sniedzēja </w:t>
      </w:r>
      <w:r w:rsidR="00AD075F" w:rsidRPr="00DF4295">
        <w:rPr>
          <w:rFonts w:ascii="Times New Roman" w:hAnsi="Times New Roman" w:cs="Times New Roman"/>
          <w:sz w:val="28"/>
          <w:szCs w:val="28"/>
        </w:rPr>
        <w:t xml:space="preserve">ieguldījums, kurš jāamortizē periodā, kas ir ilgāks par 10 gadiem. Tā kā </w:t>
      </w:r>
      <w:r w:rsidR="000E7891" w:rsidRPr="00DF4295">
        <w:rPr>
          <w:rFonts w:ascii="Times New Roman" w:hAnsi="Times New Roman" w:cs="Times New Roman"/>
          <w:sz w:val="28"/>
          <w:szCs w:val="28"/>
        </w:rPr>
        <w:t xml:space="preserve">pilnvarojuma akta darbības </w:t>
      </w:r>
      <w:r w:rsidR="00AD075F" w:rsidRPr="00DF4295">
        <w:rPr>
          <w:rFonts w:ascii="Times New Roman" w:hAnsi="Times New Roman" w:cs="Times New Roman"/>
          <w:sz w:val="28"/>
          <w:szCs w:val="28"/>
        </w:rPr>
        <w:t>ilgums ir cieši saistīts ar laika posmu, kāds ir nepieciešams aktīva amortizēšanai, saskaņā ar VTNP lēmumu nav iespējams neierobežots</w:t>
      </w:r>
      <w:r w:rsidR="000E7891" w:rsidRPr="00DF4295">
        <w:rPr>
          <w:rFonts w:ascii="Times New Roman" w:hAnsi="Times New Roman" w:cs="Times New Roman"/>
          <w:sz w:val="28"/>
          <w:szCs w:val="28"/>
        </w:rPr>
        <w:t xml:space="preserve"> tā</w:t>
      </w:r>
      <w:r w:rsidR="00AD075F" w:rsidRPr="00DF4295">
        <w:rPr>
          <w:rFonts w:ascii="Times New Roman" w:hAnsi="Times New Roman" w:cs="Times New Roman"/>
          <w:sz w:val="28"/>
          <w:szCs w:val="28"/>
        </w:rPr>
        <w:t xml:space="preserve"> ilgums. Pēc pilnvarojuma perioda beigām vienu un to pašu pakalpojumu sniedzēju var atkārtoti pilnvarot sniegt konkrēto pakalpojumu. </w:t>
      </w:r>
    </w:p>
    <w:p w14:paraId="3DF47FD0" w14:textId="186B2489" w:rsidR="00AD075F" w:rsidRPr="00DF4295" w:rsidRDefault="00AD075F"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 xml:space="preserve">Atļauja veikt noteiktu darbību bez </w:t>
      </w:r>
      <w:r w:rsidR="007A4377" w:rsidRPr="00DF4295">
        <w:rPr>
          <w:rFonts w:ascii="Times New Roman" w:hAnsi="Times New Roman" w:cs="Times New Roman"/>
          <w:sz w:val="28"/>
          <w:szCs w:val="28"/>
        </w:rPr>
        <w:t>pilnvarojuma</w:t>
      </w:r>
      <w:r w:rsidR="00542900">
        <w:rPr>
          <w:rFonts w:ascii="Times New Roman" w:hAnsi="Times New Roman" w:cs="Times New Roman"/>
          <w:sz w:val="28"/>
          <w:szCs w:val="28"/>
        </w:rPr>
        <w:t>,</w:t>
      </w:r>
      <w:r w:rsidR="007A4377" w:rsidRPr="00DF4295">
        <w:rPr>
          <w:rFonts w:ascii="Times New Roman" w:hAnsi="Times New Roman" w:cs="Times New Roman"/>
          <w:sz w:val="28"/>
          <w:szCs w:val="28"/>
        </w:rPr>
        <w:t xml:space="preserve"> </w:t>
      </w:r>
      <w:r w:rsidRPr="00DF4295">
        <w:rPr>
          <w:rFonts w:ascii="Times New Roman" w:hAnsi="Times New Roman" w:cs="Times New Roman"/>
          <w:sz w:val="28"/>
          <w:szCs w:val="28"/>
        </w:rPr>
        <w:t xml:space="preserve">pakalpojumu sniedzējam </w:t>
      </w:r>
      <w:r w:rsidR="00ED098D" w:rsidRPr="00DF4295">
        <w:rPr>
          <w:rFonts w:ascii="Times New Roman" w:hAnsi="Times New Roman" w:cs="Times New Roman"/>
          <w:sz w:val="28"/>
          <w:szCs w:val="28"/>
        </w:rPr>
        <w:t xml:space="preserve">ļaujot </w:t>
      </w:r>
      <w:r w:rsidRPr="00DF4295">
        <w:rPr>
          <w:rFonts w:ascii="Times New Roman" w:hAnsi="Times New Roman" w:cs="Times New Roman"/>
          <w:sz w:val="28"/>
          <w:szCs w:val="28"/>
        </w:rPr>
        <w:t xml:space="preserve">sniegt noteiktu </w:t>
      </w:r>
      <w:r w:rsidR="003D368F" w:rsidRPr="00DF4295">
        <w:rPr>
          <w:rFonts w:ascii="Times New Roman" w:hAnsi="Times New Roman" w:cs="Times New Roman"/>
          <w:sz w:val="28"/>
          <w:szCs w:val="28"/>
        </w:rPr>
        <w:t>pakalpojumu</w:t>
      </w:r>
      <w:r w:rsidR="00542900">
        <w:rPr>
          <w:rFonts w:ascii="Times New Roman" w:hAnsi="Times New Roman" w:cs="Times New Roman"/>
          <w:sz w:val="28"/>
          <w:szCs w:val="28"/>
        </w:rPr>
        <w:t>,</w:t>
      </w:r>
      <w:r w:rsidR="003D368F" w:rsidRPr="00DF4295">
        <w:rPr>
          <w:rFonts w:ascii="Times New Roman" w:hAnsi="Times New Roman" w:cs="Times New Roman"/>
          <w:sz w:val="28"/>
          <w:szCs w:val="28"/>
        </w:rPr>
        <w:t xml:space="preserve"> </w:t>
      </w:r>
      <w:r w:rsidRPr="00DF4295">
        <w:rPr>
          <w:rFonts w:ascii="Times New Roman" w:hAnsi="Times New Roman" w:cs="Times New Roman"/>
          <w:sz w:val="28"/>
          <w:szCs w:val="28"/>
        </w:rPr>
        <w:t xml:space="preserve">nav tas pats, kas pilnvarojuma akts, kurš nosaka pakalpojumu sniedzēja pienākumu sniegt noteiktu </w:t>
      </w:r>
      <w:r w:rsidR="00EC754A" w:rsidRPr="00DF4295">
        <w:rPr>
          <w:rFonts w:ascii="Times New Roman" w:hAnsi="Times New Roman" w:cs="Times New Roman"/>
          <w:sz w:val="28"/>
          <w:szCs w:val="28"/>
        </w:rPr>
        <w:t xml:space="preserve">VTNP. No komercdarbības </w:t>
      </w:r>
      <w:r w:rsidRPr="00DF4295">
        <w:rPr>
          <w:rFonts w:ascii="Times New Roman" w:hAnsi="Times New Roman" w:cs="Times New Roman"/>
          <w:sz w:val="28"/>
          <w:szCs w:val="28"/>
        </w:rPr>
        <w:t xml:space="preserve">atbalsta </w:t>
      </w:r>
      <w:r w:rsidR="00EC754A" w:rsidRPr="00DF4295">
        <w:rPr>
          <w:rFonts w:ascii="Times New Roman" w:hAnsi="Times New Roman" w:cs="Times New Roman"/>
          <w:sz w:val="28"/>
          <w:szCs w:val="28"/>
        </w:rPr>
        <w:t xml:space="preserve">kontroles </w:t>
      </w:r>
      <w:r w:rsidRPr="00DF4295">
        <w:rPr>
          <w:rFonts w:ascii="Times New Roman" w:hAnsi="Times New Roman" w:cs="Times New Roman"/>
          <w:sz w:val="28"/>
          <w:szCs w:val="28"/>
        </w:rPr>
        <w:t>viedokļa atļaujai bez</w:t>
      </w:r>
      <w:r w:rsidR="007A4377" w:rsidRPr="00DF4295">
        <w:rPr>
          <w:rFonts w:ascii="Times New Roman" w:hAnsi="Times New Roman" w:cs="Times New Roman"/>
          <w:sz w:val="28"/>
          <w:szCs w:val="28"/>
        </w:rPr>
        <w:t xml:space="preserve"> konkrēti definēta</w:t>
      </w:r>
      <w:r w:rsidRPr="00DF4295">
        <w:rPr>
          <w:rFonts w:ascii="Times New Roman" w:hAnsi="Times New Roman" w:cs="Times New Roman"/>
          <w:sz w:val="28"/>
          <w:szCs w:val="28"/>
        </w:rPr>
        <w:t xml:space="preserve"> pienākuma nav nozīmes. Tādējādi </w:t>
      </w:r>
      <w:r w:rsidR="00EC754A" w:rsidRPr="00DF4295">
        <w:rPr>
          <w:rFonts w:ascii="Times New Roman" w:hAnsi="Times New Roman" w:cs="Times New Roman"/>
          <w:b/>
          <w:sz w:val="28"/>
          <w:szCs w:val="28"/>
        </w:rPr>
        <w:t>komercdarbības</w:t>
      </w:r>
      <w:r w:rsidRPr="00DF4295">
        <w:rPr>
          <w:rFonts w:ascii="Times New Roman" w:hAnsi="Times New Roman" w:cs="Times New Roman"/>
          <w:b/>
          <w:sz w:val="28"/>
          <w:szCs w:val="28"/>
        </w:rPr>
        <w:t xml:space="preserve"> atbalsta </w:t>
      </w:r>
      <w:r w:rsidR="00EC754A" w:rsidRPr="00DF4295">
        <w:rPr>
          <w:rFonts w:ascii="Times New Roman" w:hAnsi="Times New Roman" w:cs="Times New Roman"/>
          <w:b/>
          <w:sz w:val="28"/>
          <w:szCs w:val="28"/>
        </w:rPr>
        <w:t xml:space="preserve">kontroles </w:t>
      </w:r>
      <w:r w:rsidRPr="00DF4295">
        <w:rPr>
          <w:rFonts w:ascii="Times New Roman" w:hAnsi="Times New Roman" w:cs="Times New Roman"/>
          <w:b/>
          <w:sz w:val="28"/>
          <w:szCs w:val="28"/>
        </w:rPr>
        <w:t>noteikumi nekavē dalībvalsti izsniegt beztermiņa atļauju pakalpojumu sniedzējam kādas darbības veikšanai, bet, lai varētu saņemt kompensāciju par VTNP sniegšanu, uzņēmumam jābūt pilnvar</w:t>
      </w:r>
      <w:r w:rsidR="00171BE0" w:rsidRPr="00DF4295">
        <w:rPr>
          <w:rFonts w:ascii="Times New Roman" w:hAnsi="Times New Roman" w:cs="Times New Roman"/>
          <w:b/>
          <w:sz w:val="28"/>
          <w:szCs w:val="28"/>
        </w:rPr>
        <w:t>otam pildīt noteikta VTNP</w:t>
      </w:r>
      <w:r w:rsidRPr="00DF4295">
        <w:rPr>
          <w:rFonts w:ascii="Times New Roman" w:hAnsi="Times New Roman" w:cs="Times New Roman"/>
          <w:b/>
          <w:sz w:val="28"/>
          <w:szCs w:val="28"/>
        </w:rPr>
        <w:t xml:space="preserve"> pakalpojuma saistības</w:t>
      </w:r>
      <w:r w:rsidR="00937497" w:rsidRPr="00DF4295">
        <w:rPr>
          <w:rFonts w:ascii="Times New Roman" w:hAnsi="Times New Roman" w:cs="Times New Roman"/>
          <w:sz w:val="28"/>
          <w:szCs w:val="28"/>
        </w:rPr>
        <w:t>, attiecībā uz kuru</w:t>
      </w:r>
      <w:r w:rsidR="00542900">
        <w:rPr>
          <w:rFonts w:ascii="Times New Roman" w:hAnsi="Times New Roman" w:cs="Times New Roman"/>
          <w:sz w:val="28"/>
          <w:szCs w:val="28"/>
        </w:rPr>
        <w:t xml:space="preserve"> izpildi</w:t>
      </w:r>
      <w:r w:rsidR="00937497" w:rsidRPr="00DF4295">
        <w:rPr>
          <w:rFonts w:ascii="Times New Roman" w:hAnsi="Times New Roman" w:cs="Times New Roman"/>
          <w:sz w:val="28"/>
          <w:szCs w:val="28"/>
        </w:rPr>
        <w:t xml:space="preserve"> jāievēro VTNP regulējumā noteikt</w:t>
      </w:r>
      <w:r w:rsidR="00542900">
        <w:rPr>
          <w:rFonts w:ascii="Times New Roman" w:hAnsi="Times New Roman" w:cs="Times New Roman"/>
          <w:sz w:val="28"/>
          <w:szCs w:val="28"/>
        </w:rPr>
        <w:t>ais</w:t>
      </w:r>
      <w:r w:rsidR="00937497" w:rsidRPr="00DF4295">
        <w:rPr>
          <w:rFonts w:ascii="Times New Roman" w:hAnsi="Times New Roman" w:cs="Times New Roman"/>
          <w:sz w:val="28"/>
          <w:szCs w:val="28"/>
        </w:rPr>
        <w:t xml:space="preserve"> maksimāl</w:t>
      </w:r>
      <w:r w:rsidR="00542900">
        <w:rPr>
          <w:rFonts w:ascii="Times New Roman" w:hAnsi="Times New Roman" w:cs="Times New Roman"/>
          <w:sz w:val="28"/>
          <w:szCs w:val="28"/>
        </w:rPr>
        <w:t>ais</w:t>
      </w:r>
      <w:r w:rsidR="00937497" w:rsidRPr="00DF4295">
        <w:rPr>
          <w:rFonts w:ascii="Times New Roman" w:hAnsi="Times New Roman" w:cs="Times New Roman"/>
          <w:sz w:val="28"/>
          <w:szCs w:val="28"/>
        </w:rPr>
        <w:t xml:space="preserve"> termiņ</w:t>
      </w:r>
      <w:r w:rsidR="00542900">
        <w:rPr>
          <w:rFonts w:ascii="Times New Roman" w:hAnsi="Times New Roman" w:cs="Times New Roman"/>
          <w:sz w:val="28"/>
          <w:szCs w:val="28"/>
        </w:rPr>
        <w:t>š</w:t>
      </w:r>
      <w:r w:rsidR="00937497" w:rsidRPr="00DF4295">
        <w:rPr>
          <w:rFonts w:ascii="Times New Roman" w:hAnsi="Times New Roman" w:cs="Times New Roman"/>
          <w:sz w:val="28"/>
          <w:szCs w:val="28"/>
        </w:rPr>
        <w:t>.</w:t>
      </w:r>
      <w:r w:rsidRPr="00DF4295">
        <w:rPr>
          <w:rFonts w:ascii="Times New Roman" w:hAnsi="Times New Roman" w:cs="Times New Roman"/>
          <w:sz w:val="28"/>
          <w:szCs w:val="28"/>
        </w:rPr>
        <w:t xml:space="preserve"> </w:t>
      </w:r>
    </w:p>
    <w:p w14:paraId="55C85A4D" w14:textId="7484F104" w:rsidR="003E4D3D" w:rsidRPr="00DF4295" w:rsidRDefault="004825E7" w:rsidP="001D1B46">
      <w:pPr>
        <w:jc w:val="both"/>
        <w:rPr>
          <w:rFonts w:ascii="Times New Roman" w:hAnsi="Times New Roman" w:cs="Times New Roman"/>
          <w:sz w:val="28"/>
          <w:szCs w:val="28"/>
        </w:rPr>
      </w:pPr>
      <w:r w:rsidRPr="00DF4295">
        <w:rPr>
          <w:rFonts w:ascii="Times New Roman" w:hAnsi="Times New Roman" w:cs="Times New Roman"/>
          <w:sz w:val="28"/>
          <w:szCs w:val="28"/>
        </w:rPr>
        <w:t xml:space="preserve">VTNP lēmums ietver </w:t>
      </w:r>
      <w:r w:rsidR="00895802" w:rsidRPr="00DF4295">
        <w:rPr>
          <w:rFonts w:ascii="Times New Roman" w:hAnsi="Times New Roman" w:cs="Times New Roman"/>
          <w:sz w:val="28"/>
          <w:szCs w:val="28"/>
        </w:rPr>
        <w:t xml:space="preserve">arī </w:t>
      </w:r>
      <w:r w:rsidRPr="00DF4295">
        <w:rPr>
          <w:rFonts w:ascii="Times New Roman" w:hAnsi="Times New Roman" w:cs="Times New Roman"/>
          <w:sz w:val="28"/>
          <w:szCs w:val="28"/>
        </w:rPr>
        <w:t>nosacījumus kompensācija</w:t>
      </w:r>
      <w:r w:rsidR="00F26316">
        <w:rPr>
          <w:rFonts w:ascii="Times New Roman" w:hAnsi="Times New Roman" w:cs="Times New Roman"/>
          <w:sz w:val="28"/>
          <w:szCs w:val="28"/>
        </w:rPr>
        <w:t>s apmēram</w:t>
      </w:r>
      <w:r w:rsidR="003D368F" w:rsidRPr="00DF4295">
        <w:rPr>
          <w:rFonts w:ascii="Times New Roman" w:hAnsi="Times New Roman" w:cs="Times New Roman"/>
          <w:sz w:val="28"/>
          <w:szCs w:val="28"/>
        </w:rPr>
        <w:t xml:space="preserve"> (VTNP lēmuma </w:t>
      </w:r>
      <w:r w:rsidR="00F26316">
        <w:rPr>
          <w:rFonts w:ascii="Times New Roman" w:hAnsi="Times New Roman" w:cs="Times New Roman"/>
          <w:sz w:val="28"/>
          <w:szCs w:val="28"/>
        </w:rPr>
        <w:t>2</w:t>
      </w:r>
      <w:r w:rsidR="003D368F" w:rsidRPr="00DF4295">
        <w:rPr>
          <w:rFonts w:ascii="Times New Roman" w:hAnsi="Times New Roman" w:cs="Times New Roman"/>
          <w:sz w:val="28"/>
          <w:szCs w:val="28"/>
        </w:rPr>
        <w:t>. pants)</w:t>
      </w:r>
      <w:r w:rsidRPr="00DF4295">
        <w:rPr>
          <w:rFonts w:ascii="Times New Roman" w:hAnsi="Times New Roman" w:cs="Times New Roman"/>
          <w:sz w:val="28"/>
          <w:szCs w:val="28"/>
        </w:rPr>
        <w:t xml:space="preserve"> par </w:t>
      </w:r>
      <w:r w:rsidR="004078B5">
        <w:rPr>
          <w:rFonts w:ascii="Times New Roman" w:hAnsi="Times New Roman" w:cs="Times New Roman"/>
          <w:sz w:val="28"/>
          <w:szCs w:val="28"/>
        </w:rPr>
        <w:t>VTNP</w:t>
      </w:r>
      <w:r w:rsidRPr="00DF4295">
        <w:rPr>
          <w:rFonts w:ascii="Times New Roman" w:hAnsi="Times New Roman" w:cs="Times New Roman"/>
          <w:sz w:val="28"/>
          <w:szCs w:val="28"/>
        </w:rPr>
        <w:t xml:space="preserve"> sniegšanu</w:t>
      </w:r>
      <w:r w:rsidR="009C576D">
        <w:rPr>
          <w:rFonts w:ascii="Times New Roman" w:hAnsi="Times New Roman" w:cs="Times New Roman"/>
          <w:sz w:val="28"/>
          <w:szCs w:val="28"/>
        </w:rPr>
        <w:t xml:space="preserve"> un ierobežojošus nosacījumus atsevišķās jomās</w:t>
      </w:r>
      <w:r w:rsidR="008F2FEF" w:rsidRPr="00DF4295">
        <w:rPr>
          <w:rFonts w:ascii="Times New Roman" w:hAnsi="Times New Roman" w:cs="Times New Roman"/>
          <w:sz w:val="28"/>
          <w:szCs w:val="28"/>
        </w:rPr>
        <w:t>:</w:t>
      </w:r>
    </w:p>
    <w:p w14:paraId="040A3FEF" w14:textId="74FEF633" w:rsidR="00946095" w:rsidRPr="00DF4295" w:rsidRDefault="00171BE0" w:rsidP="00097423">
      <w:pPr>
        <w:pStyle w:val="ListParagraph"/>
        <w:numPr>
          <w:ilvl w:val="0"/>
          <w:numId w:val="23"/>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Kompensācija</w:t>
      </w:r>
      <w:r w:rsidR="00895802" w:rsidRPr="00DF4295">
        <w:rPr>
          <w:rFonts w:ascii="Times New Roman" w:hAnsi="Times New Roman" w:cs="Times New Roman"/>
          <w:sz w:val="28"/>
          <w:szCs w:val="28"/>
        </w:rPr>
        <w:t xml:space="preserve"> nedrīkst</w:t>
      </w:r>
      <w:r w:rsidR="003E4D3D" w:rsidRPr="00DF4295">
        <w:rPr>
          <w:rFonts w:ascii="Times New Roman" w:hAnsi="Times New Roman" w:cs="Times New Roman"/>
          <w:sz w:val="28"/>
          <w:szCs w:val="28"/>
        </w:rPr>
        <w:t xml:space="preserve"> </w:t>
      </w:r>
      <w:r w:rsidR="00895802" w:rsidRPr="00DF4295">
        <w:rPr>
          <w:rFonts w:ascii="Times New Roman" w:hAnsi="Times New Roman" w:cs="Times New Roman"/>
          <w:sz w:val="28"/>
          <w:szCs w:val="28"/>
        </w:rPr>
        <w:t>pārsniegt</w:t>
      </w:r>
      <w:r w:rsidR="003E4D3D" w:rsidRPr="00DF4295">
        <w:rPr>
          <w:rFonts w:ascii="Times New Roman" w:hAnsi="Times New Roman" w:cs="Times New Roman"/>
          <w:sz w:val="28"/>
          <w:szCs w:val="28"/>
        </w:rPr>
        <w:t xml:space="preserve"> </w:t>
      </w:r>
      <w:r w:rsidRPr="00DF4295">
        <w:rPr>
          <w:rFonts w:ascii="Times New Roman" w:hAnsi="Times New Roman" w:cs="Times New Roman"/>
          <w:sz w:val="28"/>
          <w:szCs w:val="28"/>
        </w:rPr>
        <w:t xml:space="preserve">vidēji </w:t>
      </w:r>
      <w:r w:rsidR="003E4D3D" w:rsidRPr="00DF4295">
        <w:rPr>
          <w:rFonts w:ascii="Times New Roman" w:hAnsi="Times New Roman" w:cs="Times New Roman"/>
          <w:sz w:val="28"/>
          <w:szCs w:val="28"/>
        </w:rPr>
        <w:t>EUR 15 miljonus gadā</w:t>
      </w:r>
      <w:r w:rsidR="00542900">
        <w:rPr>
          <w:rFonts w:ascii="Times New Roman" w:hAnsi="Times New Roman" w:cs="Times New Roman"/>
          <w:sz w:val="28"/>
          <w:szCs w:val="28"/>
        </w:rPr>
        <w:t xml:space="preserve"> visā pilnvarojuma periodā</w:t>
      </w:r>
      <w:r w:rsidR="003E4D3D" w:rsidRPr="00DF4295">
        <w:rPr>
          <w:rFonts w:ascii="Times New Roman" w:hAnsi="Times New Roman" w:cs="Times New Roman"/>
          <w:sz w:val="28"/>
          <w:szCs w:val="28"/>
        </w:rPr>
        <w:t xml:space="preserve"> un </w:t>
      </w:r>
      <w:r w:rsidR="0093208E" w:rsidRPr="00DF4295">
        <w:rPr>
          <w:rFonts w:ascii="Times New Roman" w:hAnsi="Times New Roman" w:cs="Times New Roman"/>
          <w:sz w:val="28"/>
          <w:szCs w:val="28"/>
        </w:rPr>
        <w:t xml:space="preserve">tā </w:t>
      </w:r>
      <w:r w:rsidR="003E4D3D" w:rsidRPr="00DF4295">
        <w:rPr>
          <w:rFonts w:ascii="Times New Roman" w:hAnsi="Times New Roman" w:cs="Times New Roman"/>
          <w:sz w:val="28"/>
          <w:szCs w:val="28"/>
        </w:rPr>
        <w:t>ir piešķirt</w:t>
      </w:r>
      <w:r w:rsidR="00895802" w:rsidRPr="00DF4295">
        <w:rPr>
          <w:rFonts w:ascii="Times New Roman" w:hAnsi="Times New Roman" w:cs="Times New Roman"/>
          <w:sz w:val="28"/>
          <w:szCs w:val="28"/>
        </w:rPr>
        <w:t>a</w:t>
      </w:r>
      <w:r w:rsidR="00365F8F" w:rsidRPr="00DF4295">
        <w:rPr>
          <w:rFonts w:ascii="Times New Roman" w:hAnsi="Times New Roman" w:cs="Times New Roman"/>
          <w:sz w:val="28"/>
          <w:szCs w:val="28"/>
        </w:rPr>
        <w:t xml:space="preserve"> </w:t>
      </w:r>
      <w:r w:rsidR="003E4D3D" w:rsidRPr="00DF4295">
        <w:rPr>
          <w:rFonts w:ascii="Times New Roman" w:hAnsi="Times New Roman" w:cs="Times New Roman"/>
          <w:sz w:val="28"/>
          <w:szCs w:val="28"/>
        </w:rPr>
        <w:t>VTNP sniegšana</w:t>
      </w:r>
      <w:r w:rsidR="00365F8F" w:rsidRPr="00DF4295">
        <w:rPr>
          <w:rFonts w:ascii="Times New Roman" w:hAnsi="Times New Roman" w:cs="Times New Roman"/>
          <w:sz w:val="28"/>
          <w:szCs w:val="28"/>
        </w:rPr>
        <w:t xml:space="preserve">s </w:t>
      </w:r>
      <w:r w:rsidR="0093208E" w:rsidRPr="00DF4295">
        <w:rPr>
          <w:rFonts w:ascii="Times New Roman" w:hAnsi="Times New Roman" w:cs="Times New Roman"/>
          <w:sz w:val="28"/>
          <w:szCs w:val="28"/>
        </w:rPr>
        <w:t>pilnvaro</w:t>
      </w:r>
      <w:r w:rsidR="00365F8F" w:rsidRPr="00DF4295">
        <w:rPr>
          <w:rFonts w:ascii="Times New Roman" w:hAnsi="Times New Roman" w:cs="Times New Roman"/>
          <w:sz w:val="28"/>
          <w:szCs w:val="28"/>
        </w:rPr>
        <w:t>jum</w:t>
      </w:r>
      <w:r w:rsidR="00C5429D" w:rsidRPr="00DF4295">
        <w:rPr>
          <w:rFonts w:ascii="Times New Roman" w:hAnsi="Times New Roman" w:cs="Times New Roman"/>
          <w:sz w:val="28"/>
          <w:szCs w:val="28"/>
        </w:rPr>
        <w:t>a</w:t>
      </w:r>
      <w:r w:rsidR="003E4D3D" w:rsidRPr="00DF4295">
        <w:rPr>
          <w:rFonts w:ascii="Times New Roman" w:hAnsi="Times New Roman" w:cs="Times New Roman"/>
          <w:sz w:val="28"/>
          <w:szCs w:val="28"/>
        </w:rPr>
        <w:t xml:space="preserve"> jomās, kas nav transports un transporta infrastruktūra (bruto vērtība t. i., summa pirms nodokļu atskaitīšanas)</w:t>
      </w:r>
      <w:r w:rsidR="00946095" w:rsidRPr="00DF4295">
        <w:rPr>
          <w:rFonts w:ascii="Times New Roman" w:hAnsi="Times New Roman" w:cs="Times New Roman"/>
          <w:sz w:val="28"/>
          <w:szCs w:val="28"/>
        </w:rPr>
        <w:t>.</w:t>
      </w:r>
    </w:p>
    <w:p w14:paraId="78F55C2D" w14:textId="7147C40E" w:rsidR="0093208E" w:rsidRPr="00DF4295" w:rsidRDefault="00946095" w:rsidP="001D1B46">
      <w:pPr>
        <w:pStyle w:val="ListParagraph"/>
        <w:ind w:left="0" w:firstLine="567"/>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Slieksni, kas ir EUR 15 miljoni, piemēro katram konkrētajam </w:t>
      </w:r>
      <w:r w:rsidR="0093208E" w:rsidRPr="00DF4295">
        <w:rPr>
          <w:rFonts w:ascii="Times New Roman" w:hAnsi="Times New Roman" w:cs="Times New Roman"/>
          <w:sz w:val="28"/>
          <w:szCs w:val="28"/>
        </w:rPr>
        <w:t>VTNP</w:t>
      </w:r>
      <w:r w:rsidRPr="00DF4295">
        <w:rPr>
          <w:rFonts w:ascii="Times New Roman" w:hAnsi="Times New Roman" w:cs="Times New Roman"/>
          <w:sz w:val="28"/>
          <w:szCs w:val="28"/>
        </w:rPr>
        <w:t xml:space="preserve">, kuru noteikts uzņēmums ir pilnvarots sniegt. Ja uzņēmums ir pilnvarots sniegt trīs dažādus VTNP, slieksni piemēro katram VTNP (t. i., saskaņā ar VTNP lēmumu </w:t>
      </w:r>
      <w:r w:rsidR="00895802" w:rsidRPr="00DF4295">
        <w:rPr>
          <w:rFonts w:ascii="Times New Roman" w:hAnsi="Times New Roman" w:cs="Times New Roman"/>
          <w:sz w:val="28"/>
          <w:szCs w:val="28"/>
        </w:rPr>
        <w:t xml:space="preserve">pakalpojums sniedzējs </w:t>
      </w:r>
      <w:r w:rsidRPr="00DF4295">
        <w:rPr>
          <w:rFonts w:ascii="Times New Roman" w:hAnsi="Times New Roman" w:cs="Times New Roman"/>
          <w:sz w:val="28"/>
          <w:szCs w:val="28"/>
        </w:rPr>
        <w:t xml:space="preserve">var saņemt kopējo kompensāciju, kas nepārsniedz EUR 45 miljonus, ja vien </w:t>
      </w:r>
      <w:r w:rsidRPr="00DF4295">
        <w:rPr>
          <w:rFonts w:ascii="Times New Roman" w:hAnsi="Times New Roman" w:cs="Times New Roman"/>
          <w:sz w:val="28"/>
          <w:szCs w:val="28"/>
        </w:rPr>
        <w:lastRenderedPageBreak/>
        <w:t>kompensācija par katru atsevišķu VTNP</w:t>
      </w:r>
      <w:r w:rsidR="00171BE0" w:rsidRPr="00DF4295">
        <w:rPr>
          <w:rFonts w:ascii="Times New Roman" w:hAnsi="Times New Roman" w:cs="Times New Roman"/>
          <w:sz w:val="28"/>
          <w:szCs w:val="28"/>
        </w:rPr>
        <w:t xml:space="preserve"> nepārsniedz</w:t>
      </w:r>
      <w:r w:rsidR="009700A2">
        <w:rPr>
          <w:rFonts w:ascii="Times New Roman" w:hAnsi="Times New Roman" w:cs="Times New Roman"/>
          <w:sz w:val="28"/>
          <w:szCs w:val="28"/>
        </w:rPr>
        <w:t xml:space="preserve"> vidēji</w:t>
      </w:r>
      <w:r w:rsidR="00171BE0" w:rsidRPr="00DF4295">
        <w:rPr>
          <w:rFonts w:ascii="Times New Roman" w:hAnsi="Times New Roman" w:cs="Times New Roman"/>
          <w:sz w:val="28"/>
          <w:szCs w:val="28"/>
        </w:rPr>
        <w:t xml:space="preserve"> EUR 15 miljonus</w:t>
      </w:r>
      <w:r w:rsidR="009700A2">
        <w:rPr>
          <w:rFonts w:ascii="Times New Roman" w:hAnsi="Times New Roman" w:cs="Times New Roman"/>
          <w:sz w:val="28"/>
          <w:szCs w:val="28"/>
        </w:rPr>
        <w:t xml:space="preserve"> gadā visā pilnvarojuma periodā</w:t>
      </w:r>
      <w:r w:rsidR="00171BE0" w:rsidRPr="00DF4295">
        <w:rPr>
          <w:rFonts w:ascii="Times New Roman" w:hAnsi="Times New Roman" w:cs="Times New Roman"/>
          <w:sz w:val="28"/>
          <w:szCs w:val="28"/>
        </w:rPr>
        <w:t xml:space="preserve">). </w:t>
      </w:r>
    </w:p>
    <w:p w14:paraId="7BF882B5" w14:textId="62D06729" w:rsidR="003E4D3D" w:rsidRPr="00DF4295" w:rsidRDefault="00946095" w:rsidP="001D1B46">
      <w:pPr>
        <w:pStyle w:val="ListParagraph"/>
        <w:ind w:left="0" w:firstLine="567"/>
        <w:contextualSpacing w:val="0"/>
        <w:jc w:val="both"/>
        <w:rPr>
          <w:rFonts w:ascii="Times New Roman" w:hAnsi="Times New Roman" w:cs="Times New Roman"/>
          <w:sz w:val="28"/>
          <w:szCs w:val="28"/>
        </w:rPr>
      </w:pPr>
      <w:r w:rsidRPr="00DF4295">
        <w:rPr>
          <w:rFonts w:ascii="Times New Roman" w:hAnsi="Times New Roman" w:cs="Times New Roman"/>
          <w:sz w:val="28"/>
          <w:szCs w:val="28"/>
        </w:rPr>
        <w:t>Ja viena un tā paša VTNP sniegšanai</w:t>
      </w:r>
      <w:r w:rsidR="00ED10B9" w:rsidRPr="00DF4295">
        <w:rPr>
          <w:rFonts w:ascii="Times New Roman" w:hAnsi="Times New Roman" w:cs="Times New Roman"/>
          <w:sz w:val="28"/>
          <w:szCs w:val="28"/>
        </w:rPr>
        <w:t xml:space="preserve"> vienā konkrētā teritorijā</w:t>
      </w:r>
      <w:r w:rsidR="007F3B3E">
        <w:rPr>
          <w:rFonts w:ascii="Times New Roman" w:hAnsi="Times New Roman" w:cs="Times New Roman"/>
          <w:sz w:val="28"/>
          <w:szCs w:val="28"/>
        </w:rPr>
        <w:t xml:space="preserve"> </w:t>
      </w:r>
      <w:r w:rsidRPr="00DF4295">
        <w:rPr>
          <w:rFonts w:ascii="Times New Roman" w:hAnsi="Times New Roman" w:cs="Times New Roman"/>
          <w:sz w:val="28"/>
          <w:szCs w:val="28"/>
        </w:rPr>
        <w:t>ir kopīgi pilnvaroti pieci uzņēmumi, slieksni piemēro tikai vienu reizi konkrētajam VTNP uzdevumam (t.</w:t>
      </w:r>
      <w:r w:rsidR="009700A2">
        <w:rPr>
          <w:rFonts w:ascii="Times New Roman" w:hAnsi="Times New Roman" w:cs="Times New Roman"/>
          <w:sz w:val="28"/>
          <w:szCs w:val="28"/>
        </w:rPr>
        <w:t> </w:t>
      </w:r>
      <w:r w:rsidRPr="00DF4295">
        <w:rPr>
          <w:rFonts w:ascii="Times New Roman" w:hAnsi="Times New Roman" w:cs="Times New Roman"/>
          <w:sz w:val="28"/>
          <w:szCs w:val="28"/>
        </w:rPr>
        <w:t xml:space="preserve">i., pat ja kompensācijas apjoms vienam uzņēmumam nepārsniedz EUR 15 miljonus, VTNP lēmumu nepiemēro, ja kopējā kompensācija par </w:t>
      </w:r>
      <w:r w:rsidR="00ED2F28" w:rsidRPr="00DF4295">
        <w:rPr>
          <w:rFonts w:ascii="Times New Roman" w:hAnsi="Times New Roman" w:cs="Times New Roman"/>
          <w:sz w:val="28"/>
          <w:szCs w:val="28"/>
        </w:rPr>
        <w:t xml:space="preserve">viena un tā paša </w:t>
      </w:r>
      <w:r w:rsidRPr="00DF4295">
        <w:rPr>
          <w:rFonts w:ascii="Times New Roman" w:hAnsi="Times New Roman" w:cs="Times New Roman"/>
          <w:sz w:val="28"/>
          <w:szCs w:val="28"/>
        </w:rPr>
        <w:t>VTNP sniegšanu,</w:t>
      </w:r>
      <w:r w:rsidR="00ED10B9" w:rsidRPr="00DF4295">
        <w:rPr>
          <w:rFonts w:ascii="Times New Roman" w:hAnsi="Times New Roman" w:cs="Times New Roman"/>
          <w:sz w:val="28"/>
          <w:szCs w:val="28"/>
        </w:rPr>
        <w:t xml:space="preserve"> vienā konkrētā teritorijā,</w:t>
      </w:r>
      <w:r w:rsidRPr="00DF4295">
        <w:rPr>
          <w:rFonts w:ascii="Times New Roman" w:hAnsi="Times New Roman" w:cs="Times New Roman"/>
          <w:sz w:val="28"/>
          <w:szCs w:val="28"/>
        </w:rPr>
        <w:t xml:space="preserve"> kas samaksāta visiem uzņēmumiem, pārsniedz EUR 15 miljonus)</w:t>
      </w:r>
      <w:r w:rsidR="00895802" w:rsidRPr="00DF4295">
        <w:rPr>
          <w:rStyle w:val="FootnoteReference"/>
          <w:rFonts w:ascii="Times New Roman" w:hAnsi="Times New Roman" w:cs="Times New Roman"/>
          <w:sz w:val="28"/>
          <w:szCs w:val="28"/>
        </w:rPr>
        <w:footnoteReference w:id="27"/>
      </w:r>
      <w:r w:rsidRPr="00DF4295">
        <w:rPr>
          <w:rFonts w:ascii="Times New Roman" w:hAnsi="Times New Roman" w:cs="Times New Roman"/>
          <w:sz w:val="28"/>
          <w:szCs w:val="28"/>
        </w:rPr>
        <w:t>.</w:t>
      </w:r>
    </w:p>
    <w:p w14:paraId="42762C1C" w14:textId="70126CF4" w:rsidR="003E4D3D" w:rsidRPr="00DF4295" w:rsidRDefault="007F3B3E" w:rsidP="007F3B3E">
      <w:pPr>
        <w:pStyle w:val="ListParagraph"/>
        <w:numPr>
          <w:ilvl w:val="0"/>
          <w:numId w:val="18"/>
        </w:numPr>
        <w:ind w:left="709"/>
        <w:contextualSpacing w:val="0"/>
        <w:jc w:val="both"/>
        <w:rPr>
          <w:rFonts w:ascii="Times New Roman" w:hAnsi="Times New Roman" w:cs="Times New Roman"/>
          <w:sz w:val="28"/>
          <w:szCs w:val="28"/>
        </w:rPr>
      </w:pPr>
      <w:r>
        <w:rPr>
          <w:rFonts w:ascii="Times New Roman" w:hAnsi="Times New Roman" w:cs="Times New Roman"/>
          <w:sz w:val="28"/>
          <w:szCs w:val="28"/>
        </w:rPr>
        <w:t>Slieksnis EUR 15 miljoni</w:t>
      </w:r>
      <w:r w:rsidRPr="007F3B3E">
        <w:rPr>
          <w:rFonts w:ascii="Times New Roman" w:hAnsi="Times New Roman" w:cs="Times New Roman"/>
          <w:sz w:val="28"/>
          <w:szCs w:val="28"/>
        </w:rPr>
        <w:t xml:space="preserve"> gadā visā pilnvarojuma periodā </w:t>
      </w:r>
      <w:r>
        <w:rPr>
          <w:rFonts w:ascii="Times New Roman" w:hAnsi="Times New Roman" w:cs="Times New Roman"/>
          <w:sz w:val="28"/>
          <w:szCs w:val="28"/>
        </w:rPr>
        <w:t>k</w:t>
      </w:r>
      <w:r w:rsidR="003E4D3D" w:rsidRPr="00DF4295">
        <w:rPr>
          <w:rFonts w:ascii="Times New Roman" w:hAnsi="Times New Roman" w:cs="Times New Roman"/>
          <w:sz w:val="28"/>
          <w:szCs w:val="28"/>
        </w:rPr>
        <w:t>ompensācijai par VTNP sniegšanu, ko piešķir slimnīcām, nodrošinot medicīnisko aprūpi, tostarp neatliekamo medicīnisko palīdzību</w:t>
      </w:r>
      <w:r>
        <w:rPr>
          <w:rFonts w:ascii="Times New Roman" w:hAnsi="Times New Roman" w:cs="Times New Roman"/>
          <w:sz w:val="28"/>
          <w:szCs w:val="28"/>
        </w:rPr>
        <w:t xml:space="preserve"> netiek piemērots</w:t>
      </w:r>
      <w:r w:rsidR="00ED10B9" w:rsidRPr="00DF4295">
        <w:rPr>
          <w:rFonts w:ascii="Times New Roman" w:hAnsi="Times New Roman" w:cs="Times New Roman"/>
          <w:sz w:val="28"/>
          <w:szCs w:val="28"/>
        </w:rPr>
        <w:t>.</w:t>
      </w:r>
    </w:p>
    <w:p w14:paraId="326D698A" w14:textId="0DEABD69" w:rsidR="0078278C" w:rsidRPr="00DF4295" w:rsidRDefault="007D79D5" w:rsidP="001D1B46">
      <w:pPr>
        <w:pStyle w:val="ListParagraph"/>
        <w:ind w:left="0" w:firstLine="567"/>
        <w:contextualSpacing w:val="0"/>
        <w:jc w:val="both"/>
        <w:rPr>
          <w:rFonts w:ascii="Times New Roman" w:hAnsi="Times New Roman" w:cs="Times New Roman"/>
          <w:sz w:val="28"/>
          <w:szCs w:val="28"/>
        </w:rPr>
      </w:pPr>
      <w:r w:rsidRPr="00DF4295">
        <w:rPr>
          <w:rFonts w:ascii="Times New Roman" w:hAnsi="Times New Roman" w:cs="Times New Roman"/>
          <w:sz w:val="28"/>
          <w:szCs w:val="28"/>
        </w:rPr>
        <w:t>Uz s</w:t>
      </w:r>
      <w:r w:rsidR="0078278C" w:rsidRPr="00DF4295">
        <w:rPr>
          <w:rFonts w:ascii="Times New Roman" w:hAnsi="Times New Roman" w:cs="Times New Roman"/>
          <w:sz w:val="28"/>
          <w:szCs w:val="28"/>
        </w:rPr>
        <w:t>limnīcām</w:t>
      </w:r>
      <w:r w:rsidR="009D2A88" w:rsidRPr="00DF4295">
        <w:rPr>
          <w:rFonts w:ascii="Times New Roman" w:hAnsi="Times New Roman" w:cs="Times New Roman"/>
          <w:sz w:val="28"/>
          <w:szCs w:val="28"/>
        </w:rPr>
        <w:t xml:space="preserve"> VTNP</w:t>
      </w:r>
      <w:r w:rsidR="0078278C" w:rsidRPr="00DF4295">
        <w:rPr>
          <w:rFonts w:ascii="Times New Roman" w:hAnsi="Times New Roman" w:cs="Times New Roman"/>
          <w:sz w:val="28"/>
          <w:szCs w:val="28"/>
        </w:rPr>
        <w:t xml:space="preserve"> lēmums attiecas neatkarīgi no kompensācijas apmēra, pat ja tās veic cit</w:t>
      </w:r>
      <w:r w:rsidR="00EA58EA" w:rsidRPr="00DF4295">
        <w:rPr>
          <w:rFonts w:ascii="Times New Roman" w:hAnsi="Times New Roman" w:cs="Times New Roman"/>
          <w:sz w:val="28"/>
          <w:szCs w:val="28"/>
        </w:rPr>
        <w:t>a</w:t>
      </w:r>
      <w:r w:rsidR="0078278C" w:rsidRPr="00DF4295">
        <w:rPr>
          <w:rFonts w:ascii="Times New Roman" w:hAnsi="Times New Roman" w:cs="Times New Roman"/>
          <w:sz w:val="28"/>
          <w:szCs w:val="28"/>
        </w:rPr>
        <w:t xml:space="preserve">s </w:t>
      </w:r>
      <w:r w:rsidR="00EA58EA" w:rsidRPr="00DF4295">
        <w:rPr>
          <w:rFonts w:ascii="Times New Roman" w:hAnsi="Times New Roman" w:cs="Times New Roman"/>
          <w:sz w:val="28"/>
          <w:szCs w:val="28"/>
        </w:rPr>
        <w:t>aktivitātes</w:t>
      </w:r>
      <w:r w:rsidR="0078278C" w:rsidRPr="00DF4295">
        <w:rPr>
          <w:rFonts w:ascii="Times New Roman" w:hAnsi="Times New Roman" w:cs="Times New Roman"/>
          <w:sz w:val="28"/>
          <w:szCs w:val="28"/>
        </w:rPr>
        <w:t xml:space="preserve"> (piem., pētniecības darbību). Tomēr kompensācij</w:t>
      </w:r>
      <w:r w:rsidR="009D2A88" w:rsidRPr="00DF4295">
        <w:rPr>
          <w:rFonts w:ascii="Times New Roman" w:hAnsi="Times New Roman" w:cs="Times New Roman"/>
          <w:sz w:val="28"/>
          <w:szCs w:val="28"/>
        </w:rPr>
        <w:t>a var segt tikai neto izmaksas</w:t>
      </w:r>
      <w:r w:rsidR="0078278C" w:rsidRPr="00DF4295">
        <w:rPr>
          <w:rFonts w:ascii="Times New Roman" w:hAnsi="Times New Roman" w:cs="Times New Roman"/>
          <w:sz w:val="28"/>
          <w:szCs w:val="28"/>
        </w:rPr>
        <w:t xml:space="preserve"> par</w:t>
      </w:r>
      <w:r w:rsidRPr="00DF4295">
        <w:rPr>
          <w:rFonts w:ascii="Times New Roman" w:hAnsi="Times New Roman" w:cs="Times New Roman"/>
          <w:sz w:val="28"/>
          <w:szCs w:val="28"/>
        </w:rPr>
        <w:t xml:space="preserve"> VTNP</w:t>
      </w:r>
      <w:r w:rsidR="009D2A88" w:rsidRPr="00DF4295">
        <w:rPr>
          <w:rFonts w:ascii="Times New Roman" w:hAnsi="Times New Roman" w:cs="Times New Roman"/>
          <w:sz w:val="28"/>
          <w:szCs w:val="28"/>
        </w:rPr>
        <w:t xml:space="preserve"> sniegšanu</w:t>
      </w:r>
      <w:r w:rsidRPr="00DF4295">
        <w:rPr>
          <w:rFonts w:ascii="Times New Roman" w:hAnsi="Times New Roman" w:cs="Times New Roman"/>
          <w:sz w:val="28"/>
          <w:szCs w:val="28"/>
        </w:rPr>
        <w:t xml:space="preserve">. </w:t>
      </w:r>
    </w:p>
    <w:p w14:paraId="44C6F149" w14:textId="6A4F80D8" w:rsidR="00115F82" w:rsidRPr="00DF4295" w:rsidRDefault="007F3B3E" w:rsidP="007F3B3E">
      <w:pPr>
        <w:pStyle w:val="ListParagraph"/>
        <w:numPr>
          <w:ilvl w:val="0"/>
          <w:numId w:val="18"/>
        </w:numPr>
        <w:ind w:left="567" w:hanging="283"/>
        <w:contextualSpacing w:val="0"/>
        <w:jc w:val="both"/>
        <w:rPr>
          <w:rFonts w:ascii="Times New Roman" w:hAnsi="Times New Roman" w:cs="Times New Roman"/>
          <w:sz w:val="28"/>
          <w:szCs w:val="28"/>
        </w:rPr>
      </w:pPr>
      <w:r w:rsidRPr="007F3B3E">
        <w:rPr>
          <w:rFonts w:ascii="Times New Roman" w:hAnsi="Times New Roman" w:cs="Times New Roman"/>
          <w:sz w:val="28"/>
          <w:szCs w:val="28"/>
        </w:rPr>
        <w:t xml:space="preserve">Slieksnis EUR 15 miljoni gadā visā pilnvarojuma periodā </w:t>
      </w:r>
      <w:r>
        <w:rPr>
          <w:rFonts w:ascii="Times New Roman" w:hAnsi="Times New Roman" w:cs="Times New Roman"/>
          <w:sz w:val="28"/>
          <w:szCs w:val="28"/>
        </w:rPr>
        <w:t>k</w:t>
      </w:r>
      <w:r w:rsidR="003E4D3D" w:rsidRPr="00DF4295">
        <w:rPr>
          <w:rFonts w:ascii="Times New Roman" w:hAnsi="Times New Roman" w:cs="Times New Roman"/>
          <w:sz w:val="28"/>
          <w:szCs w:val="28"/>
        </w:rPr>
        <w:t xml:space="preserve">ompensācijai par VTNP sniegšanu saistībā ar tādiem VTNP, kuri nodrošina sociālās vajadzības saistībā ar veselības un ilgtermiņa aprūpi, bērnu aprūpi, piekļuvi darba tirgum un reintegrāciju darba tirgū, sociālajiem mājokļiem un neaizsargātu sabiedrības grupu aprūpi un sociālo integrāciju </w:t>
      </w:r>
      <w:r>
        <w:rPr>
          <w:rFonts w:ascii="Times New Roman" w:hAnsi="Times New Roman" w:cs="Times New Roman"/>
          <w:sz w:val="28"/>
          <w:szCs w:val="28"/>
        </w:rPr>
        <w:t>netiek piemērots</w:t>
      </w:r>
      <w:r w:rsidR="00946095" w:rsidRPr="00DF4295">
        <w:rPr>
          <w:rFonts w:ascii="Times New Roman" w:hAnsi="Times New Roman" w:cs="Times New Roman"/>
          <w:sz w:val="28"/>
          <w:szCs w:val="28"/>
        </w:rPr>
        <w:t>.</w:t>
      </w:r>
    </w:p>
    <w:p w14:paraId="60A22B39" w14:textId="69B403DF" w:rsidR="00CE163D" w:rsidRPr="00DF4295" w:rsidRDefault="00ED0627" w:rsidP="009700A2">
      <w:pPr>
        <w:ind w:firstLine="567"/>
        <w:jc w:val="both"/>
        <w:rPr>
          <w:rFonts w:ascii="Times New Roman" w:hAnsi="Times New Roman" w:cs="Times New Roman"/>
          <w:sz w:val="28"/>
          <w:szCs w:val="28"/>
        </w:rPr>
      </w:pPr>
      <w:r w:rsidRPr="00DF4295">
        <w:rPr>
          <w:rFonts w:ascii="Times New Roman" w:hAnsi="Times New Roman" w:cs="Times New Roman"/>
          <w:sz w:val="28"/>
          <w:szCs w:val="28"/>
        </w:rPr>
        <w:t xml:space="preserve">Sociālo pakalpojumu </w:t>
      </w:r>
      <w:r w:rsidR="004C2EBE" w:rsidRPr="00DF4295">
        <w:rPr>
          <w:rFonts w:ascii="Times New Roman" w:hAnsi="Times New Roman" w:cs="Times New Roman"/>
          <w:sz w:val="28"/>
          <w:szCs w:val="28"/>
        </w:rPr>
        <w:t xml:space="preserve">jēdziens </w:t>
      </w:r>
      <w:r w:rsidRPr="00DF4295">
        <w:rPr>
          <w:rFonts w:ascii="Times New Roman" w:hAnsi="Times New Roman" w:cs="Times New Roman"/>
          <w:sz w:val="28"/>
          <w:szCs w:val="28"/>
        </w:rPr>
        <w:t>ir ļoti plaš</w:t>
      </w:r>
      <w:r w:rsidR="006B3A9F" w:rsidRPr="00DF4295">
        <w:rPr>
          <w:rFonts w:ascii="Times New Roman" w:hAnsi="Times New Roman" w:cs="Times New Roman"/>
          <w:sz w:val="28"/>
          <w:szCs w:val="28"/>
        </w:rPr>
        <w:t>s</w:t>
      </w:r>
      <w:r w:rsidRPr="00DF4295">
        <w:rPr>
          <w:rFonts w:ascii="Times New Roman" w:hAnsi="Times New Roman" w:cs="Times New Roman"/>
          <w:sz w:val="28"/>
          <w:szCs w:val="28"/>
        </w:rPr>
        <w:t xml:space="preserve"> un aptver nozīmīgākās sociālo pakalpojumu jomas. T</w:t>
      </w:r>
      <w:r w:rsidR="000F74EE">
        <w:rPr>
          <w:rFonts w:ascii="Times New Roman" w:hAnsi="Times New Roman" w:cs="Times New Roman"/>
          <w:sz w:val="28"/>
          <w:szCs w:val="28"/>
        </w:rPr>
        <w:t>as</w:t>
      </w:r>
      <w:r w:rsidRPr="00DF4295">
        <w:rPr>
          <w:rFonts w:ascii="Times New Roman" w:hAnsi="Times New Roman" w:cs="Times New Roman"/>
          <w:sz w:val="28"/>
          <w:szCs w:val="28"/>
        </w:rPr>
        <w:t xml:space="preserve"> attiecas arī uz VTNP saistībā ar „neaizsargāto</w:t>
      </w:r>
      <w:r w:rsidR="00171BE0" w:rsidRPr="00DF4295">
        <w:rPr>
          <w:rFonts w:ascii="Times New Roman" w:hAnsi="Times New Roman" w:cs="Times New Roman"/>
          <w:sz w:val="28"/>
          <w:szCs w:val="28"/>
        </w:rPr>
        <w:t xml:space="preserve"> sabiedrības grupu aprūpi un</w:t>
      </w:r>
      <w:r w:rsidRPr="00DF4295">
        <w:rPr>
          <w:rFonts w:ascii="Times New Roman" w:hAnsi="Times New Roman" w:cs="Times New Roman"/>
          <w:sz w:val="28"/>
          <w:szCs w:val="28"/>
        </w:rPr>
        <w:t xml:space="preserve"> sociālo integrāciju”, tādējādi piedāvājot nepieciešamo elastīgumu, lai atbilst</w:t>
      </w:r>
      <w:r w:rsidR="009D2A88" w:rsidRPr="00DF4295">
        <w:rPr>
          <w:rFonts w:ascii="Times New Roman" w:hAnsi="Times New Roman" w:cs="Times New Roman"/>
          <w:sz w:val="28"/>
          <w:szCs w:val="28"/>
        </w:rPr>
        <w:t>oši</w:t>
      </w:r>
      <w:r w:rsidRPr="00DF4295">
        <w:rPr>
          <w:rFonts w:ascii="Times New Roman" w:hAnsi="Times New Roman" w:cs="Times New Roman"/>
          <w:sz w:val="28"/>
          <w:szCs w:val="28"/>
        </w:rPr>
        <w:t xml:space="preserve"> katras</w:t>
      </w:r>
      <w:r w:rsidR="009D2A88" w:rsidRPr="00DF4295">
        <w:rPr>
          <w:rFonts w:ascii="Times New Roman" w:hAnsi="Times New Roman" w:cs="Times New Roman"/>
          <w:sz w:val="28"/>
          <w:szCs w:val="28"/>
        </w:rPr>
        <w:t xml:space="preserve"> ES</w:t>
      </w:r>
      <w:r w:rsidRPr="00DF4295">
        <w:rPr>
          <w:rFonts w:ascii="Times New Roman" w:hAnsi="Times New Roman" w:cs="Times New Roman"/>
          <w:sz w:val="28"/>
          <w:szCs w:val="28"/>
        </w:rPr>
        <w:t xml:space="preserve"> dalībvalsts vajadzībām būtu iekļauti dažādu veidu pakalpojumi, kuri paredzēti tādām sabiedrības grupām, kurām tie ir visvairāk vajadzīgi.</w:t>
      </w:r>
      <w:r w:rsidR="009700A2">
        <w:rPr>
          <w:rFonts w:ascii="Times New Roman" w:hAnsi="Times New Roman" w:cs="Times New Roman"/>
          <w:sz w:val="28"/>
          <w:szCs w:val="28"/>
        </w:rPr>
        <w:t xml:space="preserve"> </w:t>
      </w:r>
      <w:r w:rsidRPr="00DF4295">
        <w:rPr>
          <w:rFonts w:ascii="Times New Roman" w:hAnsi="Times New Roman" w:cs="Times New Roman"/>
          <w:sz w:val="28"/>
          <w:szCs w:val="28"/>
        </w:rPr>
        <w:t xml:space="preserve">VTNP lēmuma 2. panta 1. punkta c) apakšpunktā dots sociālo pakalpojumu uzskaitījums. Ja vien </w:t>
      </w:r>
      <w:r w:rsidR="009D2A88" w:rsidRPr="00DF4295">
        <w:rPr>
          <w:rFonts w:ascii="Times New Roman" w:hAnsi="Times New Roman" w:cs="Times New Roman"/>
          <w:sz w:val="28"/>
          <w:szCs w:val="28"/>
        </w:rPr>
        <w:t xml:space="preserve">ES </w:t>
      </w:r>
      <w:r w:rsidRPr="00DF4295">
        <w:rPr>
          <w:rFonts w:ascii="Times New Roman" w:hAnsi="Times New Roman" w:cs="Times New Roman"/>
          <w:sz w:val="28"/>
          <w:szCs w:val="28"/>
        </w:rPr>
        <w:t>dalībvalsts ievēro</w:t>
      </w:r>
      <w:r w:rsidR="009D2A88" w:rsidRPr="00DF4295">
        <w:rPr>
          <w:rFonts w:ascii="Times New Roman" w:hAnsi="Times New Roman" w:cs="Times New Roman"/>
          <w:sz w:val="28"/>
          <w:szCs w:val="28"/>
        </w:rPr>
        <w:t xml:space="preserve"> VTNP lēmuma</w:t>
      </w:r>
      <w:r w:rsidRPr="00DF4295">
        <w:rPr>
          <w:rFonts w:ascii="Times New Roman" w:hAnsi="Times New Roman" w:cs="Times New Roman"/>
          <w:sz w:val="28"/>
          <w:szCs w:val="28"/>
        </w:rPr>
        <w:t xml:space="preserve"> 2. panta 1. punkta c) apakšpunkta darbības jomu, dalībvalstis pilnvarojuma aktā neapšaubāmi var precizēt sīkāku informāciju saistībā ar konkrētiem pakalpojumiem, kuru sniegšanu tās vēlas nodrošināt, piemēram, bērnu aprūpes pakalpojumu veidu, pakalpojuma sniegšanas nosacīj</w:t>
      </w:r>
      <w:r w:rsidR="00CE163D" w:rsidRPr="00DF4295">
        <w:rPr>
          <w:rFonts w:ascii="Times New Roman" w:hAnsi="Times New Roman" w:cs="Times New Roman"/>
          <w:sz w:val="28"/>
          <w:szCs w:val="28"/>
        </w:rPr>
        <w:t xml:space="preserve">umus un pakalpojuma saņēmējus.  </w:t>
      </w:r>
      <w:r w:rsidRPr="00DF4295">
        <w:rPr>
          <w:rFonts w:ascii="Times New Roman" w:hAnsi="Times New Roman" w:cs="Times New Roman"/>
          <w:sz w:val="28"/>
          <w:szCs w:val="28"/>
        </w:rPr>
        <w:t>Ja kāds sociālais pakalpojums nav iekļauts</w:t>
      </w:r>
      <w:r w:rsidR="009D2A88" w:rsidRPr="00DF4295">
        <w:rPr>
          <w:rFonts w:ascii="Times New Roman" w:hAnsi="Times New Roman" w:cs="Times New Roman"/>
          <w:sz w:val="28"/>
          <w:szCs w:val="28"/>
        </w:rPr>
        <w:t xml:space="preserve"> VTNP lēmuma</w:t>
      </w:r>
      <w:r w:rsidRPr="00DF4295">
        <w:rPr>
          <w:rFonts w:ascii="Times New Roman" w:hAnsi="Times New Roman" w:cs="Times New Roman"/>
          <w:sz w:val="28"/>
          <w:szCs w:val="28"/>
        </w:rPr>
        <w:t xml:space="preserve"> 2. panta 1. punkta c) apakšpunkta sociālo pakalpojumu definīcijā, uz kompensāciju joprojām var attiekties atbrīvojums no paziņošanas pienākuma, kā noteikts </w:t>
      </w:r>
      <w:r w:rsidR="009D2A88" w:rsidRPr="00DF4295">
        <w:rPr>
          <w:rFonts w:ascii="Times New Roman" w:hAnsi="Times New Roman" w:cs="Times New Roman"/>
          <w:sz w:val="28"/>
          <w:szCs w:val="28"/>
        </w:rPr>
        <w:t xml:space="preserve">VTNP </w:t>
      </w:r>
      <w:r w:rsidRPr="00DF4295">
        <w:rPr>
          <w:rFonts w:ascii="Times New Roman" w:hAnsi="Times New Roman" w:cs="Times New Roman"/>
          <w:sz w:val="28"/>
          <w:szCs w:val="28"/>
        </w:rPr>
        <w:t xml:space="preserve">lēmuma 2. panta 1. punkta a) apakšpunktā, ja vien kompensācija nepārsniedz summu, kas ir </w:t>
      </w:r>
      <w:r w:rsidR="009700A2">
        <w:rPr>
          <w:rFonts w:ascii="Times New Roman" w:hAnsi="Times New Roman" w:cs="Times New Roman"/>
          <w:sz w:val="28"/>
          <w:szCs w:val="28"/>
        </w:rPr>
        <w:t xml:space="preserve">vidēji </w:t>
      </w:r>
      <w:r w:rsidRPr="00DF4295">
        <w:rPr>
          <w:rFonts w:ascii="Times New Roman" w:hAnsi="Times New Roman" w:cs="Times New Roman"/>
          <w:sz w:val="28"/>
          <w:szCs w:val="28"/>
        </w:rPr>
        <w:t>EUR 15 miljoni gadā</w:t>
      </w:r>
      <w:r w:rsidR="009700A2">
        <w:rPr>
          <w:rFonts w:ascii="Times New Roman" w:hAnsi="Times New Roman" w:cs="Times New Roman"/>
          <w:sz w:val="28"/>
          <w:szCs w:val="28"/>
        </w:rPr>
        <w:t xml:space="preserve"> visā pilnvarojuma periodā</w:t>
      </w:r>
      <w:r w:rsidRPr="00DF4295">
        <w:rPr>
          <w:rFonts w:ascii="Times New Roman" w:hAnsi="Times New Roman" w:cs="Times New Roman"/>
          <w:sz w:val="28"/>
          <w:szCs w:val="28"/>
        </w:rPr>
        <w:t>.</w:t>
      </w:r>
      <w:r w:rsidR="003765A9" w:rsidRPr="00DF4295">
        <w:rPr>
          <w:rFonts w:ascii="Times New Roman" w:hAnsi="Times New Roman" w:cs="Times New Roman"/>
          <w:sz w:val="28"/>
          <w:szCs w:val="28"/>
        </w:rPr>
        <w:t xml:space="preserve"> Vienlaikus lūdzam skatīt šī metodoloģiskā palīgmateriāla 5. nodaļu, kurā apkopta informācija par </w:t>
      </w:r>
      <w:r w:rsidR="003246B3" w:rsidRPr="00DF4295">
        <w:rPr>
          <w:rFonts w:ascii="Times New Roman" w:hAnsi="Times New Roman" w:cs="Times New Roman"/>
          <w:sz w:val="28"/>
          <w:szCs w:val="28"/>
        </w:rPr>
        <w:t>līdzšinējo pieredzi VTNP nosacījumu piemērošanā Latvijā.</w:t>
      </w:r>
      <w:r w:rsidR="004557FD" w:rsidRPr="00DF4295">
        <w:rPr>
          <w:rFonts w:ascii="Times New Roman" w:hAnsi="Times New Roman" w:cs="Times New Roman"/>
          <w:sz w:val="28"/>
          <w:szCs w:val="28"/>
        </w:rPr>
        <w:t xml:space="preserve"> Līdz šim sociālo pakalpojumu jomā piešķirtais finansējums nav klasificēts kā komercdarbības atbalsts, vienlaikus katru gadījumu atbildīgā institūcija izvērtē atsevišķi.</w:t>
      </w:r>
    </w:p>
    <w:p w14:paraId="51175F01" w14:textId="2E4883DD" w:rsidR="004B2BB2" w:rsidRPr="00B729A9" w:rsidRDefault="003E4D3D" w:rsidP="00B729A9">
      <w:pPr>
        <w:pStyle w:val="ListParagraph"/>
        <w:numPr>
          <w:ilvl w:val="0"/>
          <w:numId w:val="18"/>
        </w:numPr>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Transporta jomā </w:t>
      </w:r>
      <w:r w:rsidR="00D20D9C">
        <w:rPr>
          <w:rFonts w:ascii="Times New Roman" w:hAnsi="Times New Roman" w:cs="Times New Roman"/>
          <w:sz w:val="28"/>
          <w:szCs w:val="28"/>
        </w:rPr>
        <w:t>VTNP lēmumu attiecina tikai</w:t>
      </w:r>
      <w:r w:rsidR="009C576D">
        <w:rPr>
          <w:rFonts w:ascii="Times New Roman" w:hAnsi="Times New Roman" w:cs="Times New Roman"/>
          <w:sz w:val="28"/>
          <w:szCs w:val="28"/>
        </w:rPr>
        <w:t xml:space="preserve"> uz</w:t>
      </w:r>
      <w:r w:rsidR="00D20D9C">
        <w:rPr>
          <w:rFonts w:ascii="Times New Roman" w:hAnsi="Times New Roman" w:cs="Times New Roman"/>
          <w:sz w:val="28"/>
          <w:szCs w:val="28"/>
        </w:rPr>
        <w:t xml:space="preserve"> tādu</w:t>
      </w:r>
      <w:r w:rsidR="00431DF4">
        <w:rPr>
          <w:rFonts w:ascii="Times New Roman" w:hAnsi="Times New Roman" w:cs="Times New Roman"/>
          <w:sz w:val="28"/>
          <w:szCs w:val="28"/>
        </w:rPr>
        <w:t xml:space="preserve"> </w:t>
      </w:r>
      <w:r w:rsidR="00DE195A" w:rsidRPr="00DF4295">
        <w:rPr>
          <w:rFonts w:ascii="Times New Roman" w:hAnsi="Times New Roman" w:cs="Times New Roman"/>
          <w:sz w:val="28"/>
          <w:szCs w:val="28"/>
        </w:rPr>
        <w:t>kompensācij</w:t>
      </w:r>
      <w:r w:rsidR="00D20D9C">
        <w:rPr>
          <w:rFonts w:ascii="Times New Roman" w:hAnsi="Times New Roman" w:cs="Times New Roman"/>
          <w:sz w:val="28"/>
          <w:szCs w:val="28"/>
        </w:rPr>
        <w:t>u</w:t>
      </w:r>
      <w:r w:rsidR="00DE195A" w:rsidRPr="00DF4295">
        <w:rPr>
          <w:rFonts w:ascii="Times New Roman" w:hAnsi="Times New Roman" w:cs="Times New Roman"/>
          <w:sz w:val="28"/>
          <w:szCs w:val="28"/>
        </w:rPr>
        <w:t xml:space="preserve"> par VTNP</w:t>
      </w:r>
      <w:r w:rsidRPr="00DF4295">
        <w:rPr>
          <w:rFonts w:ascii="Times New Roman" w:hAnsi="Times New Roman" w:cs="Times New Roman"/>
          <w:sz w:val="28"/>
          <w:szCs w:val="28"/>
        </w:rPr>
        <w:t xml:space="preserve"> sniegšanu aviosatiksmes vai jūras satiksmes nodrošināšanai </w:t>
      </w:r>
      <w:r w:rsidR="009C576D">
        <w:rPr>
          <w:rFonts w:ascii="Times New Roman" w:hAnsi="Times New Roman" w:cs="Times New Roman"/>
          <w:sz w:val="28"/>
          <w:szCs w:val="28"/>
        </w:rPr>
        <w:t>uz</w:t>
      </w:r>
      <w:r w:rsidR="009C576D" w:rsidRPr="00DF4295">
        <w:rPr>
          <w:rFonts w:ascii="Times New Roman" w:hAnsi="Times New Roman" w:cs="Times New Roman"/>
          <w:sz w:val="28"/>
          <w:szCs w:val="28"/>
        </w:rPr>
        <w:t xml:space="preserve"> </w:t>
      </w:r>
      <w:r w:rsidRPr="00DF4295">
        <w:rPr>
          <w:rFonts w:ascii="Times New Roman" w:hAnsi="Times New Roman" w:cs="Times New Roman"/>
          <w:sz w:val="28"/>
          <w:szCs w:val="28"/>
        </w:rPr>
        <w:t xml:space="preserve">salām, </w:t>
      </w:r>
      <w:r w:rsidR="006221BF" w:rsidRPr="006221BF">
        <w:rPr>
          <w:rFonts w:ascii="Times New Roman" w:hAnsi="Times New Roman" w:cs="Times New Roman"/>
          <w:sz w:val="28"/>
          <w:szCs w:val="28"/>
        </w:rPr>
        <w:t xml:space="preserve">uz kurām divu </w:t>
      </w:r>
      <w:r w:rsidR="006221BF" w:rsidRPr="006221BF">
        <w:rPr>
          <w:rFonts w:ascii="Times New Roman" w:hAnsi="Times New Roman" w:cs="Times New Roman"/>
          <w:sz w:val="28"/>
          <w:szCs w:val="28"/>
        </w:rPr>
        <w:lastRenderedPageBreak/>
        <w:t xml:space="preserve">finanšu gadu laikā, pirms tika piešķirts </w:t>
      </w:r>
      <w:r w:rsidR="006221BF">
        <w:rPr>
          <w:rFonts w:ascii="Times New Roman" w:hAnsi="Times New Roman" w:cs="Times New Roman"/>
          <w:sz w:val="28"/>
          <w:szCs w:val="28"/>
        </w:rPr>
        <w:t>VTNP</w:t>
      </w:r>
      <w:r w:rsidR="006221BF" w:rsidRPr="006221BF">
        <w:rPr>
          <w:rFonts w:ascii="Times New Roman" w:hAnsi="Times New Roman" w:cs="Times New Roman"/>
          <w:sz w:val="28"/>
          <w:szCs w:val="28"/>
        </w:rPr>
        <w:t xml:space="preserve">, </w:t>
      </w:r>
      <w:proofErr w:type="spellStart"/>
      <w:r w:rsidR="00431DF4" w:rsidRPr="00431DF4">
        <w:rPr>
          <w:rFonts w:ascii="Times New Roman" w:hAnsi="Times New Roman" w:cs="Times New Roman"/>
          <w:sz w:val="28"/>
          <w:szCs w:val="28"/>
        </w:rPr>
        <w:t>viedējais</w:t>
      </w:r>
      <w:proofErr w:type="spellEnd"/>
      <w:r w:rsidR="00431DF4" w:rsidRPr="00431DF4">
        <w:rPr>
          <w:rFonts w:ascii="Times New Roman" w:hAnsi="Times New Roman" w:cs="Times New Roman"/>
          <w:sz w:val="28"/>
          <w:szCs w:val="28"/>
        </w:rPr>
        <w:t xml:space="preserve"> gada satiksmes apjoms </w:t>
      </w:r>
      <w:r w:rsidR="006221BF" w:rsidRPr="006221BF">
        <w:rPr>
          <w:rFonts w:ascii="Times New Roman" w:hAnsi="Times New Roman" w:cs="Times New Roman"/>
          <w:sz w:val="28"/>
          <w:szCs w:val="28"/>
        </w:rPr>
        <w:t>nepārsniedz 300 000 pasažierus</w:t>
      </w:r>
      <w:r w:rsidR="00946095" w:rsidRPr="00DF4295">
        <w:rPr>
          <w:rFonts w:ascii="Times New Roman" w:hAnsi="Times New Roman" w:cs="Times New Roman"/>
          <w:sz w:val="28"/>
          <w:szCs w:val="28"/>
        </w:rPr>
        <w:t>.</w:t>
      </w:r>
    </w:p>
    <w:p w14:paraId="1F4E8B65" w14:textId="678B8F34" w:rsidR="00C61DB6" w:rsidRPr="00DF4295" w:rsidRDefault="002069EB" w:rsidP="00431DF4">
      <w:pPr>
        <w:pStyle w:val="ListParagraph"/>
        <w:numPr>
          <w:ilvl w:val="0"/>
          <w:numId w:val="18"/>
        </w:numPr>
        <w:ind w:left="567" w:hanging="425"/>
        <w:contextualSpacing w:val="0"/>
        <w:jc w:val="both"/>
        <w:rPr>
          <w:rFonts w:ascii="Times New Roman" w:hAnsi="Times New Roman" w:cs="Times New Roman"/>
          <w:sz w:val="28"/>
          <w:szCs w:val="28"/>
        </w:rPr>
      </w:pPr>
      <w:r>
        <w:rPr>
          <w:rFonts w:ascii="Times New Roman" w:hAnsi="Times New Roman" w:cs="Times New Roman"/>
          <w:sz w:val="28"/>
          <w:szCs w:val="28"/>
        </w:rPr>
        <w:t>VTNP l</w:t>
      </w:r>
      <w:r w:rsidR="003E4D3D" w:rsidRPr="00DF4295">
        <w:rPr>
          <w:rFonts w:ascii="Times New Roman" w:hAnsi="Times New Roman" w:cs="Times New Roman"/>
          <w:sz w:val="28"/>
          <w:szCs w:val="28"/>
        </w:rPr>
        <w:t xml:space="preserve">ēmumu piemēro arī kompensācijai par </w:t>
      </w:r>
      <w:r w:rsidR="00DE195A" w:rsidRPr="00DF4295">
        <w:rPr>
          <w:rFonts w:ascii="Times New Roman" w:hAnsi="Times New Roman" w:cs="Times New Roman"/>
          <w:sz w:val="28"/>
          <w:szCs w:val="28"/>
        </w:rPr>
        <w:t>VTNP</w:t>
      </w:r>
      <w:r w:rsidR="003E4D3D" w:rsidRPr="00DF4295">
        <w:rPr>
          <w:rFonts w:ascii="Times New Roman" w:hAnsi="Times New Roman" w:cs="Times New Roman"/>
          <w:sz w:val="28"/>
          <w:szCs w:val="28"/>
        </w:rPr>
        <w:t xml:space="preserve"> sniegšanu lidostām un ostām, kur</w:t>
      </w:r>
      <w:r w:rsidR="00431DF4">
        <w:rPr>
          <w:rFonts w:ascii="Times New Roman" w:hAnsi="Times New Roman" w:cs="Times New Roman"/>
          <w:sz w:val="28"/>
          <w:szCs w:val="28"/>
        </w:rPr>
        <w:t xml:space="preserve">u </w:t>
      </w:r>
      <w:proofErr w:type="spellStart"/>
      <w:r w:rsidR="00431DF4">
        <w:rPr>
          <w:rFonts w:ascii="Times New Roman" w:hAnsi="Times New Roman" w:cs="Times New Roman"/>
          <w:sz w:val="28"/>
          <w:szCs w:val="28"/>
        </w:rPr>
        <w:t>viedējais</w:t>
      </w:r>
      <w:proofErr w:type="spellEnd"/>
      <w:r w:rsidR="00431DF4">
        <w:rPr>
          <w:rFonts w:ascii="Times New Roman" w:hAnsi="Times New Roman" w:cs="Times New Roman"/>
          <w:sz w:val="28"/>
          <w:szCs w:val="28"/>
        </w:rPr>
        <w:t xml:space="preserve"> gada satiksmes apjoms </w:t>
      </w:r>
      <w:r w:rsidR="003E4D3D" w:rsidRPr="00DF4295">
        <w:rPr>
          <w:rFonts w:ascii="Times New Roman" w:hAnsi="Times New Roman" w:cs="Times New Roman"/>
          <w:sz w:val="28"/>
          <w:szCs w:val="28"/>
        </w:rPr>
        <w:t>divu finanšu gadu laikā</w:t>
      </w:r>
      <w:r w:rsidR="00431DF4">
        <w:rPr>
          <w:rFonts w:ascii="Times New Roman" w:hAnsi="Times New Roman" w:cs="Times New Roman"/>
          <w:sz w:val="28"/>
          <w:szCs w:val="28"/>
        </w:rPr>
        <w:t xml:space="preserve"> pirms tika </w:t>
      </w:r>
      <w:r w:rsidR="00431DF4" w:rsidRPr="00DF4295">
        <w:rPr>
          <w:rFonts w:ascii="Times New Roman" w:hAnsi="Times New Roman" w:cs="Times New Roman"/>
          <w:sz w:val="28"/>
          <w:szCs w:val="28"/>
        </w:rPr>
        <w:t>piešķirtas</w:t>
      </w:r>
      <w:r w:rsidR="00431DF4">
        <w:rPr>
          <w:rFonts w:ascii="Times New Roman" w:hAnsi="Times New Roman" w:cs="Times New Roman"/>
          <w:sz w:val="28"/>
          <w:szCs w:val="28"/>
        </w:rPr>
        <w:t xml:space="preserve"> tiesības sniegt</w:t>
      </w:r>
      <w:r w:rsidR="00431DF4" w:rsidRPr="00DF4295">
        <w:rPr>
          <w:rFonts w:ascii="Times New Roman" w:hAnsi="Times New Roman" w:cs="Times New Roman"/>
          <w:sz w:val="28"/>
          <w:szCs w:val="28"/>
        </w:rPr>
        <w:t xml:space="preserve"> VTNP</w:t>
      </w:r>
      <w:r w:rsidR="00431DF4">
        <w:rPr>
          <w:rFonts w:ascii="Times New Roman" w:hAnsi="Times New Roman" w:cs="Times New Roman"/>
          <w:sz w:val="28"/>
          <w:szCs w:val="28"/>
        </w:rPr>
        <w:t xml:space="preserve"> </w:t>
      </w:r>
      <w:r w:rsidR="003E4D3D" w:rsidRPr="00DF4295">
        <w:rPr>
          <w:rFonts w:ascii="Times New Roman" w:hAnsi="Times New Roman" w:cs="Times New Roman"/>
          <w:sz w:val="28"/>
          <w:szCs w:val="28"/>
        </w:rPr>
        <w:t>nepārsniedz 200 000 pasažierus lidostu gadījumā un 300 000 pasažierus ostu gadījumā.</w:t>
      </w:r>
    </w:p>
    <w:p w14:paraId="776D7A82" w14:textId="50CFC730" w:rsidR="00430AD1" w:rsidRPr="00DF4295" w:rsidRDefault="00430AD1" w:rsidP="001D1B46">
      <w:pPr>
        <w:pStyle w:val="ListParagraph"/>
        <w:ind w:left="0" w:firstLine="567"/>
        <w:contextualSpacing w:val="0"/>
        <w:jc w:val="both"/>
        <w:rPr>
          <w:rFonts w:ascii="Times New Roman" w:hAnsi="Times New Roman" w:cs="Times New Roman"/>
          <w:sz w:val="28"/>
          <w:szCs w:val="28"/>
        </w:rPr>
      </w:pPr>
      <w:r w:rsidRPr="00DF4295">
        <w:rPr>
          <w:rFonts w:ascii="Times New Roman" w:hAnsi="Times New Roman" w:cs="Times New Roman"/>
          <w:sz w:val="28"/>
          <w:szCs w:val="28"/>
        </w:rPr>
        <w:t>Slieksnis, kas ir 300 000 pasažieru gaisa un jūras pārvadājumiem uz sal</w:t>
      </w:r>
      <w:r w:rsidR="00076F2C" w:rsidRPr="00DF4295">
        <w:rPr>
          <w:rFonts w:ascii="Times New Roman" w:hAnsi="Times New Roman" w:cs="Times New Roman"/>
          <w:sz w:val="28"/>
          <w:szCs w:val="28"/>
        </w:rPr>
        <w:t>ām</w:t>
      </w:r>
      <w:r w:rsidR="00FA2A78" w:rsidRPr="00DF4295">
        <w:rPr>
          <w:rFonts w:ascii="Times New Roman" w:hAnsi="Times New Roman" w:cs="Times New Roman"/>
          <w:sz w:val="28"/>
          <w:szCs w:val="28"/>
        </w:rPr>
        <w:t xml:space="preserve"> (vienas ES dalībvalsts ietvaros)</w:t>
      </w:r>
      <w:r w:rsidR="00076F2C" w:rsidRPr="00DF4295">
        <w:rPr>
          <w:rFonts w:ascii="Times New Roman" w:hAnsi="Times New Roman" w:cs="Times New Roman"/>
          <w:sz w:val="28"/>
          <w:szCs w:val="28"/>
        </w:rPr>
        <w:t>, attiecas uz vienu virzienu (</w:t>
      </w:r>
      <w:r w:rsidRPr="00DF4295">
        <w:rPr>
          <w:rFonts w:ascii="Times New Roman" w:hAnsi="Times New Roman" w:cs="Times New Roman"/>
          <w:sz w:val="28"/>
          <w:szCs w:val="28"/>
        </w:rPr>
        <w:t>t.</w:t>
      </w:r>
      <w:r w:rsidR="00076F2C" w:rsidRPr="00DF4295">
        <w:rPr>
          <w:rFonts w:ascii="Times New Roman" w:hAnsi="Times New Roman" w:cs="Times New Roman"/>
          <w:sz w:val="28"/>
          <w:szCs w:val="28"/>
        </w:rPr>
        <w:t> </w:t>
      </w:r>
      <w:r w:rsidRPr="00DF4295">
        <w:rPr>
          <w:rFonts w:ascii="Times New Roman" w:hAnsi="Times New Roman" w:cs="Times New Roman"/>
          <w:sz w:val="28"/>
          <w:szCs w:val="28"/>
        </w:rPr>
        <w:t>i., pasažieris, kas dodas uz salu un pēc tam dodas atpakaļ, tiek ieskaitīts divreiz</w:t>
      </w:r>
      <w:r w:rsidR="00076F2C" w:rsidRPr="00DF4295">
        <w:rPr>
          <w:rFonts w:ascii="Times New Roman" w:hAnsi="Times New Roman" w:cs="Times New Roman"/>
          <w:sz w:val="28"/>
          <w:szCs w:val="28"/>
        </w:rPr>
        <w:t>)</w:t>
      </w:r>
      <w:r w:rsidRPr="00DF4295">
        <w:rPr>
          <w:rFonts w:ascii="Times New Roman" w:hAnsi="Times New Roman" w:cs="Times New Roman"/>
          <w:sz w:val="28"/>
          <w:szCs w:val="28"/>
        </w:rPr>
        <w:t xml:space="preserve">. </w:t>
      </w:r>
      <w:r w:rsidR="009D2A88" w:rsidRPr="00DF4295">
        <w:rPr>
          <w:rFonts w:ascii="Times New Roman" w:hAnsi="Times New Roman" w:cs="Times New Roman"/>
          <w:sz w:val="28"/>
          <w:szCs w:val="28"/>
        </w:rPr>
        <w:t>VTNP l</w:t>
      </w:r>
      <w:r w:rsidRPr="00DF4295">
        <w:rPr>
          <w:rFonts w:ascii="Times New Roman" w:hAnsi="Times New Roman" w:cs="Times New Roman"/>
          <w:sz w:val="28"/>
          <w:szCs w:val="28"/>
        </w:rPr>
        <w:t>ēmumu piemēro avio/jūras maršrutiem tikai tādos gadījumos, kad ir runa par gaisa vai jūras pārvadājumiem uz salām. To nepiemēro avio/jūras maršrutiem starp divām lidostām/ostām</w:t>
      </w:r>
      <w:r w:rsidR="004C2EBE" w:rsidRPr="00DF4295">
        <w:rPr>
          <w:rFonts w:ascii="Times New Roman" w:hAnsi="Times New Roman" w:cs="Times New Roman"/>
          <w:sz w:val="28"/>
          <w:szCs w:val="28"/>
        </w:rPr>
        <w:t xml:space="preserve"> vienas dalībvalsts robežās</w:t>
      </w:r>
      <w:r w:rsidRPr="00DF4295">
        <w:rPr>
          <w:rFonts w:ascii="Times New Roman" w:hAnsi="Times New Roman" w:cs="Times New Roman"/>
          <w:sz w:val="28"/>
          <w:szCs w:val="28"/>
        </w:rPr>
        <w:t>, kas atrodas kontinent</w:t>
      </w:r>
      <w:r w:rsidR="002069EB">
        <w:rPr>
          <w:rFonts w:ascii="Times New Roman" w:hAnsi="Times New Roman" w:cs="Times New Roman"/>
          <w:sz w:val="28"/>
          <w:szCs w:val="28"/>
        </w:rPr>
        <w:t>ā</w:t>
      </w:r>
      <w:r w:rsidRPr="00DF4295">
        <w:rPr>
          <w:rFonts w:ascii="Times New Roman" w:hAnsi="Times New Roman" w:cs="Times New Roman"/>
          <w:sz w:val="28"/>
          <w:szCs w:val="28"/>
        </w:rPr>
        <w:t>.</w:t>
      </w:r>
      <w:r w:rsidR="00431DF4" w:rsidRPr="00431DF4">
        <w:t xml:space="preserve"> </w:t>
      </w:r>
      <w:r w:rsidR="00431DF4" w:rsidRPr="00431DF4">
        <w:rPr>
          <w:rFonts w:ascii="Times New Roman" w:hAnsi="Times New Roman" w:cs="Times New Roman"/>
          <w:sz w:val="28"/>
          <w:szCs w:val="28"/>
        </w:rPr>
        <w:t>Slieksni piemēro individuālam maršrutam no vienas salu lidostas/ostas uz otru kontinentālās daļas lidostu/ostu, nevis visai satiksmei no kādas salu lidostas/ostas uz jebkuru kontinentālās daļas lidostu/ostu.</w:t>
      </w:r>
    </w:p>
    <w:p w14:paraId="07689CF6" w14:textId="040483D9" w:rsidR="00AD075F" w:rsidRPr="00DF4295" w:rsidRDefault="00AD075F" w:rsidP="001D1B46">
      <w:pPr>
        <w:pStyle w:val="ListParagraph"/>
        <w:ind w:left="0" w:firstLine="567"/>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Valsts </w:t>
      </w:r>
      <w:r w:rsidR="004C2EBE" w:rsidRPr="00DF4295">
        <w:rPr>
          <w:rFonts w:ascii="Times New Roman" w:hAnsi="Times New Roman" w:cs="Times New Roman"/>
          <w:sz w:val="28"/>
          <w:szCs w:val="28"/>
        </w:rPr>
        <w:t>vai pašvald</w:t>
      </w:r>
      <w:r w:rsidR="00777DDF" w:rsidRPr="00DF4295">
        <w:rPr>
          <w:rFonts w:ascii="Times New Roman" w:hAnsi="Times New Roman" w:cs="Times New Roman"/>
          <w:sz w:val="28"/>
          <w:szCs w:val="28"/>
        </w:rPr>
        <w:t>ības</w:t>
      </w:r>
      <w:r w:rsidR="004C2EBE" w:rsidRPr="00DF4295">
        <w:rPr>
          <w:rFonts w:ascii="Times New Roman" w:hAnsi="Times New Roman" w:cs="Times New Roman"/>
          <w:sz w:val="28"/>
          <w:szCs w:val="28"/>
        </w:rPr>
        <w:t xml:space="preserve"> </w:t>
      </w:r>
      <w:r w:rsidRPr="00DF4295">
        <w:rPr>
          <w:rFonts w:ascii="Times New Roman" w:hAnsi="Times New Roman" w:cs="Times New Roman"/>
          <w:sz w:val="28"/>
          <w:szCs w:val="28"/>
        </w:rPr>
        <w:t xml:space="preserve">iestāde var noteikt </w:t>
      </w:r>
      <w:r w:rsidR="00042EA9">
        <w:rPr>
          <w:rFonts w:ascii="Times New Roman" w:hAnsi="Times New Roman" w:cs="Times New Roman"/>
          <w:sz w:val="28"/>
          <w:szCs w:val="28"/>
        </w:rPr>
        <w:t>VTNP</w:t>
      </w:r>
      <w:r w:rsidRPr="00DF4295">
        <w:rPr>
          <w:rFonts w:ascii="Times New Roman" w:hAnsi="Times New Roman" w:cs="Times New Roman"/>
          <w:sz w:val="28"/>
          <w:szCs w:val="28"/>
        </w:rPr>
        <w:t xml:space="preserve"> saistības lidostai, kas atrodas, piem., nomaļā reģionā, un pieņemt lēmumu maksāt kompensāciju par šādām saistībām. Ir svarīgi norādīt, ka lidostas vispārējā pārvaldība, veicot VTNP, nevar ietvert darbības, kas nav tieši saistītas ar lidostas pamatdarbību (t. i., komerciālas darbības, tostarp ēku būvniecība, zemes un ēku finansēšana, izmantošana un iznomāšana ne tikai birojiem un noliktavām, bet arī viesnīcām un rūpniecības uzņēmumiem lidostas teritorijā, kā arī veikaliem, restorāniem un autostāvvietām).</w:t>
      </w:r>
    </w:p>
    <w:p w14:paraId="23F4BFD4" w14:textId="0D16BFD8" w:rsidR="005C04D7" w:rsidRPr="00DF4295" w:rsidRDefault="009D2A88" w:rsidP="001E4B03">
      <w:pPr>
        <w:jc w:val="both"/>
        <w:rPr>
          <w:rFonts w:ascii="Times New Roman" w:hAnsi="Times New Roman" w:cs="Times New Roman"/>
          <w:b/>
          <w:sz w:val="28"/>
          <w:szCs w:val="28"/>
        </w:rPr>
      </w:pPr>
      <w:r w:rsidRPr="00DF4295">
        <w:rPr>
          <w:rFonts w:ascii="Times New Roman" w:hAnsi="Times New Roman" w:cs="Times New Roman"/>
          <w:b/>
          <w:sz w:val="28"/>
          <w:szCs w:val="28"/>
        </w:rPr>
        <w:t>Jānodrošina, ka pilnvarojuma aktā obligāti:</w:t>
      </w:r>
    </w:p>
    <w:p w14:paraId="7F6FFE2E" w14:textId="6862EF07" w:rsidR="005C04D7" w:rsidRPr="00DF4295" w:rsidRDefault="005C04D7" w:rsidP="001D1B46">
      <w:pPr>
        <w:pStyle w:val="ListParagraph"/>
        <w:numPr>
          <w:ilvl w:val="0"/>
          <w:numId w:val="2"/>
        </w:numPr>
        <w:ind w:left="709"/>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ir skaidri definēts uzticētais </w:t>
      </w:r>
      <w:r w:rsidR="00C4617B">
        <w:rPr>
          <w:rFonts w:ascii="Times New Roman" w:hAnsi="Times New Roman" w:cs="Times New Roman"/>
          <w:sz w:val="28"/>
          <w:szCs w:val="28"/>
        </w:rPr>
        <w:t>VTNP</w:t>
      </w:r>
      <w:r w:rsidRPr="00DF4295">
        <w:rPr>
          <w:rFonts w:ascii="Times New Roman" w:hAnsi="Times New Roman" w:cs="Times New Roman"/>
          <w:sz w:val="28"/>
          <w:szCs w:val="28"/>
        </w:rPr>
        <w:t xml:space="preserve"> - konkrēts sniedzamais pakalpojums (piemēram, siltumapgādes, ūdensapgādes jomā, vai vispārējās veselības aprūpes sistēmas ietvaros);</w:t>
      </w:r>
    </w:p>
    <w:p w14:paraId="06772692" w14:textId="3678C585" w:rsidR="005C04D7" w:rsidRPr="00DF4295" w:rsidRDefault="005C04D7" w:rsidP="001D1B46">
      <w:pPr>
        <w:pStyle w:val="ListParagraph"/>
        <w:numPr>
          <w:ilvl w:val="0"/>
          <w:numId w:val="2"/>
        </w:numPr>
        <w:ind w:left="709"/>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izvirzītas prasības </w:t>
      </w:r>
      <w:r w:rsidR="00D05ACA">
        <w:rPr>
          <w:rFonts w:ascii="Times New Roman" w:hAnsi="Times New Roman" w:cs="Times New Roman"/>
          <w:sz w:val="28"/>
          <w:szCs w:val="28"/>
        </w:rPr>
        <w:t>VTNP</w:t>
      </w:r>
      <w:r w:rsidRPr="00DF4295">
        <w:rPr>
          <w:rFonts w:ascii="Times New Roman" w:hAnsi="Times New Roman" w:cs="Times New Roman"/>
          <w:sz w:val="28"/>
          <w:szCs w:val="28"/>
        </w:rPr>
        <w:t xml:space="preserve"> sniedzējam par nepieciešamā tehniskā aprīkojuma uzturēšanu un atjaunošanu, lai nodrošinātu minēto pakalpojumu izpildi saskaņā ar katram konkrētajam pakalpojumam izvirzītajām prasībām;</w:t>
      </w:r>
    </w:p>
    <w:p w14:paraId="240F6C42" w14:textId="0C5112DA" w:rsidR="005C04D7" w:rsidRPr="00DF4295" w:rsidRDefault="005C04D7" w:rsidP="001D1B46">
      <w:pPr>
        <w:pStyle w:val="ListParagraph"/>
        <w:numPr>
          <w:ilvl w:val="0"/>
          <w:numId w:val="2"/>
        </w:numPr>
        <w:ind w:left="709"/>
        <w:contextualSpacing w:val="0"/>
        <w:jc w:val="both"/>
        <w:rPr>
          <w:rFonts w:ascii="Times New Roman" w:hAnsi="Times New Roman" w:cs="Times New Roman"/>
          <w:sz w:val="28"/>
          <w:szCs w:val="28"/>
        </w:rPr>
      </w:pPr>
      <w:r w:rsidRPr="00DF4295">
        <w:rPr>
          <w:rFonts w:ascii="Times New Roman" w:hAnsi="Times New Roman" w:cs="Times New Roman"/>
          <w:sz w:val="28"/>
          <w:szCs w:val="28"/>
        </w:rPr>
        <w:t>noteikts pilnvarojuma</w:t>
      </w:r>
      <w:r w:rsidR="00CE163D" w:rsidRPr="00DF4295">
        <w:rPr>
          <w:rFonts w:ascii="Times New Roman" w:hAnsi="Times New Roman" w:cs="Times New Roman"/>
          <w:sz w:val="28"/>
          <w:szCs w:val="28"/>
        </w:rPr>
        <w:t xml:space="preserve"> termiņš </w:t>
      </w:r>
      <w:r w:rsidR="00320AB9" w:rsidRPr="00DF4295">
        <w:rPr>
          <w:rFonts w:ascii="Times New Roman" w:hAnsi="Times New Roman" w:cs="Times New Roman"/>
          <w:sz w:val="28"/>
          <w:szCs w:val="28"/>
        </w:rPr>
        <w:t>–</w:t>
      </w:r>
      <w:r w:rsidR="00740E09" w:rsidRPr="00DF4295">
        <w:rPr>
          <w:rFonts w:ascii="Times New Roman" w:hAnsi="Times New Roman" w:cs="Times New Roman"/>
          <w:sz w:val="28"/>
          <w:szCs w:val="28"/>
        </w:rPr>
        <w:t xml:space="preserve"> </w:t>
      </w:r>
      <w:r w:rsidR="00320AB9" w:rsidRPr="00DF4295">
        <w:rPr>
          <w:rFonts w:ascii="Times New Roman" w:hAnsi="Times New Roman" w:cs="Times New Roman"/>
          <w:sz w:val="28"/>
          <w:szCs w:val="28"/>
        </w:rPr>
        <w:t xml:space="preserve">VTNP </w:t>
      </w:r>
      <w:r w:rsidR="00CE163D" w:rsidRPr="00DF4295">
        <w:rPr>
          <w:rFonts w:ascii="Times New Roman" w:hAnsi="Times New Roman" w:cs="Times New Roman"/>
          <w:sz w:val="28"/>
          <w:szCs w:val="28"/>
        </w:rPr>
        <w:t>līguma darbības laiks</w:t>
      </w:r>
      <w:r w:rsidRPr="00DF4295">
        <w:rPr>
          <w:rFonts w:ascii="Times New Roman" w:hAnsi="Times New Roman" w:cs="Times New Roman"/>
          <w:sz w:val="28"/>
          <w:szCs w:val="28"/>
        </w:rPr>
        <w:t>, kas nav īsāks par 5 gadiem un nepārsniedz 10 gadus (gadījumos, kad pakalpojuma sniedzējs no saviem resursiem (saimnieciskās darbības ieņēmumiem vai komercbanku kredītresursiem) veicis būtiskus ieguldījumus pakalpojuma sniegšanas nodrošināšanai nepieciešamajos pamatlīdzekļos, pilnvarojuma periods var būt garāks par desmit gadiem, bet tas nedrīkst pārsniegt konkrētā pamatlīdzekļa amortizācijas periodu, kurš noteikts saskaņā ar vispārpieņemtiem grāmatvedības principiem);</w:t>
      </w:r>
    </w:p>
    <w:p w14:paraId="7EB8E2CF" w14:textId="523E6152" w:rsidR="005C04D7" w:rsidRPr="00DF4295" w:rsidRDefault="005C04D7" w:rsidP="001D1B46">
      <w:pPr>
        <w:pStyle w:val="ListParagraph"/>
        <w:numPr>
          <w:ilvl w:val="0"/>
          <w:numId w:val="2"/>
        </w:numPr>
        <w:ind w:left="709"/>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norāda </w:t>
      </w:r>
      <w:r w:rsidR="00D05ACA">
        <w:rPr>
          <w:rFonts w:ascii="Times New Roman" w:hAnsi="Times New Roman" w:cs="Times New Roman"/>
          <w:sz w:val="28"/>
          <w:szCs w:val="28"/>
        </w:rPr>
        <w:t>VTNP</w:t>
      </w:r>
      <w:r w:rsidRPr="00DF4295">
        <w:rPr>
          <w:rFonts w:ascii="Times New Roman" w:hAnsi="Times New Roman" w:cs="Times New Roman"/>
          <w:sz w:val="28"/>
          <w:szCs w:val="28"/>
        </w:rPr>
        <w:t xml:space="preserve"> teritoriju;</w:t>
      </w:r>
    </w:p>
    <w:p w14:paraId="15E2204E" w14:textId="3E28771B" w:rsidR="005C04D7" w:rsidRPr="00DF4295" w:rsidRDefault="005C04D7" w:rsidP="001D1B46">
      <w:pPr>
        <w:pStyle w:val="ListParagraph"/>
        <w:numPr>
          <w:ilvl w:val="0"/>
          <w:numId w:val="2"/>
        </w:numPr>
        <w:ind w:left="709"/>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norāda informāciju par </w:t>
      </w:r>
      <w:r w:rsidR="00D05ACA">
        <w:rPr>
          <w:rFonts w:ascii="Times New Roman" w:hAnsi="Times New Roman" w:cs="Times New Roman"/>
          <w:sz w:val="28"/>
          <w:szCs w:val="28"/>
        </w:rPr>
        <w:t>VTNP</w:t>
      </w:r>
      <w:r w:rsidRPr="00DF4295">
        <w:rPr>
          <w:rFonts w:ascii="Times New Roman" w:hAnsi="Times New Roman" w:cs="Times New Roman"/>
          <w:sz w:val="28"/>
          <w:szCs w:val="28"/>
        </w:rPr>
        <w:t xml:space="preserve"> sniedzējam piešķirtajām ekskluzīvajām vai īpašajām tiesībām;</w:t>
      </w:r>
    </w:p>
    <w:p w14:paraId="1EFE029D" w14:textId="77777777" w:rsidR="005C04D7" w:rsidRPr="00DF4295" w:rsidRDefault="005C04D7" w:rsidP="001D1B46">
      <w:pPr>
        <w:pStyle w:val="ListParagraph"/>
        <w:numPr>
          <w:ilvl w:val="0"/>
          <w:numId w:val="2"/>
        </w:numPr>
        <w:ind w:left="709"/>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norāda informāciju par iespēju saņemt atlīdzības (kompensācijas) maksājumus – investīcijas pakalpojumu sniegšanas infrastruktūrā – un nosacījumus atlīdzības </w:t>
      </w:r>
      <w:r w:rsidRPr="00DF4295">
        <w:rPr>
          <w:rFonts w:ascii="Times New Roman" w:hAnsi="Times New Roman" w:cs="Times New Roman"/>
          <w:sz w:val="28"/>
          <w:szCs w:val="28"/>
        </w:rPr>
        <w:lastRenderedPageBreak/>
        <w:t>(kompensācijas) maksājumu aprēķināšanai, kontrolei un pārskatīšanai (regulāra kompensācijas atbilstības pārbaužu veikšana vismaz ik pēc trīs gadiem pilnvarojuma akta darbības periodā, kā arī tā beigās);</w:t>
      </w:r>
    </w:p>
    <w:p w14:paraId="11B7164F" w14:textId="316E2B5D" w:rsidR="005C04D7" w:rsidRPr="00DF4295" w:rsidRDefault="005C04D7" w:rsidP="001D1B46">
      <w:pPr>
        <w:pStyle w:val="ListParagraph"/>
        <w:numPr>
          <w:ilvl w:val="0"/>
          <w:numId w:val="2"/>
        </w:numPr>
        <w:ind w:left="709"/>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norāda pasākumus atlīdzības (kompensācijas) maksājumu pārmaksas novēršanai un atmaksāšanai (kompensācijas jēdziens ir plašāks nekā tikai tarifu starpības kompensēšana vai ikgadēja saimnieciskās darbības zaudējumu segšana. </w:t>
      </w:r>
      <w:r w:rsidR="00D05ACA">
        <w:rPr>
          <w:rFonts w:ascii="Times New Roman" w:hAnsi="Times New Roman" w:cs="Times New Roman"/>
          <w:sz w:val="28"/>
          <w:szCs w:val="28"/>
        </w:rPr>
        <w:t>VTNP</w:t>
      </w:r>
      <w:r w:rsidRPr="00DF4295">
        <w:rPr>
          <w:rFonts w:ascii="Times New Roman" w:hAnsi="Times New Roman" w:cs="Times New Roman"/>
          <w:sz w:val="28"/>
          <w:szCs w:val="28"/>
        </w:rPr>
        <w:t xml:space="preserve"> kompensācijas jēdziens aptver arī ES fondu finansējumu, kurš piešķirts pakalpojuma sniegšanai nepieciešamās infrastruktūras izbūvei vai rekonstrukcijai);</w:t>
      </w:r>
    </w:p>
    <w:p w14:paraId="37DF7CF0" w14:textId="5F485BD6" w:rsidR="005C04D7" w:rsidRPr="00DF4295" w:rsidRDefault="005C04D7" w:rsidP="001D1B46">
      <w:pPr>
        <w:pStyle w:val="ListParagraph"/>
        <w:numPr>
          <w:ilvl w:val="0"/>
          <w:numId w:val="2"/>
        </w:numPr>
        <w:ind w:left="709"/>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norāda, kā </w:t>
      </w:r>
      <w:r w:rsidR="00D05ACA">
        <w:rPr>
          <w:rFonts w:ascii="Times New Roman" w:hAnsi="Times New Roman" w:cs="Times New Roman"/>
          <w:sz w:val="28"/>
          <w:szCs w:val="28"/>
        </w:rPr>
        <w:t>VTNP</w:t>
      </w:r>
      <w:r w:rsidRPr="00DF4295">
        <w:rPr>
          <w:rFonts w:ascii="Times New Roman" w:hAnsi="Times New Roman" w:cs="Times New Roman"/>
          <w:sz w:val="28"/>
          <w:szCs w:val="28"/>
        </w:rPr>
        <w:t xml:space="preserve"> un ar to saistītās izmaksas tiks nodalītas no komerciālajiem pakalpojumiem (ja komersants veic arī citas darbības, kas ir ārpus uzticētā </w:t>
      </w:r>
      <w:r w:rsidR="00042EA9">
        <w:rPr>
          <w:rFonts w:ascii="Times New Roman" w:hAnsi="Times New Roman" w:cs="Times New Roman"/>
          <w:sz w:val="28"/>
          <w:szCs w:val="28"/>
        </w:rPr>
        <w:t>VTNP</w:t>
      </w:r>
      <w:r w:rsidRPr="00DF4295">
        <w:rPr>
          <w:rFonts w:ascii="Times New Roman" w:hAnsi="Times New Roman" w:cs="Times New Roman"/>
          <w:sz w:val="28"/>
          <w:szCs w:val="28"/>
        </w:rPr>
        <w:t xml:space="preserve"> ietvara, komersantam tā grāmatvedībā ir atsevišķi jāuzrāda izmaksas un ieņēmumus katrai darbības jomai atsevišķi. Kompensāciju par izmaksām, kas nav tiešā saistībā ar definēto un uzticēto </w:t>
      </w:r>
      <w:r w:rsidR="00D05ACA">
        <w:rPr>
          <w:rFonts w:ascii="Times New Roman" w:hAnsi="Times New Roman" w:cs="Times New Roman"/>
          <w:sz w:val="28"/>
          <w:szCs w:val="28"/>
        </w:rPr>
        <w:t>VTNP</w:t>
      </w:r>
      <w:r w:rsidRPr="00DF4295">
        <w:rPr>
          <w:rFonts w:ascii="Times New Roman" w:hAnsi="Times New Roman" w:cs="Times New Roman"/>
          <w:sz w:val="28"/>
          <w:szCs w:val="28"/>
        </w:rPr>
        <w:t>, nepiešķir);</w:t>
      </w:r>
    </w:p>
    <w:p w14:paraId="13C8CB6C" w14:textId="6432CBBF" w:rsidR="005C04D7" w:rsidRPr="00DF4295" w:rsidRDefault="005C04D7" w:rsidP="001D1B46">
      <w:pPr>
        <w:pStyle w:val="ListParagraph"/>
        <w:numPr>
          <w:ilvl w:val="0"/>
          <w:numId w:val="2"/>
        </w:numPr>
        <w:ind w:left="709"/>
        <w:contextualSpacing w:val="0"/>
        <w:jc w:val="both"/>
        <w:rPr>
          <w:rFonts w:ascii="Times New Roman" w:hAnsi="Times New Roman" w:cs="Times New Roman"/>
          <w:sz w:val="28"/>
          <w:szCs w:val="28"/>
        </w:rPr>
      </w:pPr>
      <w:r w:rsidRPr="00DF4295">
        <w:rPr>
          <w:rFonts w:ascii="Times New Roman" w:hAnsi="Times New Roman" w:cs="Times New Roman"/>
          <w:sz w:val="28"/>
          <w:szCs w:val="28"/>
        </w:rPr>
        <w:t>minēta atsauce uz VTNP lēmumu – EK 2011.gada 20.decembra lēmumu Nr. 2012/21/ES</w:t>
      </w:r>
      <w:r w:rsidR="00EA58EA" w:rsidRPr="00DF4295">
        <w:rPr>
          <w:rFonts w:ascii="Times New Roman" w:hAnsi="Times New Roman" w:cs="Times New Roman"/>
          <w:sz w:val="28"/>
          <w:szCs w:val="28"/>
        </w:rPr>
        <w:t>, vai citu aktu, kas šo aizvieto</w:t>
      </w:r>
    </w:p>
    <w:p w14:paraId="1930A59C" w14:textId="77777777" w:rsidR="005C04D7" w:rsidRPr="00DF4295" w:rsidRDefault="005C04D7" w:rsidP="001D1B46">
      <w:pPr>
        <w:pStyle w:val="ListParagraph"/>
        <w:numPr>
          <w:ilvl w:val="0"/>
          <w:numId w:val="2"/>
        </w:numPr>
        <w:ind w:left="709"/>
        <w:contextualSpacing w:val="0"/>
        <w:jc w:val="both"/>
        <w:rPr>
          <w:rFonts w:ascii="Times New Roman" w:hAnsi="Times New Roman" w:cs="Times New Roman"/>
          <w:sz w:val="28"/>
          <w:szCs w:val="28"/>
        </w:rPr>
      </w:pPr>
      <w:r w:rsidRPr="00DF4295">
        <w:rPr>
          <w:rFonts w:ascii="Times New Roman" w:hAnsi="Times New Roman" w:cs="Times New Roman"/>
          <w:sz w:val="28"/>
          <w:szCs w:val="28"/>
        </w:rPr>
        <w:t>norādīts, ka dokumentācija glabājama 10 gadus no pilnvarojuma perioda beigām.</w:t>
      </w:r>
    </w:p>
    <w:p w14:paraId="22F788EE" w14:textId="254A95E0" w:rsidR="00B021D6" w:rsidRPr="00DF4295" w:rsidRDefault="005C04D7" w:rsidP="001E4B03">
      <w:pPr>
        <w:pStyle w:val="ListParagraph"/>
        <w:ind w:left="0"/>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Ja VTNP lēmuma nosacījumi netiek izpildīti, tai skaitā, pilnvarojuma akts neietver visus augstākminētos elementus, ir jāievēro VTNP nostādnes </w:t>
      </w:r>
      <w:r w:rsidR="009D2A88" w:rsidRPr="00DF4295">
        <w:rPr>
          <w:rFonts w:ascii="Times New Roman" w:hAnsi="Times New Roman" w:cs="Times New Roman"/>
          <w:sz w:val="28"/>
          <w:szCs w:val="28"/>
        </w:rPr>
        <w:t>ar</w:t>
      </w:r>
      <w:r w:rsidRPr="00DF4295">
        <w:rPr>
          <w:rFonts w:ascii="Times New Roman" w:hAnsi="Times New Roman" w:cs="Times New Roman"/>
          <w:sz w:val="28"/>
          <w:szCs w:val="28"/>
        </w:rPr>
        <w:t xml:space="preserve"> paziņošanas prasīb</w:t>
      </w:r>
      <w:r w:rsidR="009D2A88" w:rsidRPr="00DF4295">
        <w:rPr>
          <w:rFonts w:ascii="Times New Roman" w:hAnsi="Times New Roman" w:cs="Times New Roman"/>
          <w:sz w:val="28"/>
          <w:szCs w:val="28"/>
        </w:rPr>
        <w:t>u</w:t>
      </w:r>
      <w:r w:rsidRPr="00DF4295">
        <w:rPr>
          <w:rFonts w:ascii="Times New Roman" w:hAnsi="Times New Roman" w:cs="Times New Roman"/>
          <w:sz w:val="28"/>
          <w:szCs w:val="28"/>
        </w:rPr>
        <w:t xml:space="preserve"> EK.</w:t>
      </w:r>
    </w:p>
    <w:p w14:paraId="37AD1527" w14:textId="3A6557F4" w:rsidR="00F65480" w:rsidRPr="00DF4295" w:rsidRDefault="00966EAF" w:rsidP="001D1B46">
      <w:pPr>
        <w:pStyle w:val="Heading1"/>
        <w:spacing w:before="120" w:after="120"/>
        <w:rPr>
          <w:rFonts w:cs="Times New Roman"/>
          <w:sz w:val="28"/>
          <w:szCs w:val="28"/>
        </w:rPr>
      </w:pPr>
      <w:bookmarkStart w:id="25" w:name="_Toc500939852"/>
      <w:bookmarkStart w:id="26" w:name="_Toc15391543"/>
      <w:r w:rsidRPr="00DF4295">
        <w:rPr>
          <w:rFonts w:cs="Times New Roman"/>
          <w:sz w:val="28"/>
          <w:szCs w:val="28"/>
        </w:rPr>
        <w:t>4.</w:t>
      </w:r>
      <w:r w:rsidR="00230475" w:rsidRPr="00DF4295">
        <w:rPr>
          <w:rFonts w:cs="Times New Roman"/>
          <w:sz w:val="28"/>
          <w:szCs w:val="28"/>
        </w:rPr>
        <w:t>3</w:t>
      </w:r>
      <w:r w:rsidR="00F65480" w:rsidRPr="00DF4295">
        <w:rPr>
          <w:rFonts w:cs="Times New Roman"/>
          <w:sz w:val="28"/>
          <w:szCs w:val="28"/>
        </w:rPr>
        <w:t>. Kompensācijas aprēķins</w:t>
      </w:r>
      <w:bookmarkEnd w:id="25"/>
      <w:bookmarkEnd w:id="26"/>
    </w:p>
    <w:p w14:paraId="06114E4A" w14:textId="05324270" w:rsidR="00F65480" w:rsidRPr="00DF4295" w:rsidRDefault="0097634D" w:rsidP="001D1B46">
      <w:pPr>
        <w:autoSpaceDE w:val="0"/>
        <w:autoSpaceDN w:val="0"/>
        <w:adjustRightInd w:val="0"/>
        <w:ind w:firstLine="720"/>
        <w:jc w:val="both"/>
        <w:rPr>
          <w:rFonts w:ascii="Times New Roman" w:hAnsi="Times New Roman" w:cs="Times New Roman"/>
          <w:sz w:val="28"/>
          <w:szCs w:val="28"/>
        </w:rPr>
      </w:pPr>
      <w:r w:rsidRPr="00DF4295">
        <w:rPr>
          <w:rFonts w:ascii="Times New Roman" w:hAnsi="Times New Roman" w:cs="Times New Roman"/>
          <w:sz w:val="28"/>
          <w:szCs w:val="28"/>
        </w:rPr>
        <w:t>VTNP lēmums nosaka kompensācijas summas ierobežojumu – tā nedrīkst būt lielāka par summu, kas nepieciešama, lai segtu neto izmaksas, kas rodas pildot VTNP pienākumu, tostarp saprātīgu peļņu.</w:t>
      </w:r>
      <w:r w:rsidR="00775ABD" w:rsidRPr="00DF4295">
        <w:rPr>
          <w:rFonts w:ascii="Times New Roman" w:hAnsi="Times New Roman" w:cs="Times New Roman"/>
          <w:sz w:val="28"/>
          <w:szCs w:val="28"/>
        </w:rPr>
        <w:t xml:space="preserve"> Vienlaikus jāņem vērā, ka k</w:t>
      </w:r>
      <w:r w:rsidR="00F65480" w:rsidRPr="00DF4295">
        <w:rPr>
          <w:rFonts w:ascii="Times New Roman" w:hAnsi="Times New Roman" w:cs="Times New Roman"/>
          <w:sz w:val="28"/>
          <w:szCs w:val="28"/>
        </w:rPr>
        <w:t xml:space="preserve">ompensācijas jēdziens ir plašāks nekā tikai tarifu starpības kompensēšana vai ikgadēja saimnieciskās darbības zaudējumu segšana. </w:t>
      </w:r>
      <w:r w:rsidR="00A92FCA" w:rsidRPr="00DF4295">
        <w:rPr>
          <w:rFonts w:ascii="Times New Roman" w:hAnsi="Times New Roman" w:cs="Times New Roman"/>
          <w:sz w:val="28"/>
          <w:szCs w:val="28"/>
        </w:rPr>
        <w:t>VTNP</w:t>
      </w:r>
      <w:r w:rsidR="00F65480" w:rsidRPr="00DF4295">
        <w:rPr>
          <w:rFonts w:ascii="Times New Roman" w:hAnsi="Times New Roman" w:cs="Times New Roman"/>
          <w:sz w:val="28"/>
          <w:szCs w:val="28"/>
        </w:rPr>
        <w:t xml:space="preserve"> kompensācijas jēdziens aptver ES fondu finansējumu, kurš piešķirts pakalpojuma sniegšanai nepieciešamās infrastruktūras izbūvei vai rekonstrukcijai</w:t>
      </w:r>
      <w:r w:rsidR="004F6848" w:rsidRPr="00DF4295">
        <w:rPr>
          <w:rFonts w:ascii="Times New Roman" w:hAnsi="Times New Roman" w:cs="Times New Roman"/>
          <w:sz w:val="28"/>
          <w:szCs w:val="28"/>
        </w:rPr>
        <w:t xml:space="preserve">, </w:t>
      </w:r>
      <w:r w:rsidR="00C4574E" w:rsidRPr="00DF4295">
        <w:rPr>
          <w:rFonts w:ascii="Times New Roman" w:hAnsi="Times New Roman" w:cs="Times New Roman"/>
          <w:sz w:val="28"/>
          <w:szCs w:val="28"/>
        </w:rPr>
        <w:t xml:space="preserve">kā arī </w:t>
      </w:r>
      <w:r w:rsidR="004F6848" w:rsidRPr="00DF4295">
        <w:rPr>
          <w:rFonts w:ascii="Times New Roman" w:hAnsi="Times New Roman" w:cs="Times New Roman"/>
          <w:sz w:val="28"/>
          <w:szCs w:val="28"/>
        </w:rPr>
        <w:t>ieguldījumus pamatkapitālā un citus no publiskiem līdzekļiem veiktus ieguldījumus</w:t>
      </w:r>
      <w:r w:rsidR="00C4574E" w:rsidRPr="00DF4295">
        <w:rPr>
          <w:rFonts w:ascii="Times New Roman" w:hAnsi="Times New Roman" w:cs="Times New Roman"/>
          <w:sz w:val="28"/>
          <w:szCs w:val="28"/>
        </w:rPr>
        <w:t xml:space="preserve">, nodokļu atlaides </w:t>
      </w:r>
      <w:proofErr w:type="spellStart"/>
      <w:r w:rsidR="00C4574E" w:rsidRPr="00DF4295">
        <w:rPr>
          <w:rFonts w:ascii="Times New Roman" w:hAnsi="Times New Roman" w:cs="Times New Roman"/>
          <w:sz w:val="28"/>
          <w:szCs w:val="28"/>
        </w:rPr>
        <w:t>utml</w:t>
      </w:r>
      <w:proofErr w:type="spellEnd"/>
      <w:r w:rsidR="004F6848" w:rsidRPr="00DF4295">
        <w:rPr>
          <w:rFonts w:ascii="Times New Roman" w:hAnsi="Times New Roman" w:cs="Times New Roman"/>
          <w:sz w:val="28"/>
          <w:szCs w:val="28"/>
        </w:rPr>
        <w:t>.</w:t>
      </w:r>
    </w:p>
    <w:p w14:paraId="38E12455" w14:textId="56DCF6B5" w:rsidR="00F65480" w:rsidRPr="00DF4295" w:rsidRDefault="00BC2613" w:rsidP="001D1B46">
      <w:pPr>
        <w:autoSpaceDE w:val="0"/>
        <w:autoSpaceDN w:val="0"/>
        <w:adjustRightInd w:val="0"/>
        <w:ind w:firstLine="720"/>
        <w:jc w:val="both"/>
        <w:rPr>
          <w:rFonts w:ascii="Times New Roman" w:hAnsi="Times New Roman" w:cs="Times New Roman"/>
          <w:sz w:val="28"/>
          <w:szCs w:val="28"/>
        </w:rPr>
      </w:pPr>
      <w:r w:rsidRPr="00DF4295">
        <w:rPr>
          <w:rFonts w:ascii="Times New Roman" w:hAnsi="Times New Roman" w:cs="Times New Roman"/>
          <w:sz w:val="28"/>
          <w:szCs w:val="28"/>
        </w:rPr>
        <w:t>K</w:t>
      </w:r>
      <w:r w:rsidR="00F65480" w:rsidRPr="00DF4295">
        <w:rPr>
          <w:rFonts w:ascii="Times New Roman" w:hAnsi="Times New Roman" w:cs="Times New Roman"/>
          <w:sz w:val="28"/>
          <w:szCs w:val="28"/>
        </w:rPr>
        <w:t>ad uzņēmums sāk sniegt VTNP, bieži vien nav iespējams zināt visu informāciju par izmaksām. Līdz ar to</w:t>
      </w:r>
      <w:r w:rsidRPr="00DF4295">
        <w:rPr>
          <w:rFonts w:ascii="Times New Roman" w:hAnsi="Times New Roman" w:cs="Times New Roman"/>
          <w:sz w:val="28"/>
          <w:szCs w:val="28"/>
        </w:rPr>
        <w:t xml:space="preserve"> VTNP</w:t>
      </w:r>
      <w:r w:rsidR="00F65480" w:rsidRPr="00DF4295">
        <w:rPr>
          <w:rFonts w:ascii="Times New Roman" w:hAnsi="Times New Roman" w:cs="Times New Roman"/>
          <w:sz w:val="28"/>
          <w:szCs w:val="28"/>
        </w:rPr>
        <w:t xml:space="preserve"> lēmumā netiek prasīts iepriekš sīki aprēķināt, piem., cenu viena</w:t>
      </w:r>
      <w:r w:rsidR="004F6848" w:rsidRPr="00DF4295">
        <w:rPr>
          <w:rFonts w:ascii="Times New Roman" w:hAnsi="Times New Roman" w:cs="Times New Roman"/>
          <w:sz w:val="28"/>
          <w:szCs w:val="28"/>
        </w:rPr>
        <w:t>m m</w:t>
      </w:r>
      <w:r w:rsidR="004F6848" w:rsidRPr="00DF4295">
        <w:rPr>
          <w:rFonts w:ascii="Times New Roman" w:hAnsi="Times New Roman" w:cs="Times New Roman"/>
          <w:sz w:val="28"/>
          <w:szCs w:val="28"/>
          <w:vertAlign w:val="superscript"/>
        </w:rPr>
        <w:t>3</w:t>
      </w:r>
      <w:r w:rsidR="004F6848" w:rsidRPr="00DF4295">
        <w:rPr>
          <w:rFonts w:ascii="Times New Roman" w:hAnsi="Times New Roman" w:cs="Times New Roman"/>
          <w:sz w:val="28"/>
          <w:szCs w:val="28"/>
        </w:rPr>
        <w:t>, vienai</w:t>
      </w:r>
      <w:r w:rsidR="00F65480" w:rsidRPr="00DF4295">
        <w:rPr>
          <w:rFonts w:ascii="Times New Roman" w:hAnsi="Times New Roman" w:cs="Times New Roman"/>
          <w:sz w:val="28"/>
          <w:szCs w:val="28"/>
        </w:rPr>
        <w:t xml:space="preserve"> dienai, vienai </w:t>
      </w:r>
      <w:r w:rsidR="004F6848" w:rsidRPr="00DF4295">
        <w:rPr>
          <w:rFonts w:ascii="Times New Roman" w:hAnsi="Times New Roman" w:cs="Times New Roman"/>
          <w:sz w:val="28"/>
          <w:szCs w:val="28"/>
        </w:rPr>
        <w:t xml:space="preserve">medicīniskai manipulācijai, </w:t>
      </w:r>
      <w:r w:rsidR="00F65480" w:rsidRPr="00DF4295">
        <w:rPr>
          <w:rFonts w:ascii="Times New Roman" w:hAnsi="Times New Roman" w:cs="Times New Roman"/>
          <w:sz w:val="28"/>
          <w:szCs w:val="28"/>
        </w:rPr>
        <w:t xml:space="preserve"> vienai aprūpes kategorijai, kas tiks atlīdzināta, izmantojot </w:t>
      </w:r>
      <w:r w:rsidRPr="00DF4295">
        <w:rPr>
          <w:rFonts w:ascii="Times New Roman" w:hAnsi="Times New Roman" w:cs="Times New Roman"/>
          <w:sz w:val="28"/>
          <w:szCs w:val="28"/>
        </w:rPr>
        <w:t xml:space="preserve">publisko </w:t>
      </w:r>
      <w:r w:rsidR="00F65480" w:rsidRPr="00DF4295">
        <w:rPr>
          <w:rFonts w:ascii="Times New Roman" w:hAnsi="Times New Roman" w:cs="Times New Roman"/>
          <w:sz w:val="28"/>
          <w:szCs w:val="28"/>
        </w:rPr>
        <w:t>finansējumu, ja šāds aprēķins nav iespējams.</w:t>
      </w:r>
      <w:r w:rsidRPr="00DF4295">
        <w:rPr>
          <w:rFonts w:ascii="Times New Roman" w:hAnsi="Times New Roman" w:cs="Times New Roman"/>
          <w:sz w:val="28"/>
          <w:szCs w:val="28"/>
        </w:rPr>
        <w:t xml:space="preserve"> </w:t>
      </w:r>
      <w:r w:rsidR="00F65480" w:rsidRPr="00DF4295">
        <w:rPr>
          <w:rFonts w:ascii="Times New Roman" w:hAnsi="Times New Roman" w:cs="Times New Roman"/>
          <w:sz w:val="28"/>
          <w:szCs w:val="28"/>
        </w:rPr>
        <w:t xml:space="preserve">Saskaņā ar VTNP lēmumu tiek prasīts vienīgi, lai būtu </w:t>
      </w:r>
      <w:r w:rsidRPr="00DF4295">
        <w:rPr>
          <w:rFonts w:ascii="Times New Roman" w:hAnsi="Times New Roman" w:cs="Times New Roman"/>
          <w:sz w:val="28"/>
          <w:szCs w:val="28"/>
        </w:rPr>
        <w:t xml:space="preserve">iepriekš </w:t>
      </w:r>
      <w:r w:rsidR="00F65480" w:rsidRPr="00DF4295">
        <w:rPr>
          <w:rFonts w:ascii="Times New Roman" w:hAnsi="Times New Roman" w:cs="Times New Roman"/>
          <w:sz w:val="28"/>
          <w:szCs w:val="28"/>
        </w:rPr>
        <w:t>noteikts</w:t>
      </w:r>
      <w:r w:rsidRPr="00DF4295">
        <w:rPr>
          <w:rFonts w:ascii="Times New Roman" w:hAnsi="Times New Roman" w:cs="Times New Roman"/>
          <w:sz w:val="28"/>
          <w:szCs w:val="28"/>
        </w:rPr>
        <w:t xml:space="preserve"> un ietverts pilnvarojuma aktā</w:t>
      </w:r>
      <w:r w:rsidR="0046780E">
        <w:rPr>
          <w:rFonts w:ascii="Times New Roman" w:hAnsi="Times New Roman" w:cs="Times New Roman"/>
          <w:sz w:val="28"/>
          <w:szCs w:val="28"/>
        </w:rPr>
        <w:t xml:space="preserve"> ietverts</w:t>
      </w:r>
      <w:r w:rsidR="00F65480" w:rsidRPr="00DF4295">
        <w:rPr>
          <w:rFonts w:ascii="Times New Roman" w:hAnsi="Times New Roman" w:cs="Times New Roman"/>
          <w:sz w:val="28"/>
          <w:szCs w:val="28"/>
        </w:rPr>
        <w:t xml:space="preserve"> kompensācijas aprēķināšana</w:t>
      </w:r>
      <w:r w:rsidR="004F6848" w:rsidRPr="00DF4295">
        <w:rPr>
          <w:rFonts w:ascii="Times New Roman" w:hAnsi="Times New Roman" w:cs="Times New Roman"/>
          <w:sz w:val="28"/>
          <w:szCs w:val="28"/>
        </w:rPr>
        <w:t>s mehānism</w:t>
      </w:r>
      <w:r w:rsidR="0046780E">
        <w:rPr>
          <w:rFonts w:ascii="Times New Roman" w:hAnsi="Times New Roman" w:cs="Times New Roman"/>
          <w:sz w:val="28"/>
          <w:szCs w:val="28"/>
        </w:rPr>
        <w:t>a apraksts</w:t>
      </w:r>
      <w:r w:rsidR="00432AE9" w:rsidRPr="00DF4295">
        <w:rPr>
          <w:rFonts w:ascii="Times New Roman" w:hAnsi="Times New Roman" w:cs="Times New Roman"/>
          <w:sz w:val="28"/>
          <w:szCs w:val="28"/>
        </w:rPr>
        <w:t>, paredzot koeficientus, kuru izmantošana var mainīties uz vienu vienību.</w:t>
      </w:r>
      <w:r w:rsidR="0046780E">
        <w:rPr>
          <w:rFonts w:ascii="Times New Roman" w:hAnsi="Times New Roman" w:cs="Times New Roman"/>
          <w:sz w:val="28"/>
          <w:szCs w:val="28"/>
        </w:rPr>
        <w:t xml:space="preserve"> Kompensācijas aprēķināšanas metodika, var būt aprakstīta arī atsevišķā iestādes dokumentā un šādā gadījumā </w:t>
      </w:r>
      <w:proofErr w:type="spellStart"/>
      <w:r w:rsidR="0046780E">
        <w:rPr>
          <w:rFonts w:ascii="Times New Roman" w:hAnsi="Times New Roman" w:cs="Times New Roman"/>
          <w:sz w:val="28"/>
          <w:szCs w:val="28"/>
        </w:rPr>
        <w:t>pilvarojuma</w:t>
      </w:r>
      <w:proofErr w:type="spellEnd"/>
      <w:r w:rsidR="0046780E">
        <w:rPr>
          <w:rFonts w:ascii="Times New Roman" w:hAnsi="Times New Roman" w:cs="Times New Roman"/>
          <w:sz w:val="28"/>
          <w:szCs w:val="28"/>
        </w:rPr>
        <w:t xml:space="preserve"> aktā iespējams uz to atsaukties.</w:t>
      </w:r>
      <w:r w:rsidR="00432AE9" w:rsidRPr="00DF4295">
        <w:rPr>
          <w:rFonts w:ascii="Times New Roman" w:hAnsi="Times New Roman" w:cs="Times New Roman"/>
          <w:sz w:val="28"/>
          <w:szCs w:val="28"/>
        </w:rPr>
        <w:t xml:space="preserve"> </w:t>
      </w:r>
      <w:r w:rsidR="00F65480" w:rsidRPr="00DF4295">
        <w:rPr>
          <w:rFonts w:ascii="Times New Roman" w:hAnsi="Times New Roman" w:cs="Times New Roman"/>
          <w:sz w:val="28"/>
          <w:szCs w:val="28"/>
        </w:rPr>
        <w:t>Galvenais ir norādīt skaidru</w:t>
      </w:r>
      <w:r w:rsidR="000152CB" w:rsidRPr="00DF4295">
        <w:rPr>
          <w:rFonts w:ascii="Times New Roman" w:hAnsi="Times New Roman" w:cs="Times New Roman"/>
          <w:sz w:val="28"/>
          <w:szCs w:val="28"/>
        </w:rPr>
        <w:t xml:space="preserve"> izmaksu</w:t>
      </w:r>
      <w:r w:rsidR="00F65480" w:rsidRPr="00DF4295">
        <w:rPr>
          <w:rFonts w:ascii="Times New Roman" w:hAnsi="Times New Roman" w:cs="Times New Roman"/>
          <w:sz w:val="28"/>
          <w:szCs w:val="28"/>
        </w:rPr>
        <w:t xml:space="preserve"> bāzi, kuru </w:t>
      </w:r>
      <w:r w:rsidR="000152CB" w:rsidRPr="00DF4295">
        <w:rPr>
          <w:rFonts w:ascii="Times New Roman" w:hAnsi="Times New Roman" w:cs="Times New Roman"/>
          <w:sz w:val="28"/>
          <w:szCs w:val="28"/>
        </w:rPr>
        <w:t>izmantot VTNP</w:t>
      </w:r>
      <w:r w:rsidR="00F65480" w:rsidRPr="00DF4295">
        <w:rPr>
          <w:rFonts w:ascii="Times New Roman" w:hAnsi="Times New Roman" w:cs="Times New Roman"/>
          <w:sz w:val="28"/>
          <w:szCs w:val="28"/>
        </w:rPr>
        <w:t xml:space="preserve"> sniedzēja finansēšanai. Šāda </w:t>
      </w:r>
      <w:proofErr w:type="spellStart"/>
      <w:r w:rsidR="00F65480" w:rsidRPr="00DF4295">
        <w:rPr>
          <w:rFonts w:ascii="Times New Roman" w:hAnsi="Times New Roman" w:cs="Times New Roman"/>
          <w:sz w:val="28"/>
          <w:szCs w:val="28"/>
        </w:rPr>
        <w:t>pārredzamība</w:t>
      </w:r>
      <w:proofErr w:type="spellEnd"/>
      <w:r w:rsidR="00F65480" w:rsidRPr="00DF4295">
        <w:rPr>
          <w:rFonts w:ascii="Times New Roman" w:hAnsi="Times New Roman" w:cs="Times New Roman"/>
          <w:sz w:val="28"/>
          <w:szCs w:val="28"/>
        </w:rPr>
        <w:t xml:space="preserve"> ir nodokļu maksātāju interesēs</w:t>
      </w:r>
      <w:r w:rsidR="000152CB" w:rsidRPr="00DF4295">
        <w:rPr>
          <w:rFonts w:ascii="Times New Roman" w:hAnsi="Times New Roman" w:cs="Times New Roman"/>
          <w:sz w:val="28"/>
          <w:szCs w:val="28"/>
        </w:rPr>
        <w:t>, tāpat</w:t>
      </w:r>
      <w:r w:rsidR="0046780E">
        <w:rPr>
          <w:rFonts w:ascii="Times New Roman" w:hAnsi="Times New Roman" w:cs="Times New Roman"/>
          <w:sz w:val="28"/>
          <w:szCs w:val="28"/>
        </w:rPr>
        <w:t xml:space="preserve"> </w:t>
      </w:r>
      <w:r w:rsidR="000152CB" w:rsidRPr="00DF4295">
        <w:rPr>
          <w:rFonts w:ascii="Times New Roman" w:hAnsi="Times New Roman" w:cs="Times New Roman"/>
          <w:sz w:val="28"/>
          <w:szCs w:val="28"/>
        </w:rPr>
        <w:t>kā komercdarbības atbalsta kontroles politika kopumā</w:t>
      </w:r>
      <w:r w:rsidR="00211CC0" w:rsidRPr="00DF4295">
        <w:rPr>
          <w:rFonts w:ascii="Times New Roman" w:hAnsi="Times New Roman" w:cs="Times New Roman"/>
          <w:sz w:val="28"/>
          <w:szCs w:val="28"/>
        </w:rPr>
        <w:t>.</w:t>
      </w:r>
    </w:p>
    <w:p w14:paraId="303BADDE" w14:textId="41AD9604" w:rsidR="00F65480" w:rsidRPr="00DF4295" w:rsidRDefault="00F65480" w:rsidP="001D1B46">
      <w:pPr>
        <w:autoSpaceDE w:val="0"/>
        <w:autoSpaceDN w:val="0"/>
        <w:adjustRightInd w:val="0"/>
        <w:ind w:firstLine="720"/>
        <w:jc w:val="both"/>
        <w:rPr>
          <w:rFonts w:ascii="Times New Roman" w:hAnsi="Times New Roman" w:cs="Times New Roman"/>
          <w:sz w:val="28"/>
          <w:szCs w:val="28"/>
        </w:rPr>
      </w:pPr>
      <w:r w:rsidRPr="00DF4295">
        <w:rPr>
          <w:rFonts w:ascii="Times New Roman" w:hAnsi="Times New Roman" w:cs="Times New Roman"/>
          <w:sz w:val="28"/>
          <w:szCs w:val="28"/>
        </w:rPr>
        <w:t>Uzņēmums, kuram ir uzticēts VTNP, īpaši, ja tas ir jauns vai neliels uzņēmums, nevar</w:t>
      </w:r>
      <w:r w:rsidR="00211CC0" w:rsidRPr="00DF4295">
        <w:rPr>
          <w:rFonts w:ascii="Times New Roman" w:hAnsi="Times New Roman" w:cs="Times New Roman"/>
          <w:sz w:val="28"/>
          <w:szCs w:val="28"/>
        </w:rPr>
        <w:t>ētu</w:t>
      </w:r>
      <w:r w:rsidRPr="00DF4295">
        <w:rPr>
          <w:rFonts w:ascii="Times New Roman" w:hAnsi="Times New Roman" w:cs="Times New Roman"/>
          <w:sz w:val="28"/>
          <w:szCs w:val="28"/>
        </w:rPr>
        <w:t xml:space="preserve"> apņemties ievērot noteiktu budžetu vai cenu par vienību. Ja pieaug lietotāju </w:t>
      </w:r>
      <w:r w:rsidRPr="00DF4295">
        <w:rPr>
          <w:rFonts w:ascii="Times New Roman" w:hAnsi="Times New Roman" w:cs="Times New Roman"/>
          <w:sz w:val="28"/>
          <w:szCs w:val="28"/>
        </w:rPr>
        <w:lastRenderedPageBreak/>
        <w:t>skaits, nepārprotami palielinās arī izmaksas; ja daži lietotāji nespēj segt iepriekš noteikto maksu, ieņēmumi būs mazāki, u.tml. Tomēr tas nemaina veidu, kādā izmaksas veidojas (algu izmaksāšana, īres maksa u. c.) vai var tikt noteiktas</w:t>
      </w:r>
      <w:r w:rsidR="00211CC0" w:rsidRPr="00DF4295">
        <w:rPr>
          <w:rFonts w:ascii="Times New Roman" w:hAnsi="Times New Roman" w:cs="Times New Roman"/>
          <w:sz w:val="28"/>
          <w:szCs w:val="28"/>
        </w:rPr>
        <w:t xml:space="preserve">. </w:t>
      </w:r>
      <w:r w:rsidRPr="00DF4295">
        <w:rPr>
          <w:rFonts w:ascii="Times New Roman" w:hAnsi="Times New Roman" w:cs="Times New Roman"/>
          <w:sz w:val="28"/>
          <w:szCs w:val="28"/>
        </w:rPr>
        <w:t xml:space="preserve">Tas nozīmē to, ka </w:t>
      </w:r>
      <w:r w:rsidR="00211CC0" w:rsidRPr="00DF4295">
        <w:rPr>
          <w:rFonts w:ascii="Times New Roman" w:hAnsi="Times New Roman" w:cs="Times New Roman"/>
          <w:sz w:val="28"/>
          <w:szCs w:val="28"/>
        </w:rPr>
        <w:t xml:space="preserve">VTNP </w:t>
      </w:r>
      <w:r w:rsidRPr="00DF4295">
        <w:rPr>
          <w:rFonts w:ascii="Times New Roman" w:hAnsi="Times New Roman" w:cs="Times New Roman"/>
          <w:sz w:val="28"/>
          <w:szCs w:val="28"/>
        </w:rPr>
        <w:t xml:space="preserve">sniedzējam veidosies lielākas izmaksas un </w:t>
      </w:r>
      <w:r w:rsidR="00211CC0" w:rsidRPr="00DF4295">
        <w:rPr>
          <w:rFonts w:ascii="Times New Roman" w:hAnsi="Times New Roman" w:cs="Times New Roman"/>
          <w:sz w:val="28"/>
          <w:szCs w:val="28"/>
        </w:rPr>
        <w:t xml:space="preserve"> kompensācijas apmērs palielināsies</w:t>
      </w:r>
      <w:r w:rsidRPr="00DF4295">
        <w:rPr>
          <w:rFonts w:ascii="Times New Roman" w:hAnsi="Times New Roman" w:cs="Times New Roman"/>
          <w:sz w:val="28"/>
          <w:szCs w:val="28"/>
        </w:rPr>
        <w:t>.</w:t>
      </w:r>
    </w:p>
    <w:p w14:paraId="7C89E115" w14:textId="359D563F" w:rsidR="00F65480" w:rsidRPr="00DF4295" w:rsidRDefault="00F65480" w:rsidP="001D1B46">
      <w:pPr>
        <w:autoSpaceDE w:val="0"/>
        <w:autoSpaceDN w:val="0"/>
        <w:adjustRightInd w:val="0"/>
        <w:ind w:firstLine="720"/>
        <w:jc w:val="both"/>
        <w:rPr>
          <w:rFonts w:ascii="Times New Roman" w:hAnsi="Times New Roman" w:cs="Times New Roman"/>
          <w:sz w:val="28"/>
          <w:szCs w:val="28"/>
        </w:rPr>
      </w:pPr>
      <w:r w:rsidRPr="00DF4295">
        <w:rPr>
          <w:rFonts w:ascii="Times New Roman" w:hAnsi="Times New Roman" w:cs="Times New Roman"/>
          <w:sz w:val="28"/>
          <w:szCs w:val="28"/>
        </w:rPr>
        <w:t xml:space="preserve">Saskaņā ar VTNP lēmumu ir iespējams ņemt vērā visas iepriekš minētās situācijas. Ja pilnvarojuma aktā nav ieplānota situācijas maiņa vai neparedzamas situācijas, kuras var rasties VTNP sniegšanas laikā, viens veids šādu situāciju paredzēšanai ir noteikt </w:t>
      </w:r>
      <w:proofErr w:type="spellStart"/>
      <w:r w:rsidRPr="00DF4295">
        <w:rPr>
          <w:rFonts w:ascii="Times New Roman" w:hAnsi="Times New Roman" w:cs="Times New Roman"/>
          <w:i/>
          <w:iCs/>
          <w:sz w:val="28"/>
          <w:szCs w:val="28"/>
        </w:rPr>
        <w:t>ex</w:t>
      </w:r>
      <w:proofErr w:type="spellEnd"/>
      <w:r w:rsidRPr="00DF4295">
        <w:rPr>
          <w:rFonts w:ascii="Times New Roman" w:hAnsi="Times New Roman" w:cs="Times New Roman"/>
          <w:i/>
          <w:iCs/>
          <w:sz w:val="28"/>
          <w:szCs w:val="28"/>
        </w:rPr>
        <w:t xml:space="preserve"> post</w:t>
      </w:r>
      <w:r w:rsidRPr="00DF4295">
        <w:rPr>
          <w:rFonts w:ascii="Times New Roman" w:hAnsi="Times New Roman" w:cs="Times New Roman"/>
          <w:sz w:val="28"/>
          <w:szCs w:val="28"/>
        </w:rPr>
        <w:t xml:space="preserve"> mehānismu </w:t>
      </w:r>
      <w:r w:rsidR="004C631A" w:rsidRPr="00DF4295">
        <w:rPr>
          <w:rFonts w:ascii="Times New Roman" w:hAnsi="Times New Roman" w:cs="Times New Roman"/>
          <w:sz w:val="28"/>
          <w:szCs w:val="28"/>
        </w:rPr>
        <w:t>ap</w:t>
      </w:r>
      <w:r w:rsidRPr="00DF4295">
        <w:rPr>
          <w:rFonts w:ascii="Times New Roman" w:hAnsi="Times New Roman" w:cs="Times New Roman"/>
          <w:sz w:val="28"/>
          <w:szCs w:val="28"/>
        </w:rPr>
        <w:t>lēsto izmaksu koriģēšanai, ņemot vērā faktiskās izmaksas.</w:t>
      </w:r>
    </w:p>
    <w:p w14:paraId="508CCEC0" w14:textId="521264DB" w:rsidR="00F65480" w:rsidRPr="00DF4295" w:rsidRDefault="00F65480" w:rsidP="001D1B46">
      <w:pPr>
        <w:autoSpaceDE w:val="0"/>
        <w:autoSpaceDN w:val="0"/>
        <w:adjustRightInd w:val="0"/>
        <w:ind w:firstLine="720"/>
        <w:jc w:val="both"/>
        <w:rPr>
          <w:rFonts w:ascii="Times New Roman" w:hAnsi="Times New Roman" w:cs="Times New Roman"/>
          <w:sz w:val="28"/>
          <w:szCs w:val="28"/>
        </w:rPr>
      </w:pPr>
      <w:r w:rsidRPr="00DF4295">
        <w:rPr>
          <w:rFonts w:ascii="Times New Roman" w:hAnsi="Times New Roman" w:cs="Times New Roman"/>
          <w:sz w:val="28"/>
          <w:szCs w:val="28"/>
        </w:rPr>
        <w:t xml:space="preserve">Ja vien gada kompensācijas kopējā summa nepārsniedz </w:t>
      </w:r>
      <w:r w:rsidR="004C631A" w:rsidRPr="00DF4295">
        <w:rPr>
          <w:rFonts w:ascii="Times New Roman" w:hAnsi="Times New Roman" w:cs="Times New Roman"/>
          <w:sz w:val="28"/>
          <w:szCs w:val="28"/>
        </w:rPr>
        <w:t xml:space="preserve">VTNP </w:t>
      </w:r>
      <w:r w:rsidRPr="00DF4295">
        <w:rPr>
          <w:rFonts w:ascii="Times New Roman" w:hAnsi="Times New Roman" w:cs="Times New Roman"/>
          <w:sz w:val="28"/>
          <w:szCs w:val="28"/>
        </w:rPr>
        <w:t>lēmumā noteikto robežlielumu, pastāv divas iespējas:</w:t>
      </w:r>
    </w:p>
    <w:p w14:paraId="44E479C9" w14:textId="3B60E724" w:rsidR="00F65480" w:rsidRPr="00DF4295" w:rsidRDefault="00F65480" w:rsidP="00497585">
      <w:pPr>
        <w:pStyle w:val="ListParagraph"/>
        <w:numPr>
          <w:ilvl w:val="0"/>
          <w:numId w:val="15"/>
        </w:numPr>
        <w:autoSpaceDE w:val="0"/>
        <w:autoSpaceDN w:val="0"/>
        <w:adjustRightInd w:val="0"/>
        <w:ind w:hanging="294"/>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var pilnvarojuma aktā definēt </w:t>
      </w:r>
      <w:proofErr w:type="spellStart"/>
      <w:r w:rsidRPr="00DF4295">
        <w:rPr>
          <w:rFonts w:ascii="Times New Roman" w:hAnsi="Times New Roman" w:cs="Times New Roman"/>
          <w:i/>
          <w:iCs/>
          <w:sz w:val="28"/>
          <w:szCs w:val="28"/>
        </w:rPr>
        <w:t>ex</w:t>
      </w:r>
      <w:proofErr w:type="spellEnd"/>
      <w:r w:rsidRPr="00DF4295">
        <w:rPr>
          <w:rFonts w:ascii="Times New Roman" w:hAnsi="Times New Roman" w:cs="Times New Roman"/>
          <w:i/>
          <w:iCs/>
          <w:sz w:val="28"/>
          <w:szCs w:val="28"/>
        </w:rPr>
        <w:t xml:space="preserve"> post </w:t>
      </w:r>
      <w:r w:rsidRPr="00DF4295">
        <w:rPr>
          <w:rFonts w:ascii="Times New Roman" w:hAnsi="Times New Roman" w:cs="Times New Roman"/>
          <w:sz w:val="28"/>
          <w:szCs w:val="28"/>
        </w:rPr>
        <w:t>korekciju mehānismu, kas ļaus periodiski pārskatīt izmaksu parametrus;</w:t>
      </w:r>
    </w:p>
    <w:p w14:paraId="0C20EC4A" w14:textId="75F80DFC" w:rsidR="00F65480" w:rsidRPr="00DF4295" w:rsidRDefault="00F65480" w:rsidP="00497585">
      <w:pPr>
        <w:pStyle w:val="ListParagraph"/>
        <w:numPr>
          <w:ilvl w:val="0"/>
          <w:numId w:val="15"/>
        </w:numPr>
        <w:autoSpaceDE w:val="0"/>
        <w:autoSpaceDN w:val="0"/>
        <w:adjustRightInd w:val="0"/>
        <w:ind w:hanging="294"/>
        <w:contextualSpacing w:val="0"/>
        <w:jc w:val="both"/>
        <w:rPr>
          <w:rFonts w:ascii="Times New Roman" w:hAnsi="Times New Roman" w:cs="Times New Roman"/>
          <w:sz w:val="28"/>
          <w:szCs w:val="28"/>
        </w:rPr>
      </w:pPr>
      <w:r w:rsidRPr="00DF4295">
        <w:rPr>
          <w:rFonts w:ascii="Times New Roman" w:hAnsi="Times New Roman" w:cs="Times New Roman"/>
          <w:sz w:val="28"/>
          <w:szCs w:val="28"/>
        </w:rPr>
        <w:t xml:space="preserve">var atjaunināt </w:t>
      </w:r>
      <w:r w:rsidR="00800885" w:rsidRPr="00DF4295">
        <w:rPr>
          <w:rFonts w:ascii="Times New Roman" w:hAnsi="Times New Roman" w:cs="Times New Roman"/>
          <w:sz w:val="28"/>
          <w:szCs w:val="28"/>
        </w:rPr>
        <w:t>VTNP pilnvarojuma akta/kompensācijas aprēķina metodiku</w:t>
      </w:r>
      <w:r w:rsidRPr="00DF4295">
        <w:rPr>
          <w:rFonts w:ascii="Times New Roman" w:hAnsi="Times New Roman" w:cs="Times New Roman"/>
          <w:sz w:val="28"/>
          <w:szCs w:val="28"/>
        </w:rPr>
        <w:t>, ja t</w:t>
      </w:r>
      <w:r w:rsidR="002069EB">
        <w:rPr>
          <w:rFonts w:ascii="Times New Roman" w:hAnsi="Times New Roman" w:cs="Times New Roman"/>
          <w:sz w:val="28"/>
          <w:szCs w:val="28"/>
        </w:rPr>
        <w:t>iek</w:t>
      </w:r>
      <w:r w:rsidRPr="00DF4295">
        <w:rPr>
          <w:rFonts w:ascii="Times New Roman" w:hAnsi="Times New Roman" w:cs="Times New Roman"/>
          <w:sz w:val="28"/>
          <w:szCs w:val="28"/>
        </w:rPr>
        <w:t xml:space="preserve"> </w:t>
      </w:r>
      <w:r w:rsidR="00800885" w:rsidRPr="00DF4295">
        <w:rPr>
          <w:rFonts w:ascii="Times New Roman" w:hAnsi="Times New Roman" w:cs="Times New Roman"/>
          <w:sz w:val="28"/>
          <w:szCs w:val="28"/>
        </w:rPr>
        <w:t>konstatē</w:t>
      </w:r>
      <w:r w:rsidR="002069EB">
        <w:rPr>
          <w:rFonts w:ascii="Times New Roman" w:hAnsi="Times New Roman" w:cs="Times New Roman"/>
          <w:sz w:val="28"/>
          <w:szCs w:val="28"/>
        </w:rPr>
        <w:t>ts</w:t>
      </w:r>
      <w:r w:rsidRPr="00DF4295">
        <w:rPr>
          <w:rFonts w:ascii="Times New Roman" w:hAnsi="Times New Roman" w:cs="Times New Roman"/>
          <w:sz w:val="28"/>
          <w:szCs w:val="28"/>
        </w:rPr>
        <w:t>, ka ir nepieciešams mainīt kādu izmaksu parametru.</w:t>
      </w:r>
    </w:p>
    <w:p w14:paraId="6615854F" w14:textId="1D4CF363" w:rsidR="00F65480" w:rsidRPr="00DF4295" w:rsidRDefault="00F65480" w:rsidP="002069EB">
      <w:pPr>
        <w:autoSpaceDE w:val="0"/>
        <w:autoSpaceDN w:val="0"/>
        <w:adjustRightInd w:val="0"/>
        <w:ind w:firstLine="720"/>
        <w:jc w:val="both"/>
        <w:rPr>
          <w:rFonts w:ascii="Times New Roman" w:hAnsi="Times New Roman" w:cs="Times New Roman"/>
          <w:sz w:val="28"/>
          <w:szCs w:val="28"/>
        </w:rPr>
      </w:pPr>
      <w:r w:rsidRPr="00DF4295">
        <w:rPr>
          <w:rFonts w:ascii="Times New Roman" w:hAnsi="Times New Roman" w:cs="Times New Roman"/>
          <w:sz w:val="28"/>
          <w:szCs w:val="28"/>
        </w:rPr>
        <w:t xml:space="preserve">Saskaņā ar VTNP lēmuma 5. panta 2. punktu pastāv divas metodoloģijas, kuras var izmantot, lai aprēķinātu </w:t>
      </w:r>
      <w:r w:rsidR="00272564" w:rsidRPr="00DF4295">
        <w:rPr>
          <w:rFonts w:ascii="Times New Roman" w:hAnsi="Times New Roman" w:cs="Times New Roman"/>
          <w:sz w:val="28"/>
          <w:szCs w:val="28"/>
        </w:rPr>
        <w:t>VTNP</w:t>
      </w:r>
      <w:r w:rsidRPr="00DF4295">
        <w:rPr>
          <w:rFonts w:ascii="Times New Roman" w:hAnsi="Times New Roman" w:cs="Times New Roman"/>
          <w:sz w:val="28"/>
          <w:szCs w:val="28"/>
        </w:rPr>
        <w:t xml:space="preserve"> neto izmaksas:</w:t>
      </w:r>
    </w:p>
    <w:p w14:paraId="62A80AE7" w14:textId="10D2C11C" w:rsidR="00F65480" w:rsidRPr="00DF4295" w:rsidRDefault="00F65480" w:rsidP="00097423">
      <w:pPr>
        <w:pStyle w:val="ListParagraph"/>
        <w:numPr>
          <w:ilvl w:val="0"/>
          <w:numId w:val="16"/>
        </w:numPr>
        <w:autoSpaceDE w:val="0"/>
        <w:autoSpaceDN w:val="0"/>
        <w:adjustRightInd w:val="0"/>
        <w:ind w:left="709"/>
        <w:contextualSpacing w:val="0"/>
        <w:jc w:val="both"/>
        <w:rPr>
          <w:rFonts w:ascii="Times New Roman" w:hAnsi="Times New Roman" w:cs="Times New Roman"/>
          <w:sz w:val="28"/>
          <w:szCs w:val="28"/>
        </w:rPr>
      </w:pPr>
      <w:r w:rsidRPr="00DF4295">
        <w:rPr>
          <w:rFonts w:ascii="Times New Roman" w:hAnsi="Times New Roman" w:cs="Times New Roman"/>
          <w:sz w:val="28"/>
          <w:szCs w:val="28"/>
        </w:rPr>
        <w:t>neto izmaksas var aprēķināt kā starpību starp izmaksām un ieņē</w:t>
      </w:r>
      <w:r w:rsidR="00CE163D" w:rsidRPr="00DF4295">
        <w:rPr>
          <w:rFonts w:ascii="Times New Roman" w:hAnsi="Times New Roman" w:cs="Times New Roman"/>
          <w:sz w:val="28"/>
          <w:szCs w:val="28"/>
        </w:rPr>
        <w:t xml:space="preserve">mumiem (izmaksu sadales metode). </w:t>
      </w:r>
      <w:r w:rsidR="00D51CB2" w:rsidRPr="00DF4295">
        <w:rPr>
          <w:rFonts w:ascii="Times New Roman" w:hAnsi="Times New Roman" w:cs="Times New Roman"/>
          <w:sz w:val="28"/>
          <w:szCs w:val="28"/>
        </w:rPr>
        <w:t xml:space="preserve">Šajā gadījumā tiek ņemtas vērā visas tās izmaksas, kas radušās sniedzot VTNP un ieņēmumi, kas gūti sniedzot VTNP, neatkarīgi no tā, vai ieņēmumi ir klasificēti kā komercdarbības atbalsts Līguma 107.panta nozīmē (skat. VTNP lēmuma 5.panta 3. un 4.punktu). </w:t>
      </w:r>
      <w:r w:rsidR="00CE163D" w:rsidRPr="00DF4295">
        <w:rPr>
          <w:rFonts w:ascii="Times New Roman" w:hAnsi="Times New Roman" w:cs="Times New Roman"/>
          <w:sz w:val="28"/>
          <w:szCs w:val="28"/>
        </w:rPr>
        <w:t>Ja</w:t>
      </w:r>
      <w:r w:rsidRPr="00DF4295">
        <w:rPr>
          <w:rFonts w:ascii="Times New Roman" w:hAnsi="Times New Roman" w:cs="Times New Roman"/>
          <w:sz w:val="28"/>
          <w:szCs w:val="28"/>
        </w:rPr>
        <w:t xml:space="preserve"> attiecīgais uzņēmums veic arī tādas darbības, uz kurām neattiecas VTNP darbības joma, ņem vērā tikai tās izmak</w:t>
      </w:r>
      <w:r w:rsidR="00CE163D" w:rsidRPr="00DF4295">
        <w:rPr>
          <w:rFonts w:ascii="Times New Roman" w:hAnsi="Times New Roman" w:cs="Times New Roman"/>
          <w:sz w:val="28"/>
          <w:szCs w:val="28"/>
        </w:rPr>
        <w:t>sas, kuras ir saistītas ar VTNP.</w:t>
      </w:r>
    </w:p>
    <w:p w14:paraId="63B72CA3" w14:textId="483D764E" w:rsidR="00F65480" w:rsidRPr="00DF4295" w:rsidRDefault="00F65480" w:rsidP="00097423">
      <w:pPr>
        <w:pStyle w:val="ListParagraph"/>
        <w:numPr>
          <w:ilvl w:val="0"/>
          <w:numId w:val="16"/>
        </w:numPr>
        <w:autoSpaceDE w:val="0"/>
        <w:autoSpaceDN w:val="0"/>
        <w:adjustRightInd w:val="0"/>
        <w:ind w:left="709"/>
        <w:contextualSpacing w:val="0"/>
        <w:jc w:val="both"/>
        <w:rPr>
          <w:rFonts w:ascii="Times New Roman" w:hAnsi="Times New Roman" w:cs="Times New Roman"/>
          <w:sz w:val="28"/>
          <w:szCs w:val="28"/>
        </w:rPr>
      </w:pPr>
      <w:r w:rsidRPr="00DF4295">
        <w:rPr>
          <w:rFonts w:ascii="Times New Roman" w:hAnsi="Times New Roman" w:cs="Times New Roman"/>
          <w:sz w:val="28"/>
          <w:szCs w:val="28"/>
        </w:rPr>
        <w:t>alternatīva ir neto izmaksas aprēķināt kā starpību starp neto izmaksām, kas uzņēmumam rodas, veicot darbību</w:t>
      </w:r>
      <w:r w:rsidR="00CE163D" w:rsidRPr="00DF4295">
        <w:rPr>
          <w:rFonts w:ascii="Times New Roman" w:hAnsi="Times New Roman" w:cs="Times New Roman"/>
          <w:sz w:val="28"/>
          <w:szCs w:val="28"/>
        </w:rPr>
        <w:t>, kas ir VTNP</w:t>
      </w:r>
      <w:r w:rsidRPr="00DF4295">
        <w:rPr>
          <w:rFonts w:ascii="Times New Roman" w:hAnsi="Times New Roman" w:cs="Times New Roman"/>
          <w:sz w:val="28"/>
          <w:szCs w:val="28"/>
        </w:rPr>
        <w:t xml:space="preserve"> saistības, un neto izmaksām vai peļņu, kas veidojas tam pašam uzņēmumam, veicot darbību, kas nav </w:t>
      </w:r>
      <w:r w:rsidR="00F168AE">
        <w:rPr>
          <w:rFonts w:ascii="Times New Roman" w:hAnsi="Times New Roman" w:cs="Times New Roman"/>
          <w:sz w:val="28"/>
          <w:szCs w:val="28"/>
        </w:rPr>
        <w:t>VTNP</w:t>
      </w:r>
      <w:r w:rsidRPr="00DF4295">
        <w:rPr>
          <w:rFonts w:ascii="Times New Roman" w:hAnsi="Times New Roman" w:cs="Times New Roman"/>
          <w:sz w:val="28"/>
          <w:szCs w:val="28"/>
        </w:rPr>
        <w:t xml:space="preserve"> saistības (novērsto neto izmaksu metode). </w:t>
      </w:r>
    </w:p>
    <w:p w14:paraId="05385890" w14:textId="339687F6" w:rsidR="00F65480" w:rsidRPr="00DF4295" w:rsidRDefault="00F65480" w:rsidP="001D1B46">
      <w:pPr>
        <w:autoSpaceDE w:val="0"/>
        <w:autoSpaceDN w:val="0"/>
        <w:adjustRightInd w:val="0"/>
        <w:jc w:val="both"/>
        <w:rPr>
          <w:rFonts w:ascii="Times New Roman" w:hAnsi="Times New Roman" w:cs="Times New Roman"/>
          <w:sz w:val="28"/>
          <w:szCs w:val="28"/>
        </w:rPr>
      </w:pPr>
      <w:r w:rsidRPr="00DF4295">
        <w:rPr>
          <w:rFonts w:ascii="Times New Roman" w:hAnsi="Times New Roman" w:cs="Times New Roman"/>
          <w:sz w:val="28"/>
          <w:szCs w:val="28"/>
        </w:rPr>
        <w:t xml:space="preserve">Pretstatā </w:t>
      </w:r>
      <w:r w:rsidR="004C631A" w:rsidRPr="00DF4295">
        <w:rPr>
          <w:rFonts w:ascii="Times New Roman" w:hAnsi="Times New Roman" w:cs="Times New Roman"/>
          <w:sz w:val="28"/>
          <w:szCs w:val="28"/>
        </w:rPr>
        <w:t xml:space="preserve">VTNP </w:t>
      </w:r>
      <w:r w:rsidRPr="00DF4295">
        <w:rPr>
          <w:rFonts w:ascii="Times New Roman" w:hAnsi="Times New Roman" w:cs="Times New Roman"/>
          <w:sz w:val="28"/>
          <w:szCs w:val="28"/>
        </w:rPr>
        <w:t xml:space="preserve">nostādnēm </w:t>
      </w:r>
      <w:r w:rsidR="004C631A" w:rsidRPr="00DF4295">
        <w:rPr>
          <w:rFonts w:ascii="Times New Roman" w:hAnsi="Times New Roman" w:cs="Times New Roman"/>
          <w:sz w:val="28"/>
          <w:szCs w:val="28"/>
        </w:rPr>
        <w:t xml:space="preserve">VTNP </w:t>
      </w:r>
      <w:r w:rsidRPr="00DF4295">
        <w:rPr>
          <w:rFonts w:ascii="Times New Roman" w:hAnsi="Times New Roman" w:cs="Times New Roman"/>
          <w:sz w:val="28"/>
          <w:szCs w:val="28"/>
        </w:rPr>
        <w:t xml:space="preserve">lēmumā nav noteikta viena konkrēta metode: </w:t>
      </w:r>
      <w:r w:rsidR="00D51CB2" w:rsidRPr="00DF4295">
        <w:rPr>
          <w:rFonts w:ascii="Times New Roman" w:hAnsi="Times New Roman" w:cs="Times New Roman"/>
          <w:sz w:val="28"/>
          <w:szCs w:val="28"/>
        </w:rPr>
        <w:t>VTNP sniegšanas pienākuma saistības uzlicējs</w:t>
      </w:r>
      <w:r w:rsidRPr="00DF4295">
        <w:rPr>
          <w:rFonts w:ascii="Times New Roman" w:hAnsi="Times New Roman" w:cs="Times New Roman"/>
          <w:sz w:val="28"/>
          <w:szCs w:val="28"/>
        </w:rPr>
        <w:t xml:space="preserve"> var izvēlēties, kura metode konkrētajā gadījumā ir piemērotāka. </w:t>
      </w:r>
      <w:r w:rsidR="00272564" w:rsidRPr="00DF4295">
        <w:rPr>
          <w:rFonts w:ascii="Times New Roman" w:hAnsi="Times New Roman" w:cs="Times New Roman"/>
          <w:sz w:val="28"/>
          <w:szCs w:val="28"/>
        </w:rPr>
        <w:t>Praksē biežāk</w:t>
      </w:r>
      <w:r w:rsidRPr="00DF4295">
        <w:rPr>
          <w:rFonts w:ascii="Times New Roman" w:hAnsi="Times New Roman" w:cs="Times New Roman"/>
          <w:sz w:val="28"/>
          <w:szCs w:val="28"/>
        </w:rPr>
        <w:t xml:space="preserve"> tiek izmantota  izmaksu sadales metode</w:t>
      </w:r>
      <w:r w:rsidR="00D51CB2" w:rsidRPr="00DF4295">
        <w:rPr>
          <w:rFonts w:ascii="Times New Roman" w:hAnsi="Times New Roman" w:cs="Times New Roman"/>
          <w:sz w:val="28"/>
          <w:szCs w:val="28"/>
        </w:rPr>
        <w:t>, bet var būt situācijas, kur varētu tikt izmantota novērsto neto izmaksu metode, piemēram, gadījumos, kur uzņēmumam ir uzticēts pienākums sniegt VTNP pakalpojumu un līdzīgu pakalpojumu uzņēmums nodrošina arī tirgū</w:t>
      </w:r>
      <w:r w:rsidR="00272564" w:rsidRPr="00DF4295">
        <w:rPr>
          <w:rFonts w:ascii="Times New Roman" w:hAnsi="Times New Roman" w:cs="Times New Roman"/>
          <w:sz w:val="28"/>
          <w:szCs w:val="28"/>
        </w:rPr>
        <w:t xml:space="preserve">. </w:t>
      </w:r>
    </w:p>
    <w:p w14:paraId="5DAA3CA4" w14:textId="774937A4" w:rsidR="00F65480" w:rsidRPr="00DF4295" w:rsidRDefault="008C7A56" w:rsidP="001D1B46">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VTNP </w:t>
      </w:r>
      <w:r w:rsidR="00C4617B">
        <w:rPr>
          <w:rFonts w:ascii="Times New Roman" w:hAnsi="Times New Roman" w:cs="Times New Roman"/>
          <w:sz w:val="28"/>
          <w:szCs w:val="28"/>
        </w:rPr>
        <w:t xml:space="preserve">lēmuma 5.panta 1.punktā, nosakot kompensācijas summu, sniegta iespēja  kompensācijas summā ietvert arī saprātīgu peļņu.  </w:t>
      </w:r>
      <w:r w:rsidR="00F65480" w:rsidRPr="00DF4295">
        <w:rPr>
          <w:rFonts w:ascii="Times New Roman" w:hAnsi="Times New Roman" w:cs="Times New Roman"/>
          <w:sz w:val="28"/>
          <w:szCs w:val="28"/>
        </w:rPr>
        <w:t>Saskaņā ar VTNP lēmuma 5. panta 5. punktu „saprātīga peļņa” ir kapitāla rentabilitātes koeficients, kādu vēlētos panākt tipisks uzņēmums</w:t>
      </w:r>
      <w:r w:rsidR="00323ABD" w:rsidRPr="00DF4295">
        <w:rPr>
          <w:rFonts w:ascii="Times New Roman" w:hAnsi="Times New Roman" w:cs="Times New Roman"/>
          <w:sz w:val="28"/>
          <w:szCs w:val="28"/>
        </w:rPr>
        <w:t xml:space="preserve"> konkrētajā gadījumā</w:t>
      </w:r>
      <w:r w:rsidR="00F65480" w:rsidRPr="00DF4295">
        <w:rPr>
          <w:rFonts w:ascii="Times New Roman" w:hAnsi="Times New Roman" w:cs="Times New Roman"/>
          <w:sz w:val="28"/>
          <w:szCs w:val="28"/>
        </w:rPr>
        <w:t xml:space="preserve">, kurš apsver VTNP sniegšanas iespēju visā pilnvarojuma periodā, ņemot vērā riska līmeni. Termins „kapitāla rentabilitātes koeficients” nozīmē iekšējo peļņas normu, ko uzņēmums gūst par savu ieguldīto kapitālu pilnvarojuma periodā. Riska līmenis ir atkarīgs no attiecīgās nozares, pakalpojuma veida un </w:t>
      </w:r>
      <w:r w:rsidR="00F65480" w:rsidRPr="00DF4295">
        <w:rPr>
          <w:rFonts w:ascii="Times New Roman" w:hAnsi="Times New Roman" w:cs="Times New Roman"/>
          <w:sz w:val="28"/>
          <w:szCs w:val="28"/>
        </w:rPr>
        <w:lastRenderedPageBreak/>
        <w:t>kompensācijas iezīmēm. VTNP lēmuma 5. panta 8. punkts paredz: „Ja, ņemot vērā īpašus apstākļus, kapitāla rentabilitātes koeficienta izmantošana nav lietderīga, dalībvalstis var paļauties uz citiem peļņas līmeņa rādītājiem, nevis kapitāla rentabilitātes koeficientu, lai noteiktu, kādai vajadzētu būt saprātīgai peļņai, piemēram, pašu kapitāla vidējā atdeve, ieguldītā kapitāla rentabilitātes koeficients, peļņa no aktīviem vai apgrozījuma rentabilitāte.” VTNP lēmuma 5. panta 7. punktā ir paredzēts t. s. „drošās zonas” noteikums, saskaņā ar kuru kapitāla rentabilitātes koeficients</w:t>
      </w:r>
      <w:r w:rsidR="00BD6DF1" w:rsidRPr="00DF4295">
        <w:rPr>
          <w:rFonts w:ascii="Times New Roman" w:hAnsi="Times New Roman" w:cs="Times New Roman"/>
          <w:sz w:val="28"/>
          <w:szCs w:val="28"/>
        </w:rPr>
        <w:t xml:space="preserve"> </w:t>
      </w:r>
      <w:r w:rsidR="00F65480" w:rsidRPr="00DF4295">
        <w:rPr>
          <w:rFonts w:ascii="Times New Roman" w:hAnsi="Times New Roman" w:cs="Times New Roman"/>
          <w:sz w:val="28"/>
          <w:szCs w:val="28"/>
        </w:rPr>
        <w:t>nepārsniedz mijmaiņas darījumu likmi</w:t>
      </w:r>
      <w:r w:rsidR="00C653B5" w:rsidRPr="00DF4295">
        <w:rPr>
          <w:rStyle w:val="FootnoteReference"/>
          <w:rFonts w:ascii="Times New Roman" w:hAnsi="Times New Roman" w:cs="Times New Roman"/>
          <w:sz w:val="28"/>
          <w:szCs w:val="28"/>
        </w:rPr>
        <w:footnoteReference w:id="28"/>
      </w:r>
      <w:r w:rsidR="00F65480" w:rsidRPr="00DF4295">
        <w:rPr>
          <w:rFonts w:ascii="Times New Roman" w:hAnsi="Times New Roman" w:cs="Times New Roman"/>
          <w:sz w:val="28"/>
          <w:szCs w:val="28"/>
        </w:rPr>
        <w:t>ar prēmiju 100 bāzes punktu apmērā, tiek jebkurā gadījumā uzskatīts par saprātīgu. Šī likme ir arī saprātīgas peļņas augšējā robeža, ja pakalpojuma sniegšana nav saistīta ar būtisku risku</w:t>
      </w:r>
      <w:r w:rsidR="00BD6DF1" w:rsidRPr="00DF4295">
        <w:rPr>
          <w:rFonts w:ascii="Times New Roman" w:hAnsi="Times New Roman" w:cs="Times New Roman"/>
          <w:sz w:val="28"/>
          <w:szCs w:val="28"/>
        </w:rPr>
        <w:t xml:space="preserve">, vai, ja tiek piemērota </w:t>
      </w:r>
      <w:proofErr w:type="spellStart"/>
      <w:r w:rsidR="00BD6DF1" w:rsidRPr="00DF4295">
        <w:rPr>
          <w:rFonts w:ascii="Times New Roman" w:hAnsi="Times New Roman" w:cs="Times New Roman"/>
          <w:i/>
          <w:sz w:val="28"/>
          <w:szCs w:val="28"/>
        </w:rPr>
        <w:t>ex</w:t>
      </w:r>
      <w:proofErr w:type="spellEnd"/>
      <w:r w:rsidR="00AB561A" w:rsidRPr="00DF4295">
        <w:rPr>
          <w:rFonts w:ascii="Times New Roman" w:hAnsi="Times New Roman" w:cs="Times New Roman"/>
          <w:sz w:val="28"/>
          <w:szCs w:val="28"/>
        </w:rPr>
        <w:t xml:space="preserve"> </w:t>
      </w:r>
      <w:r w:rsidR="00BD6DF1" w:rsidRPr="00DF4295">
        <w:rPr>
          <w:rFonts w:ascii="Times New Roman" w:hAnsi="Times New Roman" w:cs="Times New Roman"/>
          <w:i/>
          <w:sz w:val="28"/>
          <w:szCs w:val="28"/>
        </w:rPr>
        <w:t>post</w:t>
      </w:r>
      <w:r w:rsidR="00BD6DF1" w:rsidRPr="00DF4295">
        <w:rPr>
          <w:rFonts w:ascii="Times New Roman" w:hAnsi="Times New Roman" w:cs="Times New Roman"/>
          <w:sz w:val="28"/>
          <w:szCs w:val="28"/>
        </w:rPr>
        <w:t xml:space="preserve"> kompensācija pilnā apmērā.</w:t>
      </w:r>
    </w:p>
    <w:p w14:paraId="5D674828" w14:textId="64B4FB52" w:rsidR="001E4B03" w:rsidRPr="001329EC" w:rsidRDefault="00F65480" w:rsidP="001329EC">
      <w:pPr>
        <w:pStyle w:val="ListParagraph"/>
        <w:ind w:left="0" w:firstLine="567"/>
        <w:contextualSpacing w:val="0"/>
        <w:jc w:val="both"/>
        <w:rPr>
          <w:rFonts w:ascii="Times New Roman" w:hAnsi="Times New Roman" w:cs="Times New Roman"/>
          <w:sz w:val="28"/>
          <w:szCs w:val="28"/>
        </w:rPr>
      </w:pPr>
      <w:r w:rsidRPr="00DF4295">
        <w:rPr>
          <w:rFonts w:ascii="Times New Roman" w:hAnsi="Times New Roman" w:cs="Times New Roman"/>
          <w:sz w:val="28"/>
          <w:szCs w:val="28"/>
        </w:rPr>
        <w:t>Iekšējā grāmatvedības uzskaitē jābūt iespējai noteikt izmaksas, kuras ir saistītas ar VTNP sniegšanu, jo pretējā gadījumā nevar noteikt kompensācijas apmēru. Turklāt uzņēmumam, kuram uzticēts sniegt VTNP, jāspēj pierādīt, ka tas nav saņēmis pārmērīgu kompensāciju. Tādēļ pastāv praktiska nepieciešamība nodrošināt atsevišķu grāmatvedības uzskaiti.</w:t>
      </w:r>
    </w:p>
    <w:p w14:paraId="25C7D34E" w14:textId="51A15D59" w:rsidR="00FB4840" w:rsidRPr="00DF4295" w:rsidRDefault="002C2E31" w:rsidP="001D1B46">
      <w:pPr>
        <w:pStyle w:val="Heading1"/>
        <w:spacing w:before="120" w:after="120"/>
        <w:ind w:left="360"/>
        <w:rPr>
          <w:rFonts w:cs="Times New Roman"/>
          <w:sz w:val="28"/>
          <w:szCs w:val="28"/>
        </w:rPr>
      </w:pPr>
      <w:bookmarkStart w:id="27" w:name="_Toc500939853"/>
      <w:bookmarkStart w:id="28" w:name="_Toc15391544"/>
      <w:r w:rsidRPr="00DF4295">
        <w:rPr>
          <w:rFonts w:cs="Times New Roman"/>
          <w:sz w:val="28"/>
          <w:szCs w:val="28"/>
        </w:rPr>
        <w:t xml:space="preserve">4.4. </w:t>
      </w:r>
      <w:r w:rsidR="005D4FE8" w:rsidRPr="00DF4295">
        <w:rPr>
          <w:rFonts w:cs="Times New Roman"/>
          <w:sz w:val="28"/>
          <w:szCs w:val="28"/>
        </w:rPr>
        <w:t>U</w:t>
      </w:r>
      <w:r w:rsidR="00FB4840" w:rsidRPr="00DF4295">
        <w:rPr>
          <w:rFonts w:cs="Times New Roman"/>
          <w:sz w:val="28"/>
          <w:szCs w:val="28"/>
        </w:rPr>
        <w:t>zraudzība un pārkompensācijas novēršana</w:t>
      </w:r>
      <w:bookmarkEnd w:id="27"/>
      <w:bookmarkEnd w:id="28"/>
    </w:p>
    <w:p w14:paraId="7E021719" w14:textId="3AD08CE6" w:rsidR="00FB4840" w:rsidRPr="00DF4295" w:rsidRDefault="00FB4840" w:rsidP="001D1B46">
      <w:pPr>
        <w:autoSpaceDE w:val="0"/>
        <w:autoSpaceDN w:val="0"/>
        <w:adjustRightInd w:val="0"/>
        <w:ind w:firstLine="720"/>
        <w:jc w:val="both"/>
        <w:rPr>
          <w:rFonts w:ascii="Times New Roman" w:hAnsi="Times New Roman" w:cs="Times New Roman"/>
          <w:sz w:val="28"/>
          <w:szCs w:val="28"/>
        </w:rPr>
      </w:pPr>
      <w:r w:rsidRPr="00DF4295">
        <w:rPr>
          <w:rFonts w:ascii="Times New Roman" w:hAnsi="Times New Roman" w:cs="Times New Roman"/>
          <w:sz w:val="28"/>
          <w:szCs w:val="28"/>
        </w:rPr>
        <w:t xml:space="preserve">Ar pārmērīgu kompensāciju saprot uzņēmumam izmaksātu kompensāciju, kas pārsniedz summu, kāda ir nepieciešama neto izmaksu segšanai par </w:t>
      </w:r>
      <w:r w:rsidR="00F168AE">
        <w:rPr>
          <w:rFonts w:ascii="Times New Roman" w:hAnsi="Times New Roman" w:cs="Times New Roman"/>
          <w:sz w:val="28"/>
          <w:szCs w:val="28"/>
        </w:rPr>
        <w:t>VTNP</w:t>
      </w:r>
      <w:r w:rsidRPr="00DF4295">
        <w:rPr>
          <w:rFonts w:ascii="Times New Roman" w:hAnsi="Times New Roman" w:cs="Times New Roman"/>
          <w:sz w:val="28"/>
          <w:szCs w:val="28"/>
        </w:rPr>
        <w:t xml:space="preserve"> saistību izpildi, ieskaitot saprātīgu peļņu. VTNP lēmuma 5. pantā ir sniegtas norādes par to, kā nosakāmas neto izmaksas par </w:t>
      </w:r>
      <w:r w:rsidR="00F168AE">
        <w:rPr>
          <w:rFonts w:ascii="Times New Roman" w:hAnsi="Times New Roman" w:cs="Times New Roman"/>
          <w:sz w:val="28"/>
          <w:szCs w:val="28"/>
        </w:rPr>
        <w:t xml:space="preserve">VTNP </w:t>
      </w:r>
      <w:r w:rsidRPr="00DF4295">
        <w:rPr>
          <w:rFonts w:ascii="Times New Roman" w:hAnsi="Times New Roman" w:cs="Times New Roman"/>
          <w:sz w:val="28"/>
          <w:szCs w:val="28"/>
        </w:rPr>
        <w:t xml:space="preserve"> saistību pildīšanu, tostarp saprātīga peļņa. </w:t>
      </w:r>
      <w:r w:rsidR="005D4FE8" w:rsidRPr="00DF4295">
        <w:rPr>
          <w:rFonts w:ascii="Times New Roman" w:hAnsi="Times New Roman" w:cs="Times New Roman"/>
          <w:sz w:val="28"/>
          <w:szCs w:val="28"/>
        </w:rPr>
        <w:t>Lūdzam skatīt skaidrojumus iepriekšējā nodaļā.</w:t>
      </w:r>
    </w:p>
    <w:p w14:paraId="0DB67069" w14:textId="2EC870BE" w:rsidR="00FB4840" w:rsidRPr="00DF4295" w:rsidRDefault="00FB4840" w:rsidP="001D1B46">
      <w:pPr>
        <w:autoSpaceDE w:val="0"/>
        <w:autoSpaceDN w:val="0"/>
        <w:adjustRightInd w:val="0"/>
        <w:ind w:firstLine="720"/>
        <w:jc w:val="both"/>
        <w:rPr>
          <w:rFonts w:ascii="Times New Roman" w:hAnsi="Times New Roman" w:cs="Times New Roman"/>
          <w:sz w:val="28"/>
          <w:szCs w:val="28"/>
        </w:rPr>
      </w:pPr>
      <w:r w:rsidRPr="00DF4295">
        <w:rPr>
          <w:rFonts w:ascii="Times New Roman" w:hAnsi="Times New Roman" w:cs="Times New Roman"/>
          <w:sz w:val="28"/>
          <w:szCs w:val="28"/>
        </w:rPr>
        <w:t xml:space="preserve">Elastības nolūkos </w:t>
      </w:r>
      <w:r w:rsidR="005D4FE8" w:rsidRPr="00DF4295">
        <w:rPr>
          <w:rFonts w:ascii="Times New Roman" w:hAnsi="Times New Roman" w:cs="Times New Roman"/>
          <w:sz w:val="28"/>
          <w:szCs w:val="28"/>
        </w:rPr>
        <w:t xml:space="preserve">ir pieļaujams, ka </w:t>
      </w:r>
      <w:r w:rsidRPr="00DF4295">
        <w:rPr>
          <w:rFonts w:ascii="Times New Roman" w:hAnsi="Times New Roman" w:cs="Times New Roman"/>
          <w:sz w:val="28"/>
          <w:szCs w:val="28"/>
        </w:rPr>
        <w:t>VTNP sniedzējs atsevišķā gadā var</w:t>
      </w:r>
      <w:r w:rsidR="005D4FE8" w:rsidRPr="00DF4295">
        <w:rPr>
          <w:rFonts w:ascii="Times New Roman" w:hAnsi="Times New Roman" w:cs="Times New Roman"/>
          <w:sz w:val="28"/>
          <w:szCs w:val="28"/>
        </w:rPr>
        <w:t>ētu</w:t>
      </w:r>
      <w:r w:rsidRPr="00DF4295">
        <w:rPr>
          <w:rFonts w:ascii="Times New Roman" w:hAnsi="Times New Roman" w:cs="Times New Roman"/>
          <w:sz w:val="28"/>
          <w:szCs w:val="28"/>
        </w:rPr>
        <w:t xml:space="preserve"> saņemt kompensāciju, kuras apmērs pārsniedz neto izmaksas saistībā</w:t>
      </w:r>
      <w:r w:rsidR="005D4FE8" w:rsidRPr="00DF4295">
        <w:rPr>
          <w:rFonts w:ascii="Times New Roman" w:hAnsi="Times New Roman" w:cs="Times New Roman"/>
          <w:sz w:val="28"/>
          <w:szCs w:val="28"/>
        </w:rPr>
        <w:t xml:space="preserve"> ar</w:t>
      </w:r>
      <w:r w:rsidRPr="00DF4295">
        <w:rPr>
          <w:rFonts w:ascii="Times New Roman" w:hAnsi="Times New Roman" w:cs="Times New Roman"/>
          <w:sz w:val="28"/>
          <w:szCs w:val="28"/>
        </w:rPr>
        <w:t xml:space="preserve"> </w:t>
      </w:r>
      <w:r w:rsidR="005D4FE8" w:rsidRPr="00DF4295">
        <w:rPr>
          <w:rFonts w:ascii="Times New Roman" w:hAnsi="Times New Roman" w:cs="Times New Roman"/>
          <w:sz w:val="28"/>
          <w:szCs w:val="28"/>
        </w:rPr>
        <w:t xml:space="preserve">VTNP </w:t>
      </w:r>
      <w:r w:rsidRPr="00DF4295">
        <w:rPr>
          <w:rFonts w:ascii="Times New Roman" w:hAnsi="Times New Roman" w:cs="Times New Roman"/>
          <w:sz w:val="28"/>
          <w:szCs w:val="28"/>
        </w:rPr>
        <w:t xml:space="preserve">saistību pildīšanu, ja vien pārmērīga kompensācija nepastāv, skatot </w:t>
      </w:r>
      <w:r w:rsidR="005D4FE8" w:rsidRPr="00DF4295">
        <w:rPr>
          <w:rFonts w:ascii="Times New Roman" w:hAnsi="Times New Roman" w:cs="Times New Roman"/>
          <w:sz w:val="28"/>
          <w:szCs w:val="28"/>
        </w:rPr>
        <w:t xml:space="preserve">pilnvarojuma akta </w:t>
      </w:r>
      <w:r w:rsidRPr="00DF4295">
        <w:rPr>
          <w:rFonts w:ascii="Times New Roman" w:hAnsi="Times New Roman" w:cs="Times New Roman"/>
          <w:sz w:val="28"/>
          <w:szCs w:val="28"/>
        </w:rPr>
        <w:t xml:space="preserve">darbības laiku kopumā. Tomēr, lai nepieļautu gadījumus, kad atbalsta saņēmējs saņem pārmērīgu kompensāciju visā līguma laikā, VTNP lēmuma 6. pantā ir noteikts, ka </w:t>
      </w:r>
      <w:r w:rsidR="00E76E38" w:rsidRPr="00DF4295">
        <w:rPr>
          <w:rFonts w:ascii="Times New Roman" w:hAnsi="Times New Roman" w:cs="Times New Roman"/>
          <w:sz w:val="28"/>
          <w:szCs w:val="28"/>
        </w:rPr>
        <w:t xml:space="preserve">pilnvarojuma devējam </w:t>
      </w:r>
      <w:r w:rsidRPr="00DF4295">
        <w:rPr>
          <w:rFonts w:ascii="Times New Roman" w:hAnsi="Times New Roman" w:cs="Times New Roman"/>
          <w:sz w:val="28"/>
          <w:szCs w:val="28"/>
        </w:rPr>
        <w:t xml:space="preserve">jāveic regulāras starpposma pārbaudes (vismaz reizi trīs gados) pilnvarojuma perioda laikā un tā beigās. Ja uzņēmums ir saņēmis pārmērīgu kompensāciju, kas pārsniedz 10 % no vidējās gada kompensācijas, </w:t>
      </w:r>
      <w:r w:rsidR="00E86C25" w:rsidRPr="00DF4295">
        <w:rPr>
          <w:rFonts w:ascii="Times New Roman" w:hAnsi="Times New Roman" w:cs="Times New Roman"/>
          <w:sz w:val="28"/>
          <w:szCs w:val="28"/>
        </w:rPr>
        <w:t xml:space="preserve">pilnvarojuma devējam </w:t>
      </w:r>
      <w:r w:rsidRPr="00DF4295">
        <w:rPr>
          <w:rFonts w:ascii="Times New Roman" w:hAnsi="Times New Roman" w:cs="Times New Roman"/>
          <w:sz w:val="28"/>
          <w:szCs w:val="28"/>
        </w:rPr>
        <w:t xml:space="preserve">jāiejaucas, lai nodrošinātu, ka kompensācijas mehānisms atbilst pilnvarojuma akta noteikumiem. </w:t>
      </w:r>
      <w:r w:rsidR="00E86C25" w:rsidRPr="00DF4295">
        <w:rPr>
          <w:rFonts w:ascii="Times New Roman" w:hAnsi="Times New Roman" w:cs="Times New Roman"/>
          <w:sz w:val="28"/>
          <w:szCs w:val="28"/>
        </w:rPr>
        <w:t>Pilnvarojuma devējam</w:t>
      </w:r>
      <w:r w:rsidRPr="00DF4295">
        <w:rPr>
          <w:rFonts w:ascii="Times New Roman" w:hAnsi="Times New Roman" w:cs="Times New Roman"/>
          <w:sz w:val="28"/>
          <w:szCs w:val="28"/>
        </w:rPr>
        <w:t xml:space="preserve"> jānodrošina, ka attiecīgais uzņēmums atmaksā pārmērīgo kompensāciju</w:t>
      </w:r>
      <w:r w:rsidR="00432AE9" w:rsidRPr="00DF4295">
        <w:rPr>
          <w:rFonts w:ascii="Times New Roman" w:hAnsi="Times New Roman" w:cs="Times New Roman"/>
          <w:sz w:val="28"/>
          <w:szCs w:val="28"/>
        </w:rPr>
        <w:t xml:space="preserve"> pilnā apmērā </w:t>
      </w:r>
      <w:r w:rsidRPr="00DF4295">
        <w:rPr>
          <w:rFonts w:ascii="Times New Roman" w:hAnsi="Times New Roman" w:cs="Times New Roman"/>
          <w:sz w:val="28"/>
          <w:szCs w:val="28"/>
        </w:rPr>
        <w:t>un</w:t>
      </w:r>
      <w:r w:rsidR="00E86C25" w:rsidRPr="00DF4295">
        <w:rPr>
          <w:rFonts w:ascii="Times New Roman" w:hAnsi="Times New Roman" w:cs="Times New Roman"/>
          <w:sz w:val="28"/>
          <w:szCs w:val="28"/>
        </w:rPr>
        <w:t>,</w:t>
      </w:r>
      <w:r w:rsidRPr="00DF4295">
        <w:rPr>
          <w:rFonts w:ascii="Times New Roman" w:hAnsi="Times New Roman" w:cs="Times New Roman"/>
          <w:sz w:val="28"/>
          <w:szCs w:val="28"/>
        </w:rPr>
        <w:t xml:space="preserve"> ka parametri kompensācijas turpmākai aprēķināšanai tiek atjaunināti</w:t>
      </w:r>
      <w:r w:rsidR="0046780E">
        <w:rPr>
          <w:rFonts w:ascii="Times New Roman" w:hAnsi="Times New Roman" w:cs="Times New Roman"/>
          <w:sz w:val="28"/>
          <w:szCs w:val="28"/>
        </w:rPr>
        <w:t xml:space="preserve"> nākotnei</w:t>
      </w:r>
      <w:r w:rsidRPr="00DF4295">
        <w:rPr>
          <w:rFonts w:ascii="Times New Roman" w:hAnsi="Times New Roman" w:cs="Times New Roman"/>
          <w:sz w:val="28"/>
          <w:szCs w:val="28"/>
        </w:rPr>
        <w:t xml:space="preserve">. </w:t>
      </w:r>
    </w:p>
    <w:p w14:paraId="427C5A84" w14:textId="5043D56A" w:rsidR="001E4B03" w:rsidRPr="00DF4295" w:rsidRDefault="00B1410E" w:rsidP="001D1B46">
      <w:pPr>
        <w:autoSpaceDE w:val="0"/>
        <w:autoSpaceDN w:val="0"/>
        <w:adjustRightInd w:val="0"/>
        <w:jc w:val="both"/>
        <w:rPr>
          <w:rFonts w:ascii="Times New Roman" w:hAnsi="Times New Roman" w:cs="Times New Roman"/>
          <w:sz w:val="28"/>
          <w:szCs w:val="28"/>
        </w:rPr>
      </w:pPr>
      <w:r w:rsidRPr="00DF4295">
        <w:rPr>
          <w:rFonts w:ascii="Times New Roman" w:hAnsi="Times New Roman" w:cs="Times New Roman"/>
          <w:sz w:val="28"/>
          <w:szCs w:val="28"/>
        </w:rPr>
        <w:t>I</w:t>
      </w:r>
      <w:r w:rsidR="00455741" w:rsidRPr="00DF4295">
        <w:rPr>
          <w:rFonts w:ascii="Times New Roman" w:hAnsi="Times New Roman" w:cs="Times New Roman"/>
          <w:sz w:val="28"/>
          <w:szCs w:val="28"/>
        </w:rPr>
        <w:t xml:space="preserve">evērojot VTNP lēmuma 6.panta 2.punktā noteikto, ka gadījumā, ja pārmērīgas kompensācijas summa nepārsniedz 10 % no vidējās gada kompensācijas summas, šādu kompensāciju var pārnest uz nākamo periodu un atskaitīt no kompensācijas summas, </w:t>
      </w:r>
      <w:r w:rsidR="001329EC">
        <w:rPr>
          <w:rFonts w:ascii="Times New Roman" w:hAnsi="Times New Roman" w:cs="Times New Roman"/>
          <w:sz w:val="28"/>
          <w:szCs w:val="28"/>
        </w:rPr>
        <w:t>kas jāmaksā par minēto periodu.</w:t>
      </w:r>
    </w:p>
    <w:p w14:paraId="2EE7666A" w14:textId="45B48F41" w:rsidR="00D16C78" w:rsidRPr="00DF4295" w:rsidRDefault="006D6BB4" w:rsidP="001D1B46">
      <w:pPr>
        <w:pStyle w:val="Heading1"/>
        <w:spacing w:before="120" w:after="120"/>
        <w:ind w:left="360"/>
        <w:rPr>
          <w:rFonts w:cs="Times New Roman"/>
          <w:sz w:val="28"/>
          <w:szCs w:val="28"/>
        </w:rPr>
      </w:pPr>
      <w:bookmarkStart w:id="29" w:name="_Toc500939854"/>
      <w:bookmarkStart w:id="30" w:name="_Toc15391545"/>
      <w:r w:rsidRPr="00DF4295">
        <w:rPr>
          <w:rFonts w:cs="Times New Roman"/>
          <w:sz w:val="28"/>
          <w:szCs w:val="28"/>
        </w:rPr>
        <w:lastRenderedPageBreak/>
        <w:t xml:space="preserve">4.5. </w:t>
      </w:r>
      <w:r w:rsidR="00D16C78" w:rsidRPr="00DF4295">
        <w:rPr>
          <w:rFonts w:cs="Times New Roman"/>
          <w:sz w:val="28"/>
          <w:szCs w:val="28"/>
        </w:rPr>
        <w:t>Dokumentu glabāšana</w:t>
      </w:r>
      <w:bookmarkEnd w:id="29"/>
      <w:bookmarkEnd w:id="30"/>
      <w:r w:rsidR="00D16C78" w:rsidRPr="00DF4295">
        <w:rPr>
          <w:rFonts w:cs="Times New Roman"/>
          <w:sz w:val="28"/>
          <w:szCs w:val="28"/>
        </w:rPr>
        <w:t xml:space="preserve"> </w:t>
      </w:r>
    </w:p>
    <w:p w14:paraId="05421FA4" w14:textId="6796D34A" w:rsidR="001E4B03" w:rsidRPr="00DF4295" w:rsidRDefault="00CB6C31" w:rsidP="001329EC">
      <w:pPr>
        <w:autoSpaceDE w:val="0"/>
        <w:autoSpaceDN w:val="0"/>
        <w:adjustRightInd w:val="0"/>
        <w:ind w:firstLine="720"/>
        <w:jc w:val="both"/>
        <w:rPr>
          <w:rFonts w:ascii="Times New Roman" w:hAnsi="Times New Roman" w:cs="Times New Roman"/>
          <w:sz w:val="28"/>
          <w:szCs w:val="28"/>
        </w:rPr>
      </w:pPr>
      <w:r w:rsidRPr="00DF4295">
        <w:rPr>
          <w:rFonts w:ascii="Times New Roman" w:hAnsi="Times New Roman" w:cs="Times New Roman"/>
          <w:sz w:val="28"/>
          <w:szCs w:val="28"/>
        </w:rPr>
        <w:t>P</w:t>
      </w:r>
      <w:r w:rsidR="00D16C78" w:rsidRPr="00DF4295">
        <w:rPr>
          <w:rFonts w:ascii="Times New Roman" w:hAnsi="Times New Roman" w:cs="Times New Roman"/>
          <w:sz w:val="28"/>
          <w:szCs w:val="28"/>
        </w:rPr>
        <w:t>iemērojot VTNP lēmumu, valsts</w:t>
      </w:r>
      <w:r w:rsidRPr="00DF4295">
        <w:rPr>
          <w:rFonts w:ascii="Times New Roman" w:hAnsi="Times New Roman" w:cs="Times New Roman"/>
          <w:sz w:val="28"/>
          <w:szCs w:val="28"/>
        </w:rPr>
        <w:t xml:space="preserve"> un pašvaldību</w:t>
      </w:r>
      <w:r w:rsidR="00D16C78" w:rsidRPr="00DF4295">
        <w:rPr>
          <w:rFonts w:ascii="Times New Roman" w:hAnsi="Times New Roman" w:cs="Times New Roman"/>
          <w:sz w:val="28"/>
          <w:szCs w:val="28"/>
        </w:rPr>
        <w:t xml:space="preserve"> iestādēm </w:t>
      </w:r>
      <w:r w:rsidRPr="00DF4295">
        <w:rPr>
          <w:rFonts w:ascii="Times New Roman" w:hAnsi="Times New Roman" w:cs="Times New Roman"/>
          <w:sz w:val="28"/>
          <w:szCs w:val="28"/>
        </w:rPr>
        <w:t xml:space="preserve">ir </w:t>
      </w:r>
      <w:r w:rsidR="00D16C78" w:rsidRPr="00DF4295">
        <w:rPr>
          <w:rFonts w:ascii="Times New Roman" w:hAnsi="Times New Roman" w:cs="Times New Roman"/>
          <w:sz w:val="28"/>
          <w:szCs w:val="28"/>
        </w:rPr>
        <w:t xml:space="preserve"> pienākum</w:t>
      </w:r>
      <w:r w:rsidRPr="00DF4295">
        <w:rPr>
          <w:rFonts w:ascii="Times New Roman" w:hAnsi="Times New Roman" w:cs="Times New Roman"/>
          <w:sz w:val="28"/>
          <w:szCs w:val="28"/>
        </w:rPr>
        <w:t xml:space="preserve">s nodrošināt, ka vismaz 10 gadus pēc pilnvarojuma akta beigām  </w:t>
      </w:r>
      <w:r w:rsidR="00D16C78" w:rsidRPr="00DF4295">
        <w:rPr>
          <w:rFonts w:ascii="Times New Roman" w:hAnsi="Times New Roman" w:cs="Times New Roman"/>
          <w:sz w:val="28"/>
          <w:szCs w:val="28"/>
        </w:rPr>
        <w:t xml:space="preserve">ir pieejami visi nepieciešamie </w:t>
      </w:r>
      <w:r w:rsidRPr="00DF4295">
        <w:rPr>
          <w:rFonts w:ascii="Times New Roman" w:hAnsi="Times New Roman" w:cs="Times New Roman"/>
          <w:sz w:val="28"/>
          <w:szCs w:val="28"/>
        </w:rPr>
        <w:t>dokumenti</w:t>
      </w:r>
      <w:r w:rsidR="00D16C78" w:rsidRPr="00DF4295">
        <w:rPr>
          <w:rFonts w:ascii="Times New Roman" w:hAnsi="Times New Roman" w:cs="Times New Roman"/>
          <w:sz w:val="28"/>
          <w:szCs w:val="28"/>
        </w:rPr>
        <w:t>, lai noteiktu, vai piešķirtā kompensācija ir saderīga ar VTNP lēmumu, un reizi divos gados</w:t>
      </w:r>
      <w:r w:rsidR="00295859" w:rsidRPr="00DF4295">
        <w:rPr>
          <w:rFonts w:ascii="Times New Roman" w:hAnsi="Times New Roman" w:cs="Times New Roman"/>
          <w:sz w:val="28"/>
          <w:szCs w:val="28"/>
        </w:rPr>
        <w:t xml:space="preserve"> pēc FM pieprasījuma sniegt informāciju, lai Latvija varētu nodrošināt kopējā ziņojuma iesniegšanu </w:t>
      </w:r>
      <w:r w:rsidR="00D16C78" w:rsidRPr="00DF4295">
        <w:rPr>
          <w:rFonts w:ascii="Times New Roman" w:hAnsi="Times New Roman" w:cs="Times New Roman"/>
          <w:sz w:val="28"/>
          <w:szCs w:val="28"/>
        </w:rPr>
        <w:t xml:space="preserve"> EK par </w:t>
      </w:r>
      <w:r w:rsidR="007C5372" w:rsidRPr="00DF4295">
        <w:rPr>
          <w:rFonts w:ascii="Times New Roman" w:hAnsi="Times New Roman" w:cs="Times New Roman"/>
          <w:sz w:val="28"/>
          <w:szCs w:val="28"/>
        </w:rPr>
        <w:t xml:space="preserve">VTNP </w:t>
      </w:r>
      <w:r w:rsidR="001329EC">
        <w:rPr>
          <w:rFonts w:ascii="Times New Roman" w:hAnsi="Times New Roman" w:cs="Times New Roman"/>
          <w:sz w:val="28"/>
          <w:szCs w:val="28"/>
        </w:rPr>
        <w:t>lēmuma īstenošanu.</w:t>
      </w:r>
    </w:p>
    <w:p w14:paraId="2D3DEF93" w14:textId="35D54856" w:rsidR="00FE494C" w:rsidRPr="00DF4295" w:rsidRDefault="00CB6C31" w:rsidP="001D1B46">
      <w:pPr>
        <w:pStyle w:val="Heading1"/>
        <w:spacing w:before="120" w:after="120"/>
        <w:ind w:left="360"/>
        <w:rPr>
          <w:rFonts w:cs="Times New Roman"/>
          <w:sz w:val="28"/>
          <w:szCs w:val="28"/>
        </w:rPr>
      </w:pPr>
      <w:bookmarkStart w:id="31" w:name="_Toc497408998"/>
      <w:bookmarkStart w:id="32" w:name="_Toc497408999"/>
      <w:bookmarkStart w:id="33" w:name="_Toc497409000"/>
      <w:bookmarkStart w:id="34" w:name="_Toc497409002"/>
      <w:bookmarkStart w:id="35" w:name="_Toc497409003"/>
      <w:bookmarkStart w:id="36" w:name="_Toc497409004"/>
      <w:bookmarkStart w:id="37" w:name="_Toc497409005"/>
      <w:bookmarkStart w:id="38" w:name="_Toc497409006"/>
      <w:bookmarkStart w:id="39" w:name="_Toc497409007"/>
      <w:bookmarkStart w:id="40" w:name="_Toc497409008"/>
      <w:bookmarkStart w:id="41" w:name="_Toc497409009"/>
      <w:bookmarkStart w:id="42" w:name="_Toc497409010"/>
      <w:bookmarkStart w:id="43" w:name="_Toc497409011"/>
      <w:bookmarkStart w:id="44" w:name="_Toc497409012"/>
      <w:bookmarkStart w:id="45" w:name="_Toc497409013"/>
      <w:bookmarkStart w:id="46" w:name="_Toc497409014"/>
      <w:bookmarkStart w:id="47" w:name="_Toc500939855"/>
      <w:bookmarkStart w:id="48" w:name="_Toc15391546"/>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DF4295">
        <w:rPr>
          <w:rFonts w:cs="Times New Roman"/>
          <w:sz w:val="28"/>
          <w:szCs w:val="28"/>
        </w:rPr>
        <w:t xml:space="preserve">4.6. </w:t>
      </w:r>
      <w:r w:rsidR="00FE494C" w:rsidRPr="00DF4295">
        <w:rPr>
          <w:rFonts w:cs="Times New Roman"/>
          <w:sz w:val="28"/>
          <w:szCs w:val="28"/>
        </w:rPr>
        <w:t>VTNP nostādnes</w:t>
      </w:r>
      <w:r w:rsidR="00040663" w:rsidRPr="00DF4295">
        <w:rPr>
          <w:rFonts w:cs="Times New Roman"/>
          <w:sz w:val="28"/>
          <w:szCs w:val="28"/>
        </w:rPr>
        <w:t xml:space="preserve"> un to nosacījumi</w:t>
      </w:r>
      <w:bookmarkEnd w:id="47"/>
      <w:bookmarkEnd w:id="48"/>
    </w:p>
    <w:p w14:paraId="6328D929" w14:textId="77777777" w:rsidR="0002322B" w:rsidRDefault="00514B50"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VTNP nostādnes piemērojamas, kad VTNP lēmumu piemērot nav iespējams, j</w:t>
      </w:r>
      <w:r w:rsidR="00800885" w:rsidRPr="00DF4295">
        <w:rPr>
          <w:rFonts w:ascii="Times New Roman" w:hAnsi="Times New Roman" w:cs="Times New Roman"/>
          <w:sz w:val="28"/>
          <w:szCs w:val="28"/>
        </w:rPr>
        <w:t>a</w:t>
      </w:r>
      <w:r w:rsidRPr="00DF4295">
        <w:rPr>
          <w:rFonts w:ascii="Times New Roman" w:hAnsi="Times New Roman" w:cs="Times New Roman"/>
          <w:sz w:val="28"/>
          <w:szCs w:val="28"/>
        </w:rPr>
        <w:t xml:space="preserve">,  piemēram, vienam VTNP sniedzējam vidēji gadā pilnvarojuma periodā kompensācija pārsniedz EUR 15 miljonus.  Uz  kompensāciju, kas sniegta saskaņā ar VTNP nostādnēm, attiecas iepriekšējas paziņošanas prasība EK saskaņā ar LESD 108. panta 3. punktu. </w:t>
      </w:r>
      <w:r w:rsidR="00040663" w:rsidRPr="00DF4295">
        <w:rPr>
          <w:rFonts w:ascii="Times New Roman" w:hAnsi="Times New Roman" w:cs="Times New Roman"/>
          <w:sz w:val="28"/>
          <w:szCs w:val="28"/>
        </w:rPr>
        <w:t>Paziņošanas pienākums nenozīmē, ka kompensācija automātiski nebūtu saderīga ar LESD, bet gan to, ka, ņemot vērā attiecīgā atbalsta ievērojamo apmēru un lielāku konkurences kropļojumu risku, EK attiecīgais atbalsts jāizvērtē, lai pārliecinātos, ka ir izpildīti visi saderības nosacījumi.</w:t>
      </w:r>
    </w:p>
    <w:p w14:paraId="6D1EF8BF" w14:textId="3C4101F3" w:rsidR="00040663" w:rsidRPr="00DF4295" w:rsidRDefault="0002322B" w:rsidP="001D1B46">
      <w:pPr>
        <w:ind w:firstLine="567"/>
        <w:jc w:val="both"/>
        <w:rPr>
          <w:rFonts w:ascii="Times New Roman" w:hAnsi="Times New Roman" w:cs="Times New Roman"/>
          <w:sz w:val="28"/>
          <w:szCs w:val="28"/>
        </w:rPr>
      </w:pPr>
      <w:r>
        <w:rPr>
          <w:rFonts w:ascii="Times New Roman" w:hAnsi="Times New Roman" w:cs="Times New Roman"/>
          <w:sz w:val="28"/>
          <w:szCs w:val="28"/>
        </w:rPr>
        <w:t>Paziņošan</w:t>
      </w:r>
      <w:r w:rsidR="000F46D3">
        <w:rPr>
          <w:rFonts w:ascii="Times New Roman" w:hAnsi="Times New Roman" w:cs="Times New Roman"/>
          <w:sz w:val="28"/>
          <w:szCs w:val="28"/>
        </w:rPr>
        <w:t>u EK veic</w:t>
      </w:r>
      <w:r>
        <w:rPr>
          <w:rFonts w:ascii="Times New Roman" w:hAnsi="Times New Roman" w:cs="Times New Roman"/>
          <w:sz w:val="28"/>
          <w:szCs w:val="28"/>
        </w:rPr>
        <w:t xml:space="preserve"> institūcij</w:t>
      </w:r>
      <w:r w:rsidR="000F46D3">
        <w:rPr>
          <w:rFonts w:ascii="Times New Roman" w:hAnsi="Times New Roman" w:cs="Times New Roman"/>
          <w:sz w:val="28"/>
          <w:szCs w:val="28"/>
        </w:rPr>
        <w:t>a</w:t>
      </w:r>
      <w:r>
        <w:rPr>
          <w:rFonts w:ascii="Times New Roman" w:hAnsi="Times New Roman" w:cs="Times New Roman"/>
          <w:sz w:val="28"/>
          <w:szCs w:val="28"/>
        </w:rPr>
        <w:t>, kura plāno uzlikt VTNP pienākumu</w:t>
      </w:r>
      <w:r w:rsidR="00C4617B">
        <w:rPr>
          <w:rFonts w:ascii="Times New Roman" w:hAnsi="Times New Roman" w:cs="Times New Roman"/>
          <w:sz w:val="28"/>
          <w:szCs w:val="28"/>
        </w:rPr>
        <w:t>. P</w:t>
      </w:r>
      <w:r>
        <w:rPr>
          <w:rFonts w:ascii="Times New Roman" w:hAnsi="Times New Roman" w:cs="Times New Roman"/>
          <w:sz w:val="28"/>
          <w:szCs w:val="28"/>
        </w:rPr>
        <w:t>aziņošanas procedūra EK sīkāk aprakstīta</w:t>
      </w:r>
      <w:r w:rsidR="00C4617B">
        <w:rPr>
          <w:rFonts w:ascii="Times New Roman" w:hAnsi="Times New Roman" w:cs="Times New Roman"/>
          <w:sz w:val="28"/>
          <w:szCs w:val="28"/>
        </w:rPr>
        <w:t xml:space="preserve"> Finanšu ministrijas sagatavotajā metodiskajā materiālā “Valsts atbalsta vadlīnijas”</w:t>
      </w:r>
      <w:r w:rsidR="00C4617B">
        <w:rPr>
          <w:rStyle w:val="FootnoteReference"/>
          <w:rFonts w:ascii="Times New Roman" w:hAnsi="Times New Roman" w:cs="Times New Roman"/>
          <w:sz w:val="28"/>
          <w:szCs w:val="28"/>
        </w:rPr>
        <w:footnoteReference w:id="29"/>
      </w:r>
      <w:r w:rsidR="00C4617B">
        <w:rPr>
          <w:rFonts w:ascii="Times New Roman" w:hAnsi="Times New Roman" w:cs="Times New Roman"/>
          <w:sz w:val="28"/>
          <w:szCs w:val="28"/>
        </w:rPr>
        <w:t>.</w:t>
      </w:r>
    </w:p>
    <w:p w14:paraId="7E557D0D" w14:textId="284AB098" w:rsidR="00514B50" w:rsidRPr="00DF4295" w:rsidRDefault="00040663"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Ja atbalsts, par kuru saskaņā ar esošajiem noteikumiem bija jāpaziņo EK, tiek īstenots bez iepriekšējas paziņošanas, tas ir nelikumīgs komercdarbības atbalsts. EK var pārbaudīt attiecīgo pasākumu pēc savas iniciatīvas vai, pamatojoties uz sūdzību, pārbaudes noslēgumā tiek sagatavots EK lēmums, saskaņā ar kuru, ja sniegtais komercdarbības atbalsts nav saderīgs ar ES iekšējo tirgu, tiek pieprasīta atbalsta atmaksa (kura aprēķināma kopā ar procentiem, sākot no dienas, kad nelikumīgais komercdarbības atbalsts piešķirts).</w:t>
      </w:r>
    </w:p>
    <w:p w14:paraId="35AE017B" w14:textId="77777777" w:rsidR="00514B50" w:rsidRPr="00DF4295" w:rsidRDefault="00514B50"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Līdzīgi kā VTNP lēmums, arī VTNP nostādnes netiek piemērotas sauszemes transporta nozarei (VTNP nostādņu 8. punkts), bet tiek piemērotas aviotransportam un jūras transportam. Sabiedriskajai apraidei nostādnes nepiemēro (VTNP nostādņu 8. punkts), uz šo nozari attiecas Komisijas paziņojums par valsts atbalsta noteikumu piemērošanu sabiedriskajai apraidei (2009/C 257/01).</w:t>
      </w:r>
    </w:p>
    <w:p w14:paraId="6F7BACF0" w14:textId="6AA21B21" w:rsidR="00514B50" w:rsidRPr="00DF4295" w:rsidRDefault="00514B50"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Papildus nosacījumi,</w:t>
      </w:r>
      <w:r w:rsidR="00432AE9" w:rsidRPr="00DF4295">
        <w:rPr>
          <w:rFonts w:ascii="Times New Roman" w:hAnsi="Times New Roman" w:cs="Times New Roman"/>
          <w:sz w:val="28"/>
          <w:szCs w:val="28"/>
        </w:rPr>
        <w:t xml:space="preserve"> salīdzinot ar VTNP lēmumu,</w:t>
      </w:r>
      <w:r w:rsidRPr="00DF4295">
        <w:rPr>
          <w:rFonts w:ascii="Times New Roman" w:hAnsi="Times New Roman" w:cs="Times New Roman"/>
          <w:sz w:val="28"/>
          <w:szCs w:val="28"/>
        </w:rPr>
        <w:t xml:space="preserve"> kas ievērojami gadījumos, ja komercdarbības atbalsta saderīgumu ar ES iekšējo tirgu plānots nodrošināt saskaņā ar VTNP nostādnēm:</w:t>
      </w:r>
    </w:p>
    <w:p w14:paraId="76A66A8C" w14:textId="54658FB5" w:rsidR="00514B50" w:rsidRPr="00DF4295" w:rsidRDefault="00514B50" w:rsidP="00097423">
      <w:pPr>
        <w:pStyle w:val="CM3"/>
        <w:numPr>
          <w:ilvl w:val="0"/>
          <w:numId w:val="20"/>
        </w:numPr>
        <w:spacing w:before="120" w:after="120"/>
        <w:jc w:val="both"/>
        <w:rPr>
          <w:rFonts w:ascii="Times New Roman" w:hAnsi="Times New Roman" w:cs="Times New Roman"/>
          <w:sz w:val="28"/>
          <w:szCs w:val="28"/>
        </w:rPr>
      </w:pPr>
      <w:r w:rsidRPr="00DF4295">
        <w:rPr>
          <w:rFonts w:ascii="Times New Roman" w:hAnsi="Times New Roman" w:cs="Times New Roman"/>
          <w:sz w:val="28"/>
          <w:szCs w:val="28"/>
        </w:rPr>
        <w:t>dalībvalstij jāpierāda, ka ir pienācīgi ņemta vērā vajadzība pēc VTNP, rīkojot sabiedrisku apspriešan</w:t>
      </w:r>
      <w:r w:rsidR="00740EB8" w:rsidRPr="00DF4295">
        <w:rPr>
          <w:rFonts w:ascii="Times New Roman" w:hAnsi="Times New Roman" w:cs="Times New Roman"/>
          <w:sz w:val="28"/>
          <w:szCs w:val="28"/>
        </w:rPr>
        <w:t>u</w:t>
      </w:r>
      <w:r w:rsidRPr="00DF4295">
        <w:rPr>
          <w:rFonts w:ascii="Times New Roman" w:hAnsi="Times New Roman" w:cs="Times New Roman"/>
          <w:sz w:val="28"/>
          <w:szCs w:val="28"/>
        </w:rPr>
        <w:t xml:space="preserve"> vai izmantojot citus piemērotus instrumentus, lai ņemtu vērā lietotāju un pakalpojumu sniedzēju intereses. Šo nosacījumu nepiemēro, ja ir skaidrs, ka jaunas apspriedes nedos nekādu būtisku pievienoto vērtību attiecībā uz nesen rīkotajām apspriedēm. Informācija par sabiedrisko apspriežu rezultātiem vai </w:t>
      </w:r>
      <w:r w:rsidRPr="00DF4295">
        <w:rPr>
          <w:rFonts w:ascii="Times New Roman" w:hAnsi="Times New Roman" w:cs="Times New Roman"/>
          <w:sz w:val="28"/>
          <w:szCs w:val="28"/>
        </w:rPr>
        <w:lastRenderedPageBreak/>
        <w:t xml:space="preserve">citiem piemērotiem instrumentiem jādara publiski pieejama (internets vai citi piemēroti līdzekļi). </w:t>
      </w:r>
    </w:p>
    <w:p w14:paraId="69526455" w14:textId="76AB0CE4" w:rsidR="00514B50" w:rsidRPr="00DF4295" w:rsidRDefault="00514B50" w:rsidP="00097423">
      <w:pPr>
        <w:pStyle w:val="CM3"/>
        <w:numPr>
          <w:ilvl w:val="0"/>
          <w:numId w:val="20"/>
        </w:numPr>
        <w:spacing w:before="120" w:after="120"/>
        <w:jc w:val="both"/>
        <w:rPr>
          <w:rFonts w:ascii="Times New Roman" w:hAnsi="Times New Roman" w:cs="Times New Roman"/>
          <w:sz w:val="28"/>
          <w:szCs w:val="28"/>
        </w:rPr>
      </w:pPr>
      <w:r w:rsidRPr="00DF4295">
        <w:rPr>
          <w:rFonts w:ascii="Times New Roman" w:hAnsi="Times New Roman" w:cs="Times New Roman"/>
          <w:sz w:val="28"/>
          <w:szCs w:val="28"/>
        </w:rPr>
        <w:t xml:space="preserve">atbalsts tiks uzskatīts par saderīgu ar ES iekšējo tirgu, balstoties uz LESD 106. panta 2. punktu, vienīgi tad, ja atbildīgā iestāde, attiecīgajam uzņēmumam piešķirot tiesības sniegt VTNP pakalpojumu, ir ievērojusi vai apņemas ievērot spēkā esošos </w:t>
      </w:r>
      <w:r w:rsidR="00E32A3E" w:rsidRPr="00DF4295">
        <w:rPr>
          <w:rFonts w:ascii="Times New Roman" w:hAnsi="Times New Roman" w:cs="Times New Roman"/>
          <w:sz w:val="28"/>
          <w:szCs w:val="28"/>
        </w:rPr>
        <w:t xml:space="preserve">ES </w:t>
      </w:r>
      <w:r w:rsidRPr="00DF4295">
        <w:rPr>
          <w:rFonts w:ascii="Times New Roman" w:hAnsi="Times New Roman" w:cs="Times New Roman"/>
          <w:sz w:val="28"/>
          <w:szCs w:val="28"/>
        </w:rPr>
        <w:t xml:space="preserve">noteikumus publiskā iepirkuma jomā. Tostarp jāievēro jebkādas prasības nodrošināt </w:t>
      </w:r>
      <w:proofErr w:type="spellStart"/>
      <w:r w:rsidRPr="00DF4295">
        <w:rPr>
          <w:rFonts w:ascii="Times New Roman" w:hAnsi="Times New Roman" w:cs="Times New Roman"/>
          <w:sz w:val="28"/>
          <w:szCs w:val="28"/>
        </w:rPr>
        <w:t>pārredzamību</w:t>
      </w:r>
      <w:proofErr w:type="spellEnd"/>
      <w:r w:rsidRPr="00DF4295">
        <w:rPr>
          <w:rFonts w:ascii="Times New Roman" w:hAnsi="Times New Roman" w:cs="Times New Roman"/>
          <w:sz w:val="28"/>
          <w:szCs w:val="28"/>
        </w:rPr>
        <w:t xml:space="preserve">, vienlīdzīgu attieksmi un </w:t>
      </w:r>
      <w:proofErr w:type="spellStart"/>
      <w:r w:rsidRPr="00DF4295">
        <w:rPr>
          <w:rFonts w:ascii="Times New Roman" w:hAnsi="Times New Roman" w:cs="Times New Roman"/>
          <w:sz w:val="28"/>
          <w:szCs w:val="28"/>
        </w:rPr>
        <w:t>nediskrimināciju</w:t>
      </w:r>
      <w:proofErr w:type="spellEnd"/>
      <w:r w:rsidRPr="00DF4295">
        <w:rPr>
          <w:rFonts w:ascii="Times New Roman" w:hAnsi="Times New Roman" w:cs="Times New Roman"/>
          <w:sz w:val="28"/>
          <w:szCs w:val="28"/>
        </w:rPr>
        <w:t xml:space="preserve">, kuras izriet tieši no LESD un vajadzības gadījumā </w:t>
      </w:r>
      <w:r w:rsidR="00E32A3E" w:rsidRPr="00DF4295">
        <w:rPr>
          <w:rFonts w:ascii="Times New Roman" w:hAnsi="Times New Roman" w:cs="Times New Roman"/>
          <w:sz w:val="28"/>
          <w:szCs w:val="28"/>
        </w:rPr>
        <w:t xml:space="preserve">ES </w:t>
      </w:r>
      <w:r w:rsidRPr="00DF4295">
        <w:rPr>
          <w:rFonts w:ascii="Times New Roman" w:hAnsi="Times New Roman" w:cs="Times New Roman"/>
          <w:sz w:val="28"/>
          <w:szCs w:val="28"/>
        </w:rPr>
        <w:t xml:space="preserve">sekundārajiem tiesību aktiem. Komercdarbības atbalsts, kas neatbilst šiem noteikumiem un prasībām, uzskatāms par atbalstu, kas ietekmē tirdzniecības attīstību tiktāl, lai kaitētu </w:t>
      </w:r>
      <w:r w:rsidR="00E32A3E" w:rsidRPr="00DF4295">
        <w:rPr>
          <w:rFonts w:ascii="Times New Roman" w:hAnsi="Times New Roman" w:cs="Times New Roman"/>
          <w:sz w:val="28"/>
          <w:szCs w:val="28"/>
        </w:rPr>
        <w:t>ES</w:t>
      </w:r>
      <w:r w:rsidRPr="00DF4295">
        <w:rPr>
          <w:rFonts w:ascii="Times New Roman" w:hAnsi="Times New Roman" w:cs="Times New Roman"/>
          <w:sz w:val="28"/>
          <w:szCs w:val="28"/>
        </w:rPr>
        <w:t xml:space="preserve"> interesēm Līguma 106. panta 2. punkta nozīmē.</w:t>
      </w:r>
    </w:p>
    <w:p w14:paraId="18E00B3D" w14:textId="77777777" w:rsidR="00514B50" w:rsidRPr="00DF4295" w:rsidRDefault="00514B50" w:rsidP="00097423">
      <w:pPr>
        <w:pStyle w:val="CM3"/>
        <w:numPr>
          <w:ilvl w:val="0"/>
          <w:numId w:val="20"/>
        </w:numPr>
        <w:spacing w:before="120" w:after="120"/>
        <w:jc w:val="both"/>
        <w:rPr>
          <w:rFonts w:ascii="Times New Roman" w:hAnsi="Times New Roman" w:cs="Times New Roman"/>
          <w:sz w:val="28"/>
          <w:szCs w:val="28"/>
        </w:rPr>
      </w:pPr>
      <w:r w:rsidRPr="00DF4295">
        <w:rPr>
          <w:rFonts w:ascii="Times New Roman" w:hAnsi="Times New Roman" w:cs="Times New Roman"/>
          <w:sz w:val="28"/>
          <w:szCs w:val="28"/>
        </w:rPr>
        <w:t>ja iestāde tiesības sniegt vienu un to pašu VTNP piešķir vairākiem uzņēmumiem, attiecībā uz katru uzņēmumu kompensācija jāaprēķina, izmantojot vienu un to pašu metodi.</w:t>
      </w:r>
    </w:p>
    <w:p w14:paraId="661BEE63" w14:textId="6295DCD8" w:rsidR="00514B50" w:rsidRPr="00DF4295" w:rsidRDefault="00514B50" w:rsidP="00097423">
      <w:pPr>
        <w:pStyle w:val="CM3"/>
        <w:numPr>
          <w:ilvl w:val="0"/>
          <w:numId w:val="20"/>
        </w:numPr>
        <w:spacing w:before="120" w:after="120"/>
        <w:jc w:val="both"/>
        <w:rPr>
          <w:rFonts w:ascii="Times New Roman" w:hAnsi="Times New Roman" w:cs="Times New Roman"/>
          <w:sz w:val="28"/>
          <w:szCs w:val="28"/>
        </w:rPr>
      </w:pPr>
      <w:r w:rsidRPr="00DF4295">
        <w:rPr>
          <w:rFonts w:ascii="Times New Roman" w:hAnsi="Times New Roman" w:cs="Times New Roman"/>
          <w:sz w:val="28"/>
          <w:szCs w:val="28"/>
        </w:rPr>
        <w:t xml:space="preserve">aprēķinot, kādas neto izmaksas ir vajadzīgas vai tiek prognozētas kā vajadzīgas, lai varētu izpildīt VTNP sniegšanas pienākumu, jāizmanto novērsto neto izmaksu metode, ja šāda prasība noteikta </w:t>
      </w:r>
      <w:r w:rsidR="00E32A3E" w:rsidRPr="00DF4295">
        <w:rPr>
          <w:rFonts w:ascii="Times New Roman" w:hAnsi="Times New Roman" w:cs="Times New Roman"/>
          <w:sz w:val="28"/>
          <w:szCs w:val="28"/>
        </w:rPr>
        <w:t>E</w:t>
      </w:r>
      <w:r w:rsidRPr="00DF4295">
        <w:rPr>
          <w:rFonts w:ascii="Times New Roman" w:hAnsi="Times New Roman" w:cs="Times New Roman"/>
          <w:sz w:val="28"/>
          <w:szCs w:val="28"/>
        </w:rPr>
        <w:t xml:space="preserve">S vai valsts tiesību aktos, un šī metode pēc iespējas jāizmanto arī citos gadījumos. Saskaņā ar novērsto neto izmaksu metodi, vajadzīgās neto izmaksas vai neto izmaksas, kas tiek prognozētas kā vajadzīgas, lai izpildītu VTNP sniegšanas pienākumu, aprēķina kā starpību starp neto izmaksām pakalpojuma sniedzējam, kuram ir pienākums </w:t>
      </w:r>
      <w:r w:rsidR="004314AE" w:rsidRPr="00DF4295">
        <w:rPr>
          <w:rFonts w:ascii="Times New Roman" w:hAnsi="Times New Roman" w:cs="Times New Roman"/>
          <w:sz w:val="28"/>
          <w:szCs w:val="28"/>
        </w:rPr>
        <w:t xml:space="preserve">sniegt </w:t>
      </w:r>
      <w:r w:rsidRPr="00DF4295">
        <w:rPr>
          <w:rFonts w:ascii="Times New Roman" w:hAnsi="Times New Roman" w:cs="Times New Roman"/>
          <w:sz w:val="28"/>
          <w:szCs w:val="28"/>
        </w:rPr>
        <w:t xml:space="preserve">VTNP pakalpojumu, un neto izmaksām vai ieņēmumiem tam pašam pakalpojuma sniedzējam, ja tam nav pienākuma sniegt VTNP pakalpojumu. Pienācīga uzmanība jāpievērš tam, lai pareizi tiktu aprēķinātas izmaksas, attiecībā uz kurām tiek prognozēts, ka </w:t>
      </w:r>
      <w:r w:rsidR="004314AE" w:rsidRPr="00DF4295">
        <w:rPr>
          <w:rFonts w:ascii="Times New Roman" w:hAnsi="Times New Roman" w:cs="Times New Roman"/>
          <w:sz w:val="28"/>
          <w:szCs w:val="28"/>
        </w:rPr>
        <w:t xml:space="preserve">VTNP </w:t>
      </w:r>
      <w:r w:rsidRPr="00DF4295">
        <w:rPr>
          <w:rFonts w:ascii="Times New Roman" w:hAnsi="Times New Roman" w:cs="Times New Roman"/>
          <w:sz w:val="28"/>
          <w:szCs w:val="28"/>
        </w:rPr>
        <w:t>sniedzējs no tām izvairīsies, un lai pareizi tiktu aprēķināti ieņēmumi, attiecībā uz kuriem tiek prognozēts, ka pakalpojumu sniedzējs tos nesaņems, ja viņam nav noteikts pienākums sniegt VTNP pakalpojumu. Aprēķinot neto izmaksas, jāizvērtē, kādus ieguvumus, tostarp pēc iespējas iekļaujot nemateriālus ieguvumus, VTNP sniedzējs saņem.</w:t>
      </w:r>
      <w:r w:rsidR="00F65435" w:rsidRPr="00DF4295">
        <w:rPr>
          <w:rFonts w:ascii="Times New Roman" w:hAnsi="Times New Roman" w:cs="Times New Roman"/>
          <w:sz w:val="28"/>
          <w:szCs w:val="28"/>
        </w:rPr>
        <w:t xml:space="preserve"> Ieguvumi jāņem vērā kompensācijas apmēra noteikšanā.</w:t>
      </w:r>
    </w:p>
    <w:p w14:paraId="589533E4" w14:textId="2A46292E" w:rsidR="00514B50" w:rsidRPr="00DF4295" w:rsidRDefault="00514B50" w:rsidP="00097423">
      <w:pPr>
        <w:pStyle w:val="CM3"/>
        <w:numPr>
          <w:ilvl w:val="0"/>
          <w:numId w:val="20"/>
        </w:numPr>
        <w:spacing w:before="120" w:after="120"/>
        <w:jc w:val="both"/>
        <w:rPr>
          <w:rFonts w:ascii="Times New Roman" w:hAnsi="Times New Roman" w:cs="Times New Roman"/>
          <w:sz w:val="28"/>
          <w:szCs w:val="28"/>
        </w:rPr>
      </w:pPr>
      <w:r w:rsidRPr="00DF4295">
        <w:rPr>
          <w:rFonts w:ascii="Times New Roman" w:hAnsi="Times New Roman" w:cs="Times New Roman"/>
          <w:sz w:val="28"/>
          <w:szCs w:val="28"/>
        </w:rPr>
        <w:t xml:space="preserve">izstrādājot kompensācijas metodi VTNP, jāievieš stimulējoši pasākumi, lai VTNP būtu augstas kvalitātes un tiktu efektīvi īstenots, izņemot gadījumus, kad var pienācīgi pamatot, ka to nav iespējams vai arī nav lietderīgi darīt. VTNP nostādņu 38. punktā noteikts, ka kompensācijas mehānisms, saskaņā ar kuru neto izmaksas par VTNP sniegšanu būtībā tiek pēc tam kompensētas pilnā apmērā, nerada VTNP  sniedzējam nekādus stimulus veicināt efektivitātes pieaugumu. Tāpēc šāds kompensācijas mehānisms ir izmantojams tikai un vienīgi gadījumos, kad dalībvalsts spēj pamatot, ka nav iespējams vai arī nav lietderīgi ņemt vērā produktivitātes efektivitāti un izstrādāt līgumu, kas rada stimulu panākt lielāku efektivitāti. Šādā gadījumā saprātīga peļņa nedrīkst pārsniegt VTNP nostādņu 36. </w:t>
      </w:r>
      <w:r w:rsidRPr="00DF4295">
        <w:rPr>
          <w:rFonts w:ascii="Times New Roman" w:hAnsi="Times New Roman" w:cs="Times New Roman"/>
          <w:sz w:val="28"/>
          <w:szCs w:val="28"/>
        </w:rPr>
        <w:lastRenderedPageBreak/>
        <w:t>punktā norādīto līmeni</w:t>
      </w:r>
      <w:r w:rsidR="00F65435" w:rsidRPr="00DF4295">
        <w:rPr>
          <w:rFonts w:ascii="Times New Roman" w:hAnsi="Times New Roman" w:cs="Times New Roman"/>
          <w:sz w:val="28"/>
          <w:szCs w:val="28"/>
        </w:rPr>
        <w:t>, proti, kapitāla rentabilitātes koeficients nepārsniedz attiecīgi mijmaiņas darījuma likmi</w:t>
      </w:r>
      <w:r w:rsidR="00F65435" w:rsidRPr="00DF4295">
        <w:rPr>
          <w:rStyle w:val="FootnoteReference"/>
          <w:rFonts w:ascii="Times New Roman" w:hAnsi="Times New Roman" w:cs="Times New Roman"/>
          <w:sz w:val="28"/>
          <w:szCs w:val="28"/>
        </w:rPr>
        <w:footnoteReference w:id="30"/>
      </w:r>
      <w:r w:rsidR="00F65435" w:rsidRPr="00DF4295">
        <w:rPr>
          <w:rFonts w:ascii="Times New Roman" w:hAnsi="Times New Roman" w:cs="Times New Roman"/>
          <w:sz w:val="28"/>
          <w:szCs w:val="28"/>
        </w:rPr>
        <w:t xml:space="preserve"> ar prēmiju 100 bāzes punktu apmērā.</w:t>
      </w:r>
    </w:p>
    <w:p w14:paraId="36401510" w14:textId="646D743F" w:rsidR="00514B50" w:rsidRPr="00DF4295" w:rsidRDefault="00514B50" w:rsidP="00097423">
      <w:pPr>
        <w:pStyle w:val="CM3"/>
        <w:numPr>
          <w:ilvl w:val="0"/>
          <w:numId w:val="20"/>
        </w:numPr>
        <w:spacing w:before="120" w:after="120"/>
        <w:jc w:val="both"/>
        <w:rPr>
          <w:rFonts w:ascii="Times New Roman" w:hAnsi="Times New Roman" w:cs="Times New Roman"/>
          <w:sz w:val="28"/>
          <w:szCs w:val="28"/>
        </w:rPr>
      </w:pPr>
      <w:r w:rsidRPr="00DF4295">
        <w:rPr>
          <w:rFonts w:ascii="Times New Roman" w:hAnsi="Times New Roman" w:cs="Times New Roman"/>
          <w:sz w:val="28"/>
          <w:szCs w:val="28"/>
        </w:rPr>
        <w:t>Plānojot VTNP sniegšanu saskaņā ar VTNP nostādnēm un saskaņojot atbalsta pasākumu ar EK, pastāv iespēja, ka EK atbalsta pasākumu uzskatīs par potenciāli konkurenci traucējošu un var izvirzīt dalībvalstij papildu nosacījumus vai likt uzņemties papildus saistības, lai nodrošinātu, ka tirdzniecība</w:t>
      </w:r>
      <w:r w:rsidR="00432AE9" w:rsidRPr="00DF4295">
        <w:rPr>
          <w:rFonts w:ascii="Times New Roman" w:hAnsi="Times New Roman" w:cs="Times New Roman"/>
          <w:sz w:val="28"/>
          <w:szCs w:val="28"/>
        </w:rPr>
        <w:t xml:space="preserve"> st</w:t>
      </w:r>
      <w:r w:rsidR="00800885" w:rsidRPr="00DF4295">
        <w:rPr>
          <w:rFonts w:ascii="Times New Roman" w:hAnsi="Times New Roman" w:cs="Times New Roman"/>
          <w:sz w:val="28"/>
          <w:szCs w:val="28"/>
        </w:rPr>
        <w:t>a</w:t>
      </w:r>
      <w:r w:rsidR="00432AE9" w:rsidRPr="00DF4295">
        <w:rPr>
          <w:rFonts w:ascii="Times New Roman" w:hAnsi="Times New Roman" w:cs="Times New Roman"/>
          <w:sz w:val="28"/>
          <w:szCs w:val="28"/>
        </w:rPr>
        <w:t xml:space="preserve">rp ES dalībvalstīm </w:t>
      </w:r>
      <w:r w:rsidRPr="00DF4295">
        <w:rPr>
          <w:rFonts w:ascii="Times New Roman" w:hAnsi="Times New Roman" w:cs="Times New Roman"/>
          <w:sz w:val="28"/>
          <w:szCs w:val="28"/>
        </w:rPr>
        <w:t xml:space="preserve">netiek ietekmēta tiktāl, lai kaitētu </w:t>
      </w:r>
      <w:r w:rsidR="00256D21" w:rsidRPr="00DF4295">
        <w:rPr>
          <w:rFonts w:ascii="Times New Roman" w:hAnsi="Times New Roman" w:cs="Times New Roman"/>
          <w:sz w:val="28"/>
          <w:szCs w:val="28"/>
        </w:rPr>
        <w:t>ES</w:t>
      </w:r>
      <w:r w:rsidRPr="00DF4295">
        <w:rPr>
          <w:rFonts w:ascii="Times New Roman" w:hAnsi="Times New Roman" w:cs="Times New Roman"/>
          <w:sz w:val="28"/>
          <w:szCs w:val="28"/>
        </w:rPr>
        <w:t xml:space="preserve"> interesēm (VTNP nostādņu 2.9.sadaļa).</w:t>
      </w:r>
    </w:p>
    <w:p w14:paraId="5374CED1" w14:textId="77777777" w:rsidR="00514B50" w:rsidRPr="00DF4295" w:rsidRDefault="00514B50" w:rsidP="00097423">
      <w:pPr>
        <w:pStyle w:val="CM3"/>
        <w:numPr>
          <w:ilvl w:val="0"/>
          <w:numId w:val="20"/>
        </w:numPr>
        <w:spacing w:before="120" w:after="120"/>
        <w:jc w:val="both"/>
        <w:rPr>
          <w:rFonts w:ascii="Times New Roman" w:hAnsi="Times New Roman" w:cs="Times New Roman"/>
          <w:sz w:val="28"/>
          <w:szCs w:val="28"/>
        </w:rPr>
      </w:pPr>
      <w:r w:rsidRPr="00DF4295">
        <w:rPr>
          <w:rFonts w:ascii="Times New Roman" w:hAnsi="Times New Roman" w:cs="Times New Roman"/>
          <w:sz w:val="28"/>
          <w:szCs w:val="28"/>
        </w:rPr>
        <w:t>Par katru VTNP pasākumu, kura saderības nodrošināšanai ar  ES iekšējo tirgu tiek piemērotas VTNP nostādnes, internetā vai ar citiem piemērotiem līdzekļiem publicējama informācija par:</w:t>
      </w:r>
    </w:p>
    <w:p w14:paraId="432F171F" w14:textId="77777777" w:rsidR="00514B50" w:rsidRPr="00DF4295" w:rsidRDefault="00514B50" w:rsidP="00097423">
      <w:pPr>
        <w:pStyle w:val="CM3"/>
        <w:numPr>
          <w:ilvl w:val="0"/>
          <w:numId w:val="21"/>
        </w:numPr>
        <w:spacing w:before="120" w:after="120"/>
        <w:jc w:val="both"/>
        <w:rPr>
          <w:rFonts w:ascii="Times New Roman" w:hAnsi="Times New Roman" w:cs="Times New Roman"/>
          <w:sz w:val="28"/>
          <w:szCs w:val="28"/>
        </w:rPr>
      </w:pPr>
      <w:r w:rsidRPr="00DF4295">
        <w:rPr>
          <w:rFonts w:ascii="Times New Roman" w:hAnsi="Times New Roman" w:cs="Times New Roman"/>
          <w:sz w:val="28"/>
          <w:szCs w:val="28"/>
        </w:rPr>
        <w:t>sabiedrisko apspriežu rezultātiem vai citiem piemērotiem instrumentiem;</w:t>
      </w:r>
    </w:p>
    <w:p w14:paraId="0096C905" w14:textId="77777777" w:rsidR="00514B50" w:rsidRPr="00DF4295" w:rsidRDefault="00514B50" w:rsidP="00097423">
      <w:pPr>
        <w:pStyle w:val="CM3"/>
        <w:numPr>
          <w:ilvl w:val="0"/>
          <w:numId w:val="21"/>
        </w:numPr>
        <w:spacing w:before="120" w:after="120"/>
        <w:jc w:val="both"/>
        <w:rPr>
          <w:rFonts w:ascii="Times New Roman" w:hAnsi="Times New Roman" w:cs="Times New Roman"/>
          <w:sz w:val="28"/>
          <w:szCs w:val="28"/>
        </w:rPr>
      </w:pPr>
      <w:r w:rsidRPr="00DF4295">
        <w:rPr>
          <w:rFonts w:ascii="Times New Roman" w:hAnsi="Times New Roman" w:cs="Times New Roman"/>
          <w:sz w:val="28"/>
          <w:szCs w:val="28"/>
        </w:rPr>
        <w:t xml:space="preserve"> VTNP pienākuma saturu un ilgumu;</w:t>
      </w:r>
    </w:p>
    <w:p w14:paraId="33AA869B" w14:textId="77777777" w:rsidR="00514B50" w:rsidRPr="00DF4295" w:rsidRDefault="00514B50" w:rsidP="00097423">
      <w:pPr>
        <w:pStyle w:val="CM3"/>
        <w:numPr>
          <w:ilvl w:val="0"/>
          <w:numId w:val="21"/>
        </w:numPr>
        <w:spacing w:before="120" w:after="120"/>
        <w:jc w:val="both"/>
        <w:rPr>
          <w:rFonts w:ascii="Times New Roman" w:hAnsi="Times New Roman" w:cs="Times New Roman"/>
          <w:sz w:val="28"/>
          <w:szCs w:val="28"/>
        </w:rPr>
      </w:pPr>
      <w:r w:rsidRPr="00DF4295">
        <w:rPr>
          <w:rFonts w:ascii="Times New Roman" w:hAnsi="Times New Roman" w:cs="Times New Roman"/>
          <w:sz w:val="28"/>
          <w:szCs w:val="28"/>
        </w:rPr>
        <w:t>attiecīgo uzņēmumu un aptverto teritoriju;</w:t>
      </w:r>
    </w:p>
    <w:p w14:paraId="2FFAAE38" w14:textId="77777777" w:rsidR="00514B50" w:rsidRPr="00DF4295" w:rsidRDefault="00514B50" w:rsidP="00097423">
      <w:pPr>
        <w:pStyle w:val="CM3"/>
        <w:numPr>
          <w:ilvl w:val="0"/>
          <w:numId w:val="21"/>
        </w:numPr>
        <w:spacing w:before="120" w:after="120"/>
        <w:jc w:val="both"/>
        <w:rPr>
          <w:rFonts w:ascii="Times New Roman" w:hAnsi="Times New Roman" w:cs="Times New Roman"/>
          <w:sz w:val="28"/>
          <w:szCs w:val="28"/>
        </w:rPr>
      </w:pPr>
      <w:r w:rsidRPr="00DF4295">
        <w:rPr>
          <w:rFonts w:ascii="Times New Roman" w:hAnsi="Times New Roman" w:cs="Times New Roman"/>
          <w:sz w:val="28"/>
          <w:szCs w:val="28"/>
        </w:rPr>
        <w:t>atbalsta summu, kas uzņēmumam piešķirta katru gadu.</w:t>
      </w:r>
    </w:p>
    <w:p w14:paraId="2193FC86" w14:textId="30418B0B" w:rsidR="00E32A3E" w:rsidRPr="00DF4295" w:rsidRDefault="00B20707"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VTNP p</w:t>
      </w:r>
      <w:r w:rsidR="00E32A3E" w:rsidRPr="00DF4295">
        <w:rPr>
          <w:rFonts w:ascii="Times New Roman" w:hAnsi="Times New Roman" w:cs="Times New Roman"/>
          <w:sz w:val="28"/>
          <w:szCs w:val="28"/>
        </w:rPr>
        <w:t>ilnvarojuma termiņš jāpamato, atsaucoties uz objektīviem kritērijiem, piemēram, nepieciešamību amortizēt pamatlīdzekļus, kas nav pārnesami (aktīvi, kurus nevar viegli pārdot un/vai pārvērst naudā). No tā izriet, ka saskaņā ar VTNP nostādnēm 10 gadu vai pat īsāks pilnvarojuma periods ne vienmēr būs pieņemams. Tādejādi VTNP nostādnes izvirza stingrākus nosacījumus, nekā VTNP lēmums</w:t>
      </w:r>
      <w:r w:rsidR="00905E6D" w:rsidRPr="00DF4295">
        <w:rPr>
          <w:rFonts w:ascii="Times New Roman" w:hAnsi="Times New Roman" w:cs="Times New Roman"/>
          <w:sz w:val="28"/>
          <w:szCs w:val="28"/>
        </w:rPr>
        <w:t xml:space="preserve">. </w:t>
      </w:r>
      <w:r w:rsidR="00E32A3E" w:rsidRPr="00DF4295">
        <w:rPr>
          <w:rFonts w:ascii="Times New Roman" w:hAnsi="Times New Roman" w:cs="Times New Roman"/>
          <w:sz w:val="28"/>
          <w:szCs w:val="28"/>
        </w:rPr>
        <w:t xml:space="preserve">Turklāt, tā kā VTNP nostādnes parasti attiecas uz liela apjoma lietām, kuras var radīt nopietnākus konkurences kropļojumus, VTNP nostādņu nosacījumi par saderību kopumā ir stingrāki nekā </w:t>
      </w:r>
      <w:r w:rsidRPr="00DF4295">
        <w:rPr>
          <w:rFonts w:ascii="Times New Roman" w:hAnsi="Times New Roman" w:cs="Times New Roman"/>
          <w:sz w:val="28"/>
          <w:szCs w:val="28"/>
        </w:rPr>
        <w:t xml:space="preserve">VTNP </w:t>
      </w:r>
      <w:r w:rsidR="00E32A3E" w:rsidRPr="00DF4295">
        <w:rPr>
          <w:rFonts w:ascii="Times New Roman" w:hAnsi="Times New Roman" w:cs="Times New Roman"/>
          <w:sz w:val="28"/>
          <w:szCs w:val="28"/>
        </w:rPr>
        <w:t>lēmuma nosacījumi.</w:t>
      </w:r>
      <w:r w:rsidR="00E32A3E" w:rsidRPr="00DF4295">
        <w:rPr>
          <w:rStyle w:val="FootnoteReference"/>
          <w:rFonts w:ascii="Times New Roman" w:hAnsi="Times New Roman" w:cs="Times New Roman"/>
          <w:sz w:val="28"/>
          <w:szCs w:val="28"/>
        </w:rPr>
        <w:footnoteReference w:id="31"/>
      </w:r>
    </w:p>
    <w:p w14:paraId="60B8C33C" w14:textId="5EC2B7FF" w:rsidR="00EF0AA8" w:rsidRPr="00DF4295" w:rsidRDefault="00B35768" w:rsidP="001D1B46">
      <w:pPr>
        <w:pStyle w:val="Heading1"/>
        <w:spacing w:before="120" w:after="120"/>
        <w:ind w:left="360"/>
        <w:rPr>
          <w:rFonts w:cs="Times New Roman"/>
          <w:sz w:val="28"/>
          <w:szCs w:val="28"/>
        </w:rPr>
      </w:pPr>
      <w:bookmarkStart w:id="49" w:name="_Toc497409016"/>
      <w:bookmarkStart w:id="50" w:name="_Toc497409017"/>
      <w:bookmarkStart w:id="51" w:name="_Toc497228821"/>
      <w:bookmarkStart w:id="52" w:name="_Toc497409018"/>
      <w:bookmarkStart w:id="53" w:name="_Toc500939856"/>
      <w:bookmarkStart w:id="54" w:name="_Toc15391547"/>
      <w:bookmarkEnd w:id="49"/>
      <w:bookmarkEnd w:id="50"/>
      <w:bookmarkEnd w:id="51"/>
      <w:bookmarkEnd w:id="52"/>
      <w:r w:rsidRPr="00DF4295">
        <w:rPr>
          <w:rFonts w:cs="Times New Roman"/>
          <w:sz w:val="28"/>
          <w:szCs w:val="28"/>
        </w:rPr>
        <w:t xml:space="preserve">4.7. </w:t>
      </w:r>
      <w:r w:rsidR="00EF0AA8" w:rsidRPr="00DF4295">
        <w:rPr>
          <w:rFonts w:cs="Times New Roman"/>
          <w:sz w:val="28"/>
          <w:szCs w:val="28"/>
        </w:rPr>
        <w:t>VTNP de minimis regula</w:t>
      </w:r>
      <w:r w:rsidR="009F31B3" w:rsidRPr="00DF4295">
        <w:rPr>
          <w:rFonts w:cs="Times New Roman"/>
          <w:sz w:val="28"/>
          <w:szCs w:val="28"/>
        </w:rPr>
        <w:t xml:space="preserve"> un tās nosacījumi</w:t>
      </w:r>
      <w:bookmarkEnd w:id="53"/>
      <w:bookmarkEnd w:id="54"/>
    </w:p>
    <w:p w14:paraId="2B26B010" w14:textId="43CCDEBB" w:rsidR="00AD6D2D" w:rsidRPr="00DF4295" w:rsidRDefault="00295859"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Ja atbalstu sniedz a</w:t>
      </w:r>
      <w:r w:rsidR="009F31B3" w:rsidRPr="00DF4295">
        <w:rPr>
          <w:rFonts w:ascii="Times New Roman" w:hAnsi="Times New Roman" w:cs="Times New Roman"/>
          <w:sz w:val="28"/>
          <w:szCs w:val="28"/>
        </w:rPr>
        <w:t>tbilstoši</w:t>
      </w:r>
      <w:r w:rsidR="00AD6D2D" w:rsidRPr="00DF4295">
        <w:rPr>
          <w:rFonts w:ascii="Times New Roman" w:hAnsi="Times New Roman" w:cs="Times New Roman"/>
          <w:sz w:val="28"/>
          <w:szCs w:val="28"/>
        </w:rPr>
        <w:t xml:space="preserve"> VTNP de minimis</w:t>
      </w:r>
      <w:r w:rsidR="002356A2" w:rsidRPr="00DF4295">
        <w:rPr>
          <w:rFonts w:ascii="Times New Roman" w:hAnsi="Times New Roman" w:cs="Times New Roman"/>
          <w:sz w:val="28"/>
          <w:szCs w:val="28"/>
        </w:rPr>
        <w:t xml:space="preserve"> regul</w:t>
      </w:r>
      <w:r w:rsidR="009F31B3" w:rsidRPr="00DF4295">
        <w:rPr>
          <w:rFonts w:ascii="Times New Roman" w:hAnsi="Times New Roman" w:cs="Times New Roman"/>
          <w:sz w:val="28"/>
          <w:szCs w:val="28"/>
        </w:rPr>
        <w:t xml:space="preserve">ai </w:t>
      </w:r>
      <w:r w:rsidRPr="00DF4295">
        <w:rPr>
          <w:rFonts w:ascii="Times New Roman" w:hAnsi="Times New Roman" w:cs="Times New Roman"/>
          <w:sz w:val="28"/>
          <w:szCs w:val="28"/>
        </w:rPr>
        <w:t xml:space="preserve">uz </w:t>
      </w:r>
      <w:r w:rsidR="009F31B3" w:rsidRPr="00DF4295">
        <w:rPr>
          <w:rFonts w:ascii="Times New Roman" w:hAnsi="Times New Roman" w:cs="Times New Roman"/>
          <w:sz w:val="28"/>
          <w:szCs w:val="28"/>
        </w:rPr>
        <w:t>publisk</w:t>
      </w:r>
      <w:r w:rsidRPr="00DF4295">
        <w:rPr>
          <w:rFonts w:ascii="Times New Roman" w:hAnsi="Times New Roman" w:cs="Times New Roman"/>
          <w:sz w:val="28"/>
          <w:szCs w:val="28"/>
        </w:rPr>
        <w:t>o</w:t>
      </w:r>
      <w:r w:rsidR="00AD6D2D" w:rsidRPr="00DF4295">
        <w:rPr>
          <w:rFonts w:ascii="Times New Roman" w:hAnsi="Times New Roman" w:cs="Times New Roman"/>
          <w:sz w:val="28"/>
          <w:szCs w:val="28"/>
        </w:rPr>
        <w:t xml:space="preserve"> finansējum</w:t>
      </w:r>
      <w:r w:rsidRPr="00DF4295">
        <w:rPr>
          <w:rFonts w:ascii="Times New Roman" w:hAnsi="Times New Roman" w:cs="Times New Roman"/>
          <w:sz w:val="28"/>
          <w:szCs w:val="28"/>
        </w:rPr>
        <w:t>u</w:t>
      </w:r>
      <w:r w:rsidR="00AD6D2D" w:rsidRPr="00DF4295">
        <w:rPr>
          <w:rFonts w:ascii="Times New Roman" w:hAnsi="Times New Roman" w:cs="Times New Roman"/>
          <w:sz w:val="28"/>
          <w:szCs w:val="28"/>
        </w:rPr>
        <w:t xml:space="preserve"> VTNP, kas jebkurā triju gadu periodā nepārsniedz EUR </w:t>
      </w:r>
      <w:r w:rsidR="006B267D">
        <w:rPr>
          <w:rFonts w:ascii="Times New Roman" w:hAnsi="Times New Roman" w:cs="Times New Roman"/>
          <w:sz w:val="28"/>
          <w:szCs w:val="28"/>
        </w:rPr>
        <w:t>750</w:t>
      </w:r>
      <w:r w:rsidR="006B267D" w:rsidRPr="00DF4295">
        <w:rPr>
          <w:rFonts w:ascii="Times New Roman" w:hAnsi="Times New Roman" w:cs="Times New Roman"/>
          <w:sz w:val="28"/>
          <w:szCs w:val="28"/>
        </w:rPr>
        <w:t xml:space="preserve"> </w:t>
      </w:r>
      <w:r w:rsidR="00AD6D2D" w:rsidRPr="00DF4295">
        <w:rPr>
          <w:rFonts w:ascii="Times New Roman" w:hAnsi="Times New Roman" w:cs="Times New Roman"/>
          <w:sz w:val="28"/>
          <w:szCs w:val="28"/>
        </w:rPr>
        <w:t>000, neattiecas pienākums iepriekš</w:t>
      </w:r>
      <w:r w:rsidR="009F31B3" w:rsidRPr="00DF4295">
        <w:rPr>
          <w:rFonts w:ascii="Times New Roman" w:hAnsi="Times New Roman" w:cs="Times New Roman"/>
          <w:sz w:val="28"/>
          <w:szCs w:val="28"/>
        </w:rPr>
        <w:t xml:space="preserve"> sniegt paziņojumu EK</w:t>
      </w:r>
      <w:r w:rsidR="00AD6D2D" w:rsidRPr="00DF4295">
        <w:rPr>
          <w:rFonts w:ascii="Times New Roman" w:hAnsi="Times New Roman" w:cs="Times New Roman"/>
          <w:sz w:val="28"/>
          <w:szCs w:val="28"/>
        </w:rPr>
        <w:t>.</w:t>
      </w:r>
      <w:r w:rsidR="00AD6D2D" w:rsidRPr="00DF4295">
        <w:rPr>
          <w:rStyle w:val="FootnoteReference"/>
          <w:rFonts w:ascii="Times New Roman" w:hAnsi="Times New Roman" w:cs="Times New Roman"/>
          <w:sz w:val="28"/>
          <w:szCs w:val="28"/>
        </w:rPr>
        <w:footnoteReference w:id="32"/>
      </w:r>
      <w:r w:rsidR="00F26452" w:rsidRPr="00DF4295">
        <w:rPr>
          <w:rFonts w:ascii="Times New Roman" w:hAnsi="Times New Roman" w:cs="Times New Roman"/>
          <w:sz w:val="28"/>
          <w:szCs w:val="28"/>
        </w:rPr>
        <w:t xml:space="preserve"> </w:t>
      </w:r>
      <w:r w:rsidR="00B9517C" w:rsidRPr="00DF4295">
        <w:rPr>
          <w:rFonts w:ascii="Times New Roman" w:hAnsi="Times New Roman" w:cs="Times New Roman"/>
          <w:sz w:val="28"/>
          <w:szCs w:val="28"/>
        </w:rPr>
        <w:t>VTNP de minimis regula nosaka, ka trīs gadu periodā vienam VTNP snie</w:t>
      </w:r>
      <w:r w:rsidR="008A31F8" w:rsidRPr="00DF4295">
        <w:rPr>
          <w:rFonts w:ascii="Times New Roman" w:hAnsi="Times New Roman" w:cs="Times New Roman"/>
          <w:sz w:val="28"/>
          <w:szCs w:val="28"/>
        </w:rPr>
        <w:t xml:space="preserve">dzējam var piešķirt EUR </w:t>
      </w:r>
      <w:r w:rsidR="006B267D">
        <w:rPr>
          <w:rFonts w:ascii="Times New Roman" w:hAnsi="Times New Roman" w:cs="Times New Roman"/>
          <w:sz w:val="28"/>
          <w:szCs w:val="28"/>
        </w:rPr>
        <w:t>75</w:t>
      </w:r>
      <w:r w:rsidR="006B267D" w:rsidRPr="00DF4295">
        <w:rPr>
          <w:rFonts w:ascii="Times New Roman" w:hAnsi="Times New Roman" w:cs="Times New Roman"/>
          <w:sz w:val="28"/>
          <w:szCs w:val="28"/>
        </w:rPr>
        <w:t>0 </w:t>
      </w:r>
      <w:r w:rsidR="008A31F8" w:rsidRPr="00DF4295">
        <w:rPr>
          <w:rFonts w:ascii="Times New Roman" w:hAnsi="Times New Roman" w:cs="Times New Roman"/>
          <w:sz w:val="28"/>
          <w:szCs w:val="28"/>
        </w:rPr>
        <w:t xml:space="preserve">000, </w:t>
      </w:r>
      <w:r w:rsidR="00906FE6" w:rsidRPr="00DF4295">
        <w:rPr>
          <w:rFonts w:ascii="Times New Roman" w:hAnsi="Times New Roman" w:cs="Times New Roman"/>
          <w:sz w:val="28"/>
          <w:szCs w:val="28"/>
        </w:rPr>
        <w:t xml:space="preserve">izsakot to </w:t>
      </w:r>
      <w:r w:rsidR="008A31F8" w:rsidRPr="00DF4295">
        <w:rPr>
          <w:rFonts w:ascii="Times New Roman" w:hAnsi="Times New Roman" w:cs="Times New Roman"/>
          <w:sz w:val="28"/>
          <w:szCs w:val="28"/>
        </w:rPr>
        <w:t>kā dotāciju skaidrā naudā. Visi izmantojamie skaitļi ir bruto skaitļi – pirms nodokļu atskaitīšanas vai citu atskaitījumu veikšanas. Ja atbalstu piešķir citā veidā, nevis kā dotāciju, atbalsta summa ir atbalsta dotācijas bruto ekvivalents.</w:t>
      </w:r>
      <w:r w:rsidR="00B9517C" w:rsidRPr="00DF4295">
        <w:rPr>
          <w:rFonts w:ascii="Times New Roman" w:hAnsi="Times New Roman" w:cs="Times New Roman"/>
          <w:sz w:val="28"/>
          <w:szCs w:val="28"/>
        </w:rPr>
        <w:t xml:space="preserve"> </w:t>
      </w:r>
      <w:r w:rsidR="006215FE">
        <w:rPr>
          <w:rFonts w:ascii="Times New Roman" w:hAnsi="Times New Roman" w:cs="Times New Roman"/>
          <w:sz w:val="28"/>
          <w:szCs w:val="28"/>
        </w:rPr>
        <w:t>Trīs gadu period</w:t>
      </w:r>
      <w:r w:rsidR="006D55B1">
        <w:rPr>
          <w:rFonts w:ascii="Times New Roman" w:hAnsi="Times New Roman" w:cs="Times New Roman"/>
          <w:sz w:val="28"/>
          <w:szCs w:val="28"/>
        </w:rPr>
        <w:t>s</w:t>
      </w:r>
      <w:r w:rsidR="006215FE">
        <w:rPr>
          <w:rFonts w:ascii="Times New Roman" w:hAnsi="Times New Roman" w:cs="Times New Roman"/>
          <w:sz w:val="28"/>
          <w:szCs w:val="28"/>
        </w:rPr>
        <w:t xml:space="preserve"> šīs VTNP regulas kontekstā </w:t>
      </w:r>
      <w:r w:rsidR="006D55B1">
        <w:rPr>
          <w:rFonts w:ascii="Times New Roman" w:hAnsi="Times New Roman" w:cs="Times New Roman"/>
          <w:sz w:val="28"/>
          <w:szCs w:val="28"/>
        </w:rPr>
        <w:t>ir</w:t>
      </w:r>
      <w:r w:rsidR="006215FE">
        <w:rPr>
          <w:rFonts w:ascii="Times New Roman" w:hAnsi="Times New Roman" w:cs="Times New Roman"/>
          <w:sz w:val="28"/>
          <w:szCs w:val="28"/>
        </w:rPr>
        <w:t xml:space="preserve"> slīdoš</w:t>
      </w:r>
      <w:r w:rsidR="006D55B1">
        <w:rPr>
          <w:rFonts w:ascii="Times New Roman" w:hAnsi="Times New Roman" w:cs="Times New Roman"/>
          <w:sz w:val="28"/>
          <w:szCs w:val="28"/>
        </w:rPr>
        <w:t>s</w:t>
      </w:r>
      <w:r w:rsidR="006215FE">
        <w:rPr>
          <w:rFonts w:ascii="Times New Roman" w:hAnsi="Times New Roman" w:cs="Times New Roman"/>
          <w:sz w:val="28"/>
          <w:szCs w:val="28"/>
        </w:rPr>
        <w:t xml:space="preserve"> </w:t>
      </w:r>
      <w:r w:rsidR="006D55B1">
        <w:rPr>
          <w:rFonts w:ascii="Times New Roman" w:hAnsi="Times New Roman" w:cs="Times New Roman"/>
          <w:sz w:val="28"/>
          <w:szCs w:val="28"/>
        </w:rPr>
        <w:t xml:space="preserve">trīs gadu </w:t>
      </w:r>
      <w:r w:rsidR="006215FE">
        <w:rPr>
          <w:rFonts w:ascii="Times New Roman" w:hAnsi="Times New Roman" w:cs="Times New Roman"/>
          <w:sz w:val="28"/>
          <w:szCs w:val="28"/>
        </w:rPr>
        <w:t>period</w:t>
      </w:r>
      <w:r w:rsidR="006D55B1">
        <w:rPr>
          <w:rFonts w:ascii="Times New Roman" w:hAnsi="Times New Roman" w:cs="Times New Roman"/>
          <w:sz w:val="28"/>
          <w:szCs w:val="28"/>
        </w:rPr>
        <w:t xml:space="preserve">s, sākot </w:t>
      </w:r>
      <w:r w:rsidR="006215FE">
        <w:rPr>
          <w:rFonts w:ascii="Times New Roman" w:hAnsi="Times New Roman" w:cs="Times New Roman"/>
          <w:sz w:val="28"/>
          <w:szCs w:val="28"/>
        </w:rPr>
        <w:t>no atbalsta piešķiršanas dienas.</w:t>
      </w:r>
    </w:p>
    <w:p w14:paraId="063D126F" w14:textId="2E09BDDC" w:rsidR="00AD6D2D" w:rsidRPr="00DF4295" w:rsidRDefault="00AD6D2D"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lastRenderedPageBreak/>
        <w:t>Piešķirot kompensāciju</w:t>
      </w:r>
      <w:r w:rsidR="009F31B3" w:rsidRPr="00DF4295">
        <w:rPr>
          <w:rFonts w:ascii="Times New Roman" w:hAnsi="Times New Roman" w:cs="Times New Roman"/>
          <w:sz w:val="28"/>
          <w:szCs w:val="28"/>
        </w:rPr>
        <w:t xml:space="preserve"> VTNP nodrošināšanai</w:t>
      </w:r>
      <w:r w:rsidRPr="00DF4295">
        <w:rPr>
          <w:rFonts w:ascii="Times New Roman" w:hAnsi="Times New Roman" w:cs="Times New Roman"/>
          <w:sz w:val="28"/>
          <w:szCs w:val="28"/>
        </w:rPr>
        <w:t xml:space="preserve"> saskaņā ar </w:t>
      </w:r>
      <w:r w:rsidR="002356A2" w:rsidRPr="00DF4295">
        <w:rPr>
          <w:rFonts w:ascii="Times New Roman" w:hAnsi="Times New Roman" w:cs="Times New Roman"/>
          <w:sz w:val="28"/>
          <w:szCs w:val="28"/>
        </w:rPr>
        <w:t>VTNP de minimis regulu</w:t>
      </w:r>
      <w:r w:rsidRPr="00DF4295">
        <w:rPr>
          <w:rFonts w:ascii="Times New Roman" w:hAnsi="Times New Roman" w:cs="Times New Roman"/>
          <w:sz w:val="28"/>
          <w:szCs w:val="28"/>
        </w:rPr>
        <w:t xml:space="preserve">, jāievēro visas </w:t>
      </w:r>
      <w:r w:rsidR="00381024" w:rsidRPr="00DF4295">
        <w:rPr>
          <w:rFonts w:ascii="Times New Roman" w:hAnsi="Times New Roman" w:cs="Times New Roman"/>
          <w:sz w:val="28"/>
          <w:szCs w:val="28"/>
        </w:rPr>
        <w:t xml:space="preserve">šajā </w:t>
      </w:r>
      <w:r w:rsidRPr="00DF4295">
        <w:rPr>
          <w:rFonts w:ascii="Times New Roman" w:hAnsi="Times New Roman" w:cs="Times New Roman"/>
          <w:sz w:val="28"/>
          <w:szCs w:val="28"/>
        </w:rPr>
        <w:t>regulā minētās prasības.</w:t>
      </w:r>
    </w:p>
    <w:p w14:paraId="56FC72DB" w14:textId="0EEED9C8" w:rsidR="00381024" w:rsidRPr="00DF4295" w:rsidRDefault="005F4418" w:rsidP="001D1B46">
      <w:pPr>
        <w:ind w:firstLine="567"/>
        <w:jc w:val="both"/>
        <w:rPr>
          <w:rFonts w:ascii="Times New Roman" w:hAnsi="Times New Roman" w:cs="Times New Roman"/>
          <w:sz w:val="28"/>
          <w:szCs w:val="28"/>
        </w:rPr>
      </w:pPr>
      <w:r w:rsidRPr="00DF4295">
        <w:rPr>
          <w:rFonts w:ascii="Times New Roman" w:hAnsi="Times New Roman" w:cs="Times New Roman"/>
          <w:b/>
          <w:sz w:val="28"/>
          <w:szCs w:val="28"/>
        </w:rPr>
        <w:t>V</w:t>
      </w:r>
      <w:r w:rsidR="00AD6D2D" w:rsidRPr="00DF4295">
        <w:rPr>
          <w:rFonts w:ascii="Times New Roman" w:hAnsi="Times New Roman" w:cs="Times New Roman"/>
          <w:b/>
          <w:sz w:val="28"/>
          <w:szCs w:val="28"/>
        </w:rPr>
        <w:t>TNP de minimis regulu piemēro tikai tādam atbalstam, kas piešķirts VTNP sniegšanai.</w:t>
      </w:r>
      <w:r w:rsidR="00AD6D2D" w:rsidRPr="00DF4295">
        <w:rPr>
          <w:rFonts w:ascii="Times New Roman" w:hAnsi="Times New Roman" w:cs="Times New Roman"/>
          <w:sz w:val="28"/>
          <w:szCs w:val="28"/>
        </w:rPr>
        <w:t xml:space="preserve"> </w:t>
      </w:r>
      <w:r w:rsidR="008E765B" w:rsidRPr="00DF4295">
        <w:rPr>
          <w:rFonts w:ascii="Times New Roman" w:hAnsi="Times New Roman" w:cs="Times New Roman"/>
          <w:sz w:val="28"/>
          <w:szCs w:val="28"/>
        </w:rPr>
        <w:t>U</w:t>
      </w:r>
      <w:r w:rsidR="00AD6D2D" w:rsidRPr="00DF4295">
        <w:rPr>
          <w:rFonts w:ascii="Times New Roman" w:hAnsi="Times New Roman" w:cs="Times New Roman"/>
          <w:sz w:val="28"/>
          <w:szCs w:val="28"/>
        </w:rPr>
        <w:t>zņēmumam jābūt pilnvarotam sniegt noteiktu VTNP</w:t>
      </w:r>
      <w:r w:rsidR="00A940C8" w:rsidRPr="00DF4295">
        <w:rPr>
          <w:rFonts w:ascii="Times New Roman" w:hAnsi="Times New Roman" w:cs="Times New Roman"/>
          <w:sz w:val="28"/>
          <w:szCs w:val="28"/>
        </w:rPr>
        <w:t>.</w:t>
      </w:r>
      <w:r w:rsidR="00514B50" w:rsidRPr="00DF4295">
        <w:rPr>
          <w:rFonts w:ascii="Times New Roman" w:hAnsi="Times New Roman" w:cs="Times New Roman"/>
          <w:sz w:val="28"/>
          <w:szCs w:val="28"/>
        </w:rPr>
        <w:t xml:space="preserve"> </w:t>
      </w:r>
      <w:r w:rsidR="00A940C8" w:rsidRPr="00DF4295">
        <w:rPr>
          <w:rFonts w:ascii="Times New Roman" w:hAnsi="Times New Roman" w:cs="Times New Roman"/>
          <w:sz w:val="28"/>
          <w:szCs w:val="28"/>
        </w:rPr>
        <w:t>P</w:t>
      </w:r>
      <w:r w:rsidR="00AD6D2D" w:rsidRPr="00DF4295">
        <w:rPr>
          <w:rFonts w:ascii="Times New Roman" w:hAnsi="Times New Roman" w:cs="Times New Roman"/>
          <w:sz w:val="28"/>
          <w:szCs w:val="28"/>
        </w:rPr>
        <w:t xml:space="preserve">ilnvarojumā </w:t>
      </w:r>
      <w:r w:rsidR="00ED1252" w:rsidRPr="00DF4295">
        <w:rPr>
          <w:rFonts w:ascii="Times New Roman" w:hAnsi="Times New Roman" w:cs="Times New Roman"/>
          <w:sz w:val="28"/>
          <w:szCs w:val="28"/>
        </w:rPr>
        <w:t xml:space="preserve">jāiekļauj informācija par </w:t>
      </w:r>
      <w:r w:rsidR="00A940C8" w:rsidRPr="00DF4295">
        <w:rPr>
          <w:rFonts w:ascii="Times New Roman" w:hAnsi="Times New Roman" w:cs="Times New Roman"/>
          <w:sz w:val="28"/>
          <w:szCs w:val="28"/>
        </w:rPr>
        <w:t>VTNP</w:t>
      </w:r>
      <w:r w:rsidR="00ED1252" w:rsidRPr="00DF4295">
        <w:rPr>
          <w:rFonts w:ascii="Times New Roman" w:hAnsi="Times New Roman" w:cs="Times New Roman"/>
          <w:sz w:val="28"/>
          <w:szCs w:val="28"/>
        </w:rPr>
        <w:t>, attiecībā uz kuru atbalsts tiek piešķirts</w:t>
      </w:r>
      <w:r w:rsidR="00A940C8" w:rsidRPr="00DF4295">
        <w:rPr>
          <w:rFonts w:ascii="Times New Roman" w:hAnsi="Times New Roman" w:cs="Times New Roman"/>
          <w:sz w:val="28"/>
          <w:szCs w:val="28"/>
        </w:rPr>
        <w:t xml:space="preserve">, taču </w:t>
      </w:r>
      <w:r w:rsidR="008E765B" w:rsidRPr="00DF4295">
        <w:rPr>
          <w:rFonts w:ascii="Times New Roman" w:hAnsi="Times New Roman" w:cs="Times New Roman"/>
          <w:sz w:val="28"/>
          <w:szCs w:val="28"/>
        </w:rPr>
        <w:t xml:space="preserve">tajā </w:t>
      </w:r>
      <w:r w:rsidR="00A940C8" w:rsidRPr="00DF4295">
        <w:rPr>
          <w:rFonts w:ascii="Times New Roman" w:hAnsi="Times New Roman" w:cs="Times New Roman"/>
          <w:sz w:val="28"/>
          <w:szCs w:val="28"/>
        </w:rPr>
        <w:t>n</w:t>
      </w:r>
      <w:r w:rsidR="00AD6D2D" w:rsidRPr="00DF4295">
        <w:rPr>
          <w:rFonts w:ascii="Times New Roman" w:hAnsi="Times New Roman" w:cs="Times New Roman"/>
          <w:sz w:val="28"/>
          <w:szCs w:val="28"/>
        </w:rPr>
        <w:t xml:space="preserve">av jābūt </w:t>
      </w:r>
      <w:r w:rsidR="008E765B" w:rsidRPr="00DF4295">
        <w:rPr>
          <w:rFonts w:ascii="Times New Roman" w:hAnsi="Times New Roman" w:cs="Times New Roman"/>
          <w:sz w:val="28"/>
          <w:szCs w:val="28"/>
        </w:rPr>
        <w:t xml:space="preserve">iekļautai </w:t>
      </w:r>
      <w:r w:rsidR="00AD6D2D" w:rsidRPr="00DF4295">
        <w:rPr>
          <w:rFonts w:ascii="Times New Roman" w:hAnsi="Times New Roman" w:cs="Times New Roman"/>
          <w:sz w:val="28"/>
          <w:szCs w:val="28"/>
        </w:rPr>
        <w:t xml:space="preserve">visai </w:t>
      </w:r>
      <w:r w:rsidR="008E765B" w:rsidRPr="00DF4295">
        <w:rPr>
          <w:rFonts w:ascii="Times New Roman" w:hAnsi="Times New Roman" w:cs="Times New Roman"/>
          <w:sz w:val="28"/>
          <w:szCs w:val="28"/>
        </w:rPr>
        <w:t xml:space="preserve">tai </w:t>
      </w:r>
      <w:r w:rsidR="00AD6D2D" w:rsidRPr="00DF4295">
        <w:rPr>
          <w:rFonts w:ascii="Times New Roman" w:hAnsi="Times New Roman" w:cs="Times New Roman"/>
          <w:sz w:val="28"/>
          <w:szCs w:val="28"/>
        </w:rPr>
        <w:t>informācijai, kāda ir nepieciešama saskaņā ar VTNP lēmumu vai VTNP nostādnēm</w:t>
      </w:r>
      <w:r w:rsidR="00CF113D" w:rsidRPr="00DF4295">
        <w:rPr>
          <w:rFonts w:ascii="Times New Roman" w:hAnsi="Times New Roman" w:cs="Times New Roman"/>
          <w:sz w:val="28"/>
          <w:szCs w:val="28"/>
        </w:rPr>
        <w:t xml:space="preserve">, ievērojot, ka komercdarbības atbalstu saņemošajam uzņēmumam vajadzētu būt rakstveidā pilnvarotam sniegt pakalpojumu ar vispārēju tautsaimniecisku nozīmi, attiecībā uz kuru atbalsts </w:t>
      </w:r>
      <w:r w:rsidR="00863FC5" w:rsidRPr="00DF4295">
        <w:rPr>
          <w:rFonts w:ascii="Times New Roman" w:hAnsi="Times New Roman" w:cs="Times New Roman"/>
          <w:sz w:val="28"/>
          <w:szCs w:val="28"/>
        </w:rPr>
        <w:t>piešķirts</w:t>
      </w:r>
      <w:r w:rsidR="00CF113D" w:rsidRPr="00DF4295">
        <w:rPr>
          <w:rFonts w:ascii="Times New Roman" w:hAnsi="Times New Roman" w:cs="Times New Roman"/>
          <w:sz w:val="28"/>
          <w:szCs w:val="28"/>
        </w:rPr>
        <w:t>.</w:t>
      </w:r>
    </w:p>
    <w:p w14:paraId="00235F52" w14:textId="78CFD66D" w:rsidR="004632AA" w:rsidRPr="00CF4E56" w:rsidRDefault="008A31F8" w:rsidP="00CF4E56">
      <w:pPr>
        <w:ind w:firstLine="567"/>
        <w:jc w:val="both"/>
        <w:rPr>
          <w:rFonts w:ascii="Times New Roman" w:hAnsi="Times New Roman" w:cs="Times New Roman"/>
          <w:sz w:val="28"/>
          <w:szCs w:val="28"/>
        </w:rPr>
      </w:pPr>
      <w:r w:rsidRPr="00DF4295">
        <w:rPr>
          <w:rFonts w:ascii="Times New Roman" w:hAnsi="Times New Roman" w:cs="Times New Roman"/>
          <w:b/>
          <w:sz w:val="28"/>
          <w:szCs w:val="28"/>
        </w:rPr>
        <w:t>VTNP de minimis regulu nepiemēro</w:t>
      </w:r>
      <w:r w:rsidRPr="00DF4295">
        <w:rPr>
          <w:rFonts w:ascii="Times New Roman" w:hAnsi="Times New Roman" w:cs="Times New Roman"/>
          <w:sz w:val="28"/>
          <w:szCs w:val="28"/>
        </w:rPr>
        <w:t xml:space="preserve"> atbalstam, ko piešķir uzņēmumiem, kuri</w:t>
      </w:r>
      <w:r w:rsidR="00582445">
        <w:rPr>
          <w:rFonts w:ascii="Times New Roman" w:hAnsi="Times New Roman" w:cs="Times New Roman"/>
          <w:sz w:val="28"/>
          <w:szCs w:val="28"/>
        </w:rPr>
        <w:t xml:space="preserve"> </w:t>
      </w:r>
      <w:r w:rsidR="004632AA" w:rsidRPr="00CF4E56">
        <w:rPr>
          <w:rFonts w:ascii="Times New Roman" w:hAnsi="Times New Roman" w:cs="Times New Roman"/>
          <w:sz w:val="28"/>
          <w:szCs w:val="28"/>
        </w:rPr>
        <w:t>nodarbojas ar zvejas un akvakultūras produktu primāro ražošanu;</w:t>
      </w:r>
      <w:r w:rsidR="006215FE">
        <w:rPr>
          <w:rFonts w:ascii="Times New Roman" w:hAnsi="Times New Roman" w:cs="Times New Roman"/>
          <w:sz w:val="28"/>
          <w:szCs w:val="28"/>
        </w:rPr>
        <w:t xml:space="preserve"> </w:t>
      </w:r>
      <w:r w:rsidR="004632AA" w:rsidRPr="00CF4E56">
        <w:rPr>
          <w:rFonts w:ascii="Times New Roman" w:hAnsi="Times New Roman" w:cs="Times New Roman"/>
          <w:sz w:val="28"/>
          <w:szCs w:val="28"/>
        </w:rPr>
        <w:t xml:space="preserve">zvejas un akvakultūras produktu pārstrādi un tirdzniecību, ja atbalsta summa ir noteikta, pamatojoties uz iepirkto vai tirgū laisto produktu cenu vai daudzumu; </w:t>
      </w:r>
      <w:r w:rsidRPr="00CF4E56">
        <w:rPr>
          <w:rFonts w:ascii="Times New Roman" w:hAnsi="Times New Roman" w:cs="Times New Roman"/>
          <w:sz w:val="28"/>
          <w:szCs w:val="28"/>
        </w:rPr>
        <w:t>ar lauksaimnie</w:t>
      </w:r>
      <w:r w:rsidR="007A41E9" w:rsidRPr="00CF4E56">
        <w:rPr>
          <w:rFonts w:ascii="Times New Roman" w:hAnsi="Times New Roman" w:cs="Times New Roman"/>
          <w:sz w:val="28"/>
          <w:szCs w:val="28"/>
        </w:rPr>
        <w:t>cības produktu primāro ražošanu</w:t>
      </w:r>
      <w:r w:rsidR="00582445">
        <w:rPr>
          <w:rFonts w:ascii="Times New Roman" w:hAnsi="Times New Roman" w:cs="Times New Roman"/>
          <w:sz w:val="28"/>
          <w:szCs w:val="28"/>
        </w:rPr>
        <w:t xml:space="preserve"> vai </w:t>
      </w:r>
      <w:r w:rsidR="004632AA" w:rsidRPr="00CF4E56">
        <w:rPr>
          <w:rFonts w:ascii="Times New Roman" w:hAnsi="Times New Roman" w:cs="Times New Roman"/>
          <w:sz w:val="28"/>
          <w:szCs w:val="28"/>
        </w:rPr>
        <w:t>ar lauksaimniecības produktu pārstrādi un tirdzniecību, vienā no šādiem gadījumiem:</w:t>
      </w:r>
    </w:p>
    <w:p w14:paraId="7837585A" w14:textId="77777777" w:rsidR="004632AA" w:rsidRDefault="004632AA" w:rsidP="004632AA">
      <w:pPr>
        <w:pStyle w:val="ListParagraph"/>
        <w:numPr>
          <w:ilvl w:val="1"/>
          <w:numId w:val="32"/>
        </w:numPr>
        <w:jc w:val="both"/>
        <w:rPr>
          <w:rFonts w:ascii="Times New Roman" w:hAnsi="Times New Roman" w:cs="Times New Roman"/>
          <w:sz w:val="28"/>
          <w:szCs w:val="28"/>
        </w:rPr>
      </w:pPr>
      <w:r w:rsidRPr="00CF4E56">
        <w:rPr>
          <w:rFonts w:ascii="Times New Roman" w:hAnsi="Times New Roman" w:cs="Times New Roman"/>
          <w:sz w:val="28"/>
          <w:szCs w:val="28"/>
        </w:rPr>
        <w:t>ja atbalsta summa ir noteikta, pamatojoties uz šādu produktu, kurus attiecīgais uzņēmums iepircis no primārajiem ražotājiem vai laidis tirgū, cenu vai daudzumu;</w:t>
      </w:r>
    </w:p>
    <w:p w14:paraId="16E81A20" w14:textId="77777777" w:rsidR="004632AA" w:rsidRDefault="004632AA" w:rsidP="004632AA">
      <w:pPr>
        <w:pStyle w:val="ListParagraph"/>
        <w:numPr>
          <w:ilvl w:val="1"/>
          <w:numId w:val="32"/>
        </w:numPr>
        <w:jc w:val="both"/>
        <w:rPr>
          <w:rFonts w:ascii="Times New Roman" w:hAnsi="Times New Roman" w:cs="Times New Roman"/>
          <w:sz w:val="28"/>
          <w:szCs w:val="28"/>
        </w:rPr>
      </w:pPr>
      <w:r w:rsidRPr="00CF4E56">
        <w:rPr>
          <w:rFonts w:ascii="Times New Roman" w:hAnsi="Times New Roman" w:cs="Times New Roman"/>
          <w:sz w:val="28"/>
          <w:szCs w:val="28"/>
        </w:rPr>
        <w:t>ja atbalstu piešķir ar nosacījumu, ka to daļēji vai pilnībā nodod primārajiem ražotājiem</w:t>
      </w:r>
      <w:r>
        <w:rPr>
          <w:rFonts w:ascii="Times New Roman" w:hAnsi="Times New Roman" w:cs="Times New Roman"/>
          <w:sz w:val="28"/>
          <w:szCs w:val="28"/>
        </w:rPr>
        <w:t>.</w:t>
      </w:r>
    </w:p>
    <w:p w14:paraId="29F18339" w14:textId="51375A59" w:rsidR="008A31F8" w:rsidRDefault="00CF4D2B" w:rsidP="001D1B46">
      <w:pPr>
        <w:ind w:firstLine="567"/>
        <w:jc w:val="both"/>
        <w:rPr>
          <w:rFonts w:ascii="Times New Roman" w:hAnsi="Times New Roman" w:cs="Times New Roman"/>
          <w:sz w:val="28"/>
          <w:szCs w:val="28"/>
        </w:rPr>
      </w:pPr>
      <w:r w:rsidRPr="00DF4295">
        <w:rPr>
          <w:rFonts w:ascii="Times New Roman" w:hAnsi="Times New Roman" w:cs="Times New Roman"/>
          <w:b/>
          <w:sz w:val="28"/>
          <w:szCs w:val="28"/>
        </w:rPr>
        <w:t>VTNP de minimis regula nosaka, ka atbalstu nepiemēro darbībām</w:t>
      </w:r>
      <w:r w:rsidR="008A31F8" w:rsidRPr="00DF4295">
        <w:rPr>
          <w:rFonts w:ascii="Times New Roman" w:hAnsi="Times New Roman" w:cs="Times New Roman"/>
          <w:sz w:val="28"/>
          <w:szCs w:val="28"/>
        </w:rPr>
        <w:t xml:space="preserve">, kas saistītas ar eksportu uz </w:t>
      </w:r>
      <w:proofErr w:type="spellStart"/>
      <w:r w:rsidR="008A31F8" w:rsidRPr="00DF4295">
        <w:rPr>
          <w:rFonts w:ascii="Times New Roman" w:hAnsi="Times New Roman" w:cs="Times New Roman"/>
          <w:sz w:val="28"/>
          <w:szCs w:val="28"/>
        </w:rPr>
        <w:t>trešām</w:t>
      </w:r>
      <w:proofErr w:type="spellEnd"/>
      <w:r w:rsidR="008A31F8" w:rsidRPr="00DF4295">
        <w:rPr>
          <w:rFonts w:ascii="Times New Roman" w:hAnsi="Times New Roman" w:cs="Times New Roman"/>
          <w:sz w:val="28"/>
          <w:szCs w:val="28"/>
        </w:rPr>
        <w:t xml:space="preserve"> valstīm vai</w:t>
      </w:r>
      <w:r w:rsidR="008E765B" w:rsidRPr="00DF4295">
        <w:rPr>
          <w:rFonts w:ascii="Times New Roman" w:hAnsi="Times New Roman" w:cs="Times New Roman"/>
          <w:sz w:val="28"/>
          <w:szCs w:val="28"/>
        </w:rPr>
        <w:t xml:space="preserve"> ES</w:t>
      </w:r>
      <w:r w:rsidR="008A31F8" w:rsidRPr="00DF4295">
        <w:rPr>
          <w:rFonts w:ascii="Times New Roman" w:hAnsi="Times New Roman" w:cs="Times New Roman"/>
          <w:sz w:val="28"/>
          <w:szCs w:val="28"/>
        </w:rPr>
        <w:t xml:space="preserve"> dalībvalstīm, proti, atbalstam, kas tieši saistīts ar eksportētajiem daudzumiem, ar izplatīšanas tīkla izveidošanu un darbību vai ar citiem kārtējiem izdevumiem, ka</w:t>
      </w:r>
      <w:r w:rsidRPr="00DF4295">
        <w:rPr>
          <w:rFonts w:ascii="Times New Roman" w:hAnsi="Times New Roman" w:cs="Times New Roman"/>
          <w:sz w:val="28"/>
          <w:szCs w:val="28"/>
        </w:rPr>
        <w:t>s sais</w:t>
      </w:r>
      <w:r w:rsidR="00AE1162" w:rsidRPr="00DF4295">
        <w:rPr>
          <w:rFonts w:ascii="Times New Roman" w:hAnsi="Times New Roman" w:cs="Times New Roman"/>
          <w:sz w:val="28"/>
          <w:szCs w:val="28"/>
        </w:rPr>
        <w:t>tīti ar eksporta darbībām.</w:t>
      </w:r>
    </w:p>
    <w:p w14:paraId="47E8E707" w14:textId="046F4379" w:rsidR="00DC6D01" w:rsidRDefault="00DC6D01">
      <w:pPr>
        <w:spacing w:before="0"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31CA1DA6" w14:textId="1F6D4CB6" w:rsidR="00B377C2" w:rsidRPr="00DF4295" w:rsidRDefault="00B377C2" w:rsidP="001D1B46">
      <w:pPr>
        <w:ind w:firstLine="567"/>
        <w:jc w:val="both"/>
        <w:rPr>
          <w:rFonts w:ascii="Times New Roman" w:hAnsi="Times New Roman" w:cs="Times New Roman"/>
          <w:sz w:val="28"/>
          <w:szCs w:val="28"/>
        </w:rPr>
      </w:pPr>
      <w:r w:rsidRPr="00DF4295">
        <w:rPr>
          <w:rFonts w:ascii="Times New Roman" w:hAnsi="Times New Roman" w:cs="Times New Roman"/>
          <w:b/>
          <w:sz w:val="28"/>
          <w:szCs w:val="28"/>
        </w:rPr>
        <w:lastRenderedPageBreak/>
        <w:t>VTNP de minimis regulu nepiemēro atbalstam</w:t>
      </w:r>
      <w:r w:rsidRPr="00DF4295">
        <w:rPr>
          <w:rFonts w:ascii="Times New Roman" w:hAnsi="Times New Roman" w:cs="Times New Roman"/>
          <w:sz w:val="28"/>
          <w:szCs w:val="28"/>
        </w:rPr>
        <w:t>, kas piešķirts ar nosacījumu, ka importētu preču vietā tiek izmantotas vietējās preces</w:t>
      </w:r>
      <w:r w:rsidR="00566441">
        <w:rPr>
          <w:rFonts w:ascii="Times New Roman" w:hAnsi="Times New Roman" w:cs="Times New Roman"/>
          <w:sz w:val="28"/>
          <w:szCs w:val="28"/>
        </w:rPr>
        <w:t xml:space="preserve"> </w:t>
      </w:r>
      <w:r w:rsidR="00566441" w:rsidRPr="00566441">
        <w:rPr>
          <w:rFonts w:ascii="Times New Roman" w:hAnsi="Times New Roman" w:cs="Times New Roman"/>
          <w:sz w:val="28"/>
          <w:szCs w:val="28"/>
        </w:rPr>
        <w:t>un pakalpojumi</w:t>
      </w:r>
      <w:r w:rsidRPr="00DF4295">
        <w:rPr>
          <w:rFonts w:ascii="Times New Roman" w:hAnsi="Times New Roman" w:cs="Times New Roman"/>
          <w:sz w:val="28"/>
          <w:szCs w:val="28"/>
        </w:rPr>
        <w:t>.</w:t>
      </w:r>
    </w:p>
    <w:p w14:paraId="738B10E2" w14:textId="28A40D85" w:rsidR="00DC6D01" w:rsidRPr="00DF4295" w:rsidRDefault="00B377C2" w:rsidP="00DC6D01">
      <w:pPr>
        <w:ind w:firstLine="567"/>
        <w:jc w:val="both"/>
        <w:rPr>
          <w:rFonts w:ascii="Times New Roman" w:hAnsi="Times New Roman" w:cs="Times New Roman"/>
          <w:sz w:val="28"/>
          <w:szCs w:val="28"/>
        </w:rPr>
      </w:pPr>
      <w:r w:rsidRPr="00DF4295">
        <w:rPr>
          <w:rFonts w:ascii="Times New Roman" w:hAnsi="Times New Roman" w:cs="Times New Roman"/>
          <w:sz w:val="28"/>
          <w:szCs w:val="28"/>
        </w:rPr>
        <w:t xml:space="preserve">Ja uzņēmumi darbojas nozarēs, kas izslēgtas no VTNP de minimis regulas darbības jomas un nozarēs, kas nav izslēgtas no šīs regulas piemērošanas jomas, VTNP de minimis regulu piemēro tikai atbalstam, ko piešķir attiecībā uz nozarēm, kuras nav izslēgtas no regulas darbības jomas, ar nosacījumu, ka tiek nodrošināts tas, ka darbības izslēgtajās nozarēs negūst labumu no de minimis atbalsta saskaņā ar VTNP de minimis regulu, izmantojot piemērotus </w:t>
      </w:r>
      <w:r w:rsidR="007953EB" w:rsidRPr="00DF4295">
        <w:rPr>
          <w:rFonts w:ascii="Times New Roman" w:hAnsi="Times New Roman" w:cs="Times New Roman"/>
          <w:sz w:val="28"/>
          <w:szCs w:val="28"/>
        </w:rPr>
        <w:t xml:space="preserve">nodalīšanas </w:t>
      </w:r>
      <w:r w:rsidRPr="00DF4295">
        <w:rPr>
          <w:rFonts w:ascii="Times New Roman" w:hAnsi="Times New Roman" w:cs="Times New Roman"/>
          <w:sz w:val="28"/>
          <w:szCs w:val="28"/>
        </w:rPr>
        <w:t>līdzekļus, kā darbību nošķiršana vai izmaksu nošķiršana</w:t>
      </w:r>
      <w:r w:rsidRPr="004569E1">
        <w:rPr>
          <w:rFonts w:ascii="Times New Roman" w:hAnsi="Times New Roman" w:cs="Times New Roman"/>
          <w:sz w:val="28"/>
          <w:szCs w:val="28"/>
        </w:rPr>
        <w:t>.</w:t>
      </w:r>
      <w:r w:rsidR="00DC6D01" w:rsidRPr="00CF4E56">
        <w:rPr>
          <w:rFonts w:ascii="Times New Roman" w:hAnsi="Times New Roman" w:cs="Times New Roman"/>
          <w:sz w:val="28"/>
          <w:szCs w:val="28"/>
        </w:rPr>
        <w:t xml:space="preserve"> Šis pats princips būtu piemērojams, ja uzņēmums darbojas nozarēs, kurās piemērojami zemāki </w:t>
      </w:r>
      <w:r w:rsidR="00DC6D01" w:rsidRPr="00CF4E56">
        <w:rPr>
          <w:rFonts w:ascii="Times New Roman" w:hAnsi="Times New Roman" w:cs="Times New Roman"/>
          <w:i/>
          <w:iCs/>
          <w:sz w:val="28"/>
          <w:szCs w:val="28"/>
        </w:rPr>
        <w:t>de minimis</w:t>
      </w:r>
      <w:r w:rsidR="00DC6D01" w:rsidRPr="00CF4E56">
        <w:rPr>
          <w:rFonts w:ascii="Times New Roman" w:hAnsi="Times New Roman" w:cs="Times New Roman"/>
          <w:sz w:val="28"/>
          <w:szCs w:val="28"/>
        </w:rPr>
        <w:t> robežlielumi. Ja uzņēmums nevar nodrošināt, ka darbības nozarēs, kurās piemērojami zemāki </w:t>
      </w:r>
      <w:r w:rsidR="00DC6D01" w:rsidRPr="00CF4E56">
        <w:rPr>
          <w:rFonts w:ascii="Times New Roman" w:hAnsi="Times New Roman" w:cs="Times New Roman"/>
          <w:i/>
          <w:iCs/>
          <w:sz w:val="28"/>
          <w:szCs w:val="28"/>
        </w:rPr>
        <w:t>de minimis</w:t>
      </w:r>
      <w:r w:rsidR="00DC6D01" w:rsidRPr="00CF4E56">
        <w:rPr>
          <w:rFonts w:ascii="Times New Roman" w:hAnsi="Times New Roman" w:cs="Times New Roman"/>
          <w:sz w:val="28"/>
          <w:szCs w:val="28"/>
        </w:rPr>
        <w:t> robežlielumi, gūst labumu no </w:t>
      </w:r>
      <w:r w:rsidR="00DC6D01" w:rsidRPr="00CF4E56">
        <w:rPr>
          <w:rFonts w:ascii="Times New Roman" w:hAnsi="Times New Roman" w:cs="Times New Roman"/>
          <w:i/>
          <w:iCs/>
          <w:sz w:val="28"/>
          <w:szCs w:val="28"/>
        </w:rPr>
        <w:t>de minimis</w:t>
      </w:r>
      <w:r w:rsidR="00DC6D01" w:rsidRPr="00CF4E56">
        <w:rPr>
          <w:rFonts w:ascii="Times New Roman" w:hAnsi="Times New Roman" w:cs="Times New Roman"/>
          <w:sz w:val="28"/>
          <w:szCs w:val="28"/>
        </w:rPr>
        <w:t> atbalsta tikai apmērā, kas atbilst šiem zemākajiem robežlielumiem, viszemākais robežlielums būtu jāpiemēro visām uzņēmuma darbībām</w:t>
      </w:r>
      <w:r w:rsidR="00DC6D01" w:rsidRPr="004569E1">
        <w:rPr>
          <w:rFonts w:ascii="Times New Roman" w:hAnsi="Times New Roman" w:cs="Times New Roman"/>
          <w:sz w:val="28"/>
          <w:szCs w:val="28"/>
        </w:rPr>
        <w:t>.</w:t>
      </w:r>
    </w:p>
    <w:p w14:paraId="1E08ECF4" w14:textId="3913AF47" w:rsidR="00B377C2" w:rsidRPr="00DF4295" w:rsidRDefault="00B377C2" w:rsidP="001D1B46">
      <w:pPr>
        <w:ind w:firstLine="567"/>
        <w:jc w:val="both"/>
        <w:rPr>
          <w:rFonts w:ascii="Times New Roman" w:hAnsi="Times New Roman" w:cs="Times New Roman"/>
          <w:sz w:val="28"/>
          <w:szCs w:val="28"/>
        </w:rPr>
      </w:pPr>
    </w:p>
    <w:p w14:paraId="5DDD37AE" w14:textId="24F496C7" w:rsidR="00906FE6" w:rsidRPr="00DF4295" w:rsidRDefault="00906FE6" w:rsidP="001D1B46">
      <w:pPr>
        <w:ind w:firstLine="567"/>
        <w:jc w:val="both"/>
        <w:rPr>
          <w:rFonts w:ascii="Times New Roman" w:hAnsi="Times New Roman" w:cs="Times New Roman"/>
          <w:sz w:val="28"/>
          <w:szCs w:val="28"/>
        </w:rPr>
      </w:pPr>
      <w:r w:rsidRPr="00DF4295">
        <w:rPr>
          <w:rFonts w:ascii="Times New Roman" w:hAnsi="Times New Roman" w:cs="Times New Roman"/>
          <w:b/>
          <w:sz w:val="28"/>
          <w:szCs w:val="28"/>
        </w:rPr>
        <w:t>Ja saskaņā ar VTNP de minimis regulu piešķirtā de minimis atbalsta kopējā summa uzņēmumam</w:t>
      </w:r>
      <w:r w:rsidR="00201A7D" w:rsidRPr="00DF4295">
        <w:rPr>
          <w:rFonts w:ascii="Times New Roman" w:hAnsi="Times New Roman" w:cs="Times New Roman"/>
          <w:b/>
          <w:sz w:val="28"/>
          <w:szCs w:val="28"/>
        </w:rPr>
        <w:t xml:space="preserve"> VTNP sniegšanai</w:t>
      </w:r>
      <w:r w:rsidRPr="00DF4295">
        <w:rPr>
          <w:rFonts w:ascii="Times New Roman" w:hAnsi="Times New Roman" w:cs="Times New Roman"/>
          <w:b/>
          <w:sz w:val="28"/>
          <w:szCs w:val="28"/>
        </w:rPr>
        <w:t xml:space="preserve"> pārsniedz noteikto augšējo robežu</w:t>
      </w:r>
      <w:r w:rsidRPr="00DF4295">
        <w:rPr>
          <w:rFonts w:ascii="Times New Roman" w:hAnsi="Times New Roman" w:cs="Times New Roman"/>
          <w:sz w:val="28"/>
          <w:szCs w:val="28"/>
        </w:rPr>
        <w:t xml:space="preserve">, minētajam atbalstam šo regulu piemērot nedrīkst, pat attiecībā uz daļu, kas nepārsniedz šo augšējo robežu. </w:t>
      </w:r>
      <w:r w:rsidR="000F46D3">
        <w:rPr>
          <w:rFonts w:ascii="Times New Roman" w:hAnsi="Times New Roman" w:cs="Times New Roman"/>
          <w:sz w:val="28"/>
          <w:szCs w:val="28"/>
        </w:rPr>
        <w:t>Jāatzīmē, ka d</w:t>
      </w:r>
      <w:r w:rsidR="0002322B" w:rsidRPr="0002322B">
        <w:rPr>
          <w:rFonts w:ascii="Times New Roman" w:hAnsi="Times New Roman" w:cs="Times New Roman"/>
          <w:sz w:val="28"/>
          <w:szCs w:val="28"/>
        </w:rPr>
        <w:t>e minimis atbalstu</w:t>
      </w:r>
      <w:r w:rsidR="0002322B">
        <w:rPr>
          <w:rFonts w:ascii="Times New Roman" w:hAnsi="Times New Roman" w:cs="Times New Roman"/>
          <w:sz w:val="28"/>
          <w:szCs w:val="28"/>
        </w:rPr>
        <w:t>, kas sniegts</w:t>
      </w:r>
      <w:r w:rsidR="0002322B" w:rsidRPr="0002322B">
        <w:rPr>
          <w:rFonts w:ascii="Times New Roman" w:hAnsi="Times New Roman" w:cs="Times New Roman"/>
          <w:sz w:val="28"/>
          <w:szCs w:val="28"/>
        </w:rPr>
        <w:t xml:space="preserve"> saskaņā ar </w:t>
      </w:r>
      <w:r w:rsidR="006313BE">
        <w:rPr>
          <w:rFonts w:ascii="Times New Roman" w:hAnsi="Times New Roman" w:cs="Times New Roman"/>
          <w:sz w:val="28"/>
          <w:szCs w:val="28"/>
        </w:rPr>
        <w:t xml:space="preserve">VTNP </w:t>
      </w:r>
      <w:proofErr w:type="spellStart"/>
      <w:r w:rsidR="006313BE">
        <w:rPr>
          <w:rFonts w:ascii="Times New Roman" w:hAnsi="Times New Roman" w:cs="Times New Roman"/>
          <w:sz w:val="28"/>
          <w:szCs w:val="28"/>
        </w:rPr>
        <w:t>de</w:t>
      </w:r>
      <w:proofErr w:type="spellEnd"/>
      <w:r w:rsidR="006313BE">
        <w:rPr>
          <w:rFonts w:ascii="Times New Roman" w:hAnsi="Times New Roman" w:cs="Times New Roman"/>
          <w:sz w:val="28"/>
          <w:szCs w:val="28"/>
        </w:rPr>
        <w:t xml:space="preserve"> </w:t>
      </w:r>
      <w:proofErr w:type="spellStart"/>
      <w:r w:rsidR="006313BE">
        <w:rPr>
          <w:rFonts w:ascii="Times New Roman" w:hAnsi="Times New Roman" w:cs="Times New Roman"/>
          <w:sz w:val="28"/>
          <w:szCs w:val="28"/>
        </w:rPr>
        <w:t>minimis</w:t>
      </w:r>
      <w:proofErr w:type="spellEnd"/>
      <w:r w:rsidR="006313BE">
        <w:rPr>
          <w:rFonts w:ascii="Times New Roman" w:hAnsi="Times New Roman" w:cs="Times New Roman"/>
          <w:sz w:val="28"/>
          <w:szCs w:val="28"/>
        </w:rPr>
        <w:t xml:space="preserve"> regulu,</w:t>
      </w:r>
      <w:r w:rsidR="0002322B" w:rsidRPr="0002322B">
        <w:rPr>
          <w:rFonts w:ascii="Times New Roman" w:hAnsi="Times New Roman" w:cs="Times New Roman"/>
          <w:sz w:val="28"/>
          <w:szCs w:val="28"/>
        </w:rPr>
        <w:t xml:space="preserve"> </w:t>
      </w:r>
      <w:proofErr w:type="spellStart"/>
      <w:r w:rsidR="0002322B" w:rsidRPr="0002322B">
        <w:rPr>
          <w:rFonts w:ascii="Times New Roman" w:hAnsi="Times New Roman" w:cs="Times New Roman"/>
          <w:sz w:val="28"/>
          <w:szCs w:val="28"/>
        </w:rPr>
        <w:t>nekumulē</w:t>
      </w:r>
      <w:proofErr w:type="spellEnd"/>
      <w:r w:rsidR="0002322B" w:rsidRPr="0002322B">
        <w:rPr>
          <w:rFonts w:ascii="Times New Roman" w:hAnsi="Times New Roman" w:cs="Times New Roman"/>
          <w:sz w:val="28"/>
          <w:szCs w:val="28"/>
        </w:rPr>
        <w:t xml:space="preserve"> ar jebkādu kompensāciju par to pašu</w:t>
      </w:r>
      <w:r w:rsidR="006313BE">
        <w:rPr>
          <w:rFonts w:ascii="Times New Roman" w:hAnsi="Times New Roman" w:cs="Times New Roman"/>
          <w:sz w:val="28"/>
          <w:szCs w:val="28"/>
        </w:rPr>
        <w:t xml:space="preserve"> VTNP, kas sniegts saskaņā ar VTNP nostādnēm vai VTNP lēmumu</w:t>
      </w:r>
      <w:r w:rsidR="0002322B" w:rsidRPr="0002322B">
        <w:rPr>
          <w:rFonts w:ascii="Times New Roman" w:hAnsi="Times New Roman" w:cs="Times New Roman"/>
          <w:sz w:val="28"/>
          <w:szCs w:val="28"/>
        </w:rPr>
        <w:t>.</w:t>
      </w:r>
    </w:p>
    <w:p w14:paraId="5F1C7040" w14:textId="43139F58" w:rsidR="0076677F" w:rsidRPr="00DF4295" w:rsidRDefault="00790F71" w:rsidP="00DC6D01">
      <w:pPr>
        <w:ind w:firstLine="567"/>
        <w:jc w:val="both"/>
        <w:rPr>
          <w:rFonts w:ascii="Times New Roman" w:hAnsi="Times New Roman" w:cs="Times New Roman"/>
          <w:sz w:val="28"/>
          <w:szCs w:val="28"/>
        </w:rPr>
      </w:pPr>
      <w:r w:rsidRPr="00DC6D01">
        <w:rPr>
          <w:rFonts w:ascii="Times New Roman" w:hAnsi="Times New Roman" w:cs="Times New Roman"/>
          <w:b/>
          <w:bCs/>
          <w:sz w:val="28"/>
          <w:szCs w:val="28"/>
        </w:rPr>
        <w:t>“</w:t>
      </w:r>
      <w:r w:rsidR="006E6B10" w:rsidRPr="00DC6D01">
        <w:rPr>
          <w:rFonts w:ascii="Times New Roman" w:hAnsi="Times New Roman" w:cs="Times New Roman"/>
          <w:b/>
          <w:bCs/>
          <w:sz w:val="28"/>
          <w:szCs w:val="28"/>
        </w:rPr>
        <w:t>U</w:t>
      </w:r>
      <w:r w:rsidR="0076677F" w:rsidRPr="00DC6D01">
        <w:rPr>
          <w:rFonts w:ascii="Times New Roman" w:hAnsi="Times New Roman" w:cs="Times New Roman"/>
          <w:b/>
          <w:bCs/>
          <w:sz w:val="28"/>
          <w:szCs w:val="28"/>
        </w:rPr>
        <w:t>zņ</w:t>
      </w:r>
      <w:r w:rsidR="006E6B10" w:rsidRPr="00DC6D01">
        <w:rPr>
          <w:rFonts w:ascii="Times New Roman" w:hAnsi="Times New Roman" w:cs="Times New Roman"/>
          <w:b/>
          <w:bCs/>
          <w:sz w:val="28"/>
          <w:szCs w:val="28"/>
        </w:rPr>
        <w:t>ēmums</w:t>
      </w:r>
      <w:r w:rsidRPr="00DC6D01">
        <w:rPr>
          <w:rFonts w:ascii="Times New Roman" w:hAnsi="Times New Roman" w:cs="Times New Roman"/>
          <w:b/>
          <w:bCs/>
          <w:sz w:val="28"/>
          <w:szCs w:val="28"/>
        </w:rPr>
        <w:t>”</w:t>
      </w:r>
      <w:r w:rsidR="0076677F" w:rsidRPr="00DC6D01">
        <w:rPr>
          <w:rFonts w:ascii="Times New Roman" w:hAnsi="Times New Roman" w:cs="Times New Roman"/>
          <w:b/>
          <w:bCs/>
          <w:sz w:val="28"/>
          <w:szCs w:val="28"/>
        </w:rPr>
        <w:t xml:space="preserve"> VTNP de minimis regulas izpratnē</w:t>
      </w:r>
      <w:r w:rsidR="0076677F" w:rsidRPr="00DF4295">
        <w:rPr>
          <w:rFonts w:ascii="Times New Roman" w:hAnsi="Times New Roman" w:cs="Times New Roman"/>
          <w:sz w:val="28"/>
          <w:szCs w:val="28"/>
        </w:rPr>
        <w:t xml:space="preserve"> </w:t>
      </w:r>
      <w:r w:rsidR="006E6B10" w:rsidRPr="00DF4295">
        <w:rPr>
          <w:rFonts w:ascii="Times New Roman" w:hAnsi="Times New Roman" w:cs="Times New Roman"/>
          <w:sz w:val="28"/>
          <w:szCs w:val="28"/>
        </w:rPr>
        <w:t>ir “</w:t>
      </w:r>
      <w:r w:rsidR="00DC6D01" w:rsidRPr="00DC6D01">
        <w:rPr>
          <w:rFonts w:ascii="Times New Roman" w:hAnsi="Times New Roman" w:cs="Times New Roman"/>
          <w:sz w:val="28"/>
          <w:szCs w:val="28"/>
        </w:rPr>
        <w:t>vien</w:t>
      </w:r>
      <w:r w:rsidR="00DC6D01">
        <w:rPr>
          <w:rFonts w:ascii="Times New Roman" w:hAnsi="Times New Roman" w:cs="Times New Roman"/>
          <w:sz w:val="28"/>
          <w:szCs w:val="28"/>
        </w:rPr>
        <w:t>s</w:t>
      </w:r>
      <w:r w:rsidR="00DC6D01" w:rsidRPr="00DC6D01">
        <w:rPr>
          <w:rFonts w:ascii="Times New Roman" w:hAnsi="Times New Roman" w:cs="Times New Roman"/>
          <w:sz w:val="28"/>
          <w:szCs w:val="28"/>
        </w:rPr>
        <w:t xml:space="preserve"> vienot</w:t>
      </w:r>
      <w:r w:rsidR="00DC6D01">
        <w:rPr>
          <w:rFonts w:ascii="Times New Roman" w:hAnsi="Times New Roman" w:cs="Times New Roman"/>
          <w:sz w:val="28"/>
          <w:szCs w:val="28"/>
        </w:rPr>
        <w:t>s</w:t>
      </w:r>
      <w:r w:rsidR="00DC6D01" w:rsidRPr="00DC6D01">
        <w:rPr>
          <w:rFonts w:ascii="Times New Roman" w:hAnsi="Times New Roman" w:cs="Times New Roman"/>
          <w:sz w:val="28"/>
          <w:szCs w:val="28"/>
        </w:rPr>
        <w:t xml:space="preserve"> uzņēmum</w:t>
      </w:r>
      <w:r w:rsidR="00DC6D01">
        <w:rPr>
          <w:rFonts w:ascii="Times New Roman" w:hAnsi="Times New Roman" w:cs="Times New Roman"/>
          <w:sz w:val="28"/>
          <w:szCs w:val="28"/>
        </w:rPr>
        <w:t>s</w:t>
      </w:r>
      <w:r w:rsidR="006E6B10" w:rsidRPr="00DF4295">
        <w:rPr>
          <w:rFonts w:ascii="Times New Roman" w:hAnsi="Times New Roman" w:cs="Times New Roman"/>
          <w:sz w:val="28"/>
          <w:szCs w:val="28"/>
        </w:rPr>
        <w:t>”</w:t>
      </w:r>
      <w:r w:rsidR="00DC6D01" w:rsidRPr="00DC6D01">
        <w:rPr>
          <w:rFonts w:ascii="Times New Roman" w:hAnsi="Times New Roman" w:cs="Times New Roman"/>
          <w:sz w:val="28"/>
          <w:szCs w:val="28"/>
        </w:rPr>
        <w:t>, k</w:t>
      </w:r>
      <w:r w:rsidR="00F556EC">
        <w:rPr>
          <w:rFonts w:ascii="Times New Roman" w:hAnsi="Times New Roman" w:cs="Times New Roman"/>
          <w:sz w:val="28"/>
          <w:szCs w:val="28"/>
        </w:rPr>
        <w:t>ā definēts</w:t>
      </w:r>
      <w:r w:rsidR="00DC6D01" w:rsidRPr="00DC6D01">
        <w:rPr>
          <w:rFonts w:ascii="Times New Roman" w:hAnsi="Times New Roman" w:cs="Times New Roman"/>
          <w:sz w:val="28"/>
          <w:szCs w:val="28"/>
        </w:rPr>
        <w:t xml:space="preserve"> Komisijas regulas Nr.2023/283</w:t>
      </w:r>
      <w:r w:rsidR="00DC6D01">
        <w:rPr>
          <w:rFonts w:ascii="Times New Roman" w:hAnsi="Times New Roman" w:cs="Times New Roman"/>
          <w:sz w:val="28"/>
          <w:szCs w:val="28"/>
        </w:rPr>
        <w:t>2</w:t>
      </w:r>
      <w:r w:rsidR="00DC6D01" w:rsidRPr="00DC6D01">
        <w:rPr>
          <w:rFonts w:ascii="Times New Roman" w:hAnsi="Times New Roman" w:cs="Times New Roman"/>
          <w:sz w:val="28"/>
          <w:szCs w:val="28"/>
        </w:rPr>
        <w:t xml:space="preserve"> 2.panta 2.punktā.</w:t>
      </w:r>
    </w:p>
    <w:p w14:paraId="450805CD" w14:textId="144C52A1" w:rsidR="004B1426" w:rsidRPr="00DF4295" w:rsidRDefault="004B1426" w:rsidP="001D1B46">
      <w:pPr>
        <w:ind w:firstLine="567"/>
        <w:jc w:val="both"/>
        <w:rPr>
          <w:rFonts w:ascii="Times New Roman" w:hAnsi="Times New Roman" w:cs="Times New Roman"/>
          <w:sz w:val="28"/>
          <w:szCs w:val="28"/>
        </w:rPr>
      </w:pPr>
      <w:r w:rsidRPr="00DF4295">
        <w:rPr>
          <w:rFonts w:ascii="Times New Roman" w:hAnsi="Times New Roman" w:cs="Times New Roman"/>
          <w:b/>
          <w:sz w:val="28"/>
          <w:szCs w:val="28"/>
        </w:rPr>
        <w:t>VTNP de minimis regulu</w:t>
      </w:r>
      <w:r w:rsidR="00201A7D" w:rsidRPr="00DF4295">
        <w:rPr>
          <w:rFonts w:ascii="Times New Roman" w:hAnsi="Times New Roman" w:cs="Times New Roman"/>
          <w:b/>
          <w:sz w:val="28"/>
          <w:szCs w:val="28"/>
        </w:rPr>
        <w:t xml:space="preserve"> var</w:t>
      </w:r>
      <w:r w:rsidRPr="00DF4295">
        <w:rPr>
          <w:rFonts w:ascii="Times New Roman" w:hAnsi="Times New Roman" w:cs="Times New Roman"/>
          <w:b/>
          <w:sz w:val="28"/>
          <w:szCs w:val="28"/>
        </w:rPr>
        <w:t xml:space="preserve"> piemēro</w:t>
      </w:r>
      <w:r w:rsidR="00201A7D" w:rsidRPr="00DF4295">
        <w:rPr>
          <w:rFonts w:ascii="Times New Roman" w:hAnsi="Times New Roman" w:cs="Times New Roman"/>
          <w:b/>
          <w:sz w:val="28"/>
          <w:szCs w:val="28"/>
        </w:rPr>
        <w:t>t</w:t>
      </w:r>
      <w:r w:rsidRPr="00DF4295">
        <w:rPr>
          <w:rFonts w:ascii="Times New Roman" w:hAnsi="Times New Roman" w:cs="Times New Roman"/>
          <w:b/>
          <w:sz w:val="28"/>
          <w:szCs w:val="28"/>
        </w:rPr>
        <w:t xml:space="preserve"> līdz </w:t>
      </w:r>
      <w:r w:rsidR="00DC6D01" w:rsidRPr="00DF4295">
        <w:rPr>
          <w:rFonts w:ascii="Times New Roman" w:hAnsi="Times New Roman" w:cs="Times New Roman"/>
          <w:b/>
          <w:sz w:val="28"/>
          <w:szCs w:val="28"/>
        </w:rPr>
        <w:t>20</w:t>
      </w:r>
      <w:r w:rsidR="00DC6D01">
        <w:rPr>
          <w:rFonts w:ascii="Times New Roman" w:hAnsi="Times New Roman" w:cs="Times New Roman"/>
          <w:b/>
          <w:sz w:val="28"/>
          <w:szCs w:val="28"/>
        </w:rPr>
        <w:t>31</w:t>
      </w:r>
      <w:r w:rsidRPr="00DF4295">
        <w:rPr>
          <w:rFonts w:ascii="Times New Roman" w:hAnsi="Times New Roman" w:cs="Times New Roman"/>
          <w:b/>
          <w:sz w:val="28"/>
          <w:szCs w:val="28"/>
        </w:rPr>
        <w:t>. gada 3</w:t>
      </w:r>
      <w:r w:rsidR="006313BE">
        <w:rPr>
          <w:rFonts w:ascii="Times New Roman" w:hAnsi="Times New Roman" w:cs="Times New Roman"/>
          <w:b/>
          <w:sz w:val="28"/>
          <w:szCs w:val="28"/>
        </w:rPr>
        <w:t>0. jūnij</w:t>
      </w:r>
      <w:r w:rsidR="002B5269">
        <w:rPr>
          <w:rFonts w:ascii="Times New Roman" w:hAnsi="Times New Roman" w:cs="Times New Roman"/>
          <w:b/>
          <w:sz w:val="28"/>
          <w:szCs w:val="28"/>
        </w:rPr>
        <w:t>am</w:t>
      </w:r>
      <w:r w:rsidRPr="00DF4295">
        <w:rPr>
          <w:rFonts w:ascii="Times New Roman" w:hAnsi="Times New Roman" w:cs="Times New Roman"/>
          <w:b/>
          <w:sz w:val="28"/>
          <w:szCs w:val="28"/>
        </w:rPr>
        <w:t>.</w:t>
      </w:r>
      <w:r w:rsidR="004A46BC" w:rsidRPr="00DF4295">
        <w:rPr>
          <w:rFonts w:ascii="Times New Roman" w:hAnsi="Times New Roman" w:cs="Times New Roman"/>
          <w:b/>
          <w:sz w:val="28"/>
          <w:szCs w:val="28"/>
        </w:rPr>
        <w:t xml:space="preserve"> </w:t>
      </w:r>
    </w:p>
    <w:p w14:paraId="2ADBB9A4" w14:textId="46E17D0D" w:rsidR="00906FE6" w:rsidRPr="00DF4295" w:rsidRDefault="009A6BC4" w:rsidP="001329EC">
      <w:pPr>
        <w:ind w:firstLine="567"/>
        <w:jc w:val="both"/>
        <w:rPr>
          <w:rFonts w:ascii="Times New Roman" w:hAnsi="Times New Roman" w:cs="Times New Roman"/>
          <w:sz w:val="28"/>
          <w:szCs w:val="28"/>
        </w:rPr>
      </w:pPr>
      <w:r w:rsidRPr="00DF4295">
        <w:rPr>
          <w:rFonts w:ascii="Times New Roman" w:hAnsi="Times New Roman" w:cs="Times New Roman"/>
          <w:sz w:val="28"/>
          <w:szCs w:val="28"/>
        </w:rPr>
        <w:t>Lai nodrošinātu, ka ES regulējuma prasības Latvijā tiek ievērotas korekti, Latvijā izstrādāti MK noteikumi Nr.</w:t>
      </w:r>
      <w:r w:rsidR="00C0426C">
        <w:rPr>
          <w:rFonts w:ascii="Times New Roman" w:hAnsi="Times New Roman" w:cs="Times New Roman"/>
          <w:sz w:val="28"/>
          <w:szCs w:val="28"/>
        </w:rPr>
        <w:t>715</w:t>
      </w:r>
      <w:r w:rsidR="00DC6D01">
        <w:rPr>
          <w:rFonts w:ascii="Times New Roman" w:hAnsi="Times New Roman" w:cs="Times New Roman"/>
          <w:sz w:val="28"/>
          <w:szCs w:val="28"/>
        </w:rPr>
        <w:t xml:space="preserve">, kas </w:t>
      </w:r>
      <w:r w:rsidRPr="00DF4295">
        <w:rPr>
          <w:rFonts w:ascii="Times New Roman" w:hAnsi="Times New Roman" w:cs="Times New Roman"/>
          <w:sz w:val="28"/>
          <w:szCs w:val="28"/>
        </w:rPr>
        <w:t xml:space="preserve">nosaka de minimis atbalsta uzskaites un piešķiršanas kārtību </w:t>
      </w:r>
      <w:r w:rsidR="00C0426C">
        <w:rPr>
          <w:rFonts w:ascii="Times New Roman" w:hAnsi="Times New Roman" w:cs="Times New Roman"/>
          <w:sz w:val="28"/>
          <w:szCs w:val="28"/>
        </w:rPr>
        <w:t xml:space="preserve">arī </w:t>
      </w:r>
      <w:r w:rsidRPr="00DF4295">
        <w:rPr>
          <w:rFonts w:ascii="Times New Roman" w:hAnsi="Times New Roman" w:cs="Times New Roman"/>
          <w:sz w:val="28"/>
          <w:szCs w:val="28"/>
        </w:rPr>
        <w:t xml:space="preserve">komercsabiedrībām, kuras sniedz </w:t>
      </w:r>
      <w:r w:rsidR="00C0426C">
        <w:rPr>
          <w:rFonts w:ascii="Times New Roman" w:hAnsi="Times New Roman" w:cs="Times New Roman"/>
          <w:sz w:val="28"/>
          <w:szCs w:val="28"/>
        </w:rPr>
        <w:t>VTNP</w:t>
      </w:r>
      <w:r w:rsidRPr="00DF4295">
        <w:rPr>
          <w:rFonts w:ascii="Times New Roman" w:hAnsi="Times New Roman" w:cs="Times New Roman"/>
          <w:sz w:val="28"/>
          <w:szCs w:val="28"/>
        </w:rPr>
        <w:t>.</w:t>
      </w:r>
    </w:p>
    <w:p w14:paraId="7DE90676" w14:textId="7C245D31" w:rsidR="00FE494C" w:rsidRPr="00DF4295" w:rsidRDefault="003E002C" w:rsidP="001D1B46">
      <w:pPr>
        <w:pStyle w:val="Heading1"/>
        <w:spacing w:before="120" w:after="120"/>
        <w:ind w:left="360"/>
        <w:rPr>
          <w:rFonts w:cs="Times New Roman"/>
          <w:sz w:val="28"/>
          <w:szCs w:val="28"/>
        </w:rPr>
      </w:pPr>
      <w:bookmarkStart w:id="55" w:name="_Toc500939857"/>
      <w:bookmarkStart w:id="56" w:name="_Toc15391548"/>
      <w:r w:rsidRPr="00DF4295">
        <w:rPr>
          <w:rFonts w:cs="Times New Roman"/>
          <w:sz w:val="28"/>
          <w:szCs w:val="28"/>
        </w:rPr>
        <w:t>4.8</w:t>
      </w:r>
      <w:r w:rsidR="002C7035" w:rsidRPr="00DF4295">
        <w:rPr>
          <w:rFonts w:cs="Times New Roman"/>
          <w:sz w:val="28"/>
          <w:szCs w:val="28"/>
        </w:rPr>
        <w:t>.</w:t>
      </w:r>
      <w:r w:rsidR="00FE494C" w:rsidRPr="00DF4295">
        <w:rPr>
          <w:rFonts w:cs="Times New Roman"/>
          <w:sz w:val="28"/>
          <w:szCs w:val="28"/>
        </w:rPr>
        <w:t xml:space="preserve"> Kumulācija</w:t>
      </w:r>
      <w:bookmarkEnd w:id="55"/>
      <w:bookmarkEnd w:id="56"/>
    </w:p>
    <w:p w14:paraId="393BAAC3" w14:textId="68F858F4" w:rsidR="00525B8D" w:rsidRPr="00DF4295" w:rsidRDefault="00525B8D"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Nosakot kompensāciju par VTNP sniegšanas pienākumu, sniegto atbalstu drīkst apvienot ar citu komercdarbības atbalstu, kas sniegts saskaņā ar VTNP lēmumu citas atbalsta programmas vai individuālā atbalsta projekta ietvaros par vienām un tām pašām attiecināmajām izmaksām, ja šādas atbalstu apvienošanas rezultātā atbalsta vienībai vai izmaksu pozīcijai attiecīgā maksimālā atbalsta intensitāte nepārsniedz 100%.</w:t>
      </w:r>
    </w:p>
    <w:p w14:paraId="6FA9D234" w14:textId="4606EFE6" w:rsidR="00FE494C" w:rsidRPr="00CF4E56" w:rsidRDefault="00FE494C" w:rsidP="006D55B1">
      <w:pPr>
        <w:ind w:firstLine="567"/>
        <w:jc w:val="both"/>
        <w:rPr>
          <w:rFonts w:ascii="Times New Roman" w:hAnsi="Times New Roman" w:cs="Times New Roman"/>
        </w:rPr>
      </w:pPr>
      <w:r w:rsidRPr="00DF4295">
        <w:rPr>
          <w:rFonts w:ascii="Times New Roman" w:hAnsi="Times New Roman" w:cs="Times New Roman"/>
          <w:sz w:val="28"/>
          <w:szCs w:val="28"/>
        </w:rPr>
        <w:t>VTNP de minimis atbalstu viena vienota  uzņēmuma līmenī var apvienot ar de minimis atbalstu, kas piešķirts saskaņā ar citu</w:t>
      </w:r>
      <w:r w:rsidR="005D5E6A">
        <w:rPr>
          <w:rFonts w:ascii="Times New Roman" w:hAnsi="Times New Roman" w:cs="Times New Roman"/>
          <w:sz w:val="28"/>
          <w:szCs w:val="28"/>
        </w:rPr>
        <w:t xml:space="preserve"> de minimis</w:t>
      </w:r>
      <w:r w:rsidRPr="00DF4295">
        <w:rPr>
          <w:rFonts w:ascii="Times New Roman" w:hAnsi="Times New Roman" w:cs="Times New Roman"/>
          <w:sz w:val="28"/>
          <w:szCs w:val="28"/>
        </w:rPr>
        <w:t xml:space="preserve"> regulu</w:t>
      </w:r>
      <w:r w:rsidR="006D55B1">
        <w:rPr>
          <w:rFonts w:ascii="Times New Roman" w:hAnsi="Times New Roman" w:cs="Times New Roman"/>
          <w:sz w:val="28"/>
          <w:szCs w:val="28"/>
        </w:rPr>
        <w:t xml:space="preserve"> </w:t>
      </w:r>
      <w:r w:rsidR="00DC6D01" w:rsidRPr="00DF4295">
        <w:rPr>
          <w:rFonts w:ascii="Times New Roman" w:hAnsi="Times New Roman" w:cs="Times New Roman"/>
          <w:sz w:val="28"/>
          <w:szCs w:val="28"/>
        </w:rPr>
        <w:t xml:space="preserve">(VTNP de minimis regulas </w:t>
      </w:r>
      <w:r w:rsidR="006D55B1">
        <w:rPr>
          <w:rFonts w:ascii="Times New Roman" w:hAnsi="Times New Roman" w:cs="Times New Roman"/>
          <w:sz w:val="28"/>
          <w:szCs w:val="28"/>
        </w:rPr>
        <w:t>5</w:t>
      </w:r>
      <w:r w:rsidR="00DC6D01" w:rsidRPr="00DF4295">
        <w:rPr>
          <w:rFonts w:ascii="Times New Roman" w:hAnsi="Times New Roman" w:cs="Times New Roman"/>
          <w:sz w:val="28"/>
          <w:szCs w:val="28"/>
        </w:rPr>
        <w:t xml:space="preserve">. panta </w:t>
      </w:r>
      <w:r w:rsidR="006D55B1">
        <w:rPr>
          <w:rFonts w:ascii="Times New Roman" w:hAnsi="Times New Roman" w:cs="Times New Roman"/>
          <w:sz w:val="28"/>
          <w:szCs w:val="28"/>
        </w:rPr>
        <w:t>1</w:t>
      </w:r>
      <w:r w:rsidR="00DC6D01" w:rsidRPr="00DF4295">
        <w:rPr>
          <w:rFonts w:ascii="Times New Roman" w:hAnsi="Times New Roman" w:cs="Times New Roman"/>
          <w:sz w:val="28"/>
          <w:szCs w:val="28"/>
        </w:rPr>
        <w:t>. punkts</w:t>
      </w:r>
      <w:r w:rsidR="00D62CAC">
        <w:rPr>
          <w:rFonts w:ascii="Times New Roman" w:hAnsi="Times New Roman" w:cs="Times New Roman"/>
          <w:sz w:val="28"/>
          <w:szCs w:val="28"/>
        </w:rPr>
        <w:t>)</w:t>
      </w:r>
      <w:r w:rsidR="00DC6D01">
        <w:rPr>
          <w:rFonts w:ascii="Times New Roman" w:hAnsi="Times New Roman" w:cs="Times New Roman"/>
          <w:sz w:val="28"/>
          <w:szCs w:val="28"/>
        </w:rPr>
        <w:t>.</w:t>
      </w:r>
      <w:r w:rsidR="006D55B1">
        <w:rPr>
          <w:rFonts w:ascii="Times New Roman" w:hAnsi="Times New Roman" w:cs="Times New Roman"/>
        </w:rPr>
        <w:t xml:space="preserve"> </w:t>
      </w:r>
      <w:r w:rsidRPr="00DF4295">
        <w:rPr>
          <w:rFonts w:ascii="Times New Roman" w:hAnsi="Times New Roman" w:cs="Times New Roman"/>
          <w:sz w:val="28"/>
          <w:szCs w:val="28"/>
        </w:rPr>
        <w:t>Tas nozīmē, ka, piem</w:t>
      </w:r>
      <w:r w:rsidR="003C18CF" w:rsidRPr="00DF4295">
        <w:rPr>
          <w:rFonts w:ascii="Times New Roman" w:hAnsi="Times New Roman" w:cs="Times New Roman"/>
          <w:sz w:val="28"/>
          <w:szCs w:val="28"/>
        </w:rPr>
        <w:t>ēram</w:t>
      </w:r>
      <w:r w:rsidRPr="00DF4295">
        <w:rPr>
          <w:rFonts w:ascii="Times New Roman" w:hAnsi="Times New Roman" w:cs="Times New Roman"/>
          <w:sz w:val="28"/>
          <w:szCs w:val="28"/>
        </w:rPr>
        <w:t>, ja uzņēmums jau ir saņēmis EUR</w:t>
      </w:r>
      <w:r w:rsidR="00652F61" w:rsidRPr="00DF4295">
        <w:rPr>
          <w:rFonts w:ascii="Times New Roman" w:hAnsi="Times New Roman" w:cs="Times New Roman"/>
          <w:sz w:val="28"/>
          <w:szCs w:val="28"/>
        </w:rPr>
        <w:t> </w:t>
      </w:r>
      <w:r w:rsidR="00DC6D01">
        <w:rPr>
          <w:rFonts w:ascii="Times New Roman" w:hAnsi="Times New Roman" w:cs="Times New Roman"/>
          <w:sz w:val="28"/>
          <w:szCs w:val="28"/>
        </w:rPr>
        <w:t>30</w:t>
      </w:r>
      <w:r w:rsidR="00DC6D01" w:rsidRPr="00DF4295">
        <w:rPr>
          <w:rFonts w:ascii="Times New Roman" w:hAnsi="Times New Roman" w:cs="Times New Roman"/>
          <w:sz w:val="28"/>
          <w:szCs w:val="28"/>
        </w:rPr>
        <w:t>0 </w:t>
      </w:r>
      <w:r w:rsidRPr="00DF4295">
        <w:rPr>
          <w:rFonts w:ascii="Times New Roman" w:hAnsi="Times New Roman" w:cs="Times New Roman"/>
          <w:sz w:val="28"/>
          <w:szCs w:val="28"/>
        </w:rPr>
        <w:t>000</w:t>
      </w:r>
      <w:r w:rsidR="003C18CF" w:rsidRPr="00DF4295">
        <w:rPr>
          <w:rFonts w:ascii="Times New Roman" w:hAnsi="Times New Roman" w:cs="Times New Roman"/>
          <w:sz w:val="28"/>
          <w:szCs w:val="28"/>
        </w:rPr>
        <w:t> </w:t>
      </w:r>
      <w:r w:rsidRPr="00DF4295">
        <w:rPr>
          <w:rFonts w:ascii="Times New Roman" w:hAnsi="Times New Roman" w:cs="Times New Roman"/>
          <w:sz w:val="28"/>
          <w:szCs w:val="28"/>
        </w:rPr>
        <w:t>pēdējo trīs gadu laikā tādiem pakalpojumiem, kas nav saistīti ar VTNP nodrošināšanu</w:t>
      </w:r>
      <w:r w:rsidR="00137125" w:rsidRPr="00DF4295">
        <w:rPr>
          <w:rFonts w:ascii="Times New Roman" w:hAnsi="Times New Roman" w:cs="Times New Roman"/>
          <w:sz w:val="28"/>
          <w:szCs w:val="28"/>
        </w:rPr>
        <w:t xml:space="preserve"> </w:t>
      </w:r>
      <w:r w:rsidR="00652F61" w:rsidRPr="00DF4295">
        <w:rPr>
          <w:rFonts w:ascii="Times New Roman" w:hAnsi="Times New Roman" w:cs="Times New Roman"/>
          <w:sz w:val="28"/>
          <w:szCs w:val="28"/>
        </w:rPr>
        <w:t>(</w:t>
      </w:r>
      <w:r w:rsidR="00137125" w:rsidRPr="00DF4295">
        <w:rPr>
          <w:rFonts w:ascii="Times New Roman" w:hAnsi="Times New Roman" w:cs="Times New Roman"/>
          <w:sz w:val="28"/>
          <w:szCs w:val="28"/>
        </w:rPr>
        <w:t>saskaņā ar vispārējo de minimis regulu</w:t>
      </w:r>
      <w:r w:rsidR="00652F61" w:rsidRPr="00DF4295">
        <w:rPr>
          <w:rFonts w:ascii="Times New Roman" w:hAnsi="Times New Roman" w:cs="Times New Roman"/>
          <w:sz w:val="28"/>
          <w:szCs w:val="28"/>
        </w:rPr>
        <w:t>),</w:t>
      </w:r>
      <w:r w:rsidRPr="00DF4295">
        <w:rPr>
          <w:rFonts w:ascii="Times New Roman" w:hAnsi="Times New Roman" w:cs="Times New Roman"/>
          <w:sz w:val="28"/>
          <w:szCs w:val="28"/>
        </w:rPr>
        <w:t xml:space="preserve"> tas vēl drīkst saņemt VTNP nodrošināšanai EUR </w:t>
      </w:r>
      <w:r w:rsidR="00DC6D01">
        <w:rPr>
          <w:rFonts w:ascii="Times New Roman" w:hAnsi="Times New Roman" w:cs="Times New Roman"/>
          <w:sz w:val="28"/>
          <w:szCs w:val="28"/>
        </w:rPr>
        <w:t>75</w:t>
      </w:r>
      <w:r w:rsidR="00DC6D01" w:rsidRPr="00DF4295">
        <w:rPr>
          <w:rFonts w:ascii="Times New Roman" w:hAnsi="Times New Roman" w:cs="Times New Roman"/>
          <w:sz w:val="28"/>
          <w:szCs w:val="28"/>
        </w:rPr>
        <w:t>0 </w:t>
      </w:r>
      <w:r w:rsidRPr="00DF4295">
        <w:rPr>
          <w:rFonts w:ascii="Times New Roman" w:hAnsi="Times New Roman" w:cs="Times New Roman"/>
          <w:sz w:val="28"/>
          <w:szCs w:val="28"/>
        </w:rPr>
        <w:t>000 saskaņā ar VTNP de minimis regulu.</w:t>
      </w:r>
    </w:p>
    <w:p w14:paraId="60F2001D" w14:textId="6E912B14" w:rsidR="00FE494C" w:rsidRPr="00DF4295" w:rsidRDefault="005D5E6A" w:rsidP="001D1B46">
      <w:pPr>
        <w:ind w:firstLine="567"/>
        <w:jc w:val="both"/>
        <w:rPr>
          <w:rFonts w:ascii="Times New Roman" w:hAnsi="Times New Roman" w:cs="Times New Roman"/>
          <w:sz w:val="28"/>
          <w:szCs w:val="28"/>
        </w:rPr>
      </w:pPr>
      <w:r w:rsidRPr="005D5E6A">
        <w:rPr>
          <w:rFonts w:ascii="Times New Roman" w:hAnsi="Times New Roman" w:cs="Times New Roman"/>
          <w:sz w:val="28"/>
          <w:szCs w:val="28"/>
        </w:rPr>
        <w:lastRenderedPageBreak/>
        <w:t xml:space="preserve">De minimis atbalstu saskaņā ar </w:t>
      </w:r>
      <w:r>
        <w:rPr>
          <w:rFonts w:ascii="Times New Roman" w:hAnsi="Times New Roman" w:cs="Times New Roman"/>
          <w:sz w:val="28"/>
          <w:szCs w:val="28"/>
        </w:rPr>
        <w:t xml:space="preserve">VTNP </w:t>
      </w:r>
      <w:proofErr w:type="spellStart"/>
      <w:r>
        <w:rPr>
          <w:rFonts w:ascii="Times New Roman" w:hAnsi="Times New Roman" w:cs="Times New Roman"/>
          <w:sz w:val="28"/>
          <w:szCs w:val="28"/>
        </w:rPr>
        <w:t>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minimis</w:t>
      </w:r>
      <w:proofErr w:type="spellEnd"/>
      <w:r>
        <w:rPr>
          <w:rFonts w:ascii="Times New Roman" w:hAnsi="Times New Roman" w:cs="Times New Roman"/>
          <w:sz w:val="28"/>
          <w:szCs w:val="28"/>
        </w:rPr>
        <w:t xml:space="preserve"> </w:t>
      </w:r>
      <w:r w:rsidRPr="005D5E6A">
        <w:rPr>
          <w:rFonts w:ascii="Times New Roman" w:hAnsi="Times New Roman" w:cs="Times New Roman"/>
          <w:sz w:val="28"/>
          <w:szCs w:val="28"/>
        </w:rPr>
        <w:t xml:space="preserve">regulu </w:t>
      </w:r>
      <w:proofErr w:type="spellStart"/>
      <w:r w:rsidRPr="005D5E6A">
        <w:rPr>
          <w:rFonts w:ascii="Times New Roman" w:hAnsi="Times New Roman" w:cs="Times New Roman"/>
          <w:sz w:val="28"/>
          <w:szCs w:val="28"/>
        </w:rPr>
        <w:t>nekumulē</w:t>
      </w:r>
      <w:proofErr w:type="spellEnd"/>
      <w:r w:rsidRPr="005D5E6A">
        <w:rPr>
          <w:rFonts w:ascii="Times New Roman" w:hAnsi="Times New Roman" w:cs="Times New Roman"/>
          <w:sz w:val="28"/>
          <w:szCs w:val="28"/>
        </w:rPr>
        <w:t xml:space="preserve"> ar jebkādu kompensāciju par to pašu </w:t>
      </w:r>
      <w:r>
        <w:rPr>
          <w:rFonts w:ascii="Times New Roman" w:hAnsi="Times New Roman" w:cs="Times New Roman"/>
          <w:sz w:val="28"/>
          <w:szCs w:val="28"/>
        </w:rPr>
        <w:t xml:space="preserve">VTNP </w:t>
      </w:r>
      <w:r w:rsidRPr="005D5E6A">
        <w:rPr>
          <w:rFonts w:ascii="Times New Roman" w:hAnsi="Times New Roman" w:cs="Times New Roman"/>
          <w:sz w:val="28"/>
          <w:szCs w:val="28"/>
        </w:rPr>
        <w:t xml:space="preserve">neatkarīgi no tā, vai kompensācija ir vai nav </w:t>
      </w:r>
      <w:r>
        <w:rPr>
          <w:rFonts w:ascii="Times New Roman" w:hAnsi="Times New Roman" w:cs="Times New Roman"/>
          <w:sz w:val="28"/>
          <w:szCs w:val="28"/>
        </w:rPr>
        <w:t>komercdarbības</w:t>
      </w:r>
      <w:r w:rsidRPr="005D5E6A">
        <w:rPr>
          <w:rFonts w:ascii="Times New Roman" w:hAnsi="Times New Roman" w:cs="Times New Roman"/>
          <w:sz w:val="28"/>
          <w:szCs w:val="28"/>
        </w:rPr>
        <w:t xml:space="preserve"> atbalsts</w:t>
      </w:r>
      <w:r>
        <w:rPr>
          <w:rFonts w:ascii="Times New Roman" w:hAnsi="Times New Roman" w:cs="Times New Roman"/>
          <w:sz w:val="28"/>
          <w:szCs w:val="28"/>
        </w:rPr>
        <w:t xml:space="preserve"> </w:t>
      </w:r>
      <w:r w:rsidRPr="00DF4295">
        <w:rPr>
          <w:rFonts w:ascii="Times New Roman" w:hAnsi="Times New Roman" w:cs="Times New Roman"/>
          <w:sz w:val="28"/>
          <w:szCs w:val="28"/>
        </w:rPr>
        <w:t xml:space="preserve">(VTNP de minimis regulas </w:t>
      </w:r>
      <w:r w:rsidR="00DC6D01">
        <w:rPr>
          <w:rFonts w:ascii="Times New Roman" w:hAnsi="Times New Roman" w:cs="Times New Roman"/>
          <w:sz w:val="28"/>
          <w:szCs w:val="28"/>
        </w:rPr>
        <w:t>5</w:t>
      </w:r>
      <w:r w:rsidRPr="00DF4295">
        <w:rPr>
          <w:rFonts w:ascii="Times New Roman" w:hAnsi="Times New Roman" w:cs="Times New Roman"/>
          <w:sz w:val="28"/>
          <w:szCs w:val="28"/>
        </w:rPr>
        <w:t xml:space="preserve">. panta </w:t>
      </w:r>
      <w:r w:rsidR="00DC6D01">
        <w:rPr>
          <w:rFonts w:ascii="Times New Roman" w:hAnsi="Times New Roman" w:cs="Times New Roman"/>
          <w:sz w:val="28"/>
          <w:szCs w:val="28"/>
        </w:rPr>
        <w:t>2</w:t>
      </w:r>
      <w:r w:rsidRPr="00DF4295">
        <w:rPr>
          <w:rFonts w:ascii="Times New Roman" w:hAnsi="Times New Roman" w:cs="Times New Roman"/>
          <w:sz w:val="28"/>
          <w:szCs w:val="28"/>
        </w:rPr>
        <w:t>. punkts)</w:t>
      </w:r>
      <w:r w:rsidRPr="005D5E6A">
        <w:rPr>
          <w:rFonts w:ascii="Times New Roman" w:hAnsi="Times New Roman" w:cs="Times New Roman"/>
          <w:sz w:val="28"/>
          <w:szCs w:val="28"/>
        </w:rPr>
        <w:t>.</w:t>
      </w:r>
    </w:p>
    <w:p w14:paraId="3EFB2FAD" w14:textId="1B4D5844" w:rsidR="00FE494C" w:rsidRPr="00DF4295" w:rsidRDefault="00FE494C"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 xml:space="preserve">Savukārt, ja viens pakalpojumu sniedzējs ir pilnvarots sniegt vairākus VTNP, tas var saņemt kompensāciju par vienu VTNP saskaņā ar VTNP de minimis regulu, bet par citiem VTNP tas var saņemt kompensāciju, kas atbilst visiem četriem </w:t>
      </w:r>
      <w:proofErr w:type="spellStart"/>
      <w:r w:rsidR="001471D3" w:rsidRPr="00DF4295">
        <w:rPr>
          <w:rFonts w:ascii="Times New Roman" w:hAnsi="Times New Roman" w:cs="Times New Roman"/>
          <w:i/>
          <w:sz w:val="28"/>
          <w:szCs w:val="28"/>
        </w:rPr>
        <w:t>Altmark</w:t>
      </w:r>
      <w:proofErr w:type="spellEnd"/>
      <w:r w:rsidR="001471D3" w:rsidRPr="00DF4295">
        <w:rPr>
          <w:rFonts w:ascii="Times New Roman" w:hAnsi="Times New Roman" w:cs="Times New Roman"/>
          <w:sz w:val="28"/>
          <w:szCs w:val="28"/>
        </w:rPr>
        <w:t xml:space="preserve"> sprieduma</w:t>
      </w:r>
      <w:r w:rsidRPr="00DF4295">
        <w:rPr>
          <w:rFonts w:ascii="Times New Roman" w:hAnsi="Times New Roman" w:cs="Times New Roman"/>
          <w:sz w:val="28"/>
          <w:szCs w:val="28"/>
        </w:rPr>
        <w:t xml:space="preserve"> nosacījumiem</w:t>
      </w:r>
      <w:r w:rsidR="006702FB">
        <w:rPr>
          <w:rFonts w:ascii="Times New Roman" w:hAnsi="Times New Roman" w:cs="Times New Roman"/>
          <w:sz w:val="28"/>
          <w:szCs w:val="28"/>
        </w:rPr>
        <w:t>, vai arī atbilstoši VTNP lēmumam vai VTNP nostādnēm</w:t>
      </w:r>
      <w:r w:rsidRPr="00DF4295">
        <w:rPr>
          <w:rFonts w:ascii="Times New Roman" w:hAnsi="Times New Roman" w:cs="Times New Roman"/>
          <w:sz w:val="28"/>
          <w:szCs w:val="28"/>
        </w:rPr>
        <w:t>.</w:t>
      </w:r>
      <w:r w:rsidR="00906FE6" w:rsidRPr="00DF4295">
        <w:rPr>
          <w:rFonts w:ascii="Times New Roman" w:hAnsi="Times New Roman" w:cs="Times New Roman"/>
          <w:sz w:val="28"/>
          <w:szCs w:val="28"/>
        </w:rPr>
        <w:t xml:space="preserve"> </w:t>
      </w:r>
    </w:p>
    <w:p w14:paraId="4560E334" w14:textId="27A6DA27" w:rsidR="00FE494C" w:rsidRPr="00DF4295" w:rsidRDefault="00FE494C"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VTNP de minimis regulā noteiktā augšējā robeža vienam uzņēmumam ir EUR</w:t>
      </w:r>
      <w:r w:rsidR="00906FE6" w:rsidRPr="00DF4295">
        <w:rPr>
          <w:rFonts w:ascii="Times New Roman" w:hAnsi="Times New Roman" w:cs="Times New Roman"/>
          <w:sz w:val="28"/>
          <w:szCs w:val="28"/>
        </w:rPr>
        <w:t> </w:t>
      </w:r>
      <w:r w:rsidR="00B861DB">
        <w:rPr>
          <w:rFonts w:ascii="Times New Roman" w:hAnsi="Times New Roman" w:cs="Times New Roman"/>
          <w:sz w:val="28"/>
          <w:szCs w:val="28"/>
        </w:rPr>
        <w:t>75</w:t>
      </w:r>
      <w:r w:rsidR="00B861DB" w:rsidRPr="00DF4295">
        <w:rPr>
          <w:rFonts w:ascii="Times New Roman" w:hAnsi="Times New Roman" w:cs="Times New Roman"/>
          <w:sz w:val="28"/>
          <w:szCs w:val="28"/>
        </w:rPr>
        <w:t xml:space="preserve">0 </w:t>
      </w:r>
      <w:r w:rsidRPr="00DF4295">
        <w:rPr>
          <w:rFonts w:ascii="Times New Roman" w:hAnsi="Times New Roman" w:cs="Times New Roman"/>
          <w:sz w:val="28"/>
          <w:szCs w:val="28"/>
        </w:rPr>
        <w:t>000 visiem pasākumiem saskaņā ar minēto regulu</w:t>
      </w:r>
      <w:r w:rsidR="0038397F" w:rsidRPr="00DF4295">
        <w:rPr>
          <w:rFonts w:ascii="Times New Roman" w:hAnsi="Times New Roman" w:cs="Times New Roman"/>
          <w:sz w:val="28"/>
          <w:szCs w:val="28"/>
        </w:rPr>
        <w:t>,</w:t>
      </w:r>
      <w:r w:rsidRPr="00DF4295">
        <w:rPr>
          <w:rFonts w:ascii="Times New Roman" w:hAnsi="Times New Roman" w:cs="Times New Roman"/>
          <w:sz w:val="28"/>
          <w:szCs w:val="28"/>
        </w:rPr>
        <w:t xml:space="preserve"> neatkarīgi no tā, vai šie pasākumi attiecas uz vienu un to pašu vai dažādiem VTNP. </w:t>
      </w:r>
      <w:r w:rsidR="00B861DB" w:rsidRPr="00DF4295">
        <w:rPr>
          <w:rFonts w:ascii="Times New Roman" w:hAnsi="Times New Roman" w:cs="Times New Roman"/>
          <w:sz w:val="28"/>
          <w:szCs w:val="28"/>
        </w:rPr>
        <w:t xml:space="preserve">VTNP de minimis </w:t>
      </w:r>
      <w:r w:rsidR="00B861DB">
        <w:rPr>
          <w:rFonts w:ascii="Times New Roman" w:hAnsi="Times New Roman" w:cs="Times New Roman"/>
          <w:sz w:val="28"/>
          <w:szCs w:val="28"/>
        </w:rPr>
        <w:t>r</w:t>
      </w:r>
      <w:r w:rsidR="00B861DB" w:rsidRPr="00DF4295">
        <w:rPr>
          <w:rFonts w:ascii="Times New Roman" w:hAnsi="Times New Roman" w:cs="Times New Roman"/>
          <w:sz w:val="28"/>
          <w:szCs w:val="28"/>
        </w:rPr>
        <w:t xml:space="preserve">egulā </w:t>
      </w:r>
      <w:r w:rsidRPr="00DF4295">
        <w:rPr>
          <w:rFonts w:ascii="Times New Roman" w:hAnsi="Times New Roman" w:cs="Times New Roman"/>
          <w:sz w:val="28"/>
          <w:szCs w:val="28"/>
        </w:rPr>
        <w:t xml:space="preserve">arī noteikts, ka par vienu un to pašu VTNP </w:t>
      </w:r>
      <w:r w:rsidR="00271CB6" w:rsidRPr="00DF4295">
        <w:rPr>
          <w:rFonts w:ascii="Times New Roman" w:hAnsi="Times New Roman" w:cs="Times New Roman"/>
          <w:sz w:val="28"/>
          <w:szCs w:val="28"/>
        </w:rPr>
        <w:t xml:space="preserve">uzņēmums </w:t>
      </w:r>
      <w:r w:rsidRPr="00DF4295">
        <w:rPr>
          <w:rFonts w:ascii="Times New Roman" w:hAnsi="Times New Roman" w:cs="Times New Roman"/>
          <w:sz w:val="28"/>
          <w:szCs w:val="28"/>
        </w:rPr>
        <w:t xml:space="preserve">nevar saņemt kompensāciju gan saskaņā ar </w:t>
      </w:r>
      <w:r w:rsidR="00271CB6" w:rsidRPr="00DF4295">
        <w:rPr>
          <w:rFonts w:ascii="Times New Roman" w:hAnsi="Times New Roman" w:cs="Times New Roman"/>
          <w:sz w:val="28"/>
          <w:szCs w:val="28"/>
        </w:rPr>
        <w:t xml:space="preserve">VTNP </w:t>
      </w:r>
      <w:r w:rsidRPr="00DF4295">
        <w:rPr>
          <w:rFonts w:ascii="Times New Roman" w:hAnsi="Times New Roman" w:cs="Times New Roman"/>
          <w:sz w:val="28"/>
          <w:szCs w:val="28"/>
        </w:rPr>
        <w:t xml:space="preserve">lēmumu vai </w:t>
      </w:r>
      <w:r w:rsidR="00271CB6" w:rsidRPr="00DF4295">
        <w:rPr>
          <w:rFonts w:ascii="Times New Roman" w:hAnsi="Times New Roman" w:cs="Times New Roman"/>
          <w:sz w:val="28"/>
          <w:szCs w:val="28"/>
        </w:rPr>
        <w:t xml:space="preserve">VTNP </w:t>
      </w:r>
      <w:r w:rsidRPr="00DF4295">
        <w:rPr>
          <w:rFonts w:ascii="Times New Roman" w:hAnsi="Times New Roman" w:cs="Times New Roman"/>
          <w:sz w:val="28"/>
          <w:szCs w:val="28"/>
        </w:rPr>
        <w:t>nostādnēm, gan VTNP de minimis regulu (</w:t>
      </w:r>
      <w:r w:rsidR="00271CB6" w:rsidRPr="00DF4295">
        <w:rPr>
          <w:rFonts w:ascii="Times New Roman" w:hAnsi="Times New Roman" w:cs="Times New Roman"/>
          <w:sz w:val="28"/>
          <w:szCs w:val="28"/>
        </w:rPr>
        <w:t xml:space="preserve">VTNP de minimis regulas </w:t>
      </w:r>
      <w:r w:rsidR="00D62CAC">
        <w:rPr>
          <w:rFonts w:ascii="Times New Roman" w:hAnsi="Times New Roman" w:cs="Times New Roman"/>
          <w:sz w:val="28"/>
          <w:szCs w:val="28"/>
        </w:rPr>
        <w:t>5</w:t>
      </w:r>
      <w:r w:rsidRPr="00DF4295">
        <w:rPr>
          <w:rFonts w:ascii="Times New Roman" w:hAnsi="Times New Roman" w:cs="Times New Roman"/>
          <w:sz w:val="28"/>
          <w:szCs w:val="28"/>
        </w:rPr>
        <w:t xml:space="preserve">. panta </w:t>
      </w:r>
      <w:r w:rsidR="00D62CAC">
        <w:rPr>
          <w:rFonts w:ascii="Times New Roman" w:hAnsi="Times New Roman" w:cs="Times New Roman"/>
          <w:sz w:val="28"/>
          <w:szCs w:val="28"/>
        </w:rPr>
        <w:t>2</w:t>
      </w:r>
      <w:r w:rsidRPr="00DF4295">
        <w:rPr>
          <w:rFonts w:ascii="Times New Roman" w:hAnsi="Times New Roman" w:cs="Times New Roman"/>
          <w:sz w:val="28"/>
          <w:szCs w:val="28"/>
        </w:rPr>
        <w:t xml:space="preserve">. punkts), jo tādējādi veidotos pārmērīga kompensācija. Taču ir iespējams saņemt kompensāciju saskaņā ar </w:t>
      </w:r>
      <w:r w:rsidR="00271CB6" w:rsidRPr="00DF4295">
        <w:rPr>
          <w:rFonts w:ascii="Times New Roman" w:hAnsi="Times New Roman" w:cs="Times New Roman"/>
          <w:sz w:val="28"/>
          <w:szCs w:val="28"/>
        </w:rPr>
        <w:t xml:space="preserve">VTNP </w:t>
      </w:r>
      <w:r w:rsidRPr="00DF4295">
        <w:rPr>
          <w:rFonts w:ascii="Times New Roman" w:hAnsi="Times New Roman" w:cs="Times New Roman"/>
          <w:sz w:val="28"/>
          <w:szCs w:val="28"/>
        </w:rPr>
        <w:t xml:space="preserve">lēmumu vai </w:t>
      </w:r>
      <w:r w:rsidR="00271CB6" w:rsidRPr="00DF4295">
        <w:rPr>
          <w:rFonts w:ascii="Times New Roman" w:hAnsi="Times New Roman" w:cs="Times New Roman"/>
          <w:sz w:val="28"/>
          <w:szCs w:val="28"/>
        </w:rPr>
        <w:t xml:space="preserve">VTNP </w:t>
      </w:r>
      <w:r w:rsidRPr="00DF4295">
        <w:rPr>
          <w:rFonts w:ascii="Times New Roman" w:hAnsi="Times New Roman" w:cs="Times New Roman"/>
          <w:sz w:val="28"/>
          <w:szCs w:val="28"/>
        </w:rPr>
        <w:t>nostādnēm par vienu VTNP un</w:t>
      </w:r>
      <w:r w:rsidR="00271CB6" w:rsidRPr="00DF4295">
        <w:rPr>
          <w:rFonts w:ascii="Times New Roman" w:hAnsi="Times New Roman" w:cs="Times New Roman"/>
          <w:sz w:val="28"/>
          <w:szCs w:val="28"/>
        </w:rPr>
        <w:t xml:space="preserve"> piemērot</w:t>
      </w:r>
      <w:r w:rsidRPr="00DF4295">
        <w:rPr>
          <w:rFonts w:ascii="Times New Roman" w:hAnsi="Times New Roman" w:cs="Times New Roman"/>
          <w:sz w:val="28"/>
          <w:szCs w:val="28"/>
        </w:rPr>
        <w:t xml:space="preserve"> VTNP de minimis atbalstu </w:t>
      </w:r>
      <w:r w:rsidR="00532DB5" w:rsidRPr="00DF4295">
        <w:rPr>
          <w:rFonts w:ascii="Times New Roman" w:hAnsi="Times New Roman" w:cs="Times New Roman"/>
          <w:sz w:val="28"/>
          <w:szCs w:val="28"/>
        </w:rPr>
        <w:t>citam</w:t>
      </w:r>
      <w:r w:rsidRPr="00DF4295">
        <w:rPr>
          <w:rFonts w:ascii="Times New Roman" w:hAnsi="Times New Roman" w:cs="Times New Roman"/>
          <w:sz w:val="28"/>
          <w:szCs w:val="28"/>
        </w:rPr>
        <w:t xml:space="preserve"> VTNP.</w:t>
      </w:r>
    </w:p>
    <w:p w14:paraId="5ED4F02D" w14:textId="4FD39CB6" w:rsidR="00FE494C" w:rsidRPr="00DF4295" w:rsidRDefault="00FE494C" w:rsidP="001D1B46">
      <w:pPr>
        <w:ind w:firstLine="567"/>
        <w:jc w:val="both"/>
        <w:rPr>
          <w:rFonts w:ascii="Times New Roman" w:hAnsi="Times New Roman" w:cs="Times New Roman"/>
          <w:sz w:val="28"/>
          <w:szCs w:val="28"/>
        </w:rPr>
      </w:pPr>
      <w:r w:rsidRPr="00DF4295">
        <w:rPr>
          <w:rFonts w:ascii="Times New Roman" w:hAnsi="Times New Roman" w:cs="Times New Roman"/>
          <w:sz w:val="28"/>
          <w:szCs w:val="28"/>
        </w:rPr>
        <w:t>Nosakot kompensāciju par VTNP pakalpojuma sniegšanu jāņem vērā arī tas, ka var tikt kompensēta tikai tā izmaksu daļa, kuru VTNP pakalpojuma sniedzējs nav ietvēris VTNP pakalpojuma saņēmējiem noteiktajā tarifā.</w:t>
      </w:r>
    </w:p>
    <w:p w14:paraId="761D30F7" w14:textId="5F3AB54C" w:rsidR="006C63DA" w:rsidRPr="00DF4295" w:rsidRDefault="008D4410" w:rsidP="00097423">
      <w:pPr>
        <w:pStyle w:val="Heading1"/>
        <w:numPr>
          <w:ilvl w:val="0"/>
          <w:numId w:val="7"/>
        </w:numPr>
        <w:spacing w:before="120" w:after="120"/>
        <w:rPr>
          <w:rFonts w:cs="Times New Roman"/>
          <w:sz w:val="28"/>
          <w:szCs w:val="28"/>
        </w:rPr>
      </w:pPr>
      <w:bookmarkStart w:id="57" w:name="_Toc497409021"/>
      <w:bookmarkStart w:id="58" w:name="_Toc497409022"/>
      <w:bookmarkStart w:id="59" w:name="_Toc497409023"/>
      <w:bookmarkStart w:id="60" w:name="_Toc497409024"/>
      <w:bookmarkStart w:id="61" w:name="_Toc497409025"/>
      <w:bookmarkStart w:id="62" w:name="_Toc497409026"/>
      <w:bookmarkStart w:id="63" w:name="_Toc497409027"/>
      <w:bookmarkStart w:id="64" w:name="_Toc500939858"/>
      <w:bookmarkStart w:id="65" w:name="_Toc15391549"/>
      <w:bookmarkEnd w:id="57"/>
      <w:bookmarkEnd w:id="58"/>
      <w:bookmarkEnd w:id="59"/>
      <w:bookmarkEnd w:id="60"/>
      <w:bookmarkEnd w:id="61"/>
      <w:bookmarkEnd w:id="62"/>
      <w:bookmarkEnd w:id="63"/>
      <w:r w:rsidRPr="00DF4295">
        <w:rPr>
          <w:rFonts w:cs="Times New Roman"/>
          <w:sz w:val="28"/>
          <w:szCs w:val="28"/>
        </w:rPr>
        <w:t>Piemēri par</w:t>
      </w:r>
      <w:r w:rsidR="006C63DA" w:rsidRPr="00DF4295">
        <w:rPr>
          <w:rFonts w:cs="Times New Roman"/>
          <w:sz w:val="28"/>
          <w:szCs w:val="28"/>
        </w:rPr>
        <w:t xml:space="preserve"> VTNP piemērošan</w:t>
      </w:r>
      <w:r w:rsidR="006A0340">
        <w:rPr>
          <w:rFonts w:cs="Times New Roman"/>
          <w:sz w:val="28"/>
          <w:szCs w:val="28"/>
        </w:rPr>
        <w:t>u</w:t>
      </w:r>
      <w:r w:rsidR="006C63DA" w:rsidRPr="00DF4295">
        <w:rPr>
          <w:rFonts w:cs="Times New Roman"/>
          <w:sz w:val="28"/>
          <w:szCs w:val="28"/>
        </w:rPr>
        <w:t xml:space="preserve"> Latvijā</w:t>
      </w:r>
      <w:bookmarkEnd w:id="64"/>
      <w:bookmarkEnd w:id="65"/>
      <w:r w:rsidR="006C63DA" w:rsidRPr="00DF4295">
        <w:rPr>
          <w:rFonts w:cs="Times New Roman"/>
          <w:sz w:val="28"/>
          <w:szCs w:val="28"/>
        </w:rPr>
        <w:t xml:space="preserve"> </w:t>
      </w:r>
    </w:p>
    <w:p w14:paraId="7113DDF4" w14:textId="52A839D9" w:rsidR="00736595" w:rsidRPr="003F669B" w:rsidRDefault="006C63DA" w:rsidP="003F669B">
      <w:pPr>
        <w:ind w:firstLine="720"/>
        <w:jc w:val="both"/>
        <w:rPr>
          <w:rFonts w:ascii="Times New Roman" w:hAnsi="Times New Roman" w:cs="Times New Roman"/>
          <w:sz w:val="28"/>
          <w:szCs w:val="28"/>
        </w:rPr>
      </w:pPr>
      <w:r w:rsidRPr="00DF4295">
        <w:rPr>
          <w:rFonts w:ascii="Times New Roman" w:hAnsi="Times New Roman" w:cs="Times New Roman"/>
          <w:sz w:val="28"/>
          <w:szCs w:val="28"/>
        </w:rPr>
        <w:t>Saskaņā ar likuma “Par sabiedrisko pakalpojumu regulatoriem”</w:t>
      </w:r>
      <w:r w:rsidRPr="00DF4295">
        <w:rPr>
          <w:rStyle w:val="FootnoteReference"/>
          <w:rFonts w:ascii="Times New Roman" w:hAnsi="Times New Roman" w:cs="Times New Roman"/>
          <w:sz w:val="28"/>
          <w:szCs w:val="28"/>
        </w:rPr>
        <w:footnoteReference w:id="33"/>
      </w:r>
      <w:r w:rsidRPr="00DF4295">
        <w:rPr>
          <w:rFonts w:ascii="Times New Roman" w:hAnsi="Times New Roman" w:cs="Times New Roman"/>
          <w:sz w:val="28"/>
          <w:szCs w:val="28"/>
        </w:rPr>
        <w:t xml:space="preserve"> 2.panta otro daļu valsts regulatīvās funkcijas tiek veiktas enerģētikas, elektronisko sakaru, pasta, sadzīves atkritumu apsaimniekošanas un ūdenssaimniecības nozarē. Sabiedriskos pakalpojumus regulējamās nozarēs regulē Sabiedrisko pakalpojumu regulēšanas komisija (</w:t>
      </w:r>
      <w:r w:rsidR="003F669B">
        <w:rPr>
          <w:rFonts w:ascii="Times New Roman" w:hAnsi="Times New Roman" w:cs="Times New Roman"/>
          <w:sz w:val="28"/>
          <w:szCs w:val="28"/>
        </w:rPr>
        <w:t>iepriekšminētā likuma 6.pants).</w:t>
      </w:r>
    </w:p>
    <w:p w14:paraId="6A1921A2" w14:textId="17715BD4" w:rsidR="006C63DA" w:rsidRPr="00DF4295" w:rsidRDefault="006C63DA" w:rsidP="00097423">
      <w:pPr>
        <w:pStyle w:val="Text1"/>
        <w:numPr>
          <w:ilvl w:val="0"/>
          <w:numId w:val="19"/>
        </w:numPr>
        <w:spacing w:after="120"/>
        <w:ind w:left="720" w:hanging="425"/>
        <w:rPr>
          <w:sz w:val="28"/>
          <w:szCs w:val="28"/>
        </w:rPr>
      </w:pPr>
      <w:r w:rsidRPr="00DF4295">
        <w:rPr>
          <w:sz w:val="28"/>
          <w:szCs w:val="28"/>
          <w:u w:val="single"/>
        </w:rPr>
        <w:t>Siltumapgādes nozarē</w:t>
      </w:r>
      <w:r w:rsidRPr="00DF4295">
        <w:rPr>
          <w:sz w:val="28"/>
          <w:szCs w:val="28"/>
        </w:rPr>
        <w:t xml:space="preserve"> </w:t>
      </w:r>
      <w:r w:rsidR="001E32D6" w:rsidRPr="00DF4295">
        <w:rPr>
          <w:sz w:val="28"/>
          <w:szCs w:val="28"/>
        </w:rPr>
        <w:t>a</w:t>
      </w:r>
      <w:r w:rsidRPr="00DF4295">
        <w:rPr>
          <w:sz w:val="28"/>
          <w:szCs w:val="28"/>
        </w:rPr>
        <w:t>ttiecībā uz siltumenerģijas ražošanu pastāv tirgus un, ja siltumenerģija</w:t>
      </w:r>
      <w:r w:rsidR="001E32D6" w:rsidRPr="00DF4295">
        <w:rPr>
          <w:sz w:val="28"/>
          <w:szCs w:val="28"/>
        </w:rPr>
        <w:t>s</w:t>
      </w:r>
      <w:r w:rsidRPr="00DF4295">
        <w:rPr>
          <w:sz w:val="28"/>
          <w:szCs w:val="28"/>
        </w:rPr>
        <w:t xml:space="preserve"> ražotājiem tiek piešķirts</w:t>
      </w:r>
      <w:r w:rsidR="001E32D6" w:rsidRPr="00DF4295">
        <w:rPr>
          <w:sz w:val="28"/>
          <w:szCs w:val="28"/>
        </w:rPr>
        <w:t xml:space="preserve"> komercdarbības</w:t>
      </w:r>
      <w:r w:rsidRPr="00DF4295">
        <w:rPr>
          <w:sz w:val="28"/>
          <w:szCs w:val="28"/>
        </w:rPr>
        <w:t xml:space="preserve"> atbalsts, jāievēro atbilstošs komercdarbības atbalsta regulējums. Savukār</w:t>
      </w:r>
      <w:r w:rsidR="001E32D6" w:rsidRPr="00DF4295">
        <w:rPr>
          <w:sz w:val="28"/>
          <w:szCs w:val="28"/>
        </w:rPr>
        <w:t>t</w:t>
      </w:r>
      <w:r w:rsidR="00984DAD" w:rsidRPr="00DF4295">
        <w:rPr>
          <w:sz w:val="28"/>
          <w:szCs w:val="28"/>
        </w:rPr>
        <w:t xml:space="preserve"> centralizētās</w:t>
      </w:r>
      <w:r w:rsidRPr="00DF4295">
        <w:rPr>
          <w:sz w:val="28"/>
          <w:szCs w:val="28"/>
        </w:rPr>
        <w:t xml:space="preserve"> siltumapgādes komersantu sniegtajiem pakalpojumiem gadījumos, kad tiek sniegts</w:t>
      </w:r>
      <w:r w:rsidR="001E32D6" w:rsidRPr="00DF4295">
        <w:rPr>
          <w:sz w:val="28"/>
          <w:szCs w:val="28"/>
        </w:rPr>
        <w:t xml:space="preserve"> komercdarbības</w:t>
      </w:r>
      <w:r w:rsidRPr="00DF4295">
        <w:rPr>
          <w:sz w:val="28"/>
          <w:szCs w:val="28"/>
        </w:rPr>
        <w:t xml:space="preserve"> atbalsts, visbiežāk tiek piemērots VTNP </w:t>
      </w:r>
      <w:r w:rsidR="00984DAD" w:rsidRPr="00DF4295">
        <w:rPr>
          <w:sz w:val="28"/>
          <w:szCs w:val="28"/>
        </w:rPr>
        <w:t>lēmums</w:t>
      </w:r>
      <w:r w:rsidRPr="00DF4295">
        <w:rPr>
          <w:sz w:val="28"/>
          <w:szCs w:val="28"/>
        </w:rPr>
        <w:t xml:space="preserve">. Atsevišķās pašvaldībās Latvijā netiek iedzīvotājiem sniegts siltumapgādes pakalpojums, jo vēsturiski izveidojies, ka katra mājsaimniecība tās teritorijā to nodrošina pati, un </w:t>
      </w:r>
      <w:r w:rsidR="00B84FE1" w:rsidRPr="00DF4295">
        <w:rPr>
          <w:sz w:val="28"/>
          <w:szCs w:val="28"/>
        </w:rPr>
        <w:t xml:space="preserve">ekonomisku </w:t>
      </w:r>
      <w:r w:rsidRPr="00DF4295">
        <w:rPr>
          <w:sz w:val="28"/>
          <w:szCs w:val="28"/>
        </w:rPr>
        <w:t>apsvērumu dēļ nav jēgpilni risinājumu mainīt.</w:t>
      </w:r>
    </w:p>
    <w:p w14:paraId="3906D941" w14:textId="08AF8C27" w:rsidR="00316D0A" w:rsidRPr="00DF4295" w:rsidRDefault="00316D0A" w:rsidP="00097423">
      <w:pPr>
        <w:pStyle w:val="Text1"/>
        <w:numPr>
          <w:ilvl w:val="0"/>
          <w:numId w:val="19"/>
        </w:numPr>
        <w:spacing w:after="120"/>
        <w:ind w:left="709"/>
        <w:rPr>
          <w:sz w:val="28"/>
          <w:szCs w:val="28"/>
        </w:rPr>
      </w:pPr>
      <w:r w:rsidRPr="00DF4295">
        <w:rPr>
          <w:sz w:val="28"/>
          <w:szCs w:val="28"/>
          <w:u w:val="single"/>
        </w:rPr>
        <w:t>Atbalsts sabiedriskajiem elektroniskajiem plašsaziņas līdzekļiem</w:t>
      </w:r>
      <w:r w:rsidRPr="00DF4295">
        <w:rPr>
          <w:sz w:val="28"/>
          <w:szCs w:val="28"/>
        </w:rPr>
        <w:t xml:space="preserve"> Latvijā šobrīd tiek sniegts saskaņā ar VTNP lēmumu, ievērojot arī </w:t>
      </w:r>
      <w:r w:rsidR="0088375E" w:rsidRPr="00DF4295">
        <w:rPr>
          <w:sz w:val="28"/>
          <w:szCs w:val="28"/>
        </w:rPr>
        <w:t>EK paziņojuma par valsts atbalsta noteikumu piemērošanu sabiedriskajai apraidei  (2009/C 257/01)</w:t>
      </w:r>
      <w:r w:rsidR="0088375E" w:rsidRPr="00DF4295">
        <w:rPr>
          <w:rStyle w:val="FootnoteReference"/>
          <w:sz w:val="28"/>
          <w:szCs w:val="28"/>
        </w:rPr>
        <w:footnoteReference w:id="34"/>
      </w:r>
      <w:r w:rsidR="0088375E" w:rsidRPr="00DF4295">
        <w:rPr>
          <w:sz w:val="28"/>
          <w:szCs w:val="28"/>
        </w:rPr>
        <w:t xml:space="preserve"> </w:t>
      </w:r>
      <w:r w:rsidRPr="00DF4295">
        <w:rPr>
          <w:sz w:val="28"/>
          <w:szCs w:val="28"/>
        </w:rPr>
        <w:t>nosacījumus. Abi dokumenti izvirza noteiktas prasības sabiedriskajam pasūtījumam un uzņēmumiem, kas šo pasūtījumu pilda. Kompensāciju, kas pilnvarojuma periodā vidēji gadā pārsniedz 15 milj</w:t>
      </w:r>
      <w:r w:rsidR="00863FC5" w:rsidRPr="00DF4295">
        <w:rPr>
          <w:sz w:val="28"/>
          <w:szCs w:val="28"/>
        </w:rPr>
        <w:t>.</w:t>
      </w:r>
      <w:r w:rsidRPr="00DF4295">
        <w:rPr>
          <w:sz w:val="28"/>
          <w:szCs w:val="28"/>
        </w:rPr>
        <w:t xml:space="preserve"> </w:t>
      </w:r>
      <w:r w:rsidRPr="00DF4295">
        <w:rPr>
          <w:i/>
          <w:sz w:val="28"/>
          <w:szCs w:val="28"/>
        </w:rPr>
        <w:t>euro</w:t>
      </w:r>
      <w:r w:rsidRPr="00DF4295">
        <w:rPr>
          <w:sz w:val="28"/>
          <w:szCs w:val="28"/>
        </w:rPr>
        <w:t xml:space="preserve">, var piešķirt tikai pēc </w:t>
      </w:r>
      <w:r w:rsidRPr="00DF4295">
        <w:rPr>
          <w:sz w:val="28"/>
          <w:szCs w:val="28"/>
        </w:rPr>
        <w:lastRenderedPageBreak/>
        <w:t>Eiropas Komisijas lēmuma saņemšanas par pasākuma saderīgumu ar Eiropas Savienības iekšējo tirgu.</w:t>
      </w:r>
    </w:p>
    <w:p w14:paraId="29E9F3E6" w14:textId="7D18F8C1" w:rsidR="006C63DA" w:rsidRPr="00DF4295" w:rsidRDefault="006C63DA" w:rsidP="00097423">
      <w:pPr>
        <w:pStyle w:val="Text1"/>
        <w:numPr>
          <w:ilvl w:val="0"/>
          <w:numId w:val="19"/>
        </w:numPr>
        <w:spacing w:after="120"/>
        <w:ind w:left="709"/>
        <w:rPr>
          <w:sz w:val="28"/>
          <w:szCs w:val="28"/>
        </w:rPr>
      </w:pPr>
      <w:r w:rsidRPr="00DF4295">
        <w:rPr>
          <w:sz w:val="28"/>
          <w:szCs w:val="28"/>
          <w:u w:val="single"/>
        </w:rPr>
        <w:t>Sadzīves atkritumu apsaimniekošanas nozare</w:t>
      </w:r>
      <w:r w:rsidRPr="00DF4295">
        <w:rPr>
          <w:sz w:val="28"/>
          <w:szCs w:val="28"/>
        </w:rPr>
        <w:t>. Regulators</w:t>
      </w:r>
      <w:r w:rsidR="00FA10C3" w:rsidRPr="00DF4295">
        <w:rPr>
          <w:sz w:val="28"/>
          <w:szCs w:val="28"/>
        </w:rPr>
        <w:t xml:space="preserve"> (Sabiedrisko pakalpojumu regulēšanas komisija)</w:t>
      </w:r>
      <w:r w:rsidRPr="00DF4295">
        <w:rPr>
          <w:sz w:val="28"/>
          <w:szCs w:val="28"/>
        </w:rPr>
        <w:t xml:space="preserve"> sadzīves atkritumu apsaimniekošanas nozarē regulē vienīgi sadzīves atkritumu apglabāšanu atkritumu poligonos. Lai sniegtu sadzīves atkritumu apglabāšanas pakalpojumu, </w:t>
      </w:r>
      <w:r w:rsidR="00042EA9">
        <w:rPr>
          <w:sz w:val="28"/>
          <w:szCs w:val="28"/>
        </w:rPr>
        <w:t>VTNP</w:t>
      </w:r>
      <w:r w:rsidRPr="00DF4295">
        <w:rPr>
          <w:sz w:val="28"/>
          <w:szCs w:val="28"/>
        </w:rPr>
        <w:t xml:space="preserve"> sniedzējam ir jābūt reģistrētam sadzīves atkritumu apglabāšanas atkritumu poligonos pakalpojuma sniedzēju reģistrā un nepieciešams Regulatora apstiprināts sadzīves atkritumu apglabāšanas pakalpojuma tarifs. Ja atkritumu apglabāšanai atkritumu poligonos tiek piešķirts komercdarbības atbalsts</w:t>
      </w:r>
      <w:r w:rsidR="001E32D6" w:rsidRPr="00DF4295">
        <w:rPr>
          <w:sz w:val="28"/>
          <w:szCs w:val="28"/>
        </w:rPr>
        <w:t xml:space="preserve">, </w:t>
      </w:r>
      <w:r w:rsidRPr="00DF4295">
        <w:rPr>
          <w:sz w:val="28"/>
          <w:szCs w:val="28"/>
        </w:rPr>
        <w:t xml:space="preserve">Latvijā publisko resursu piešķiršanā tiek piemērots VTNP </w:t>
      </w:r>
      <w:r w:rsidR="00B84FE1" w:rsidRPr="00DF4295">
        <w:rPr>
          <w:sz w:val="28"/>
          <w:szCs w:val="28"/>
        </w:rPr>
        <w:t>lēmum</w:t>
      </w:r>
      <w:r w:rsidRPr="00DF4295">
        <w:rPr>
          <w:sz w:val="28"/>
          <w:szCs w:val="28"/>
        </w:rPr>
        <w:t>s.</w:t>
      </w:r>
    </w:p>
    <w:p w14:paraId="0F3E9254" w14:textId="6928F8EE" w:rsidR="006C63DA" w:rsidRPr="00DF4295" w:rsidRDefault="006C63DA" w:rsidP="001D1B46">
      <w:pPr>
        <w:pStyle w:val="Text1"/>
        <w:spacing w:after="120"/>
        <w:ind w:left="720"/>
        <w:rPr>
          <w:sz w:val="28"/>
          <w:szCs w:val="28"/>
        </w:rPr>
      </w:pPr>
      <w:r w:rsidRPr="00DF4295">
        <w:rPr>
          <w:sz w:val="28"/>
          <w:szCs w:val="28"/>
        </w:rPr>
        <w:t>Citas ar sadzīves atkritumu apsaimniekošanas pakalpojumu organizēšanu un uzraudzību saistītās darbības ir pašvaldību kompetencē. Sadzīves atkritumu apsaimniekošanu nodrošina tirgus dalībnieki, un iedzīvotāji sedz izdevumus atbilstoši tarifam. Līdz ar to atkritumu savākšanas</w:t>
      </w:r>
      <w:r w:rsidR="00703434" w:rsidRPr="00DF4295">
        <w:rPr>
          <w:sz w:val="28"/>
          <w:szCs w:val="28"/>
        </w:rPr>
        <w:t>, pārvadāšanas un pārstrādes</w:t>
      </w:r>
      <w:r w:rsidRPr="00DF4295">
        <w:rPr>
          <w:sz w:val="28"/>
          <w:szCs w:val="28"/>
        </w:rPr>
        <w:t xml:space="preserve"> </w:t>
      </w:r>
      <w:proofErr w:type="spellStart"/>
      <w:r w:rsidRPr="00DF4295">
        <w:rPr>
          <w:sz w:val="28"/>
          <w:szCs w:val="28"/>
        </w:rPr>
        <w:t>jomāVTNP</w:t>
      </w:r>
      <w:proofErr w:type="spellEnd"/>
      <w:r w:rsidRPr="00DF4295">
        <w:rPr>
          <w:sz w:val="28"/>
          <w:szCs w:val="28"/>
        </w:rPr>
        <w:t xml:space="preserve"> regulējumu piemērot nebū</w:t>
      </w:r>
      <w:r w:rsidR="000019DA" w:rsidRPr="00DF4295">
        <w:rPr>
          <w:sz w:val="28"/>
          <w:szCs w:val="28"/>
        </w:rPr>
        <w:t>s</w:t>
      </w:r>
      <w:r w:rsidRPr="00DF4295">
        <w:rPr>
          <w:sz w:val="28"/>
          <w:szCs w:val="28"/>
        </w:rPr>
        <w:t xml:space="preserve"> iespējams.</w:t>
      </w:r>
    </w:p>
    <w:p w14:paraId="4C904408" w14:textId="5A201C0D" w:rsidR="006C63DA" w:rsidRPr="00DF4295" w:rsidRDefault="006C63DA" w:rsidP="00097423">
      <w:pPr>
        <w:pStyle w:val="Text1"/>
        <w:numPr>
          <w:ilvl w:val="0"/>
          <w:numId w:val="19"/>
        </w:numPr>
        <w:spacing w:after="120"/>
        <w:ind w:left="720" w:hanging="425"/>
        <w:rPr>
          <w:sz w:val="28"/>
          <w:szCs w:val="28"/>
        </w:rPr>
      </w:pPr>
      <w:r w:rsidRPr="00DF4295">
        <w:rPr>
          <w:sz w:val="28"/>
          <w:szCs w:val="28"/>
          <w:u w:val="single"/>
        </w:rPr>
        <w:t>Ūdenssaimniecības nozare</w:t>
      </w:r>
      <w:r w:rsidR="001E32D6" w:rsidRPr="00DF4295">
        <w:rPr>
          <w:sz w:val="28"/>
          <w:szCs w:val="28"/>
        </w:rPr>
        <w:t xml:space="preserve">. </w:t>
      </w:r>
      <w:r w:rsidRPr="00DF4295">
        <w:rPr>
          <w:sz w:val="28"/>
          <w:szCs w:val="28"/>
        </w:rPr>
        <w:t xml:space="preserve">Ūdens apgādes un kanalizācijas pakalpojumu nodrošināšanai tiek piešķirts komercdarbības atbalsts un tiek piemērots VTNP </w:t>
      </w:r>
      <w:r w:rsidR="00AB0E39" w:rsidRPr="00DF4295">
        <w:rPr>
          <w:sz w:val="28"/>
          <w:szCs w:val="28"/>
        </w:rPr>
        <w:t>lēmums</w:t>
      </w:r>
      <w:r w:rsidRPr="00DF4295">
        <w:rPr>
          <w:sz w:val="28"/>
          <w:szCs w:val="28"/>
        </w:rPr>
        <w:t>.</w:t>
      </w:r>
    </w:p>
    <w:p w14:paraId="48869370" w14:textId="5EC42F23" w:rsidR="00701AFE" w:rsidRPr="00DF4295" w:rsidRDefault="007B6976" w:rsidP="00097423">
      <w:pPr>
        <w:pStyle w:val="Text1"/>
        <w:numPr>
          <w:ilvl w:val="0"/>
          <w:numId w:val="19"/>
        </w:numPr>
        <w:spacing w:after="120"/>
        <w:ind w:left="720" w:hanging="425"/>
        <w:rPr>
          <w:sz w:val="28"/>
          <w:szCs w:val="28"/>
        </w:rPr>
      </w:pPr>
      <w:r w:rsidRPr="00DF4295">
        <w:rPr>
          <w:sz w:val="28"/>
          <w:szCs w:val="28"/>
          <w:u w:val="single"/>
        </w:rPr>
        <w:t>Veselības aprūpe</w:t>
      </w:r>
      <w:r w:rsidRPr="00DF4295">
        <w:rPr>
          <w:sz w:val="28"/>
          <w:szCs w:val="28"/>
        </w:rPr>
        <w:t>.</w:t>
      </w:r>
      <w:r w:rsidR="00701AFE" w:rsidRPr="00DF4295">
        <w:rPr>
          <w:sz w:val="28"/>
          <w:szCs w:val="28"/>
        </w:rPr>
        <w:t xml:space="preserve"> </w:t>
      </w:r>
      <w:r w:rsidR="006A0340">
        <w:rPr>
          <w:sz w:val="28"/>
          <w:szCs w:val="28"/>
        </w:rPr>
        <w:t>Pā</w:t>
      </w:r>
      <w:r w:rsidR="000F46D3">
        <w:rPr>
          <w:sz w:val="28"/>
          <w:szCs w:val="28"/>
        </w:rPr>
        <w:t>r</w:t>
      </w:r>
      <w:r w:rsidR="006A0340">
        <w:rPr>
          <w:sz w:val="28"/>
          <w:szCs w:val="28"/>
        </w:rPr>
        <w:t>svarā visām v</w:t>
      </w:r>
      <w:r w:rsidR="00701AFE" w:rsidRPr="00DF4295">
        <w:rPr>
          <w:sz w:val="28"/>
          <w:szCs w:val="28"/>
        </w:rPr>
        <w:t>eselības aprūpes</w:t>
      </w:r>
      <w:r w:rsidRPr="00DF4295">
        <w:rPr>
          <w:sz w:val="28"/>
          <w:szCs w:val="28"/>
        </w:rPr>
        <w:t xml:space="preserve"> iestādēm un</w:t>
      </w:r>
      <w:r w:rsidR="007B68F3" w:rsidRPr="00DF4295">
        <w:rPr>
          <w:sz w:val="28"/>
          <w:szCs w:val="28"/>
        </w:rPr>
        <w:t xml:space="preserve"> veselības aprūpes</w:t>
      </w:r>
      <w:r w:rsidRPr="00DF4295">
        <w:rPr>
          <w:sz w:val="28"/>
          <w:szCs w:val="28"/>
        </w:rPr>
        <w:t xml:space="preserve"> pakalpojumu</w:t>
      </w:r>
      <w:r w:rsidR="009D00C9" w:rsidRPr="00DF4295">
        <w:rPr>
          <w:sz w:val="28"/>
          <w:szCs w:val="28"/>
        </w:rPr>
        <w:t xml:space="preserve"> </w:t>
      </w:r>
      <w:r w:rsidRPr="00DF4295">
        <w:rPr>
          <w:sz w:val="28"/>
          <w:szCs w:val="28"/>
        </w:rPr>
        <w:t>sniedzējiem</w:t>
      </w:r>
      <w:r w:rsidR="009D00C9" w:rsidRPr="00DF4295">
        <w:rPr>
          <w:sz w:val="28"/>
          <w:szCs w:val="28"/>
        </w:rPr>
        <w:t xml:space="preserve"> </w:t>
      </w:r>
      <w:r w:rsidRPr="00DF4295">
        <w:rPr>
          <w:sz w:val="28"/>
          <w:szCs w:val="28"/>
        </w:rPr>
        <w:t>ar Nacionāl</w:t>
      </w:r>
      <w:r w:rsidR="009D00C9" w:rsidRPr="00DF4295">
        <w:rPr>
          <w:sz w:val="28"/>
          <w:szCs w:val="28"/>
        </w:rPr>
        <w:t>o</w:t>
      </w:r>
      <w:r w:rsidRPr="00DF4295">
        <w:rPr>
          <w:sz w:val="28"/>
          <w:szCs w:val="28"/>
        </w:rPr>
        <w:t xml:space="preserve"> veselības dienest</w:t>
      </w:r>
      <w:r w:rsidR="009D00C9" w:rsidRPr="00DF4295">
        <w:rPr>
          <w:sz w:val="28"/>
          <w:szCs w:val="28"/>
        </w:rPr>
        <w:t>u</w:t>
      </w:r>
      <w:r w:rsidR="007B68F3" w:rsidRPr="00DF4295">
        <w:rPr>
          <w:sz w:val="28"/>
          <w:szCs w:val="28"/>
        </w:rPr>
        <w:t xml:space="preserve"> kā finansējuma devēju </w:t>
      </w:r>
      <w:r w:rsidR="009D00C9" w:rsidRPr="00DF4295">
        <w:rPr>
          <w:sz w:val="28"/>
          <w:szCs w:val="28"/>
        </w:rPr>
        <w:t>ir noslēgt</w:t>
      </w:r>
      <w:r w:rsidR="00620FAE" w:rsidRPr="00DF4295">
        <w:rPr>
          <w:sz w:val="28"/>
          <w:szCs w:val="28"/>
        </w:rPr>
        <w:t xml:space="preserve">i līgumi </w:t>
      </w:r>
      <w:r w:rsidRPr="00DF4295">
        <w:rPr>
          <w:sz w:val="28"/>
          <w:szCs w:val="28"/>
        </w:rPr>
        <w:t>par no valsts</w:t>
      </w:r>
      <w:r w:rsidR="009D00C9" w:rsidRPr="00DF4295">
        <w:rPr>
          <w:sz w:val="28"/>
          <w:szCs w:val="28"/>
        </w:rPr>
        <w:t xml:space="preserve"> </w:t>
      </w:r>
      <w:r w:rsidRPr="00DF4295">
        <w:rPr>
          <w:sz w:val="28"/>
          <w:szCs w:val="28"/>
        </w:rPr>
        <w:t>budžeta apmaksāto veselības aprūpes pakalpojumu sniegšanu (pakalpojumu sniedzēji ir</w:t>
      </w:r>
      <w:r w:rsidR="009D00C9" w:rsidRPr="00DF4295">
        <w:rPr>
          <w:sz w:val="28"/>
          <w:szCs w:val="28"/>
        </w:rPr>
        <w:t xml:space="preserve"> </w:t>
      </w:r>
      <w:r w:rsidRPr="00DF4295">
        <w:rPr>
          <w:sz w:val="28"/>
          <w:szCs w:val="28"/>
        </w:rPr>
        <w:t xml:space="preserve">pašvaldību padotības institūcijas, sabiedrības ar ierobežotu atbildību un </w:t>
      </w:r>
      <w:proofErr w:type="spellStart"/>
      <w:r w:rsidRPr="00DF4295">
        <w:rPr>
          <w:sz w:val="28"/>
          <w:szCs w:val="28"/>
        </w:rPr>
        <w:t>pašnodarbinātas</w:t>
      </w:r>
      <w:proofErr w:type="spellEnd"/>
      <w:r w:rsidR="009D00C9" w:rsidRPr="00DF4295">
        <w:rPr>
          <w:sz w:val="28"/>
          <w:szCs w:val="28"/>
        </w:rPr>
        <w:t xml:space="preserve"> </w:t>
      </w:r>
      <w:r w:rsidRPr="00DF4295">
        <w:rPr>
          <w:sz w:val="28"/>
          <w:szCs w:val="28"/>
        </w:rPr>
        <w:t>personas)</w:t>
      </w:r>
      <w:r w:rsidR="00701AFE" w:rsidRPr="00DF4295">
        <w:rPr>
          <w:sz w:val="28"/>
          <w:szCs w:val="28"/>
        </w:rPr>
        <w:t xml:space="preserve">, ievērojot VTNP </w:t>
      </w:r>
      <w:r w:rsidR="007B68F3" w:rsidRPr="00DF4295">
        <w:rPr>
          <w:sz w:val="28"/>
          <w:szCs w:val="28"/>
        </w:rPr>
        <w:t>lēmumu</w:t>
      </w:r>
      <w:r w:rsidRPr="00DF4295">
        <w:rPr>
          <w:sz w:val="28"/>
          <w:szCs w:val="28"/>
        </w:rPr>
        <w:t>.</w:t>
      </w:r>
    </w:p>
    <w:p w14:paraId="2934CD88" w14:textId="63E2A417" w:rsidR="00C448BC" w:rsidRPr="00DF4295" w:rsidRDefault="00425549" w:rsidP="001D1B46">
      <w:pPr>
        <w:pStyle w:val="Text1"/>
        <w:spacing w:after="120"/>
        <w:ind w:left="720"/>
        <w:rPr>
          <w:sz w:val="28"/>
          <w:szCs w:val="28"/>
        </w:rPr>
      </w:pPr>
      <w:r w:rsidRPr="00DF4295">
        <w:rPr>
          <w:sz w:val="28"/>
          <w:szCs w:val="28"/>
        </w:rPr>
        <w:t>Ja pašvaldība veselības</w:t>
      </w:r>
      <w:r w:rsidR="00701AFE" w:rsidRPr="00DF4295">
        <w:rPr>
          <w:sz w:val="28"/>
          <w:szCs w:val="28"/>
        </w:rPr>
        <w:t xml:space="preserve"> aprūpes</w:t>
      </w:r>
      <w:r w:rsidRPr="00DF4295">
        <w:rPr>
          <w:sz w:val="28"/>
          <w:szCs w:val="28"/>
        </w:rPr>
        <w:t xml:space="preserve"> iestādei arī plāno novirzīt publiskos resursus</w:t>
      </w:r>
      <w:r w:rsidR="001B694A" w:rsidRPr="00DF4295">
        <w:rPr>
          <w:sz w:val="28"/>
          <w:szCs w:val="28"/>
        </w:rPr>
        <w:t xml:space="preserve"> par tiem pašiem pakalpojumiem</w:t>
      </w:r>
      <w:r w:rsidRPr="00DF4295">
        <w:rPr>
          <w:sz w:val="28"/>
          <w:szCs w:val="28"/>
        </w:rPr>
        <w:t>, tā slēdz papildus vienošanos</w:t>
      </w:r>
      <w:r w:rsidR="00701AFE" w:rsidRPr="00DF4295">
        <w:rPr>
          <w:sz w:val="28"/>
          <w:szCs w:val="28"/>
        </w:rPr>
        <w:t xml:space="preserve"> ar veselības aprūpes pakalpojuma sniedzēju</w:t>
      </w:r>
      <w:r w:rsidR="001B694A" w:rsidRPr="00DF4295">
        <w:rPr>
          <w:sz w:val="28"/>
          <w:szCs w:val="28"/>
        </w:rPr>
        <w:t xml:space="preserve"> un nodrošin</w:t>
      </w:r>
      <w:r w:rsidR="000B6312" w:rsidRPr="00DF4295">
        <w:rPr>
          <w:sz w:val="28"/>
          <w:szCs w:val="28"/>
        </w:rPr>
        <w:t>a pārkompensācijas kontroli</w:t>
      </w:r>
      <w:r w:rsidR="00701AFE" w:rsidRPr="00DF4295">
        <w:rPr>
          <w:sz w:val="28"/>
          <w:szCs w:val="28"/>
        </w:rPr>
        <w:t>.</w:t>
      </w:r>
      <w:r w:rsidR="00494D78" w:rsidRPr="00DF4295">
        <w:rPr>
          <w:sz w:val="28"/>
          <w:szCs w:val="28"/>
        </w:rPr>
        <w:t xml:space="preserve"> Ja pašvaldība uzliek papildus pakalpojumu, kas atšķiras no Nacionālo veselības dienesta uzliktā pakalpojuma</w:t>
      </w:r>
      <w:r w:rsidR="003B7388" w:rsidRPr="00DF4295">
        <w:rPr>
          <w:sz w:val="28"/>
          <w:szCs w:val="28"/>
        </w:rPr>
        <w:t>,</w:t>
      </w:r>
      <w:r w:rsidR="00494D78" w:rsidRPr="00DF4295">
        <w:rPr>
          <w:sz w:val="28"/>
          <w:szCs w:val="28"/>
        </w:rPr>
        <w:t xml:space="preserve"> tā slēdz līgumu, kurā iekļauj prasības no VTNP regulējuma</w:t>
      </w:r>
      <w:r w:rsidR="00B0525B" w:rsidRPr="00DF4295">
        <w:rPr>
          <w:sz w:val="28"/>
          <w:szCs w:val="28"/>
        </w:rPr>
        <w:t>.</w:t>
      </w:r>
      <w:r w:rsidRPr="00DF4295">
        <w:rPr>
          <w:sz w:val="28"/>
          <w:szCs w:val="28"/>
        </w:rPr>
        <w:t xml:space="preserve"> </w:t>
      </w:r>
      <w:r w:rsidR="00701AFE" w:rsidRPr="00DF4295">
        <w:rPr>
          <w:sz w:val="28"/>
          <w:szCs w:val="28"/>
        </w:rPr>
        <w:t>P</w:t>
      </w:r>
      <w:r w:rsidRPr="00DF4295">
        <w:rPr>
          <w:sz w:val="28"/>
          <w:szCs w:val="28"/>
        </w:rPr>
        <w:t xml:space="preserve">ilnvarojuma devējs ir tā iestāde, kura nodrošina, ka VTNP sniedzējs netiek pārkompensēts, nodrošina </w:t>
      </w:r>
      <w:r w:rsidR="00701AFE" w:rsidRPr="00DF4295">
        <w:rPr>
          <w:sz w:val="28"/>
          <w:szCs w:val="28"/>
        </w:rPr>
        <w:t>uzraudzību</w:t>
      </w:r>
      <w:r w:rsidRPr="00DF4295">
        <w:rPr>
          <w:sz w:val="28"/>
          <w:szCs w:val="28"/>
        </w:rPr>
        <w:t xml:space="preserve"> pilnvarojuma periodā un </w:t>
      </w:r>
      <w:r w:rsidR="00701AFE" w:rsidRPr="00DF4295">
        <w:rPr>
          <w:sz w:val="28"/>
          <w:szCs w:val="28"/>
        </w:rPr>
        <w:t xml:space="preserve">informācijas glabāšanu </w:t>
      </w:r>
      <w:r w:rsidRPr="00DF4295">
        <w:rPr>
          <w:sz w:val="28"/>
          <w:szCs w:val="28"/>
        </w:rPr>
        <w:t>10 gadus pēc</w:t>
      </w:r>
      <w:r w:rsidR="00701AFE" w:rsidRPr="00DF4295">
        <w:rPr>
          <w:sz w:val="28"/>
          <w:szCs w:val="28"/>
        </w:rPr>
        <w:t xml:space="preserve"> VTNP </w:t>
      </w:r>
      <w:r w:rsidR="00B8285C" w:rsidRPr="00DF4295">
        <w:rPr>
          <w:sz w:val="28"/>
          <w:szCs w:val="28"/>
        </w:rPr>
        <w:t>l</w:t>
      </w:r>
      <w:r w:rsidR="00701AFE" w:rsidRPr="00DF4295">
        <w:rPr>
          <w:sz w:val="28"/>
          <w:szCs w:val="28"/>
        </w:rPr>
        <w:t>īguma beigām</w:t>
      </w:r>
      <w:r w:rsidRPr="00DF4295">
        <w:rPr>
          <w:sz w:val="28"/>
          <w:szCs w:val="28"/>
        </w:rPr>
        <w:t>.</w:t>
      </w:r>
      <w:r w:rsidR="00A12BA2" w:rsidRPr="00DF4295">
        <w:rPr>
          <w:sz w:val="28"/>
          <w:szCs w:val="28"/>
        </w:rPr>
        <w:t xml:space="preserve"> </w:t>
      </w:r>
    </w:p>
    <w:p w14:paraId="2992CE86" w14:textId="72B062EF" w:rsidR="00C448BC" w:rsidRPr="00DF4295" w:rsidRDefault="00C36E7C" w:rsidP="00097423">
      <w:pPr>
        <w:pStyle w:val="Text1"/>
        <w:numPr>
          <w:ilvl w:val="0"/>
          <w:numId w:val="19"/>
        </w:numPr>
        <w:spacing w:after="120"/>
        <w:ind w:left="720" w:hanging="425"/>
        <w:rPr>
          <w:sz w:val="28"/>
          <w:szCs w:val="28"/>
        </w:rPr>
      </w:pPr>
      <w:r w:rsidRPr="00DF4295">
        <w:rPr>
          <w:sz w:val="28"/>
          <w:szCs w:val="28"/>
          <w:u w:val="single"/>
        </w:rPr>
        <w:t>Sociālo pakalpojumu joma</w:t>
      </w:r>
      <w:r w:rsidRPr="00DF4295">
        <w:rPr>
          <w:sz w:val="28"/>
          <w:szCs w:val="28"/>
        </w:rPr>
        <w:t xml:space="preserve">. </w:t>
      </w:r>
      <w:r w:rsidR="00C448BC" w:rsidRPr="00DF4295">
        <w:rPr>
          <w:sz w:val="28"/>
          <w:szCs w:val="28"/>
        </w:rPr>
        <w:t>Sociālo pakalpojumu un sociālās palīdzības likumā</w:t>
      </w:r>
      <w:r w:rsidR="00C448BC" w:rsidRPr="00DF4295">
        <w:rPr>
          <w:rStyle w:val="FootnoteReference"/>
          <w:sz w:val="28"/>
          <w:szCs w:val="28"/>
        </w:rPr>
        <w:footnoteReference w:id="35"/>
      </w:r>
      <w:r w:rsidR="00C448BC" w:rsidRPr="00DF4295">
        <w:rPr>
          <w:sz w:val="28"/>
          <w:szCs w:val="28"/>
        </w:rPr>
        <w:t xml:space="preserve"> (3.pants) noteikts, ka </w:t>
      </w:r>
      <w:r w:rsidR="00C448BC" w:rsidRPr="00DF4295">
        <w:rPr>
          <w:bCs/>
          <w:sz w:val="28"/>
          <w:szCs w:val="28"/>
        </w:rPr>
        <w:t>tiesības uz sociālajiem pakalpojumiem un sociālo palīdzību</w:t>
      </w:r>
      <w:r w:rsidR="00C448BC" w:rsidRPr="00DF4295">
        <w:rPr>
          <w:sz w:val="28"/>
          <w:szCs w:val="28"/>
        </w:rPr>
        <w:t xml:space="preserve"> ir </w:t>
      </w:r>
      <w:r w:rsidRPr="00DF4295">
        <w:rPr>
          <w:sz w:val="28"/>
          <w:szCs w:val="28"/>
        </w:rPr>
        <w:t>Latvij</w:t>
      </w:r>
      <w:r w:rsidR="00C448BC" w:rsidRPr="00DF4295">
        <w:rPr>
          <w:sz w:val="28"/>
          <w:szCs w:val="28"/>
        </w:rPr>
        <w:t>ā dzīvojošām personām</w:t>
      </w:r>
      <w:r w:rsidR="0047547D" w:rsidRPr="00DF4295">
        <w:rPr>
          <w:sz w:val="28"/>
          <w:szCs w:val="28"/>
        </w:rPr>
        <w:t>.</w:t>
      </w:r>
      <w:r w:rsidRPr="00DF4295">
        <w:rPr>
          <w:sz w:val="28"/>
          <w:szCs w:val="28"/>
        </w:rPr>
        <w:t xml:space="preserve"> Ņemot vērā, ka atbalsta saņēmēji šādā gadījumā ir fiziskas personas komercdarbības atbalsta regulējums nav jāpiemēro.</w:t>
      </w:r>
      <w:r w:rsidR="00C448BC" w:rsidRPr="00DF4295">
        <w:rPr>
          <w:sz w:val="28"/>
          <w:szCs w:val="28"/>
        </w:rPr>
        <w:t xml:space="preserve"> Attiecībā uz sociālajiem mājokļiem jānorāda, ka situācija atšķiras pašvaldībās, galvenokārt dēļ iedzīvotāju skaita tajās, līdz ar to katrs gadījums no komercdarbības atbalsta kontroles viedokļa vērtējams atsevišķi, tomēr, ņemot vērā to, ka tirgus nevar </w:t>
      </w:r>
      <w:r w:rsidR="00C448BC" w:rsidRPr="00DF4295">
        <w:rPr>
          <w:sz w:val="28"/>
          <w:szCs w:val="28"/>
        </w:rPr>
        <w:lastRenderedPageBreak/>
        <w:t xml:space="preserve">nodrošināt sociāli </w:t>
      </w:r>
      <w:proofErr w:type="spellStart"/>
      <w:r w:rsidR="00C448BC" w:rsidRPr="00DF4295">
        <w:rPr>
          <w:sz w:val="28"/>
          <w:szCs w:val="28"/>
        </w:rPr>
        <w:t>mazāknodrošinātas</w:t>
      </w:r>
      <w:proofErr w:type="spellEnd"/>
      <w:r w:rsidR="00C448BC" w:rsidRPr="00DF4295">
        <w:rPr>
          <w:sz w:val="28"/>
          <w:szCs w:val="28"/>
        </w:rPr>
        <w:t xml:space="preserve"> personu grupas ar dzīvojamo platību, tad atsevišķi</w:t>
      </w:r>
      <w:r w:rsidR="00316D0A" w:rsidRPr="00DF4295">
        <w:rPr>
          <w:sz w:val="28"/>
          <w:szCs w:val="28"/>
        </w:rPr>
        <w:t>em</w:t>
      </w:r>
      <w:r w:rsidR="00C448BC" w:rsidRPr="00DF4295">
        <w:rPr>
          <w:sz w:val="28"/>
          <w:szCs w:val="28"/>
        </w:rPr>
        <w:t xml:space="preserve"> pašvaldību sniegtajiem pakalpojumiem sociālo dzīvokļu jomā varētu nebūt saimniecisks rakstu</w:t>
      </w:r>
      <w:r w:rsidR="0038121C" w:rsidRPr="00DF4295">
        <w:rPr>
          <w:sz w:val="28"/>
          <w:szCs w:val="28"/>
        </w:rPr>
        <w:t>r</w:t>
      </w:r>
      <w:r w:rsidR="00C448BC" w:rsidRPr="00DF4295">
        <w:rPr>
          <w:sz w:val="28"/>
          <w:szCs w:val="28"/>
        </w:rPr>
        <w:t>s, bet gan sociāla funkcija konkrētā Latvijas teritorijā.</w:t>
      </w:r>
    </w:p>
    <w:p w14:paraId="783ECCE0" w14:textId="1C5A1FC5" w:rsidR="00697FCF" w:rsidRPr="00DF4295" w:rsidRDefault="00697FCF" w:rsidP="00097423">
      <w:pPr>
        <w:pStyle w:val="Text1"/>
        <w:numPr>
          <w:ilvl w:val="0"/>
          <w:numId w:val="19"/>
        </w:numPr>
        <w:spacing w:after="120"/>
        <w:ind w:left="709"/>
        <w:rPr>
          <w:sz w:val="28"/>
          <w:szCs w:val="28"/>
        </w:rPr>
      </w:pPr>
      <w:r w:rsidRPr="00DF4295">
        <w:rPr>
          <w:sz w:val="28"/>
          <w:szCs w:val="28"/>
          <w:u w:val="single"/>
        </w:rPr>
        <w:t>Sabiedriskā pasažieru transporta pakalpojumu nozare</w:t>
      </w:r>
      <w:r w:rsidRPr="00DF4295">
        <w:rPr>
          <w:sz w:val="28"/>
          <w:szCs w:val="28"/>
        </w:rPr>
        <w:t>. Komercdarbības atbalstu, kas tiek sniegts sabiedriskā pasažieru transporta pakalpojumiem, izmantojot dzelzceļu un autoceļus, sniedz saskaņā ar 2007. gada 23.oktobra Eiropas Parlamenta un Padomes regulu (EK) Nr. 1370/2007 par sabiedriskā pasažieru transporta pakalpojumiem, izmantojot dzelzceļu un autoceļus, un ar ko atceļ Padomes Regulu (EEK) Nr. 1191/69 un Padomes Regulu (EEK) Nr. 1107/70</w:t>
      </w:r>
      <w:r w:rsidR="003B7388" w:rsidRPr="00DF4295">
        <w:rPr>
          <w:sz w:val="28"/>
          <w:szCs w:val="28"/>
        </w:rPr>
        <w:t>.</w:t>
      </w:r>
      <w:r w:rsidR="00030CDC" w:rsidRPr="00DF4295">
        <w:rPr>
          <w:sz w:val="28"/>
          <w:szCs w:val="28"/>
        </w:rPr>
        <w:t xml:space="preserve"> </w:t>
      </w:r>
      <w:r w:rsidR="003B7388" w:rsidRPr="00DF4295">
        <w:rPr>
          <w:sz w:val="28"/>
          <w:szCs w:val="28"/>
        </w:rPr>
        <w:t xml:space="preserve">Sabiedriskā pasažieru transporta pakalpojumu nozare </w:t>
      </w:r>
      <w:r w:rsidR="00030CDC" w:rsidRPr="00DF4295">
        <w:rPr>
          <w:sz w:val="28"/>
          <w:szCs w:val="28"/>
        </w:rPr>
        <w:t>šajā metodoloģiskajā palīgmateriālā apskatīta netiek.</w:t>
      </w:r>
    </w:p>
    <w:p w14:paraId="3955F9FA" w14:textId="5F82177A" w:rsidR="00C448BC" w:rsidRPr="00DF4295" w:rsidRDefault="00877136" w:rsidP="00097423">
      <w:pPr>
        <w:pStyle w:val="Text1"/>
        <w:numPr>
          <w:ilvl w:val="0"/>
          <w:numId w:val="19"/>
        </w:numPr>
        <w:spacing w:after="120"/>
        <w:ind w:left="709" w:hanging="425"/>
        <w:rPr>
          <w:sz w:val="28"/>
          <w:szCs w:val="28"/>
        </w:rPr>
      </w:pPr>
      <w:r w:rsidRPr="00DF4295">
        <w:rPr>
          <w:sz w:val="28"/>
          <w:szCs w:val="28"/>
          <w:u w:val="single"/>
        </w:rPr>
        <w:t>Lidostas</w:t>
      </w:r>
      <w:r w:rsidRPr="00DF4295">
        <w:rPr>
          <w:sz w:val="28"/>
          <w:szCs w:val="28"/>
        </w:rPr>
        <w:t xml:space="preserve">. </w:t>
      </w:r>
      <w:r w:rsidR="00E12BAB" w:rsidRPr="00DF4295">
        <w:rPr>
          <w:sz w:val="28"/>
          <w:szCs w:val="28"/>
        </w:rPr>
        <w:t xml:space="preserve">Latvijā VTNP </w:t>
      </w:r>
      <w:r w:rsidR="00701AFE" w:rsidRPr="00DF4295">
        <w:rPr>
          <w:sz w:val="28"/>
          <w:szCs w:val="28"/>
        </w:rPr>
        <w:t>lidostām</w:t>
      </w:r>
      <w:r w:rsidR="00E12BAB" w:rsidRPr="00DF4295">
        <w:rPr>
          <w:sz w:val="28"/>
          <w:szCs w:val="28"/>
        </w:rPr>
        <w:t xml:space="preserve"> ir nodefinēti likuma „Par aviāciju” 27.</w:t>
      </w:r>
      <w:r w:rsidR="00E12BAB" w:rsidRPr="00DF4295">
        <w:rPr>
          <w:sz w:val="28"/>
          <w:szCs w:val="28"/>
          <w:vertAlign w:val="superscript"/>
        </w:rPr>
        <w:t>2</w:t>
      </w:r>
      <w:r w:rsidR="00E12BAB" w:rsidRPr="00DF4295">
        <w:rPr>
          <w:sz w:val="28"/>
          <w:szCs w:val="28"/>
        </w:rPr>
        <w:t xml:space="preserve"> pantā „Sabiedriskas nozīmes pakalpojumu sniegšanas saistības</w:t>
      </w:r>
      <w:r w:rsidR="00701AFE" w:rsidRPr="00DF4295">
        <w:rPr>
          <w:sz w:val="28"/>
          <w:szCs w:val="28"/>
        </w:rPr>
        <w:t xml:space="preserve">”. Tie </w:t>
      </w:r>
      <w:r w:rsidR="00E12BAB" w:rsidRPr="00DF4295">
        <w:rPr>
          <w:sz w:val="28"/>
          <w:szCs w:val="28"/>
        </w:rPr>
        <w:t>ir tieši saistīt</w:t>
      </w:r>
      <w:r w:rsidR="00701AFE" w:rsidRPr="00DF4295">
        <w:rPr>
          <w:sz w:val="28"/>
          <w:szCs w:val="28"/>
        </w:rPr>
        <w:t>i</w:t>
      </w:r>
      <w:r w:rsidR="00E12BAB" w:rsidRPr="00DF4295">
        <w:rPr>
          <w:sz w:val="28"/>
          <w:szCs w:val="28"/>
        </w:rPr>
        <w:t xml:space="preserve"> ar lidlauka pamatdarbību un ietver infrastruktūras būvju (skrejceļa, termināļa, skrejceļa </w:t>
      </w:r>
      <w:r w:rsidR="001D612C" w:rsidRPr="00DF4295">
        <w:rPr>
          <w:sz w:val="28"/>
          <w:szCs w:val="28"/>
        </w:rPr>
        <w:t>pievedceļu</w:t>
      </w:r>
      <w:r w:rsidR="00E12BAB" w:rsidRPr="00DF4295">
        <w:rPr>
          <w:sz w:val="28"/>
          <w:szCs w:val="28"/>
        </w:rPr>
        <w:t>, perona, gaisa satiksmes vadības torņa u.c.) būvniecību, tai skaitā nepieciešamās zemes iegādi un lidlauka aprīkojuma nodrošināšanu, kas ietver arī tiešās palīdzības sniegšanai nepieciešamo aprīkojumu; infrastruktūras ekspluatāciju, kas ietver lidlauka pārvaldību un uzturēšanu; lidlauka papildu pakalpojumu (lidlauka infrastruktūras izmantošanas, ugunsdzēsības, ātrās palīdzības, drošības un citu lidlauka papildu pakalpojumu) sniegšanu.</w:t>
      </w:r>
      <w:r w:rsidR="00B114E8" w:rsidRPr="00DF4295">
        <w:rPr>
          <w:sz w:val="28"/>
          <w:szCs w:val="28"/>
        </w:rPr>
        <w:t xml:space="preserve"> </w:t>
      </w:r>
      <w:r w:rsidR="0038121C" w:rsidRPr="00DF4295">
        <w:rPr>
          <w:sz w:val="28"/>
          <w:szCs w:val="28"/>
        </w:rPr>
        <w:t>VTNP lēmum</w:t>
      </w:r>
      <w:r w:rsidR="00650A94" w:rsidRPr="00DF4295">
        <w:rPr>
          <w:sz w:val="28"/>
          <w:szCs w:val="28"/>
        </w:rPr>
        <w:t>s lidostu darbībām piemērojams vien ievērojot 2.panta 1.punkta e)apakšpunktā noteiktos ierobežojumus.</w:t>
      </w:r>
      <w:r w:rsidR="0038121C" w:rsidRPr="00DF4295">
        <w:rPr>
          <w:sz w:val="28"/>
          <w:szCs w:val="28"/>
        </w:rPr>
        <w:t>.</w:t>
      </w:r>
    </w:p>
    <w:p w14:paraId="3ADB9850" w14:textId="3B2E0C2B" w:rsidR="00212EFF" w:rsidRPr="00F52651" w:rsidRDefault="00C448BC" w:rsidP="00702D7B">
      <w:pPr>
        <w:pStyle w:val="Text1"/>
        <w:numPr>
          <w:ilvl w:val="0"/>
          <w:numId w:val="19"/>
        </w:numPr>
        <w:spacing w:after="120"/>
        <w:ind w:left="709" w:hanging="425"/>
        <w:rPr>
          <w:rFonts w:eastAsiaTheme="majorEastAsia"/>
          <w:b/>
          <w:sz w:val="28"/>
          <w:szCs w:val="28"/>
        </w:rPr>
      </w:pPr>
      <w:r w:rsidRPr="003F669B">
        <w:rPr>
          <w:sz w:val="28"/>
          <w:szCs w:val="28"/>
        </w:rPr>
        <w:t>Atbalsts no publiskiem resursiem Latvijā netiek sniegts ostām, kuru vidējais gada satiksmes apjoms nepārsniedz VTNP lēmuma 2.panta 1.punkta e) apakšpunktā noteikto robežvērtību. Latvijā šajās jomās nav definētu</w:t>
      </w:r>
      <w:r w:rsidR="0038121C" w:rsidRPr="003F669B">
        <w:rPr>
          <w:sz w:val="28"/>
          <w:szCs w:val="28"/>
        </w:rPr>
        <w:t xml:space="preserve"> VTNP</w:t>
      </w:r>
      <w:r w:rsidRPr="003F669B">
        <w:rPr>
          <w:sz w:val="28"/>
          <w:szCs w:val="28"/>
        </w:rPr>
        <w:t>.</w:t>
      </w:r>
    </w:p>
    <w:p w14:paraId="709596D3" w14:textId="5AD4D189" w:rsidR="00F52651" w:rsidRDefault="00F52651" w:rsidP="00F52651">
      <w:pPr>
        <w:pStyle w:val="Text1"/>
        <w:spacing w:after="120"/>
        <w:rPr>
          <w:sz w:val="28"/>
          <w:szCs w:val="28"/>
        </w:rPr>
      </w:pPr>
    </w:p>
    <w:p w14:paraId="46C406D0" w14:textId="77777777" w:rsidR="00F52651" w:rsidRDefault="00F52651" w:rsidP="00F52651">
      <w:pPr>
        <w:pStyle w:val="Heading1"/>
        <w:spacing w:before="120" w:after="120"/>
        <w:ind w:left="3686"/>
        <w:rPr>
          <w:rFonts w:cs="Times New Roman"/>
          <w:sz w:val="28"/>
          <w:szCs w:val="28"/>
        </w:rPr>
        <w:sectPr w:rsidR="00F52651" w:rsidSect="00B729A9">
          <w:footerReference w:type="default" r:id="rId8"/>
          <w:pgSz w:w="11906" w:h="16838"/>
          <w:pgMar w:top="1134" w:right="851" w:bottom="1134" w:left="1134" w:header="709" w:footer="709" w:gutter="0"/>
          <w:cols w:space="708"/>
          <w:docGrid w:linePitch="360"/>
        </w:sectPr>
      </w:pPr>
      <w:bookmarkStart w:id="66" w:name="_Toc15391551"/>
    </w:p>
    <w:p w14:paraId="0C246ABD" w14:textId="5303759E" w:rsidR="00321095" w:rsidRPr="00DF4295" w:rsidRDefault="00461BFD" w:rsidP="00663A99">
      <w:pPr>
        <w:pStyle w:val="Heading1"/>
        <w:spacing w:before="120" w:after="120"/>
        <w:ind w:left="3686"/>
        <w:jc w:val="right"/>
        <w:rPr>
          <w:rFonts w:cs="Times New Roman"/>
          <w:sz w:val="28"/>
          <w:szCs w:val="28"/>
        </w:rPr>
      </w:pPr>
      <w:r>
        <w:rPr>
          <w:rFonts w:cs="Times New Roman"/>
          <w:sz w:val="28"/>
          <w:szCs w:val="28"/>
        </w:rPr>
        <w:lastRenderedPageBreak/>
        <w:t>Pielikums</w:t>
      </w:r>
      <w:r w:rsidR="009F0D95">
        <w:rPr>
          <w:rFonts w:cs="Times New Roman"/>
          <w:sz w:val="28"/>
          <w:szCs w:val="28"/>
        </w:rPr>
        <w:t xml:space="preserve"> </w:t>
      </w:r>
      <w:r w:rsidR="001329EC">
        <w:rPr>
          <w:rFonts w:cs="Times New Roman"/>
          <w:sz w:val="28"/>
          <w:szCs w:val="28"/>
        </w:rPr>
        <w:t>“</w:t>
      </w:r>
      <w:r w:rsidR="00321095" w:rsidRPr="00DF4295">
        <w:rPr>
          <w:rFonts w:cs="Times New Roman"/>
          <w:sz w:val="28"/>
          <w:szCs w:val="28"/>
        </w:rPr>
        <w:t xml:space="preserve">Praktiski piemēri VTNP </w:t>
      </w:r>
      <w:r w:rsidR="00566A54" w:rsidRPr="00DF4295">
        <w:rPr>
          <w:rFonts w:cs="Times New Roman"/>
          <w:sz w:val="28"/>
          <w:szCs w:val="28"/>
        </w:rPr>
        <w:t>pilnvarojuma akta sagatavošanai</w:t>
      </w:r>
      <w:r w:rsidR="00233D66">
        <w:rPr>
          <w:rFonts w:cs="Times New Roman"/>
          <w:sz w:val="28"/>
          <w:szCs w:val="28"/>
        </w:rPr>
        <w:t>, piemērojot VTNP lēmumu</w:t>
      </w:r>
      <w:r w:rsidR="001329EC">
        <w:rPr>
          <w:rFonts w:cs="Times New Roman"/>
          <w:sz w:val="28"/>
          <w:szCs w:val="28"/>
        </w:rPr>
        <w:t>”</w:t>
      </w:r>
      <w:bookmarkEnd w:id="66"/>
    </w:p>
    <w:p w14:paraId="31E4A57C" w14:textId="77777777" w:rsidR="00F52651" w:rsidRDefault="00F52651" w:rsidP="007E14BF">
      <w:pPr>
        <w:ind w:firstLine="720"/>
        <w:jc w:val="both"/>
        <w:rPr>
          <w:rFonts w:ascii="Times New Roman" w:hAnsi="Times New Roman" w:cs="Times New Roman"/>
          <w:sz w:val="28"/>
          <w:szCs w:val="28"/>
        </w:rPr>
      </w:pPr>
    </w:p>
    <w:p w14:paraId="02700B16" w14:textId="6E5E475D" w:rsidR="00D26021" w:rsidRPr="00DF4295" w:rsidRDefault="00D26021" w:rsidP="007E14BF">
      <w:pPr>
        <w:ind w:firstLine="720"/>
        <w:jc w:val="both"/>
        <w:rPr>
          <w:rFonts w:ascii="Times New Roman" w:hAnsi="Times New Roman" w:cs="Times New Roman"/>
          <w:sz w:val="28"/>
          <w:szCs w:val="28"/>
        </w:rPr>
      </w:pPr>
      <w:r w:rsidRPr="00DF4295">
        <w:rPr>
          <w:rFonts w:ascii="Times New Roman" w:hAnsi="Times New Roman" w:cs="Times New Roman"/>
          <w:sz w:val="28"/>
          <w:szCs w:val="28"/>
        </w:rPr>
        <w:t>Zemāk minētie piemēri sniegti, lai atvieglotu VTNP regulējuma piemērošanu, sagatavojot pilnvarojuma aktu atbilstoši VTNP lēmuma 4.pantam.  Piemēri var nebūt tieši piemērojami ikvienā situācijā, katra konkrēta VTNP sniegšanas gadījumā pilnvarojuma akts sagatavojams, ņemot vērā, VTNP sniegšanas jomu, nozari, situāciju konkrētajā teritorijā.</w:t>
      </w:r>
    </w:p>
    <w:tbl>
      <w:tblPr>
        <w:tblStyle w:val="TableGrid"/>
        <w:tblW w:w="9918" w:type="dxa"/>
        <w:tblLook w:val="04A0" w:firstRow="1" w:lastRow="0" w:firstColumn="1" w:lastColumn="0" w:noHBand="0" w:noVBand="1"/>
      </w:tblPr>
      <w:tblGrid>
        <w:gridCol w:w="2972"/>
        <w:gridCol w:w="6946"/>
      </w:tblGrid>
      <w:tr w:rsidR="00017131" w:rsidRPr="00DF4295" w14:paraId="648A0BC0" w14:textId="77777777" w:rsidTr="00B729A9">
        <w:tc>
          <w:tcPr>
            <w:tcW w:w="2972" w:type="dxa"/>
          </w:tcPr>
          <w:p w14:paraId="61701852" w14:textId="77777777" w:rsidR="00017131" w:rsidRPr="009471D6" w:rsidRDefault="00017131" w:rsidP="009E4398">
            <w:pPr>
              <w:rPr>
                <w:rFonts w:ascii="Times New Roman" w:hAnsi="Times New Roman" w:cs="Times New Roman"/>
                <w:sz w:val="24"/>
                <w:szCs w:val="24"/>
              </w:rPr>
            </w:pPr>
            <w:r w:rsidRPr="009471D6">
              <w:rPr>
                <w:rFonts w:ascii="Times New Roman" w:hAnsi="Times New Roman" w:cs="Times New Roman"/>
                <w:b/>
                <w:sz w:val="24"/>
                <w:szCs w:val="24"/>
              </w:rPr>
              <w:t>Noteikts VTNP  saturs</w:t>
            </w:r>
            <w:r w:rsidRPr="009471D6">
              <w:rPr>
                <w:rFonts w:ascii="Times New Roman" w:hAnsi="Times New Roman" w:cs="Times New Roman"/>
                <w:sz w:val="24"/>
                <w:szCs w:val="24"/>
              </w:rPr>
              <w:t xml:space="preserve"> - VTNP lēmuma 4. pants</w:t>
            </w:r>
          </w:p>
          <w:p w14:paraId="2461FE19" w14:textId="77777777" w:rsidR="00017131" w:rsidRPr="009471D6" w:rsidRDefault="00017131" w:rsidP="009E4398">
            <w:pPr>
              <w:rPr>
                <w:rFonts w:ascii="Times New Roman" w:hAnsi="Times New Roman" w:cs="Times New Roman"/>
                <w:sz w:val="24"/>
                <w:szCs w:val="24"/>
              </w:rPr>
            </w:pPr>
          </w:p>
          <w:p w14:paraId="449AB677" w14:textId="77777777" w:rsidR="00017131" w:rsidRPr="009471D6" w:rsidRDefault="00017131" w:rsidP="009E4398">
            <w:pPr>
              <w:rPr>
                <w:rFonts w:ascii="Times New Roman" w:hAnsi="Times New Roman" w:cs="Times New Roman"/>
                <w:sz w:val="24"/>
                <w:szCs w:val="24"/>
              </w:rPr>
            </w:pPr>
          </w:p>
        </w:tc>
        <w:tc>
          <w:tcPr>
            <w:tcW w:w="6946" w:type="dxa"/>
          </w:tcPr>
          <w:p w14:paraId="5E5DC5AB" w14:textId="51AC24B2" w:rsidR="00017131" w:rsidRPr="009471D6" w:rsidRDefault="00017131" w:rsidP="00097423">
            <w:pPr>
              <w:pStyle w:val="ListParagraph"/>
              <w:numPr>
                <w:ilvl w:val="0"/>
                <w:numId w:val="24"/>
              </w:numPr>
              <w:ind w:left="318"/>
              <w:contextualSpacing w:val="0"/>
              <w:jc w:val="both"/>
              <w:rPr>
                <w:rFonts w:ascii="Times New Roman" w:hAnsi="Times New Roman" w:cs="Times New Roman"/>
                <w:i/>
                <w:sz w:val="24"/>
                <w:szCs w:val="24"/>
              </w:rPr>
            </w:pPr>
            <w:r w:rsidRPr="009471D6">
              <w:rPr>
                <w:rFonts w:ascii="Times New Roman" w:hAnsi="Times New Roman" w:cs="Times New Roman"/>
                <w:i/>
                <w:caps/>
                <w:sz w:val="24"/>
                <w:szCs w:val="24"/>
              </w:rPr>
              <w:t>VTNP</w:t>
            </w:r>
            <w:r w:rsidRPr="009471D6">
              <w:rPr>
                <w:rFonts w:ascii="Times New Roman" w:hAnsi="Times New Roman" w:cs="Times New Roman"/>
                <w:i/>
                <w:sz w:val="24"/>
                <w:szCs w:val="24"/>
              </w:rPr>
              <w:t xml:space="preserve"> SNIEDZĒJS [pakalpojuma sniedzējs/Uzņēmums] ir atbildīgs par dzeramā ūdens ieguvi, atdzelžošanu, attīrīšanu un novadīšanu līdz PATĒRĒTĀJAM.</w:t>
            </w:r>
          </w:p>
          <w:p w14:paraId="4E7520FD" w14:textId="540896FB" w:rsidR="00017131" w:rsidRPr="009471D6" w:rsidRDefault="00017131" w:rsidP="00097423">
            <w:pPr>
              <w:pStyle w:val="ListParagraph"/>
              <w:numPr>
                <w:ilvl w:val="0"/>
                <w:numId w:val="24"/>
              </w:numPr>
              <w:ind w:left="318"/>
              <w:contextualSpacing w:val="0"/>
              <w:jc w:val="both"/>
              <w:rPr>
                <w:rFonts w:ascii="Times New Roman" w:hAnsi="Times New Roman" w:cs="Times New Roman"/>
                <w:sz w:val="24"/>
                <w:szCs w:val="24"/>
              </w:rPr>
            </w:pPr>
            <w:r w:rsidRPr="009471D6">
              <w:rPr>
                <w:rFonts w:ascii="Times New Roman" w:hAnsi="Times New Roman" w:cs="Times New Roman"/>
                <w:i/>
                <w:caps/>
                <w:sz w:val="24"/>
                <w:szCs w:val="24"/>
              </w:rPr>
              <w:t>VTNP</w:t>
            </w:r>
            <w:r w:rsidRPr="009471D6">
              <w:rPr>
                <w:rFonts w:ascii="Times New Roman" w:hAnsi="Times New Roman" w:cs="Times New Roman"/>
                <w:i/>
                <w:sz w:val="24"/>
                <w:szCs w:val="24"/>
              </w:rPr>
              <w:t xml:space="preserve"> SNIEDZĒJS [pakalpojuma sniedzējs/Uzņēmums] ir atbildīgs par notekūdeņu savākšanu no PATĒRĒTĀJA, to novadīšanu uz notekūdeņu attīrīšanas iekārtām, attīrīšanu un attīrīto notekūdeņu novadīšanu līdz iztekai ūdenstilpē</w:t>
            </w:r>
            <w:r w:rsidRPr="009471D6">
              <w:rPr>
                <w:rFonts w:ascii="Times New Roman" w:hAnsi="Times New Roman" w:cs="Times New Roman"/>
                <w:sz w:val="24"/>
                <w:szCs w:val="24"/>
              </w:rPr>
              <w:t>.</w:t>
            </w:r>
          </w:p>
          <w:p w14:paraId="7E7F6B04" w14:textId="77777777" w:rsidR="00017131" w:rsidRPr="009471D6" w:rsidRDefault="00017131" w:rsidP="00017131">
            <w:pPr>
              <w:jc w:val="both"/>
              <w:rPr>
                <w:rFonts w:ascii="Times New Roman" w:hAnsi="Times New Roman" w:cs="Times New Roman"/>
                <w:sz w:val="24"/>
                <w:szCs w:val="24"/>
              </w:rPr>
            </w:pPr>
            <w:r w:rsidRPr="009471D6">
              <w:rPr>
                <w:rFonts w:ascii="Times New Roman" w:hAnsi="Times New Roman" w:cs="Times New Roman"/>
                <w:sz w:val="24"/>
                <w:szCs w:val="24"/>
              </w:rPr>
              <w:t>VTNP sniedzējam būtu izvirzāma arī prasība par nepieciešamā tehniskā aprīkojuma uzturēšanu un atjaunošanu, lai VTNP pakalpojumus varētu sniegt atbilstoši katram konkrētajam pakalpojumam noteiktajām prasībām.</w:t>
            </w:r>
          </w:p>
          <w:p w14:paraId="793961E0" w14:textId="6894FE9C" w:rsidR="00017131" w:rsidRPr="009471D6" w:rsidRDefault="00017131" w:rsidP="00097423">
            <w:pPr>
              <w:pStyle w:val="ListParagraph"/>
              <w:numPr>
                <w:ilvl w:val="0"/>
                <w:numId w:val="25"/>
              </w:numPr>
              <w:ind w:left="318"/>
              <w:contextualSpacing w:val="0"/>
              <w:jc w:val="both"/>
              <w:rPr>
                <w:rFonts w:ascii="Times New Roman" w:hAnsi="Times New Roman" w:cs="Times New Roman"/>
                <w:i/>
                <w:sz w:val="24"/>
                <w:szCs w:val="24"/>
              </w:rPr>
            </w:pPr>
            <w:r w:rsidRPr="009471D6">
              <w:rPr>
                <w:rFonts w:ascii="Times New Roman" w:hAnsi="Times New Roman" w:cs="Times New Roman"/>
                <w:i/>
                <w:caps/>
                <w:sz w:val="24"/>
                <w:szCs w:val="24"/>
              </w:rPr>
              <w:t>VTNP</w:t>
            </w:r>
            <w:r w:rsidRPr="009471D6">
              <w:rPr>
                <w:rFonts w:ascii="Times New Roman" w:hAnsi="Times New Roman" w:cs="Times New Roman"/>
                <w:i/>
                <w:sz w:val="24"/>
                <w:szCs w:val="24"/>
              </w:rPr>
              <w:t xml:space="preserve"> SNIEDZĒJS [pakalpojuma sniedzējs/Uzņēmums] ir atbildīgs par savu pamatlīdzekļu un tehniskā aprīkojuma uzturēšanu un atjaunošanu, lai varētu izpildīt šī līguma […] punktos noteikto.</w:t>
            </w:r>
          </w:p>
          <w:p w14:paraId="7E56D72E" w14:textId="36F8A84C" w:rsidR="00017131" w:rsidRPr="009471D6" w:rsidRDefault="00017131" w:rsidP="00042EA9">
            <w:pPr>
              <w:jc w:val="both"/>
              <w:rPr>
                <w:rFonts w:ascii="Times New Roman" w:hAnsi="Times New Roman" w:cs="Times New Roman"/>
                <w:sz w:val="24"/>
                <w:szCs w:val="24"/>
              </w:rPr>
            </w:pPr>
            <w:r w:rsidRPr="009471D6">
              <w:rPr>
                <w:rFonts w:ascii="Times New Roman" w:hAnsi="Times New Roman" w:cs="Times New Roman"/>
                <w:i/>
                <w:caps/>
                <w:sz w:val="24"/>
                <w:szCs w:val="24"/>
              </w:rPr>
              <w:t>VTNP</w:t>
            </w:r>
            <w:r w:rsidRPr="009471D6">
              <w:rPr>
                <w:rFonts w:ascii="Times New Roman" w:hAnsi="Times New Roman" w:cs="Times New Roman"/>
                <w:i/>
                <w:sz w:val="24"/>
                <w:szCs w:val="24"/>
              </w:rPr>
              <w:t xml:space="preserve"> SNIEDZĒJA [pakalpojuma sniedzējs/Uzņēmums]</w:t>
            </w:r>
            <w:r w:rsidRPr="009471D6">
              <w:rPr>
                <w:rFonts w:ascii="Times New Roman" w:hAnsi="Times New Roman" w:cs="Times New Roman"/>
                <w:sz w:val="24"/>
                <w:szCs w:val="24"/>
              </w:rPr>
              <w:t xml:space="preserve"> </w:t>
            </w:r>
            <w:r w:rsidRPr="009471D6">
              <w:rPr>
                <w:rFonts w:ascii="Times New Roman" w:hAnsi="Times New Roman" w:cs="Times New Roman"/>
                <w:i/>
                <w:sz w:val="24"/>
                <w:szCs w:val="24"/>
              </w:rPr>
              <w:t>pienākumi ir uzturēt …. punktā minēto pakalpojumu sniegšanai nepieciešamo infrastruktūru, iekārtas un ierīces darba kārtībā, savlaicīgi veikt remontus un citus apkopes darbus, būvniecības un rekonstrukcijas darbus, lai paaugstinātu sniegto pakalpojumu kvalitāti saņēmējam un nodrošinātu sniegto pakalpojumu atbilstību LR normatīvajos aktos noteiktajām prasībām.</w:t>
            </w:r>
          </w:p>
        </w:tc>
      </w:tr>
      <w:tr w:rsidR="00017131" w:rsidRPr="00DF4295" w14:paraId="7A0BF518" w14:textId="77777777" w:rsidTr="00B729A9">
        <w:tc>
          <w:tcPr>
            <w:tcW w:w="2972" w:type="dxa"/>
          </w:tcPr>
          <w:p w14:paraId="1EF1B153" w14:textId="6F4CA3F9" w:rsidR="00017131" w:rsidRPr="009471D6" w:rsidRDefault="00017131" w:rsidP="009E4398">
            <w:pPr>
              <w:rPr>
                <w:rFonts w:ascii="Times New Roman" w:hAnsi="Times New Roman" w:cs="Times New Roman"/>
                <w:sz w:val="24"/>
                <w:szCs w:val="24"/>
              </w:rPr>
            </w:pPr>
            <w:r w:rsidRPr="009471D6">
              <w:rPr>
                <w:rFonts w:ascii="Times New Roman" w:hAnsi="Times New Roman" w:cs="Times New Roman"/>
                <w:b/>
                <w:sz w:val="24"/>
                <w:szCs w:val="24"/>
              </w:rPr>
              <w:t>Noteikts VTNP sniegšanas pienākuma ilgums</w:t>
            </w:r>
            <w:r w:rsidRPr="009471D6">
              <w:rPr>
                <w:rFonts w:ascii="Times New Roman" w:hAnsi="Times New Roman" w:cs="Times New Roman"/>
                <w:sz w:val="24"/>
                <w:szCs w:val="24"/>
              </w:rPr>
              <w:t xml:space="preserve"> - VTNP lēmuma 4. pants</w:t>
            </w:r>
          </w:p>
        </w:tc>
        <w:tc>
          <w:tcPr>
            <w:tcW w:w="6946" w:type="dxa"/>
          </w:tcPr>
          <w:p w14:paraId="6A3B6830" w14:textId="77777777" w:rsidR="00017131" w:rsidRPr="009471D6" w:rsidRDefault="00017131" w:rsidP="00097423">
            <w:pPr>
              <w:pStyle w:val="ListParagraph"/>
              <w:numPr>
                <w:ilvl w:val="0"/>
                <w:numId w:val="26"/>
              </w:numPr>
              <w:ind w:left="318"/>
              <w:contextualSpacing w:val="0"/>
              <w:jc w:val="both"/>
              <w:rPr>
                <w:rFonts w:ascii="Times New Roman" w:hAnsi="Times New Roman" w:cs="Times New Roman"/>
                <w:i/>
                <w:sz w:val="24"/>
                <w:szCs w:val="24"/>
              </w:rPr>
            </w:pPr>
            <w:r w:rsidRPr="009471D6">
              <w:rPr>
                <w:rFonts w:ascii="Times New Roman" w:hAnsi="Times New Roman" w:cs="Times New Roman"/>
                <w:i/>
                <w:sz w:val="24"/>
                <w:szCs w:val="24"/>
              </w:rPr>
              <w:t>Pilnvarojuma akts stājas spēkā ar tā parakstīšanas brīdi un ir noslēgts uz laiku līdz [Datums].</w:t>
            </w:r>
          </w:p>
          <w:p w14:paraId="392C7832" w14:textId="783F7257" w:rsidR="00017131" w:rsidRPr="009471D6" w:rsidRDefault="00017131" w:rsidP="00017131">
            <w:pPr>
              <w:jc w:val="both"/>
              <w:rPr>
                <w:rFonts w:ascii="Times New Roman" w:hAnsi="Times New Roman" w:cs="Times New Roman"/>
                <w:sz w:val="24"/>
                <w:szCs w:val="24"/>
              </w:rPr>
            </w:pPr>
          </w:p>
        </w:tc>
      </w:tr>
      <w:tr w:rsidR="00017131" w:rsidRPr="00DF4295" w14:paraId="4907C126" w14:textId="77777777" w:rsidTr="00B729A9">
        <w:tc>
          <w:tcPr>
            <w:tcW w:w="2972" w:type="dxa"/>
          </w:tcPr>
          <w:p w14:paraId="37C69F3E" w14:textId="4A4DFB5B" w:rsidR="00017131" w:rsidRPr="009471D6" w:rsidRDefault="00017131" w:rsidP="009E4398">
            <w:pPr>
              <w:rPr>
                <w:rFonts w:ascii="Times New Roman" w:hAnsi="Times New Roman" w:cs="Times New Roman"/>
                <w:sz w:val="24"/>
                <w:szCs w:val="24"/>
              </w:rPr>
            </w:pPr>
            <w:r w:rsidRPr="009471D6">
              <w:rPr>
                <w:rFonts w:ascii="Times New Roman" w:hAnsi="Times New Roman" w:cs="Times New Roman"/>
                <w:b/>
                <w:sz w:val="24"/>
                <w:szCs w:val="24"/>
              </w:rPr>
              <w:t>Noteikta VTNP sniegšanas teritorija un ekskluzīvās vai īpašās tiesības</w:t>
            </w:r>
            <w:r w:rsidRPr="009471D6">
              <w:rPr>
                <w:rFonts w:ascii="Times New Roman" w:hAnsi="Times New Roman" w:cs="Times New Roman"/>
                <w:sz w:val="24"/>
                <w:szCs w:val="24"/>
              </w:rPr>
              <w:t xml:space="preserve"> - VTNP lēmuma 4. pants</w:t>
            </w:r>
          </w:p>
        </w:tc>
        <w:tc>
          <w:tcPr>
            <w:tcW w:w="6946" w:type="dxa"/>
          </w:tcPr>
          <w:p w14:paraId="2CB0BEA2" w14:textId="74B171D3" w:rsidR="00017131" w:rsidRPr="009471D6" w:rsidRDefault="00017131" w:rsidP="00097423">
            <w:pPr>
              <w:pStyle w:val="ListParagraph"/>
              <w:numPr>
                <w:ilvl w:val="0"/>
                <w:numId w:val="27"/>
              </w:numPr>
              <w:ind w:left="318"/>
              <w:contextualSpacing w:val="0"/>
              <w:jc w:val="both"/>
              <w:rPr>
                <w:rFonts w:ascii="Times New Roman" w:hAnsi="Times New Roman" w:cs="Times New Roman"/>
                <w:i/>
                <w:sz w:val="24"/>
                <w:szCs w:val="24"/>
              </w:rPr>
            </w:pPr>
            <w:r w:rsidRPr="009471D6">
              <w:rPr>
                <w:rFonts w:ascii="Times New Roman" w:hAnsi="Times New Roman" w:cs="Times New Roman"/>
                <w:i/>
                <w:sz w:val="24"/>
                <w:szCs w:val="24"/>
              </w:rPr>
              <w:t xml:space="preserve">PAŠVALDĪBA piešķir </w:t>
            </w:r>
            <w:r w:rsidRPr="009471D6">
              <w:rPr>
                <w:rFonts w:ascii="Times New Roman" w:hAnsi="Times New Roman" w:cs="Times New Roman"/>
                <w:i/>
                <w:caps/>
                <w:sz w:val="24"/>
                <w:szCs w:val="24"/>
              </w:rPr>
              <w:t xml:space="preserve"> Vispārējas tautsaimnieciskas nozīmes</w:t>
            </w:r>
            <w:r w:rsidRPr="009471D6">
              <w:rPr>
                <w:rFonts w:ascii="Times New Roman" w:hAnsi="Times New Roman" w:cs="Times New Roman"/>
                <w:i/>
                <w:sz w:val="24"/>
                <w:szCs w:val="24"/>
              </w:rPr>
              <w:t xml:space="preserve"> PAKALPOJUMU SNIEDZĒJAM [pakalpojuma sniedzējs/Uzņēmums] ekskluzīvas tiesības sniegt ūdensapgādes un kanalizācijas pakalpojumus visā [pilsētas, novada nosaukums]  administratīvajā teritorijā.</w:t>
            </w:r>
          </w:p>
          <w:p w14:paraId="138E07E6" w14:textId="07F1E9C1" w:rsidR="00017131" w:rsidRPr="009471D6" w:rsidRDefault="00017131" w:rsidP="00097423">
            <w:pPr>
              <w:pStyle w:val="ListParagraph"/>
              <w:numPr>
                <w:ilvl w:val="0"/>
                <w:numId w:val="27"/>
              </w:numPr>
              <w:ind w:left="318"/>
              <w:contextualSpacing w:val="0"/>
              <w:jc w:val="both"/>
              <w:rPr>
                <w:rFonts w:ascii="Times New Roman" w:hAnsi="Times New Roman" w:cs="Times New Roman"/>
                <w:i/>
                <w:sz w:val="24"/>
                <w:szCs w:val="24"/>
              </w:rPr>
            </w:pPr>
            <w:r w:rsidRPr="009471D6">
              <w:rPr>
                <w:rFonts w:ascii="Times New Roman" w:hAnsi="Times New Roman" w:cs="Times New Roman"/>
                <w:i/>
                <w:sz w:val="24"/>
                <w:szCs w:val="24"/>
              </w:rPr>
              <w:t>Pakalpojuma sniedzējam ir piešķirtas īpašās tiesības [pilsētas, novada nosaukums] administratīvajā teritorijā, izņemot [pilsētas, novada nosaukums] … teritoriju, sniegt šā līguma ...punktā noteiktos pakalpojumus.</w:t>
            </w:r>
          </w:p>
          <w:p w14:paraId="59D7DB5F" w14:textId="211F704B" w:rsidR="00017131" w:rsidRPr="00F52651" w:rsidRDefault="00017131" w:rsidP="00042EA9">
            <w:pPr>
              <w:pStyle w:val="ListParagraph"/>
              <w:numPr>
                <w:ilvl w:val="0"/>
                <w:numId w:val="27"/>
              </w:numPr>
              <w:ind w:left="318"/>
              <w:contextualSpacing w:val="0"/>
              <w:jc w:val="both"/>
              <w:rPr>
                <w:rFonts w:ascii="Times New Roman" w:hAnsi="Times New Roman" w:cs="Times New Roman"/>
                <w:i/>
                <w:sz w:val="24"/>
                <w:szCs w:val="24"/>
              </w:rPr>
            </w:pPr>
            <w:r w:rsidRPr="009471D6">
              <w:rPr>
                <w:rFonts w:ascii="Times New Roman" w:hAnsi="Times New Roman" w:cs="Times New Roman"/>
                <w:i/>
                <w:sz w:val="24"/>
                <w:szCs w:val="24"/>
              </w:rPr>
              <w:lastRenderedPageBreak/>
              <w:t>PASŪTĪTĀJS piešķir KOMERCSABIEDRĪBAI ekskluzīvas tiesības sniegt ūdensapgādes un kanalizācijas pakalpojumus [Nosaukums] republikas pilsētas administratīvajā teritorijā.</w:t>
            </w:r>
          </w:p>
        </w:tc>
      </w:tr>
      <w:tr w:rsidR="00017131" w:rsidRPr="00DF4295" w14:paraId="05480197" w14:textId="77777777" w:rsidTr="00B729A9">
        <w:tc>
          <w:tcPr>
            <w:tcW w:w="2972" w:type="dxa"/>
          </w:tcPr>
          <w:p w14:paraId="4989AF63" w14:textId="570CD447" w:rsidR="00017131" w:rsidRPr="009471D6" w:rsidRDefault="00017131" w:rsidP="009E4398">
            <w:pPr>
              <w:rPr>
                <w:rFonts w:ascii="Times New Roman" w:hAnsi="Times New Roman" w:cs="Times New Roman"/>
                <w:sz w:val="24"/>
                <w:szCs w:val="24"/>
              </w:rPr>
            </w:pPr>
            <w:r w:rsidRPr="009471D6">
              <w:rPr>
                <w:rFonts w:ascii="Times New Roman" w:hAnsi="Times New Roman" w:cs="Times New Roman"/>
                <w:b/>
                <w:sz w:val="24"/>
                <w:szCs w:val="24"/>
              </w:rPr>
              <w:lastRenderedPageBreak/>
              <w:t>Norādīts VTNP kompensācijas mehānisma apraksts, tā aprēķināšanas, kontroles un pārskatīšanas parametri</w:t>
            </w:r>
            <w:r w:rsidRPr="009471D6">
              <w:rPr>
                <w:rFonts w:ascii="Times New Roman" w:hAnsi="Times New Roman" w:cs="Times New Roman"/>
                <w:sz w:val="24"/>
                <w:szCs w:val="24"/>
              </w:rPr>
              <w:t xml:space="preserve"> – VTNP lēmuma 4., 5. un 6. pants</w:t>
            </w:r>
          </w:p>
        </w:tc>
        <w:tc>
          <w:tcPr>
            <w:tcW w:w="6946" w:type="dxa"/>
          </w:tcPr>
          <w:p w14:paraId="22387A24" w14:textId="469665DD" w:rsidR="00017131" w:rsidRPr="009471D6" w:rsidRDefault="00017131" w:rsidP="00097423">
            <w:pPr>
              <w:pStyle w:val="ListParagraph"/>
              <w:numPr>
                <w:ilvl w:val="0"/>
                <w:numId w:val="28"/>
              </w:numPr>
              <w:ind w:left="318"/>
              <w:contextualSpacing w:val="0"/>
              <w:jc w:val="both"/>
              <w:rPr>
                <w:rFonts w:ascii="Times New Roman" w:hAnsi="Times New Roman" w:cs="Times New Roman"/>
                <w:i/>
                <w:sz w:val="24"/>
                <w:szCs w:val="24"/>
              </w:rPr>
            </w:pPr>
            <w:r w:rsidRPr="009471D6">
              <w:rPr>
                <w:rFonts w:ascii="Times New Roman" w:hAnsi="Times New Roman" w:cs="Times New Roman"/>
                <w:i/>
                <w:sz w:val="24"/>
                <w:szCs w:val="24"/>
              </w:rPr>
              <w:t>Lai nodrošinātu šī līguma … punktos noteikto VTNP pakalpojumu sniegšanu atbilstoši normatīvajos aktos noteiktajai kvalitātei, UZŅĒMUMS var saņemt atlīdzības maksājumus, kas ir investīcijas VTNP pakalpojumu sniegšanas infrastruktūrā. Atlīdzības maksājumu aprēķināšana, kontrole un pārskatīšana, kā arī atlīdzības maksājuma pārmaksas novēršana un atmaksāšana notiek atbilstoši ES un LR normatīvajiem aktiem, kas nosaka prasības ES fondu līdzekļu piesaistīšanai ieguldījumiem ūdenssaimniecības pakalpojumu sniedzēju infrastruktūrā, šādu projektu īstenošanas kārtībai, kā arī neatbilstoši veikto izdevumu atgūšanai un atmaksāšanai.</w:t>
            </w:r>
          </w:p>
          <w:p w14:paraId="6BB28274" w14:textId="77777777" w:rsidR="00017131" w:rsidRPr="009471D6" w:rsidRDefault="00017131" w:rsidP="00097423">
            <w:pPr>
              <w:pStyle w:val="ListParagraph"/>
              <w:numPr>
                <w:ilvl w:val="0"/>
                <w:numId w:val="28"/>
              </w:numPr>
              <w:ind w:left="318"/>
              <w:contextualSpacing w:val="0"/>
              <w:jc w:val="both"/>
              <w:rPr>
                <w:rFonts w:ascii="Times New Roman" w:hAnsi="Times New Roman" w:cs="Times New Roman"/>
                <w:i/>
                <w:sz w:val="24"/>
                <w:szCs w:val="24"/>
              </w:rPr>
            </w:pPr>
            <w:r w:rsidRPr="009471D6">
              <w:rPr>
                <w:rFonts w:ascii="Times New Roman" w:hAnsi="Times New Roman" w:cs="Times New Roman"/>
                <w:i/>
                <w:sz w:val="24"/>
                <w:szCs w:val="24"/>
              </w:rPr>
              <w:t>Ja līgums, beidzoties tā termiņam, netiek pagarināts, UZŅĒMUMAM ir pienākums PASŪTĪTĀJAM atmaksāt to VTNP pakalpojumu sniegšanai nepieciešamo pamatlīdzekļu, kuri izveidoti (iegūti) saņemot šā līguma …. punktā paredzētos atlīdzības maksājumus, nolietojuma (amortizācijas) daļu, kura līdz līguma darbības termiņa beigām, nebija un atbilstoši normatīvajiem aktiem nevarēja būt atskaitīta.</w:t>
            </w:r>
          </w:p>
          <w:p w14:paraId="318FBD96" w14:textId="60B6C922" w:rsidR="00C106E1" w:rsidRDefault="00C106E1" w:rsidP="00017131">
            <w:pPr>
              <w:jc w:val="both"/>
              <w:rPr>
                <w:rFonts w:ascii="Times New Roman" w:hAnsi="Times New Roman" w:cs="Times New Roman"/>
                <w:sz w:val="24"/>
                <w:szCs w:val="24"/>
              </w:rPr>
            </w:pPr>
            <w:r>
              <w:rPr>
                <w:rFonts w:ascii="Times New Roman" w:hAnsi="Times New Roman" w:cs="Times New Roman"/>
                <w:sz w:val="24"/>
                <w:szCs w:val="24"/>
              </w:rPr>
              <w:t>Gadījumā, ja VTNP kompensācijas mehānisms noteikts iestādē ar atsevišķu kārtību, tas jāiekļauj VTNP pilnvarojuma aktā.</w:t>
            </w:r>
          </w:p>
          <w:p w14:paraId="57372727" w14:textId="29E27628" w:rsidR="00C106E1" w:rsidRPr="00B729A9" w:rsidRDefault="00C106E1" w:rsidP="00B729A9">
            <w:pPr>
              <w:pStyle w:val="ListParagraph"/>
              <w:numPr>
                <w:ilvl w:val="0"/>
                <w:numId w:val="30"/>
              </w:numPr>
              <w:ind w:left="319" w:hanging="283"/>
              <w:jc w:val="both"/>
              <w:rPr>
                <w:rFonts w:ascii="Times New Roman" w:hAnsi="Times New Roman" w:cs="Times New Roman"/>
                <w:i/>
                <w:sz w:val="24"/>
                <w:szCs w:val="24"/>
              </w:rPr>
            </w:pPr>
            <w:proofErr w:type="spellStart"/>
            <w:r w:rsidRPr="00B729A9">
              <w:rPr>
                <w:rFonts w:ascii="Times New Roman" w:hAnsi="Times New Roman" w:cs="Times New Roman"/>
                <w:i/>
                <w:sz w:val="24"/>
                <w:szCs w:val="24"/>
              </w:rPr>
              <w:t>Komensācijas</w:t>
            </w:r>
            <w:proofErr w:type="spellEnd"/>
            <w:r w:rsidRPr="00B729A9">
              <w:rPr>
                <w:rFonts w:ascii="Times New Roman" w:hAnsi="Times New Roman" w:cs="Times New Roman"/>
                <w:i/>
                <w:sz w:val="24"/>
                <w:szCs w:val="24"/>
              </w:rPr>
              <w:t xml:space="preserve"> aprēķināšanas metodika tiek noteikta ar …dokumentu.</w:t>
            </w:r>
          </w:p>
          <w:p w14:paraId="3A439201" w14:textId="0B82BCC0" w:rsidR="00017131" w:rsidRPr="009471D6" w:rsidRDefault="00017131" w:rsidP="00017131">
            <w:pPr>
              <w:jc w:val="both"/>
              <w:rPr>
                <w:rFonts w:ascii="Times New Roman" w:hAnsi="Times New Roman" w:cs="Times New Roman"/>
                <w:sz w:val="24"/>
                <w:szCs w:val="24"/>
              </w:rPr>
            </w:pPr>
            <w:r w:rsidRPr="009471D6">
              <w:rPr>
                <w:rFonts w:ascii="Times New Roman" w:hAnsi="Times New Roman" w:cs="Times New Roman"/>
                <w:sz w:val="24"/>
                <w:szCs w:val="24"/>
              </w:rPr>
              <w:t>VTNP pilnvarojuma aktā būtu norādāms arī kādas izmaksas un ieņēmumi tiks uzskatīti par attiecināmiem, ietverami nosacījumi darbību nošķiršanai:</w:t>
            </w:r>
          </w:p>
          <w:p w14:paraId="4D44FF90" w14:textId="77777777" w:rsidR="00017131" w:rsidRPr="009471D6" w:rsidRDefault="00017131" w:rsidP="00097423">
            <w:pPr>
              <w:pStyle w:val="ListParagraph"/>
              <w:numPr>
                <w:ilvl w:val="0"/>
                <w:numId w:val="29"/>
              </w:numPr>
              <w:contextualSpacing w:val="0"/>
              <w:jc w:val="both"/>
              <w:rPr>
                <w:rFonts w:ascii="Times New Roman" w:hAnsi="Times New Roman" w:cs="Times New Roman"/>
                <w:sz w:val="24"/>
                <w:szCs w:val="24"/>
              </w:rPr>
            </w:pPr>
            <w:r w:rsidRPr="009471D6">
              <w:rPr>
                <w:rFonts w:ascii="Times New Roman" w:hAnsi="Times New Roman" w:cs="Times New Roman"/>
                <w:sz w:val="24"/>
                <w:szCs w:val="24"/>
              </w:rPr>
              <w:t xml:space="preserve">ieņēmumu posteņos iekļauj vismaz tos ieņēmumus, kas saistīti ar VTNP saistību izpildi (skat. VTNP lēmuma 5.panta 4.punktu); </w:t>
            </w:r>
          </w:p>
          <w:p w14:paraId="6B0D10ED" w14:textId="77777777" w:rsidR="00017131" w:rsidRPr="009471D6" w:rsidRDefault="00017131" w:rsidP="00097423">
            <w:pPr>
              <w:pStyle w:val="ListParagraph"/>
              <w:numPr>
                <w:ilvl w:val="0"/>
                <w:numId w:val="29"/>
              </w:numPr>
              <w:contextualSpacing w:val="0"/>
              <w:jc w:val="both"/>
              <w:rPr>
                <w:rFonts w:ascii="Times New Roman" w:hAnsi="Times New Roman" w:cs="Times New Roman"/>
                <w:sz w:val="24"/>
                <w:szCs w:val="24"/>
              </w:rPr>
            </w:pPr>
            <w:r w:rsidRPr="009471D6">
              <w:rPr>
                <w:rFonts w:ascii="Times New Roman" w:hAnsi="Times New Roman" w:cs="Times New Roman"/>
                <w:sz w:val="24"/>
                <w:szCs w:val="24"/>
              </w:rPr>
              <w:t>izmaksu posteņos iekļauj tikai tās tiešās un netiešās izmaksas, kas ir nepieciešamas VTNP saistību izpildei un radušās izpildot VTNP līgumu.</w:t>
            </w:r>
          </w:p>
          <w:p w14:paraId="6F4F373A" w14:textId="77777777" w:rsidR="00017131" w:rsidRPr="009471D6" w:rsidRDefault="00017131" w:rsidP="00097423">
            <w:pPr>
              <w:pStyle w:val="ListParagraph"/>
              <w:numPr>
                <w:ilvl w:val="0"/>
                <w:numId w:val="29"/>
              </w:numPr>
              <w:contextualSpacing w:val="0"/>
              <w:jc w:val="both"/>
              <w:rPr>
                <w:rFonts w:ascii="Times New Roman" w:hAnsi="Times New Roman" w:cs="Times New Roman"/>
                <w:sz w:val="24"/>
                <w:szCs w:val="24"/>
              </w:rPr>
            </w:pPr>
            <w:r w:rsidRPr="009471D6">
              <w:rPr>
                <w:rFonts w:ascii="Times New Roman" w:hAnsi="Times New Roman" w:cs="Times New Roman"/>
                <w:sz w:val="24"/>
                <w:szCs w:val="24"/>
              </w:rPr>
              <w:t xml:space="preserve">Ja VTNP sniedzējs bez VTNP saistību izpildes veic citu saimniecisko darbību, tas nodrošina ar VTNP saistību izpildi saistītās saimnieciskās darbības ieņēmumu un izdevumu atsevišķu uzskaiti, kā arī Latvijas Republikas grāmatvedību reglamentējošos normatīvajos aktos noteiktajos grāmatvedības organizācijas dokumentos norāda izmaksu sadales metodiku. </w:t>
            </w:r>
          </w:p>
          <w:p w14:paraId="4D0691E6" w14:textId="77777777" w:rsidR="00017131" w:rsidRPr="009471D6" w:rsidRDefault="00017131" w:rsidP="00097423">
            <w:pPr>
              <w:pStyle w:val="ListParagraph"/>
              <w:numPr>
                <w:ilvl w:val="0"/>
                <w:numId w:val="29"/>
              </w:numPr>
              <w:contextualSpacing w:val="0"/>
              <w:jc w:val="both"/>
              <w:rPr>
                <w:rFonts w:ascii="Times New Roman" w:hAnsi="Times New Roman" w:cs="Times New Roman"/>
                <w:sz w:val="24"/>
                <w:szCs w:val="24"/>
              </w:rPr>
            </w:pPr>
            <w:r w:rsidRPr="009471D6">
              <w:rPr>
                <w:rFonts w:ascii="Times New Roman" w:hAnsi="Times New Roman" w:cs="Times New Roman"/>
                <w:sz w:val="24"/>
                <w:szCs w:val="24"/>
              </w:rPr>
              <w:t xml:space="preserve">Ievērojot VTNP sniedzēja iesniegtajos pārskatos par VTNP saistību izpildi sniegto informāciju, var tikt izskatīta iespēja VTNP sniedzējam precizēt VTNP kompensācijas apjomu nākamajam periodam noteiktās VTNP kompensācijas apmēra ietvaros. </w:t>
            </w:r>
          </w:p>
          <w:p w14:paraId="1017F8B4" w14:textId="77777777" w:rsidR="00017131" w:rsidRPr="009471D6" w:rsidRDefault="00017131" w:rsidP="00017131">
            <w:pPr>
              <w:jc w:val="both"/>
              <w:rPr>
                <w:rFonts w:ascii="Times New Roman" w:hAnsi="Times New Roman" w:cs="Times New Roman"/>
                <w:sz w:val="24"/>
                <w:szCs w:val="24"/>
              </w:rPr>
            </w:pPr>
            <w:r w:rsidRPr="009471D6">
              <w:rPr>
                <w:rFonts w:ascii="Times New Roman" w:hAnsi="Times New Roman" w:cs="Times New Roman"/>
                <w:sz w:val="24"/>
                <w:szCs w:val="24"/>
              </w:rPr>
              <w:lastRenderedPageBreak/>
              <w:t>VTNP pilnvarojuma aktā norādīti pasākumi, lai novērstu un atgūtu jebkādu pārmērīgu kompensāciju.</w:t>
            </w:r>
          </w:p>
          <w:p w14:paraId="02ACC432" w14:textId="1DA27DA5" w:rsidR="00017131" w:rsidRPr="009471D6" w:rsidRDefault="00017131" w:rsidP="00097423">
            <w:pPr>
              <w:pStyle w:val="ListParagraph"/>
              <w:numPr>
                <w:ilvl w:val="0"/>
                <w:numId w:val="28"/>
              </w:numPr>
              <w:ind w:left="318"/>
              <w:contextualSpacing w:val="0"/>
              <w:jc w:val="both"/>
              <w:rPr>
                <w:rFonts w:ascii="Times New Roman" w:hAnsi="Times New Roman" w:cs="Times New Roman"/>
                <w:i/>
                <w:sz w:val="24"/>
                <w:szCs w:val="24"/>
              </w:rPr>
            </w:pPr>
            <w:r w:rsidRPr="009471D6">
              <w:rPr>
                <w:rFonts w:ascii="Times New Roman" w:hAnsi="Times New Roman" w:cs="Times New Roman"/>
                <w:i/>
                <w:sz w:val="24"/>
                <w:szCs w:val="24"/>
              </w:rPr>
              <w:t xml:space="preserve">Kompensācijas parametru uzraudzības kārtība - Pašvaldība, vismaz ik pēc trīs gadiem Līguma darbības laikā un Līguma darbības beigās nodrošina kompensācijas parametru atbilstības kontroles veikšanu, t.i. ne vēlāk kā līdz … un …. </w:t>
            </w:r>
          </w:p>
          <w:p w14:paraId="421A47F9" w14:textId="38EF6B7C" w:rsidR="00017131" w:rsidRPr="009471D6" w:rsidRDefault="00017131" w:rsidP="00017131">
            <w:pPr>
              <w:jc w:val="both"/>
              <w:rPr>
                <w:rFonts w:ascii="Times New Roman" w:hAnsi="Times New Roman" w:cs="Times New Roman"/>
                <w:sz w:val="24"/>
                <w:szCs w:val="24"/>
              </w:rPr>
            </w:pPr>
            <w:r w:rsidRPr="009471D6">
              <w:rPr>
                <w:rFonts w:ascii="Times New Roman" w:hAnsi="Times New Roman" w:cs="Times New Roman"/>
                <w:sz w:val="24"/>
                <w:szCs w:val="24"/>
              </w:rPr>
              <w:t>VTNP saistības uzlicējs un VTNP sniedzējs var vienoties par iepriekšējā periodā neizlietotās VTNP kompensācijas daļas attiecināšanu uz nākamo periodu, attiecīgi samazinot nākamā perioda VTNP saistības uzlicēja maksātās kompensācijas apmēru (iespējams vienīgi, ievērojot VTNP lēmuma 6.panta 2.punktu).</w:t>
            </w:r>
          </w:p>
        </w:tc>
      </w:tr>
      <w:tr w:rsidR="00017131" w:rsidRPr="00DF4295" w14:paraId="02BFC758" w14:textId="77777777" w:rsidTr="00B729A9">
        <w:tc>
          <w:tcPr>
            <w:tcW w:w="2972" w:type="dxa"/>
          </w:tcPr>
          <w:p w14:paraId="3671A113" w14:textId="7244D82B" w:rsidR="00017131" w:rsidRPr="009471D6" w:rsidRDefault="00017131" w:rsidP="009E4398">
            <w:pPr>
              <w:rPr>
                <w:rFonts w:ascii="Times New Roman" w:hAnsi="Times New Roman" w:cs="Times New Roman"/>
                <w:sz w:val="24"/>
                <w:szCs w:val="24"/>
              </w:rPr>
            </w:pPr>
            <w:r w:rsidRPr="009471D6">
              <w:rPr>
                <w:rFonts w:ascii="Times New Roman" w:hAnsi="Times New Roman" w:cs="Times New Roman"/>
                <w:b/>
                <w:sz w:val="24"/>
                <w:szCs w:val="24"/>
              </w:rPr>
              <w:lastRenderedPageBreak/>
              <w:t>VTNP pilnvarojuma aktā ietverta atsauce uz VTNP lēmumu</w:t>
            </w:r>
          </w:p>
        </w:tc>
        <w:tc>
          <w:tcPr>
            <w:tcW w:w="6946" w:type="dxa"/>
          </w:tcPr>
          <w:p w14:paraId="403D179D" w14:textId="5625EF71" w:rsidR="00017131" w:rsidRPr="009471D6" w:rsidRDefault="00017131" w:rsidP="00017131">
            <w:pPr>
              <w:jc w:val="both"/>
              <w:rPr>
                <w:rFonts w:ascii="Times New Roman" w:hAnsi="Times New Roman" w:cs="Times New Roman"/>
                <w:sz w:val="24"/>
                <w:szCs w:val="24"/>
              </w:rPr>
            </w:pPr>
            <w:r w:rsidRPr="009471D6">
              <w:rPr>
                <w:rFonts w:ascii="Times New Roman" w:hAnsi="Times New Roman" w:cs="Times New Roman"/>
                <w:sz w:val="24"/>
                <w:szCs w:val="24"/>
              </w:rPr>
              <w:t xml:space="preserve">VTNP līgumā ir jābūt iekļautai atsaucei uz </w:t>
            </w:r>
            <w:r w:rsidRPr="009471D6">
              <w:rPr>
                <w:rFonts w:ascii="Times New Roman" w:hAnsi="Times New Roman" w:cs="Times New Roman"/>
                <w:i/>
                <w:sz w:val="24"/>
                <w:szCs w:val="24"/>
              </w:rPr>
              <w:t>Eiropas Komisijas 2011.gada 20.decembra lēmumu par Līguma par Eiropas Savienības darbību 106.panta 2.punkta piemērošanu valsts atbalstam attiecībā uz kompensāciju par sabiedriskajiem pakalpojumiem dažiem uzņēmumiem, kuriem uzticēts sniegt pakalpojumus ar vispārēju tautsaimniecisku nozīmi (2012/21/ES).</w:t>
            </w:r>
          </w:p>
        </w:tc>
      </w:tr>
    </w:tbl>
    <w:p w14:paraId="1F9F0C58" w14:textId="6AD0A694" w:rsidR="00017131" w:rsidRPr="00DF4295" w:rsidRDefault="00017131" w:rsidP="00017131">
      <w:pPr>
        <w:jc w:val="both"/>
        <w:rPr>
          <w:rFonts w:ascii="Times New Roman" w:hAnsi="Times New Roman" w:cs="Times New Roman"/>
          <w:sz w:val="28"/>
          <w:szCs w:val="28"/>
        </w:rPr>
      </w:pPr>
    </w:p>
    <w:p w14:paraId="61936F87" w14:textId="649B3CCA" w:rsidR="00017131" w:rsidRPr="00DF4295" w:rsidRDefault="00017131" w:rsidP="007E14BF">
      <w:pPr>
        <w:ind w:firstLine="720"/>
        <w:jc w:val="both"/>
        <w:rPr>
          <w:rFonts w:ascii="Times New Roman" w:hAnsi="Times New Roman" w:cs="Times New Roman"/>
          <w:sz w:val="28"/>
          <w:szCs w:val="28"/>
        </w:rPr>
      </w:pPr>
    </w:p>
    <w:p w14:paraId="20505BD7" w14:textId="6FBD2B57" w:rsidR="00CA4408" w:rsidRPr="00DF4295" w:rsidRDefault="00CA4408" w:rsidP="001D1B46">
      <w:pPr>
        <w:pStyle w:val="Heading1"/>
        <w:spacing w:before="120" w:after="120"/>
        <w:rPr>
          <w:rFonts w:cs="Times New Roman"/>
          <w:sz w:val="28"/>
          <w:szCs w:val="28"/>
        </w:rPr>
      </w:pPr>
    </w:p>
    <w:sectPr w:rsidR="00CA4408" w:rsidRPr="00DF4295" w:rsidSect="00B729A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60909" w14:textId="77777777" w:rsidR="00987853" w:rsidRDefault="00987853" w:rsidP="006862E0">
      <w:pPr>
        <w:spacing w:after="0"/>
      </w:pPr>
      <w:r>
        <w:separator/>
      </w:r>
    </w:p>
  </w:endnote>
  <w:endnote w:type="continuationSeparator" w:id="0">
    <w:p w14:paraId="041B42D5" w14:textId="77777777" w:rsidR="00987853" w:rsidRDefault="00987853" w:rsidP="006862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UAlbertina">
    <w:altName w:val="Times New Roman"/>
    <w:charset w:val="00"/>
    <w:family w:val="roman"/>
    <w:pitch w:val="default"/>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rPr>
      <w:id w:val="-2066876702"/>
      <w:docPartObj>
        <w:docPartGallery w:val="Page Numbers (Bottom of Page)"/>
        <w:docPartUnique/>
      </w:docPartObj>
    </w:sdtPr>
    <w:sdtEndPr>
      <w:rPr>
        <w:noProof/>
      </w:rPr>
    </w:sdtEndPr>
    <w:sdtContent>
      <w:p w14:paraId="261C6782" w14:textId="1820CFDC" w:rsidR="00431DF4" w:rsidRPr="00D12400" w:rsidRDefault="00431DF4">
        <w:pPr>
          <w:pStyle w:val="Footer"/>
          <w:jc w:val="center"/>
          <w:rPr>
            <w:rFonts w:ascii="Times New Roman" w:hAnsi="Times New Roman" w:cs="Times New Roman"/>
            <w:i/>
          </w:rPr>
        </w:pPr>
        <w:r w:rsidRPr="00D12400">
          <w:rPr>
            <w:rFonts w:ascii="Times New Roman" w:hAnsi="Times New Roman" w:cs="Times New Roman"/>
            <w:i/>
          </w:rPr>
          <w:fldChar w:fldCharType="begin"/>
        </w:r>
        <w:r w:rsidRPr="00D12400">
          <w:rPr>
            <w:rFonts w:ascii="Times New Roman" w:hAnsi="Times New Roman" w:cs="Times New Roman"/>
            <w:i/>
          </w:rPr>
          <w:instrText xml:space="preserve"> PAGE   \* MERGEFORMAT </w:instrText>
        </w:r>
        <w:r w:rsidRPr="00D12400">
          <w:rPr>
            <w:rFonts w:ascii="Times New Roman" w:hAnsi="Times New Roman" w:cs="Times New Roman"/>
            <w:i/>
          </w:rPr>
          <w:fldChar w:fldCharType="separate"/>
        </w:r>
        <w:r w:rsidR="00B729A9">
          <w:rPr>
            <w:rFonts w:ascii="Times New Roman" w:hAnsi="Times New Roman" w:cs="Times New Roman"/>
            <w:i/>
            <w:noProof/>
          </w:rPr>
          <w:t>21</w:t>
        </w:r>
        <w:r w:rsidRPr="00D12400">
          <w:rPr>
            <w:rFonts w:ascii="Times New Roman" w:hAnsi="Times New Roman" w:cs="Times New Roman"/>
            <w:i/>
            <w:noProof/>
          </w:rPr>
          <w:fldChar w:fldCharType="end"/>
        </w:r>
        <w:r w:rsidRPr="00D12400">
          <w:rPr>
            <w:rFonts w:ascii="Times New Roman" w:hAnsi="Times New Roman" w:cs="Times New Roman"/>
            <w:i/>
            <w:noProof/>
          </w:rPr>
          <w:t xml:space="preserve"> no </w:t>
        </w:r>
        <w:r w:rsidRPr="00D12400">
          <w:rPr>
            <w:rFonts w:ascii="Times New Roman" w:hAnsi="Times New Roman" w:cs="Times New Roman"/>
            <w:i/>
            <w:noProof/>
          </w:rPr>
          <w:fldChar w:fldCharType="begin"/>
        </w:r>
        <w:r w:rsidRPr="00D12400">
          <w:rPr>
            <w:rFonts w:ascii="Times New Roman" w:hAnsi="Times New Roman" w:cs="Times New Roman"/>
            <w:i/>
            <w:noProof/>
          </w:rPr>
          <w:instrText xml:space="preserve"> NUMPAGES   \* MERGEFORMAT </w:instrText>
        </w:r>
        <w:r w:rsidRPr="00D12400">
          <w:rPr>
            <w:rFonts w:ascii="Times New Roman" w:hAnsi="Times New Roman" w:cs="Times New Roman"/>
            <w:i/>
            <w:noProof/>
          </w:rPr>
          <w:fldChar w:fldCharType="separate"/>
        </w:r>
        <w:r w:rsidR="00B729A9">
          <w:rPr>
            <w:rFonts w:ascii="Times New Roman" w:hAnsi="Times New Roman" w:cs="Times New Roman"/>
            <w:i/>
            <w:noProof/>
          </w:rPr>
          <w:t>31</w:t>
        </w:r>
        <w:r w:rsidRPr="00D12400">
          <w:rPr>
            <w:rFonts w:ascii="Times New Roman" w:hAnsi="Times New Roman" w:cs="Times New Roman"/>
            <w:i/>
            <w:noProof/>
          </w:rPr>
          <w:fldChar w:fldCharType="end"/>
        </w:r>
      </w:p>
    </w:sdtContent>
  </w:sdt>
  <w:p w14:paraId="2ABBA4B8" w14:textId="77777777" w:rsidR="00431DF4" w:rsidRDefault="00431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4BA23" w14:textId="77777777" w:rsidR="00987853" w:rsidRDefault="00987853" w:rsidP="006862E0">
      <w:pPr>
        <w:spacing w:after="0"/>
      </w:pPr>
      <w:r>
        <w:separator/>
      </w:r>
    </w:p>
  </w:footnote>
  <w:footnote w:type="continuationSeparator" w:id="0">
    <w:p w14:paraId="157B5592" w14:textId="77777777" w:rsidR="00987853" w:rsidRDefault="00987853" w:rsidP="006862E0">
      <w:pPr>
        <w:spacing w:after="0"/>
      </w:pPr>
      <w:r>
        <w:continuationSeparator/>
      </w:r>
    </w:p>
  </w:footnote>
  <w:footnote w:id="1">
    <w:p w14:paraId="2CCAA96D" w14:textId="0081A2E7" w:rsidR="00431DF4" w:rsidRPr="006E6B10" w:rsidRDefault="00431DF4" w:rsidP="002D71D2">
      <w:pPr>
        <w:pStyle w:val="FootnoteText"/>
        <w:spacing w:after="120"/>
        <w:rPr>
          <w:rFonts w:ascii="Times New Roman" w:hAnsi="Times New Roman" w:cs="Times New Roman"/>
        </w:rPr>
      </w:pPr>
      <w:r w:rsidRPr="006E6B10">
        <w:rPr>
          <w:rStyle w:val="FootnoteReference"/>
          <w:rFonts w:ascii="Times New Roman" w:hAnsi="Times New Roman" w:cs="Times New Roman"/>
        </w:rPr>
        <w:footnoteRef/>
      </w:r>
      <w:r w:rsidRPr="006E6B10">
        <w:rPr>
          <w:rFonts w:ascii="Times New Roman" w:hAnsi="Times New Roman" w:cs="Times New Roman"/>
        </w:rPr>
        <w:t xml:space="preserve"> </w:t>
      </w:r>
      <w:hyperlink r:id="rId1" w:history="1">
        <w:r w:rsidRPr="006E6B10">
          <w:rPr>
            <w:rStyle w:val="Hyperlink"/>
            <w:rFonts w:ascii="Times New Roman" w:hAnsi="Times New Roman" w:cs="Times New Roman"/>
          </w:rPr>
          <w:t>http://eur-lex.europa.eu/legal-content/LV/ALL/?uri=CELEX:12012E/TXT</w:t>
        </w:r>
      </w:hyperlink>
      <w:r w:rsidRPr="006E6B10">
        <w:rPr>
          <w:rFonts w:ascii="Times New Roman" w:hAnsi="Times New Roman" w:cs="Times New Roman"/>
        </w:rPr>
        <w:t xml:space="preserve"> </w:t>
      </w:r>
    </w:p>
  </w:footnote>
  <w:footnote w:id="2">
    <w:p w14:paraId="3D2FE1E5" w14:textId="77777777" w:rsidR="00431DF4" w:rsidRPr="006E6B10" w:rsidRDefault="00431DF4" w:rsidP="002D71D2">
      <w:pPr>
        <w:pStyle w:val="FootnoteText"/>
        <w:spacing w:after="120"/>
        <w:jc w:val="both"/>
        <w:rPr>
          <w:rFonts w:ascii="Times New Roman" w:hAnsi="Times New Roman" w:cs="Times New Roman"/>
          <w:i/>
        </w:rPr>
      </w:pPr>
      <w:r w:rsidRPr="006E6B10">
        <w:rPr>
          <w:rStyle w:val="FootnoteReference"/>
          <w:rFonts w:ascii="Times New Roman" w:hAnsi="Times New Roman" w:cs="Times New Roman"/>
          <w:i/>
        </w:rPr>
        <w:footnoteRef/>
      </w:r>
      <w:r w:rsidRPr="006E6B10">
        <w:rPr>
          <w:rFonts w:ascii="Times New Roman" w:hAnsi="Times New Roman" w:cs="Times New Roman"/>
          <w:i/>
        </w:rPr>
        <w:t xml:space="preserve"> </w:t>
      </w:r>
      <w:hyperlink r:id="rId2" w:history="1">
        <w:r w:rsidRPr="006E6B10">
          <w:rPr>
            <w:rStyle w:val="Hyperlink"/>
            <w:rFonts w:ascii="Times New Roman" w:hAnsi="Times New Roman" w:cs="Times New Roman"/>
            <w:i/>
          </w:rPr>
          <w:t>http://www.fm.gov.lv/files/files/06.10.2016%20preciz%20FINAL%20Valsts%20atbalsta%20VADLINIJAS.pdf</w:t>
        </w:r>
      </w:hyperlink>
      <w:r w:rsidRPr="006E6B10">
        <w:rPr>
          <w:rFonts w:ascii="Times New Roman" w:hAnsi="Times New Roman" w:cs="Times New Roman"/>
          <w:i/>
        </w:rPr>
        <w:t xml:space="preserve"> </w:t>
      </w:r>
    </w:p>
  </w:footnote>
  <w:footnote w:id="3">
    <w:p w14:paraId="70F9DBE4" w14:textId="77777777" w:rsidR="00431DF4" w:rsidRPr="006E6B10" w:rsidRDefault="00431DF4" w:rsidP="002D71D2">
      <w:pPr>
        <w:pStyle w:val="FootnoteText"/>
        <w:spacing w:after="120"/>
        <w:jc w:val="both"/>
        <w:rPr>
          <w:rFonts w:ascii="Times New Roman" w:hAnsi="Times New Roman" w:cs="Times New Roman"/>
          <w:i/>
        </w:rPr>
      </w:pPr>
      <w:r w:rsidRPr="006E6B10">
        <w:rPr>
          <w:rStyle w:val="FootnoteReference"/>
          <w:rFonts w:ascii="Times New Roman" w:hAnsi="Times New Roman" w:cs="Times New Roman"/>
          <w:i/>
        </w:rPr>
        <w:footnoteRef/>
      </w:r>
      <w:r w:rsidRPr="006E6B10">
        <w:rPr>
          <w:rFonts w:ascii="Times New Roman" w:hAnsi="Times New Roman" w:cs="Times New Roman"/>
          <w:i/>
        </w:rPr>
        <w:t xml:space="preserve"> </w:t>
      </w:r>
      <w:hyperlink r:id="rId3" w:history="1">
        <w:r w:rsidRPr="006E6B10">
          <w:rPr>
            <w:rStyle w:val="Hyperlink"/>
            <w:rFonts w:ascii="Times New Roman" w:hAnsi="Times New Roman" w:cs="Times New Roman"/>
            <w:i/>
          </w:rPr>
          <w:t>http://ec.europa.eu/competition/state_aid/legislation/legislation.html</w:t>
        </w:r>
      </w:hyperlink>
      <w:r w:rsidRPr="006E6B10">
        <w:rPr>
          <w:rFonts w:ascii="Times New Roman" w:hAnsi="Times New Roman" w:cs="Times New Roman"/>
          <w:i/>
        </w:rPr>
        <w:t xml:space="preserve"> </w:t>
      </w:r>
    </w:p>
  </w:footnote>
  <w:footnote w:id="4">
    <w:p w14:paraId="2A739844" w14:textId="77777777" w:rsidR="00431DF4" w:rsidRPr="006E6B10" w:rsidRDefault="00431DF4" w:rsidP="002D71D2">
      <w:pPr>
        <w:pStyle w:val="FootnoteText"/>
        <w:spacing w:after="120"/>
        <w:jc w:val="both"/>
        <w:rPr>
          <w:rFonts w:ascii="Times New Roman" w:hAnsi="Times New Roman" w:cs="Times New Roman"/>
          <w:i/>
        </w:rPr>
      </w:pPr>
      <w:r w:rsidRPr="006E6B10">
        <w:rPr>
          <w:rStyle w:val="FootnoteReference"/>
          <w:rFonts w:ascii="Times New Roman" w:hAnsi="Times New Roman" w:cs="Times New Roman"/>
        </w:rPr>
        <w:footnoteRef/>
      </w:r>
      <w:r w:rsidRPr="006E6B10">
        <w:rPr>
          <w:rFonts w:ascii="Times New Roman" w:hAnsi="Times New Roman" w:cs="Times New Roman"/>
        </w:rPr>
        <w:t xml:space="preserve"> </w:t>
      </w:r>
      <w:r w:rsidRPr="006E6B10">
        <w:rPr>
          <w:rFonts w:ascii="Times New Roman" w:hAnsi="Times New Roman" w:cs="Times New Roman"/>
          <w:i/>
        </w:rPr>
        <w:t>Komisijas 2011. gada 20. decembra lēmums par Līguma par Eiropas Savienības darbību 106. panta 2. punkta piemērošanu valsts atbalstam attiecībā uz kompensāciju par sabiedriskajiem pakalpojumiem dažiem uzņēmumiem, kuriem uzticēts sniegt pakalpojumus ar vispārēju tautsaimniecisku nozīmi; OV L 7, 11.1.2012.;</w:t>
      </w:r>
    </w:p>
    <w:p w14:paraId="7E23831F" w14:textId="55B33C69" w:rsidR="00431DF4" w:rsidRPr="006E6B10" w:rsidRDefault="00431DF4" w:rsidP="002D71D2">
      <w:pPr>
        <w:pStyle w:val="FootnoteText"/>
        <w:spacing w:after="120"/>
        <w:jc w:val="both"/>
        <w:rPr>
          <w:rFonts w:ascii="Times New Roman" w:hAnsi="Times New Roman" w:cs="Times New Roman"/>
          <w:i/>
        </w:rPr>
      </w:pPr>
      <w:r w:rsidRPr="006E6B10">
        <w:rPr>
          <w:rFonts w:ascii="Times New Roman" w:hAnsi="Times New Roman" w:cs="Times New Roman"/>
          <w:i/>
        </w:rPr>
        <w:t>Komisijas paziņojums — Eiropas Savienības nostādnes par valsts atbalstu, ko piešķir kā kompensāciju par sabiedrisko pakalpojumu sniegšanu (2011), OV C 8, 11.1.2012.;</w:t>
      </w:r>
    </w:p>
    <w:p w14:paraId="0F72FDFA" w14:textId="5BCE6B2E" w:rsidR="00431DF4" w:rsidRPr="006E6B10" w:rsidRDefault="00431DF4" w:rsidP="002D71D2">
      <w:pPr>
        <w:pStyle w:val="FootnoteText"/>
        <w:spacing w:after="120"/>
        <w:jc w:val="both"/>
        <w:rPr>
          <w:rFonts w:ascii="Times New Roman" w:hAnsi="Times New Roman" w:cs="Times New Roman"/>
          <w:i/>
        </w:rPr>
      </w:pPr>
      <w:r w:rsidRPr="006E6B10">
        <w:rPr>
          <w:rFonts w:ascii="Times New Roman" w:hAnsi="Times New Roman" w:cs="Times New Roman"/>
          <w:i/>
        </w:rPr>
        <w:t>Komisijas paziņojums par Eiropas Savienības atbalsta noteikumu piemērošanu kompensācijai, kas piešķirta par vispārējas tautsaimnieciskas nozīmes pakalpojumu sniegšanu, OV C 8, 11.1.2012.;</w:t>
      </w:r>
    </w:p>
    <w:p w14:paraId="18F29995" w14:textId="1C3535CA" w:rsidR="00431DF4" w:rsidRPr="006E6B10" w:rsidRDefault="00431DF4" w:rsidP="002D71D2">
      <w:pPr>
        <w:pStyle w:val="FootnoteText"/>
        <w:spacing w:after="120"/>
        <w:jc w:val="both"/>
        <w:rPr>
          <w:rFonts w:ascii="Times New Roman" w:hAnsi="Times New Roman" w:cs="Times New Roman"/>
          <w:i/>
        </w:rPr>
      </w:pPr>
      <w:r w:rsidRPr="006E6B10">
        <w:rPr>
          <w:rFonts w:ascii="Times New Roman" w:hAnsi="Times New Roman" w:cs="Times New Roman"/>
          <w:i/>
        </w:rPr>
        <w:t>Komisijas 20</w:t>
      </w:r>
      <w:r w:rsidR="00C84012">
        <w:rPr>
          <w:rFonts w:ascii="Times New Roman" w:hAnsi="Times New Roman" w:cs="Times New Roman"/>
          <w:i/>
        </w:rPr>
        <w:t>23</w:t>
      </w:r>
      <w:r w:rsidRPr="006E6B10">
        <w:rPr>
          <w:rFonts w:ascii="Times New Roman" w:hAnsi="Times New Roman" w:cs="Times New Roman"/>
          <w:i/>
        </w:rPr>
        <w:t xml:space="preserve">. gada </w:t>
      </w:r>
      <w:r w:rsidR="00C84012">
        <w:rPr>
          <w:rFonts w:ascii="Times New Roman" w:hAnsi="Times New Roman" w:cs="Times New Roman"/>
          <w:i/>
        </w:rPr>
        <w:t>13</w:t>
      </w:r>
      <w:r w:rsidRPr="006E6B10">
        <w:rPr>
          <w:rFonts w:ascii="Times New Roman" w:hAnsi="Times New Roman" w:cs="Times New Roman"/>
          <w:i/>
        </w:rPr>
        <w:t xml:space="preserve">. </w:t>
      </w:r>
      <w:r w:rsidR="00C84012">
        <w:rPr>
          <w:rFonts w:ascii="Times New Roman" w:hAnsi="Times New Roman" w:cs="Times New Roman"/>
          <w:i/>
        </w:rPr>
        <w:t>decembra</w:t>
      </w:r>
      <w:r w:rsidRPr="006E6B10">
        <w:rPr>
          <w:rFonts w:ascii="Times New Roman" w:hAnsi="Times New Roman" w:cs="Times New Roman"/>
          <w:i/>
        </w:rPr>
        <w:t xml:space="preserve"> Regula (ES) Nr. </w:t>
      </w:r>
      <w:r w:rsidR="00C84012">
        <w:rPr>
          <w:rFonts w:ascii="Times New Roman" w:hAnsi="Times New Roman" w:cs="Times New Roman"/>
          <w:i/>
        </w:rPr>
        <w:t>2023/2832</w:t>
      </w:r>
      <w:r w:rsidRPr="006E6B10">
        <w:rPr>
          <w:rFonts w:ascii="Times New Roman" w:hAnsi="Times New Roman" w:cs="Times New Roman"/>
          <w:i/>
        </w:rPr>
        <w:t xml:space="preserve"> par Līguma par Eiropas Savienības darbību 107. un 108. panta piemērošanu de minimis atbalstam, ko piešķir uzņēmumiem, kuri sniedz pakalpojumus ar vispārēju tautsaimniecisku nozīmi, OV </w:t>
      </w:r>
      <w:r w:rsidRPr="00CF4E56">
        <w:rPr>
          <w:rFonts w:ascii="Times New Roman" w:hAnsi="Times New Roman" w:cs="Times New Roman"/>
          <w:i/>
        </w:rPr>
        <w:t xml:space="preserve">L , </w:t>
      </w:r>
      <w:r w:rsidR="00C84012" w:rsidRPr="00CF4E56">
        <w:rPr>
          <w:rFonts w:ascii="Times New Roman" w:hAnsi="Times New Roman" w:cs="Times New Roman"/>
          <w:i/>
        </w:rPr>
        <w:t>15</w:t>
      </w:r>
      <w:r w:rsidR="00C84012">
        <w:rPr>
          <w:rFonts w:ascii="Times New Roman" w:hAnsi="Times New Roman" w:cs="Times New Roman"/>
          <w:i/>
        </w:rPr>
        <w:t>.12.2023</w:t>
      </w:r>
      <w:r w:rsidRPr="006E6B10">
        <w:rPr>
          <w:rFonts w:ascii="Times New Roman" w:hAnsi="Times New Roman" w:cs="Times New Roman"/>
          <w:i/>
        </w:rPr>
        <w:t>;</w:t>
      </w:r>
    </w:p>
    <w:p w14:paraId="5BCDDA1B" w14:textId="7189A350" w:rsidR="00431DF4" w:rsidRPr="006E6B10" w:rsidRDefault="00431DF4" w:rsidP="002D71D2">
      <w:pPr>
        <w:pStyle w:val="FootnoteText"/>
        <w:spacing w:after="120"/>
        <w:jc w:val="both"/>
        <w:rPr>
          <w:rFonts w:ascii="Times New Roman" w:hAnsi="Times New Roman" w:cs="Times New Roman"/>
          <w:i/>
        </w:rPr>
      </w:pPr>
      <w:r w:rsidRPr="006E6B10">
        <w:rPr>
          <w:rFonts w:ascii="Times New Roman" w:hAnsi="Times New Roman" w:cs="Times New Roman"/>
          <w:i/>
        </w:rPr>
        <w:t>Komisijas dienestu darba dokuments “Rokasgrāmata par Eiropas Savienības valsts atbalsta, publiskā iepirkuma un iekšējā tirgus noteikumu piemērošanu vispārējas tautsaimnieciskas nozīmes pakalpojumiem un jo īpaši vispārējas nozīmes sociālajiem pakalpojumiem” SWD (2013) 53final/2 2013. gada 29.aprīlis</w:t>
      </w:r>
    </w:p>
  </w:footnote>
  <w:footnote w:id="5">
    <w:p w14:paraId="615A7466" w14:textId="1BD3379D" w:rsidR="00431DF4" w:rsidRPr="006E6B10" w:rsidRDefault="00431DF4" w:rsidP="002D71D2">
      <w:pPr>
        <w:pStyle w:val="FootnoteText"/>
        <w:spacing w:after="120"/>
        <w:jc w:val="both"/>
        <w:rPr>
          <w:rFonts w:ascii="Times New Roman" w:hAnsi="Times New Roman" w:cs="Times New Roman"/>
          <w:i/>
        </w:rPr>
      </w:pPr>
      <w:r w:rsidRPr="006E6B10">
        <w:rPr>
          <w:rStyle w:val="FootnoteReference"/>
          <w:rFonts w:ascii="Times New Roman" w:hAnsi="Times New Roman" w:cs="Times New Roman"/>
          <w:i/>
        </w:rPr>
        <w:footnoteRef/>
      </w:r>
      <w:r w:rsidRPr="006E6B10">
        <w:rPr>
          <w:rFonts w:ascii="Times New Roman" w:hAnsi="Times New Roman" w:cs="Times New Roman"/>
          <w:i/>
        </w:rPr>
        <w:t>Komisijas regula Nr.</w:t>
      </w:r>
      <w:r w:rsidR="00394769">
        <w:rPr>
          <w:rFonts w:ascii="Times New Roman" w:hAnsi="Times New Roman" w:cs="Times New Roman"/>
          <w:i/>
        </w:rPr>
        <w:t>2023/2831</w:t>
      </w:r>
      <w:r w:rsidRPr="006E6B10">
        <w:rPr>
          <w:rFonts w:ascii="Times New Roman" w:hAnsi="Times New Roman" w:cs="Times New Roman"/>
          <w:i/>
        </w:rPr>
        <w:t xml:space="preserve"> – Komisijas 20</w:t>
      </w:r>
      <w:r w:rsidR="00394769">
        <w:rPr>
          <w:rFonts w:ascii="Times New Roman" w:hAnsi="Times New Roman" w:cs="Times New Roman"/>
          <w:i/>
        </w:rPr>
        <w:t>2</w:t>
      </w:r>
      <w:r w:rsidRPr="006E6B10">
        <w:rPr>
          <w:rFonts w:ascii="Times New Roman" w:hAnsi="Times New Roman" w:cs="Times New Roman"/>
          <w:i/>
        </w:rPr>
        <w:t>3.gada 1</w:t>
      </w:r>
      <w:r w:rsidR="00394769">
        <w:rPr>
          <w:rFonts w:ascii="Times New Roman" w:hAnsi="Times New Roman" w:cs="Times New Roman"/>
          <w:i/>
        </w:rPr>
        <w:t>3</w:t>
      </w:r>
      <w:r w:rsidRPr="006E6B10">
        <w:rPr>
          <w:rFonts w:ascii="Times New Roman" w:hAnsi="Times New Roman" w:cs="Times New Roman"/>
          <w:i/>
        </w:rPr>
        <w:t>.decembra Regula (ES) Nr.</w:t>
      </w:r>
      <w:r w:rsidR="00394769">
        <w:rPr>
          <w:rFonts w:ascii="Times New Roman" w:hAnsi="Times New Roman" w:cs="Times New Roman"/>
          <w:i/>
        </w:rPr>
        <w:t xml:space="preserve">2023/2831 </w:t>
      </w:r>
      <w:r w:rsidRPr="006E6B10">
        <w:rPr>
          <w:rFonts w:ascii="Times New Roman" w:hAnsi="Times New Roman" w:cs="Times New Roman"/>
          <w:i/>
        </w:rPr>
        <w:t xml:space="preserve"> par Līguma par Eiropas Savienības darbību 107. un 108.panta piemērošanu de minimis atbalstam (Eiropas Savienības Oficiālais Vēstnesis, 20</w:t>
      </w:r>
      <w:r w:rsidR="00394769">
        <w:rPr>
          <w:rFonts w:ascii="Times New Roman" w:hAnsi="Times New Roman" w:cs="Times New Roman"/>
          <w:i/>
        </w:rPr>
        <w:t>2</w:t>
      </w:r>
      <w:r w:rsidRPr="006E6B10">
        <w:rPr>
          <w:rFonts w:ascii="Times New Roman" w:hAnsi="Times New Roman" w:cs="Times New Roman"/>
          <w:i/>
        </w:rPr>
        <w:t xml:space="preserve">3.gada </w:t>
      </w:r>
      <w:r w:rsidR="00394769">
        <w:rPr>
          <w:rFonts w:ascii="Times New Roman" w:hAnsi="Times New Roman" w:cs="Times New Roman"/>
          <w:i/>
        </w:rPr>
        <w:t>15</w:t>
      </w:r>
      <w:r w:rsidRPr="006E6B10">
        <w:rPr>
          <w:rFonts w:ascii="Times New Roman" w:hAnsi="Times New Roman" w:cs="Times New Roman"/>
          <w:i/>
        </w:rPr>
        <w:t xml:space="preserve">.decembris, </w:t>
      </w:r>
      <w:r w:rsidRPr="00CF4E56">
        <w:rPr>
          <w:rFonts w:ascii="Times New Roman" w:hAnsi="Times New Roman" w:cs="Times New Roman"/>
          <w:i/>
        </w:rPr>
        <w:t>Nr. L );</w:t>
      </w:r>
    </w:p>
    <w:p w14:paraId="3C75A188" w14:textId="6C26D062" w:rsidR="00431DF4" w:rsidRPr="006E6B10" w:rsidRDefault="00431DF4" w:rsidP="002D71D2">
      <w:pPr>
        <w:pStyle w:val="FootnoteText"/>
        <w:spacing w:after="120"/>
        <w:jc w:val="both"/>
        <w:rPr>
          <w:rFonts w:ascii="Times New Roman" w:hAnsi="Times New Roman" w:cs="Times New Roman"/>
          <w:i/>
        </w:rPr>
      </w:pPr>
      <w:r w:rsidRPr="006E6B10">
        <w:rPr>
          <w:rFonts w:ascii="Times New Roman" w:hAnsi="Times New Roman" w:cs="Times New Roman"/>
          <w:i/>
        </w:rPr>
        <w:t xml:space="preserve">Finanšu ministrijas izstrādāts metodoloģisks palīgmateriāls: Rokasgrāmata de minimis atbalsta piešķiršanai </w:t>
      </w:r>
      <w:r w:rsidR="0046780E" w:rsidRPr="0046780E">
        <w:t>https://www.fm.gov.lv/lv/sadalas/komercdarbibas_atbalsta_kontrole/s/</w:t>
      </w:r>
      <w:r w:rsidRPr="006E6B10">
        <w:rPr>
          <w:rFonts w:ascii="Times New Roman" w:hAnsi="Times New Roman" w:cs="Times New Roman"/>
          <w:i/>
        </w:rPr>
        <w:t xml:space="preserve"> </w:t>
      </w:r>
    </w:p>
  </w:footnote>
  <w:footnote w:id="6">
    <w:p w14:paraId="32CC3754" w14:textId="48E4BD64" w:rsidR="00431DF4" w:rsidRPr="006E6B10" w:rsidRDefault="00431DF4" w:rsidP="002D71D2">
      <w:pPr>
        <w:pStyle w:val="FootnoteText"/>
        <w:spacing w:after="120"/>
        <w:jc w:val="both"/>
        <w:rPr>
          <w:rFonts w:ascii="Times New Roman" w:hAnsi="Times New Roman" w:cs="Times New Roman"/>
          <w:i/>
        </w:rPr>
      </w:pPr>
      <w:r w:rsidRPr="006E6B10">
        <w:rPr>
          <w:rStyle w:val="FootnoteReference"/>
          <w:rFonts w:ascii="Times New Roman" w:hAnsi="Times New Roman" w:cs="Times New Roman"/>
          <w:i/>
        </w:rPr>
        <w:footnoteRef/>
      </w:r>
      <w:r w:rsidRPr="006E6B10">
        <w:rPr>
          <w:rFonts w:ascii="Times New Roman" w:hAnsi="Times New Roman" w:cs="Times New Roman"/>
          <w:i/>
        </w:rPr>
        <w:t xml:space="preserve"> Eiropas komisijas 2014. gada 17. jūnija regula Nr. 651/2014 ar ko noteiktas atbalsta kategorijas atzīst par saderīgām ar iekšējo tirgu, piemērojot Līguma 107. un 108. pantu, skatīt šeit:  </w:t>
      </w:r>
      <w:hyperlink r:id="rId4" w:history="1">
        <w:r w:rsidR="00394769">
          <w:rPr>
            <w:rStyle w:val="Hyperlink"/>
            <w:rFonts w:ascii="Times New Roman" w:hAnsi="Times New Roman" w:cs="Times New Roman"/>
            <w:i/>
          </w:rPr>
          <w:t>https://eur-lex.europa.eu/legal-content/EN/TXT/?uri=CELEX%3A02014R0651-20230701</w:t>
        </w:r>
      </w:hyperlink>
      <w:r w:rsidRPr="006E6B10">
        <w:rPr>
          <w:rFonts w:ascii="Times New Roman" w:hAnsi="Times New Roman" w:cs="Times New Roman"/>
          <w:i/>
        </w:rPr>
        <w:t xml:space="preserve">  </w:t>
      </w:r>
      <w:hyperlink r:id="rId5" w:history="1">
        <w:r w:rsidR="006215FE" w:rsidRPr="00C77596">
          <w:rPr>
            <w:rStyle w:val="Hyperlink"/>
            <w:rFonts w:ascii="Times New Roman" w:hAnsi="Times New Roman" w:cs="Times New Roman"/>
            <w:i/>
          </w:rPr>
          <w:t>(KONSOLIDĒTĀ</w:t>
        </w:r>
      </w:hyperlink>
      <w:r w:rsidR="006215FE">
        <w:rPr>
          <w:rFonts w:ascii="Times New Roman" w:hAnsi="Times New Roman" w:cs="Times New Roman"/>
          <w:i/>
        </w:rPr>
        <w:t xml:space="preserve"> VERSIJA)</w:t>
      </w:r>
      <w:r w:rsidRPr="006E6B10">
        <w:rPr>
          <w:rFonts w:ascii="Times New Roman" w:hAnsi="Times New Roman" w:cs="Times New Roman"/>
          <w:i/>
        </w:rPr>
        <w:t xml:space="preserve"> </w:t>
      </w:r>
    </w:p>
  </w:footnote>
  <w:footnote w:id="7">
    <w:p w14:paraId="3447279E" w14:textId="77777777" w:rsidR="00431DF4" w:rsidRPr="006E6B10" w:rsidRDefault="00431DF4" w:rsidP="002D71D2">
      <w:pPr>
        <w:pStyle w:val="FootnoteText"/>
        <w:spacing w:after="120"/>
        <w:jc w:val="both"/>
        <w:rPr>
          <w:rFonts w:ascii="Times New Roman" w:hAnsi="Times New Roman" w:cs="Times New Roman"/>
          <w:i/>
        </w:rPr>
      </w:pPr>
      <w:r w:rsidRPr="006E6B10">
        <w:rPr>
          <w:rStyle w:val="FootnoteReference"/>
          <w:rFonts w:ascii="Times New Roman" w:hAnsi="Times New Roman" w:cs="Times New Roman"/>
          <w:i/>
        </w:rPr>
        <w:footnoteRef/>
      </w:r>
      <w:r w:rsidRPr="006E6B10">
        <w:rPr>
          <w:rFonts w:ascii="Times New Roman" w:hAnsi="Times New Roman" w:cs="Times New Roman"/>
          <w:i/>
        </w:rPr>
        <w:t xml:space="preserve"> Lieta C-179/90 Merci convenzionali porto di Genova,1991, Recueil I-5889, 27. punkts; lieta C-242/95 GT-Link A/S, 1997, Recueil I-4449, 53. punkts, un lieta C-266/96 Corsica FerriesFrance SA, 1998, Recueil I-3949, 45. punkts</w:t>
      </w:r>
    </w:p>
  </w:footnote>
  <w:footnote w:id="8">
    <w:p w14:paraId="28C7B65C" w14:textId="77777777" w:rsidR="00431DF4" w:rsidRPr="006E6B10" w:rsidRDefault="00431DF4" w:rsidP="002D71D2">
      <w:pPr>
        <w:pStyle w:val="FootnoteText"/>
        <w:spacing w:after="120"/>
        <w:jc w:val="both"/>
        <w:rPr>
          <w:rFonts w:ascii="Times New Roman" w:hAnsi="Times New Roman" w:cs="Times New Roman"/>
          <w:i/>
        </w:rPr>
      </w:pPr>
      <w:r w:rsidRPr="006E6B10">
        <w:rPr>
          <w:rStyle w:val="FootnoteReference"/>
          <w:rFonts w:ascii="Times New Roman" w:hAnsi="Times New Roman" w:cs="Times New Roman"/>
          <w:i/>
        </w:rPr>
        <w:footnoteRef/>
      </w:r>
      <w:r w:rsidRPr="006E6B10">
        <w:rPr>
          <w:rFonts w:ascii="Times New Roman" w:hAnsi="Times New Roman" w:cs="Times New Roman"/>
          <w:i/>
        </w:rPr>
        <w:t xml:space="preserve"> Lieta T-289/03 BUPA un citi pret Komisiju, 2008, Krājums II-81, 166.–169. un 172. punkts; Lieta T-17/02 Fred Olsen, 2005, Krājums II-2031, 216. punkts.</w:t>
      </w:r>
    </w:p>
  </w:footnote>
  <w:footnote w:id="9">
    <w:p w14:paraId="10ABB8B9" w14:textId="77777777" w:rsidR="00431DF4" w:rsidRPr="006E6B10" w:rsidRDefault="00431DF4" w:rsidP="002D71D2">
      <w:pPr>
        <w:pStyle w:val="FootnoteText"/>
        <w:spacing w:after="120"/>
        <w:jc w:val="both"/>
        <w:rPr>
          <w:rFonts w:ascii="Times New Roman" w:hAnsi="Times New Roman" w:cs="Times New Roman"/>
          <w:i/>
        </w:rPr>
      </w:pPr>
      <w:r w:rsidRPr="006E6B10">
        <w:rPr>
          <w:rStyle w:val="FootnoteReference"/>
          <w:rFonts w:ascii="Times New Roman" w:hAnsi="Times New Roman" w:cs="Times New Roman"/>
          <w:i/>
        </w:rPr>
        <w:footnoteRef/>
      </w:r>
      <w:r w:rsidRPr="006E6B10">
        <w:rPr>
          <w:rFonts w:ascii="Times New Roman" w:hAnsi="Times New Roman" w:cs="Times New Roman"/>
          <w:i/>
        </w:rPr>
        <w:t xml:space="preserve"> Lieta C-205/99 Analir, 2001, Recueil I-1271, 71. punkts</w:t>
      </w:r>
    </w:p>
  </w:footnote>
  <w:footnote w:id="10">
    <w:p w14:paraId="26DA47C2" w14:textId="77777777" w:rsidR="00431DF4" w:rsidRPr="006E6B10" w:rsidRDefault="00431DF4" w:rsidP="002D71D2">
      <w:pPr>
        <w:pStyle w:val="FootnoteText"/>
        <w:spacing w:after="120"/>
        <w:rPr>
          <w:rFonts w:ascii="Times New Roman" w:hAnsi="Times New Roman" w:cs="Times New Roman"/>
          <w:i/>
        </w:rPr>
      </w:pPr>
      <w:r w:rsidRPr="006E6B10">
        <w:rPr>
          <w:rStyle w:val="FootnoteReference"/>
          <w:rFonts w:ascii="Times New Roman" w:hAnsi="Times New Roman" w:cs="Times New Roman"/>
          <w:i/>
        </w:rPr>
        <w:footnoteRef/>
      </w:r>
      <w:r w:rsidRPr="006E6B10">
        <w:rPr>
          <w:rFonts w:ascii="Times New Roman" w:hAnsi="Times New Roman" w:cs="Times New Roman"/>
          <w:i/>
        </w:rPr>
        <w:t xml:space="preserve"> Spriedums lietā C-179/90 Merci convenzionali porto di Genova, Recueil 1991, I-5889. lpp., 27. punkts, spriedums lietā C-242/95 GT-Link, Recueil 1997, I-4449. lpp., 53. punkts, un spriedums apvienotajās lietās C-34/01–C38/01 Enirisorse, Recueil 2003, I-14243. lpp., 33.–34. punkts.</w:t>
      </w:r>
    </w:p>
  </w:footnote>
  <w:footnote w:id="11">
    <w:p w14:paraId="1EFF99F2" w14:textId="77777777" w:rsidR="00431DF4" w:rsidRPr="006E6B10" w:rsidRDefault="00431DF4" w:rsidP="002D71D2">
      <w:pPr>
        <w:pStyle w:val="FootnoteText"/>
        <w:spacing w:after="120"/>
        <w:jc w:val="both"/>
        <w:rPr>
          <w:rFonts w:ascii="Times New Roman" w:hAnsi="Times New Roman" w:cs="Times New Roman"/>
          <w:i/>
        </w:rPr>
      </w:pPr>
      <w:r w:rsidRPr="006E6B10">
        <w:rPr>
          <w:rStyle w:val="FootnoteReference"/>
          <w:rFonts w:ascii="Times New Roman" w:hAnsi="Times New Roman" w:cs="Times New Roman"/>
        </w:rPr>
        <w:footnoteRef/>
      </w:r>
      <w:r w:rsidRPr="006E6B10">
        <w:rPr>
          <w:rStyle w:val="FootnoteReference"/>
          <w:rFonts w:ascii="Times New Roman" w:hAnsi="Times New Roman" w:cs="Times New Roman"/>
        </w:rPr>
        <w:t xml:space="preserve"> </w:t>
      </w:r>
      <w:r w:rsidRPr="006E6B10">
        <w:rPr>
          <w:rFonts w:ascii="Times New Roman" w:hAnsi="Times New Roman" w:cs="Times New Roman"/>
          <w:i/>
        </w:rPr>
        <w:t>Komisijas paziņojums par valsts atbalsta noteikumu piemērošanu sabiedriskajai apraidei, OV C 257, 27.10.2009., 1. lpp.</w:t>
      </w:r>
    </w:p>
  </w:footnote>
  <w:footnote w:id="12">
    <w:p w14:paraId="4EC1A2CB" w14:textId="77777777" w:rsidR="00431DF4" w:rsidRPr="006E6B10" w:rsidRDefault="00431DF4" w:rsidP="002D71D2">
      <w:pPr>
        <w:autoSpaceDE w:val="0"/>
        <w:autoSpaceDN w:val="0"/>
        <w:adjustRightInd w:val="0"/>
        <w:rPr>
          <w:rFonts w:ascii="Times New Roman" w:hAnsi="Times New Roman" w:cs="Times New Roman"/>
          <w:color w:val="000000"/>
          <w:sz w:val="20"/>
          <w:szCs w:val="20"/>
        </w:rPr>
      </w:pPr>
      <w:r w:rsidRPr="006E6B10">
        <w:rPr>
          <w:rStyle w:val="FootnoteReference"/>
          <w:rFonts w:ascii="Times New Roman" w:hAnsi="Times New Roman" w:cs="Times New Roman"/>
          <w:sz w:val="20"/>
          <w:szCs w:val="20"/>
        </w:rPr>
        <w:footnoteRef/>
      </w:r>
      <w:r w:rsidRPr="006E6B10">
        <w:rPr>
          <w:rFonts w:ascii="Times New Roman" w:hAnsi="Times New Roman" w:cs="Times New Roman"/>
          <w:sz w:val="20"/>
          <w:szCs w:val="20"/>
        </w:rPr>
        <w:t xml:space="preserve"> </w:t>
      </w:r>
      <w:r w:rsidRPr="006E6B10">
        <w:rPr>
          <w:rFonts w:ascii="Times New Roman" w:hAnsi="Times New Roman" w:cs="Times New Roman"/>
          <w:color w:val="000000"/>
          <w:sz w:val="20"/>
          <w:szCs w:val="20"/>
        </w:rPr>
        <w:t xml:space="preserve">Komisijas lēmums par valsts atbalstu Nr. SA.25051 — Vācija — speciāla dzīvnieku kautķermeņu iznīcināšanas apvienība, OV L 236, 1.9.2012., 1. lpp., </w:t>
      </w:r>
      <w:hyperlink r:id="rId6" w:history="1">
        <w:r w:rsidRPr="006E6B10">
          <w:rPr>
            <w:rStyle w:val="Hyperlink"/>
            <w:rFonts w:ascii="Times New Roman" w:hAnsi="Times New Roman" w:cs="Times New Roman"/>
            <w:sz w:val="20"/>
            <w:szCs w:val="20"/>
          </w:rPr>
          <w:t>http://eurlex.europa.eu/LexUriServ/LexUriServ.do?uri=OJ:L:2012:236:0001:0034:LV:PDF</w:t>
        </w:r>
      </w:hyperlink>
      <w:r w:rsidRPr="006E6B10">
        <w:rPr>
          <w:rFonts w:ascii="Times New Roman" w:hAnsi="Times New Roman" w:cs="Times New Roman"/>
          <w:color w:val="000000"/>
          <w:sz w:val="20"/>
          <w:szCs w:val="20"/>
        </w:rPr>
        <w:t>.</w:t>
      </w:r>
    </w:p>
    <w:p w14:paraId="758F2354" w14:textId="77777777" w:rsidR="00431DF4" w:rsidRPr="006E6B10" w:rsidRDefault="00431DF4" w:rsidP="002D71D2">
      <w:pPr>
        <w:autoSpaceDE w:val="0"/>
        <w:autoSpaceDN w:val="0"/>
        <w:adjustRightInd w:val="0"/>
        <w:rPr>
          <w:rFonts w:ascii="Times New Roman" w:hAnsi="Times New Roman" w:cs="Times New Roman"/>
          <w:color w:val="0000FF"/>
          <w:sz w:val="20"/>
          <w:szCs w:val="20"/>
        </w:rPr>
      </w:pPr>
      <w:r w:rsidRPr="006E6B10">
        <w:rPr>
          <w:rFonts w:ascii="Times New Roman" w:hAnsi="Times New Roman" w:cs="Times New Roman"/>
          <w:color w:val="000000"/>
          <w:sz w:val="20"/>
          <w:szCs w:val="20"/>
        </w:rPr>
        <w:t xml:space="preserve"> Skatīt arī spriedumu</w:t>
      </w:r>
      <w:r w:rsidRPr="006E6B10">
        <w:rPr>
          <w:rFonts w:ascii="Times New Roman" w:hAnsi="Times New Roman" w:cs="Times New Roman"/>
          <w:color w:val="0000FF"/>
          <w:sz w:val="20"/>
          <w:szCs w:val="20"/>
        </w:rPr>
        <w:t xml:space="preserve"> </w:t>
      </w:r>
      <w:r w:rsidRPr="006E6B10">
        <w:rPr>
          <w:rFonts w:ascii="Times New Roman" w:hAnsi="Times New Roman" w:cs="Times New Roman"/>
          <w:color w:val="000000"/>
          <w:sz w:val="20"/>
          <w:szCs w:val="20"/>
        </w:rPr>
        <w:t xml:space="preserve">lietā C-126/01 </w:t>
      </w:r>
      <w:r w:rsidRPr="006E6B10">
        <w:rPr>
          <w:rFonts w:ascii="Times New Roman" w:hAnsi="Times New Roman" w:cs="Times New Roman"/>
          <w:i/>
          <w:iCs/>
          <w:color w:val="000000"/>
          <w:sz w:val="20"/>
          <w:szCs w:val="20"/>
        </w:rPr>
        <w:t>Ministère de l'Economie, des Finances et de l'Industrie / GEMO</w:t>
      </w:r>
      <w:r w:rsidRPr="006E6B10">
        <w:rPr>
          <w:rFonts w:ascii="Times New Roman" w:hAnsi="Times New Roman" w:cs="Times New Roman"/>
          <w:color w:val="000000"/>
          <w:sz w:val="20"/>
          <w:szCs w:val="20"/>
        </w:rPr>
        <w:t xml:space="preserve">, </w:t>
      </w:r>
      <w:r w:rsidRPr="006E6B10">
        <w:rPr>
          <w:rFonts w:ascii="Times New Roman" w:hAnsi="Times New Roman" w:cs="Times New Roman"/>
          <w:i/>
          <w:iCs/>
          <w:color w:val="000000"/>
          <w:sz w:val="20"/>
          <w:szCs w:val="20"/>
        </w:rPr>
        <w:t xml:space="preserve">Recueil </w:t>
      </w:r>
      <w:r w:rsidRPr="006E6B10">
        <w:rPr>
          <w:rFonts w:ascii="Times New Roman" w:hAnsi="Times New Roman" w:cs="Times New Roman"/>
          <w:color w:val="000000"/>
          <w:sz w:val="20"/>
          <w:szCs w:val="20"/>
        </w:rPr>
        <w:t>2003, I-13769. lpp.</w:t>
      </w:r>
    </w:p>
  </w:footnote>
  <w:footnote w:id="13">
    <w:p w14:paraId="0F4B48B3" w14:textId="77777777" w:rsidR="00431DF4" w:rsidRPr="006E6B10" w:rsidRDefault="00431DF4" w:rsidP="002D71D2">
      <w:pPr>
        <w:autoSpaceDE w:val="0"/>
        <w:autoSpaceDN w:val="0"/>
        <w:adjustRightInd w:val="0"/>
        <w:rPr>
          <w:rFonts w:ascii="Times New Roman" w:hAnsi="Times New Roman" w:cs="Times New Roman"/>
          <w:color w:val="000000"/>
          <w:sz w:val="20"/>
          <w:szCs w:val="20"/>
        </w:rPr>
      </w:pPr>
      <w:r w:rsidRPr="006E6B10">
        <w:rPr>
          <w:rStyle w:val="FootnoteReference"/>
          <w:rFonts w:ascii="Times New Roman" w:hAnsi="Times New Roman" w:cs="Times New Roman"/>
          <w:sz w:val="20"/>
          <w:szCs w:val="20"/>
        </w:rPr>
        <w:footnoteRef/>
      </w:r>
      <w:r w:rsidRPr="006E6B10">
        <w:rPr>
          <w:rFonts w:ascii="Times New Roman" w:hAnsi="Times New Roman" w:cs="Times New Roman"/>
          <w:sz w:val="20"/>
          <w:szCs w:val="20"/>
        </w:rPr>
        <w:t xml:space="preserve"> </w:t>
      </w:r>
      <w:r w:rsidRPr="006E6B10">
        <w:rPr>
          <w:rFonts w:ascii="Times New Roman" w:hAnsi="Times New Roman" w:cs="Times New Roman"/>
          <w:color w:val="000000"/>
          <w:sz w:val="20"/>
          <w:szCs w:val="20"/>
        </w:rPr>
        <w:t xml:space="preserve">Komisijas lēmums par valsts atbalstu Nr. C 28/1998 — Itālija — </w:t>
      </w:r>
      <w:r w:rsidRPr="006E6B10">
        <w:rPr>
          <w:rFonts w:ascii="Times New Roman" w:hAnsi="Times New Roman" w:cs="Times New Roman"/>
          <w:i/>
          <w:iCs/>
          <w:color w:val="000000"/>
          <w:sz w:val="20"/>
          <w:szCs w:val="20"/>
        </w:rPr>
        <w:t>Centrale del Latte di Roma</w:t>
      </w:r>
      <w:r w:rsidRPr="006E6B10">
        <w:rPr>
          <w:rFonts w:ascii="Times New Roman" w:hAnsi="Times New Roman" w:cs="Times New Roman"/>
          <w:color w:val="000000"/>
          <w:sz w:val="20"/>
          <w:szCs w:val="20"/>
        </w:rPr>
        <w:t>,</w:t>
      </w:r>
    </w:p>
    <w:p w14:paraId="282FB3AC" w14:textId="730AC269" w:rsidR="00431DF4" w:rsidRPr="006E6B10" w:rsidRDefault="00431DF4" w:rsidP="002D71D2">
      <w:pPr>
        <w:autoSpaceDE w:val="0"/>
        <w:autoSpaceDN w:val="0"/>
        <w:adjustRightInd w:val="0"/>
        <w:rPr>
          <w:rFonts w:ascii="Times New Roman" w:hAnsi="Times New Roman" w:cs="Times New Roman"/>
          <w:color w:val="000000"/>
          <w:sz w:val="20"/>
          <w:szCs w:val="20"/>
        </w:rPr>
      </w:pPr>
      <w:r w:rsidRPr="006E6B10">
        <w:rPr>
          <w:rFonts w:ascii="Times New Roman" w:hAnsi="Times New Roman" w:cs="Times New Roman"/>
          <w:color w:val="000000"/>
          <w:sz w:val="20"/>
          <w:szCs w:val="20"/>
        </w:rPr>
        <w:t xml:space="preserve">OV L 265, 19.10.2000., </w:t>
      </w:r>
      <w:hyperlink r:id="rId7" w:history="1">
        <w:r w:rsidRPr="006E6B10">
          <w:rPr>
            <w:rStyle w:val="Hyperlink"/>
            <w:rFonts w:ascii="Times New Roman" w:hAnsi="Times New Roman" w:cs="Times New Roman"/>
            <w:sz w:val="20"/>
            <w:szCs w:val="20"/>
          </w:rPr>
          <w:t>http://eurlex.europa.eu/LexUriServ/LexUriServ.do?uri=OJ:L:2000:265:0015:0028:EN:PDF</w:t>
        </w:r>
      </w:hyperlink>
      <w:r w:rsidRPr="006E6B10">
        <w:rPr>
          <w:rFonts w:ascii="Times New Roman" w:hAnsi="Times New Roman" w:cs="Times New Roman"/>
          <w:color w:val="000000"/>
          <w:sz w:val="20"/>
          <w:szCs w:val="20"/>
        </w:rPr>
        <w:t>.</w:t>
      </w:r>
    </w:p>
  </w:footnote>
  <w:footnote w:id="14">
    <w:p w14:paraId="7FFB6C31" w14:textId="2B84F8CC" w:rsidR="00431DF4" w:rsidRPr="006E6B10" w:rsidRDefault="00431DF4" w:rsidP="002D71D2">
      <w:pPr>
        <w:autoSpaceDE w:val="0"/>
        <w:autoSpaceDN w:val="0"/>
        <w:adjustRightInd w:val="0"/>
        <w:rPr>
          <w:rFonts w:ascii="Times New Roman" w:hAnsi="Times New Roman" w:cs="Times New Roman"/>
          <w:color w:val="000000"/>
          <w:sz w:val="20"/>
          <w:szCs w:val="20"/>
        </w:rPr>
      </w:pPr>
      <w:r w:rsidRPr="006E6B10">
        <w:rPr>
          <w:rStyle w:val="FootnoteReference"/>
          <w:rFonts w:ascii="Times New Roman" w:hAnsi="Times New Roman" w:cs="Times New Roman"/>
          <w:sz w:val="20"/>
          <w:szCs w:val="20"/>
        </w:rPr>
        <w:footnoteRef/>
      </w:r>
      <w:r w:rsidRPr="006E6B10">
        <w:rPr>
          <w:rFonts w:ascii="Times New Roman" w:hAnsi="Times New Roman" w:cs="Times New Roman"/>
          <w:sz w:val="20"/>
          <w:szCs w:val="20"/>
        </w:rPr>
        <w:t xml:space="preserve"> </w:t>
      </w:r>
      <w:r w:rsidRPr="006E6B10">
        <w:rPr>
          <w:rFonts w:ascii="Times New Roman" w:hAnsi="Times New Roman" w:cs="Times New Roman"/>
          <w:color w:val="000000"/>
          <w:sz w:val="20"/>
          <w:szCs w:val="20"/>
        </w:rPr>
        <w:t xml:space="preserve">Komisijas lēmums par valsts atbalstu Nr. N 890/2006 — Francija — </w:t>
      </w:r>
      <w:r w:rsidRPr="006E6B10">
        <w:rPr>
          <w:rFonts w:ascii="Times New Roman" w:hAnsi="Times New Roman" w:cs="Times New Roman"/>
          <w:i/>
          <w:iCs/>
          <w:color w:val="000000"/>
          <w:sz w:val="20"/>
          <w:szCs w:val="20"/>
        </w:rPr>
        <w:t>SICOVAL</w:t>
      </w:r>
      <w:r w:rsidRPr="006E6B10">
        <w:rPr>
          <w:rFonts w:ascii="Times New Roman" w:hAnsi="Times New Roman" w:cs="Times New Roman"/>
          <w:color w:val="000000"/>
          <w:sz w:val="20"/>
          <w:szCs w:val="20"/>
        </w:rPr>
        <w:t xml:space="preserve">, </w:t>
      </w:r>
      <w:hyperlink r:id="rId8" w:history="1">
        <w:r w:rsidRPr="006E6B10">
          <w:rPr>
            <w:rStyle w:val="Hyperlink"/>
            <w:rFonts w:ascii="Times New Roman" w:hAnsi="Times New Roman" w:cs="Times New Roman"/>
            <w:sz w:val="20"/>
            <w:szCs w:val="20"/>
          </w:rPr>
          <w:t>http://ec.europa.eu/competition/state_aid/cases/218142/218142_723454_30_2.pdf</w:t>
        </w:r>
      </w:hyperlink>
      <w:r w:rsidRPr="006E6B10">
        <w:rPr>
          <w:rFonts w:ascii="Times New Roman" w:hAnsi="Times New Roman" w:cs="Times New Roman"/>
          <w:color w:val="000000"/>
          <w:sz w:val="20"/>
          <w:szCs w:val="20"/>
        </w:rPr>
        <w:t xml:space="preserve">; Komisijas lēmums valsts atbalstu Nr. N 284/2005 — Īrija — </w:t>
      </w:r>
      <w:r w:rsidRPr="006E6B10">
        <w:rPr>
          <w:rFonts w:ascii="Times New Roman" w:hAnsi="Times New Roman" w:cs="Times New Roman"/>
          <w:i/>
          <w:iCs/>
          <w:color w:val="000000"/>
          <w:sz w:val="20"/>
          <w:szCs w:val="20"/>
        </w:rPr>
        <w:t>Metropolitan Area Networks</w:t>
      </w:r>
      <w:r w:rsidRPr="006E6B10">
        <w:rPr>
          <w:rFonts w:ascii="Times New Roman" w:hAnsi="Times New Roman" w:cs="Times New Roman"/>
          <w:color w:val="000000"/>
          <w:sz w:val="20"/>
          <w:szCs w:val="20"/>
        </w:rPr>
        <w:t>,</w:t>
      </w:r>
      <w:hyperlink r:id="rId9" w:history="1">
        <w:r w:rsidRPr="006E6B10">
          <w:rPr>
            <w:rStyle w:val="Hyperlink"/>
            <w:rFonts w:ascii="Times New Roman" w:hAnsi="Times New Roman" w:cs="Times New Roman"/>
            <w:sz w:val="20"/>
            <w:szCs w:val="20"/>
          </w:rPr>
          <w:t>http://ec.europa.eu/competition/state_aid/cases/199656/199656_581678_68_2.pdf</w:t>
        </w:r>
      </w:hyperlink>
      <w:r w:rsidRPr="006E6B10">
        <w:rPr>
          <w:rFonts w:ascii="Times New Roman" w:hAnsi="Times New Roman" w:cs="Times New Roman"/>
          <w:color w:val="000000"/>
          <w:sz w:val="20"/>
          <w:szCs w:val="20"/>
        </w:rPr>
        <w:t>.</w:t>
      </w:r>
    </w:p>
  </w:footnote>
  <w:footnote w:id="15">
    <w:p w14:paraId="6B72859D" w14:textId="77777777" w:rsidR="00431DF4" w:rsidRPr="006E6B10" w:rsidRDefault="00431DF4" w:rsidP="002D71D2">
      <w:pPr>
        <w:pStyle w:val="FootnoteText"/>
        <w:spacing w:after="120"/>
        <w:rPr>
          <w:rFonts w:ascii="Times New Roman" w:hAnsi="Times New Roman" w:cs="Times New Roman"/>
        </w:rPr>
      </w:pPr>
      <w:r w:rsidRPr="006E6B10">
        <w:rPr>
          <w:rStyle w:val="FootnoteReference"/>
          <w:rFonts w:ascii="Times New Roman" w:hAnsi="Times New Roman" w:cs="Times New Roman"/>
        </w:rPr>
        <w:footnoteRef/>
      </w:r>
      <w:r w:rsidRPr="006E6B10">
        <w:rPr>
          <w:rFonts w:ascii="Times New Roman" w:hAnsi="Times New Roman" w:cs="Times New Roman"/>
        </w:rPr>
        <w:t xml:space="preserve"> </w:t>
      </w:r>
      <w:r w:rsidRPr="006E6B10">
        <w:rPr>
          <w:rFonts w:ascii="Times New Roman" w:hAnsi="Times New Roman" w:cs="Times New Roman"/>
          <w:i/>
        </w:rPr>
        <w:t xml:space="preserve">Eiropas komisijas rokasgrāmatas par Eiropas Savienības valsts atbalsta, publiskā iepirkuma un iekšējā tirgus noteikumu piemērošanu vispārējas tautsaimnieciskas nozīmes pakalpojumiem un jo īpaši vispārējas nozīmes sociālajiem pakalpojumiem  10. jautājums </w:t>
      </w:r>
      <w:hyperlink r:id="rId10" w:history="1">
        <w:r w:rsidRPr="006E6B10">
          <w:rPr>
            <w:rStyle w:val="Hyperlink"/>
            <w:rFonts w:ascii="Times New Roman" w:hAnsi="Times New Roman" w:cs="Times New Roman"/>
            <w:i/>
          </w:rPr>
          <w:t>http://ec.europa.eu/competition/state_aid/overview/new_guide_eu_rules_procurement_lv.pdf</w:t>
        </w:r>
      </w:hyperlink>
    </w:p>
  </w:footnote>
  <w:footnote w:id="16">
    <w:p w14:paraId="50A242E8" w14:textId="77777777" w:rsidR="00431DF4" w:rsidRPr="006E6B10" w:rsidRDefault="00431DF4" w:rsidP="002D71D2">
      <w:pPr>
        <w:pStyle w:val="FootnoteText"/>
        <w:spacing w:after="120"/>
        <w:jc w:val="both"/>
        <w:rPr>
          <w:rFonts w:ascii="Times New Roman" w:hAnsi="Times New Roman" w:cs="Times New Roman"/>
          <w:i/>
        </w:rPr>
      </w:pPr>
      <w:r w:rsidRPr="006E6B10">
        <w:rPr>
          <w:rStyle w:val="FootnoteReference"/>
          <w:rFonts w:ascii="Times New Roman" w:hAnsi="Times New Roman" w:cs="Times New Roman"/>
          <w:i/>
        </w:rPr>
        <w:footnoteRef/>
      </w:r>
      <w:r w:rsidRPr="006E6B10">
        <w:rPr>
          <w:rFonts w:ascii="Times New Roman" w:hAnsi="Times New Roman" w:cs="Times New Roman"/>
          <w:i/>
        </w:rPr>
        <w:t xml:space="preserve"> Lieta C-280/00, Altmark Trans and Regierungspräsidium Magdeburg v Nahverkehrsgesellschaft Altmark, Krājums 2003, I-7747. lpp., kā arī šie kritēriji ietverti Komisijas 2011.gada 20.decembra lēmumā Nr.2012/21/ES par Līguma par Eiropas Savienības darbību 106.panta 2.punkta piemērošanu valsts atbalstam attiecībā uz kompensāciju par sabiedriskajiem pakalpojumiem dažiem uzņēmumiem, kuriem uzticēts sniegt pakalpojumus ar vispārēju tautsaimniecisku nozīmi (publicēts ES Oficiālajā Vēstnesī 11.01.2012, L7, 3.-7.lpp.)</w:t>
      </w:r>
    </w:p>
  </w:footnote>
  <w:footnote w:id="17">
    <w:p w14:paraId="7BEDAB73" w14:textId="66E3FEAA" w:rsidR="00431DF4" w:rsidRPr="006E6B10" w:rsidRDefault="00431DF4" w:rsidP="002D71D2">
      <w:pPr>
        <w:pStyle w:val="FootnoteText"/>
        <w:spacing w:after="120"/>
        <w:rPr>
          <w:rFonts w:ascii="Times New Roman" w:hAnsi="Times New Roman" w:cs="Times New Roman"/>
          <w:i/>
        </w:rPr>
      </w:pPr>
      <w:r w:rsidRPr="006E6B10">
        <w:rPr>
          <w:rStyle w:val="FootnoteReference"/>
          <w:rFonts w:ascii="Times New Roman" w:hAnsi="Times New Roman" w:cs="Times New Roman"/>
          <w:i/>
        </w:rPr>
        <w:footnoteRef/>
      </w:r>
      <w:r w:rsidRPr="006E6B10">
        <w:rPr>
          <w:rFonts w:ascii="Times New Roman" w:hAnsi="Times New Roman" w:cs="Times New Roman"/>
          <w:i/>
        </w:rPr>
        <w:t xml:space="preserve"> </w:t>
      </w:r>
      <w:hyperlink r:id="rId11" w:history="1">
        <w:r w:rsidRPr="006E6B10">
          <w:rPr>
            <w:rStyle w:val="Hyperlink"/>
            <w:rFonts w:ascii="Times New Roman" w:hAnsi="Times New Roman" w:cs="Times New Roman"/>
            <w:i/>
            <w:shd w:val="clear" w:color="auto" w:fill="FFFFFF"/>
          </w:rPr>
          <w:t>OV C 8, 11.1.2012.,</w:t>
        </w:r>
      </w:hyperlink>
    </w:p>
  </w:footnote>
  <w:footnote w:id="18">
    <w:p w14:paraId="279D733E" w14:textId="6A27C3C5" w:rsidR="00431DF4" w:rsidRPr="006E6B10" w:rsidRDefault="00431DF4" w:rsidP="002D71D2">
      <w:pPr>
        <w:pStyle w:val="FootnoteText"/>
        <w:spacing w:after="120"/>
        <w:rPr>
          <w:rFonts w:ascii="Times New Roman" w:hAnsi="Times New Roman" w:cs="Times New Roman"/>
        </w:rPr>
      </w:pPr>
      <w:r w:rsidRPr="006E6B10">
        <w:rPr>
          <w:rStyle w:val="FootnoteReference"/>
          <w:rFonts w:ascii="Times New Roman" w:hAnsi="Times New Roman" w:cs="Times New Roman"/>
        </w:rPr>
        <w:footnoteRef/>
      </w:r>
      <w:r w:rsidRPr="006E6B10">
        <w:rPr>
          <w:rFonts w:ascii="Times New Roman" w:hAnsi="Times New Roman" w:cs="Times New Roman"/>
        </w:rPr>
        <w:t xml:space="preserve"> </w:t>
      </w:r>
      <w:hyperlink r:id="rId12" w:history="1">
        <w:r w:rsidRPr="006E6B10">
          <w:rPr>
            <w:rStyle w:val="Hyperlink"/>
            <w:rFonts w:ascii="Times New Roman" w:hAnsi="Times New Roman" w:cs="Times New Roman"/>
          </w:rPr>
          <w:t>http://eur-lex.europa.eu/legal-content/LV/ALL/?uri=CELEX:32012D0021</w:t>
        </w:r>
      </w:hyperlink>
    </w:p>
  </w:footnote>
  <w:footnote w:id="19">
    <w:p w14:paraId="7C57A110" w14:textId="7CF4E531" w:rsidR="00431DF4" w:rsidRPr="006E6B10" w:rsidRDefault="00431DF4" w:rsidP="002D71D2">
      <w:pPr>
        <w:pStyle w:val="FootnoteText"/>
        <w:spacing w:after="120"/>
        <w:rPr>
          <w:rFonts w:ascii="Times New Roman" w:hAnsi="Times New Roman" w:cs="Times New Roman"/>
        </w:rPr>
      </w:pPr>
      <w:r w:rsidRPr="006E6B10">
        <w:rPr>
          <w:rStyle w:val="FootnoteReference"/>
          <w:rFonts w:ascii="Times New Roman" w:hAnsi="Times New Roman" w:cs="Times New Roman"/>
        </w:rPr>
        <w:footnoteRef/>
      </w:r>
      <w:r w:rsidRPr="006E6B10">
        <w:rPr>
          <w:rFonts w:ascii="Times New Roman" w:hAnsi="Times New Roman" w:cs="Times New Roman"/>
        </w:rPr>
        <w:t xml:space="preserve"> </w:t>
      </w:r>
      <w:hyperlink r:id="rId13" w:history="1">
        <w:r w:rsidRPr="006E6B10">
          <w:rPr>
            <w:rStyle w:val="Hyperlink"/>
            <w:rFonts w:ascii="Times New Roman" w:hAnsi="Times New Roman" w:cs="Times New Roman"/>
          </w:rPr>
          <w:t>http://eur-lex.europa.eu/legal-content/LV/ALL/?uri=CELEX:52012XC0111(03)</w:t>
        </w:r>
      </w:hyperlink>
    </w:p>
  </w:footnote>
  <w:footnote w:id="20">
    <w:p w14:paraId="67D74D91" w14:textId="77777777" w:rsidR="00431DF4" w:rsidRPr="006E6B10" w:rsidRDefault="00431DF4" w:rsidP="002D71D2">
      <w:pPr>
        <w:pStyle w:val="FootnoteText"/>
        <w:spacing w:after="120"/>
        <w:jc w:val="both"/>
        <w:rPr>
          <w:rFonts w:ascii="Times New Roman" w:hAnsi="Times New Roman" w:cs="Times New Roman"/>
          <w:i/>
        </w:rPr>
      </w:pPr>
      <w:r w:rsidRPr="006E6B10">
        <w:rPr>
          <w:rStyle w:val="FootnoteReference"/>
          <w:rFonts w:ascii="Times New Roman" w:hAnsi="Times New Roman" w:cs="Times New Roman"/>
          <w:i/>
        </w:rPr>
        <w:footnoteRef/>
      </w:r>
      <w:r w:rsidRPr="006E6B10">
        <w:rPr>
          <w:rFonts w:ascii="Times New Roman" w:hAnsi="Times New Roman" w:cs="Times New Roman"/>
          <w:i/>
        </w:rPr>
        <w:t xml:space="preserve"> Lieta C 3/2008 (ex NN 102/2005) – Čehija – sabiedrisko pakalpojumu kompensācijas Dienvidmorāvijas autobusu uzņēmumiem, OV L 97, 16.4.2009</w:t>
      </w:r>
    </w:p>
  </w:footnote>
  <w:footnote w:id="21">
    <w:p w14:paraId="4264A4B6" w14:textId="77777777" w:rsidR="00431DF4" w:rsidRPr="006E6B10" w:rsidRDefault="00431DF4" w:rsidP="002D71D2">
      <w:pPr>
        <w:pStyle w:val="FootnoteText"/>
        <w:spacing w:after="120"/>
        <w:rPr>
          <w:rFonts w:ascii="Times New Roman" w:hAnsi="Times New Roman" w:cs="Times New Roman"/>
        </w:rPr>
      </w:pPr>
      <w:r w:rsidRPr="006E6B10">
        <w:rPr>
          <w:rStyle w:val="FootnoteReference"/>
          <w:rFonts w:ascii="Times New Roman" w:hAnsi="Times New Roman" w:cs="Times New Roman"/>
        </w:rPr>
        <w:footnoteRef/>
      </w:r>
      <w:r w:rsidRPr="006E6B10">
        <w:rPr>
          <w:rFonts w:ascii="Times New Roman" w:hAnsi="Times New Roman" w:cs="Times New Roman"/>
        </w:rPr>
        <w:t xml:space="preserve"> </w:t>
      </w:r>
      <w:hyperlink r:id="rId14" w:history="1">
        <w:r w:rsidRPr="006E6B10">
          <w:rPr>
            <w:rStyle w:val="Hyperlink"/>
            <w:rFonts w:ascii="Times New Roman" w:hAnsi="Times New Roman" w:cs="Times New Roman"/>
          </w:rPr>
          <w:t>http://eur-lex.europa.eu/legal-content/LV/ALL/?uri=CELEX:52012XC0111(02)</w:t>
        </w:r>
      </w:hyperlink>
      <w:r w:rsidRPr="006E6B10">
        <w:rPr>
          <w:rFonts w:ascii="Times New Roman" w:hAnsi="Times New Roman" w:cs="Times New Roman"/>
        </w:rPr>
        <w:t xml:space="preserve"> </w:t>
      </w:r>
    </w:p>
    <w:p w14:paraId="2A0FB95A" w14:textId="77777777" w:rsidR="00431DF4" w:rsidRPr="006E6B10" w:rsidRDefault="00431DF4" w:rsidP="002D71D2">
      <w:pPr>
        <w:pStyle w:val="FootnoteText"/>
        <w:spacing w:after="120"/>
        <w:rPr>
          <w:rFonts w:ascii="Times New Roman" w:hAnsi="Times New Roman" w:cs="Times New Roman"/>
        </w:rPr>
      </w:pPr>
    </w:p>
  </w:footnote>
  <w:footnote w:id="22">
    <w:p w14:paraId="6BB475AB" w14:textId="6826C49B" w:rsidR="00431DF4" w:rsidRPr="006E6B10" w:rsidRDefault="00431DF4" w:rsidP="002D71D2">
      <w:pPr>
        <w:pStyle w:val="FootnoteText"/>
        <w:spacing w:after="120"/>
        <w:rPr>
          <w:rFonts w:ascii="Times New Roman" w:hAnsi="Times New Roman" w:cs="Times New Roman"/>
        </w:rPr>
      </w:pPr>
      <w:r w:rsidRPr="006E6B10">
        <w:rPr>
          <w:rStyle w:val="FootnoteReference"/>
          <w:rFonts w:ascii="Times New Roman" w:hAnsi="Times New Roman" w:cs="Times New Roman"/>
        </w:rPr>
        <w:footnoteRef/>
      </w:r>
      <w:r w:rsidRPr="006E6B10">
        <w:rPr>
          <w:rFonts w:ascii="Times New Roman" w:hAnsi="Times New Roman" w:cs="Times New Roman"/>
        </w:rPr>
        <w:t xml:space="preserve"> </w:t>
      </w:r>
      <w:hyperlink r:id="rId15" w:history="1">
        <w:r w:rsidR="00356FF1">
          <w:rPr>
            <w:rStyle w:val="Hyperlink"/>
            <w:rFonts w:ascii="Times New Roman" w:hAnsi="Times New Roman" w:cs="Times New Roman"/>
          </w:rPr>
          <w:t>https://eur-lex.europa.eu/legal-content/LV/TXT/HTML/?uri=OJ:L_202302832</w:t>
        </w:r>
      </w:hyperlink>
    </w:p>
  </w:footnote>
  <w:footnote w:id="23">
    <w:p w14:paraId="18A4BB20" w14:textId="35D34324" w:rsidR="00431DF4" w:rsidRPr="006E6B10" w:rsidRDefault="00431DF4" w:rsidP="002D71D2">
      <w:pPr>
        <w:pStyle w:val="FootnoteText"/>
        <w:spacing w:after="120"/>
        <w:jc w:val="both"/>
        <w:rPr>
          <w:rFonts w:ascii="Times New Roman" w:hAnsi="Times New Roman" w:cs="Times New Roman"/>
          <w:i/>
        </w:rPr>
      </w:pPr>
      <w:r w:rsidRPr="006E6B10">
        <w:rPr>
          <w:rStyle w:val="FootnoteReference"/>
          <w:rFonts w:ascii="Times New Roman" w:hAnsi="Times New Roman" w:cs="Times New Roman"/>
          <w:i/>
        </w:rPr>
        <w:footnoteRef/>
      </w:r>
      <w:r w:rsidRPr="006E6B10">
        <w:rPr>
          <w:rFonts w:ascii="Times New Roman" w:hAnsi="Times New Roman" w:cs="Times New Roman"/>
          <w:i/>
        </w:rPr>
        <w:t xml:space="preserve"> Komisijas paziņojums par valsts atbalsta noteikumu piemērošanu sabiedriskajai apraidei (Dokuments attiecas uz EEZ) (2009/C 257/01) </w:t>
      </w:r>
      <w:hyperlink r:id="rId16" w:history="1">
        <w:r w:rsidRPr="006E6B10">
          <w:rPr>
            <w:rStyle w:val="Hyperlink"/>
            <w:rFonts w:ascii="Times New Roman" w:hAnsi="Times New Roman" w:cs="Times New Roman"/>
            <w:i/>
          </w:rPr>
          <w:t>http://eur-lex.europa.eu/legal-content/LV/TXT/PDF/?uri=CELEX:52009XC1027(01)&amp;from=EN</w:t>
        </w:r>
      </w:hyperlink>
      <w:r w:rsidRPr="006E6B10">
        <w:rPr>
          <w:rFonts w:ascii="Times New Roman" w:hAnsi="Times New Roman" w:cs="Times New Roman"/>
          <w:i/>
        </w:rPr>
        <w:t xml:space="preserve"> </w:t>
      </w:r>
    </w:p>
  </w:footnote>
  <w:footnote w:id="24">
    <w:p w14:paraId="02AB7F1D" w14:textId="0FCAD062" w:rsidR="00431DF4" w:rsidRPr="006E6B10" w:rsidRDefault="00431DF4" w:rsidP="002D71D2">
      <w:pPr>
        <w:pStyle w:val="FootnoteText"/>
        <w:spacing w:after="120"/>
        <w:jc w:val="both"/>
        <w:rPr>
          <w:rFonts w:ascii="Times New Roman" w:hAnsi="Times New Roman" w:cs="Times New Roman"/>
          <w:i/>
        </w:rPr>
      </w:pPr>
      <w:r w:rsidRPr="006E6B10">
        <w:rPr>
          <w:rStyle w:val="FootnoteReference"/>
          <w:rFonts w:ascii="Times New Roman" w:hAnsi="Times New Roman" w:cs="Times New Roman"/>
          <w:i/>
        </w:rPr>
        <w:footnoteRef/>
      </w:r>
      <w:r w:rsidRPr="006E6B10">
        <w:rPr>
          <w:rFonts w:ascii="Times New Roman" w:hAnsi="Times New Roman" w:cs="Times New Roman"/>
          <w:i/>
        </w:rPr>
        <w:t xml:space="preserve"> Komisijas Paziņojums par konkurences noteikumu piemērošanu pasta pakalpojumu nozarē un par dažu ar pasta pakalpojumiem saistītu valsts pasākumu novērtējumu (98/C 39/02) </w:t>
      </w:r>
      <w:hyperlink r:id="rId17" w:history="1">
        <w:r w:rsidRPr="006E6B10">
          <w:rPr>
            <w:rStyle w:val="Hyperlink"/>
            <w:rFonts w:ascii="Times New Roman" w:hAnsi="Times New Roman" w:cs="Times New Roman"/>
            <w:i/>
          </w:rPr>
          <w:t>http://eur-lex.europa.eu/legal-content/LV/TXT/PDF/?uri=CELEX:31998Y0206(01)&amp;from=EN</w:t>
        </w:r>
      </w:hyperlink>
      <w:r w:rsidRPr="006E6B10">
        <w:rPr>
          <w:rFonts w:ascii="Times New Roman" w:hAnsi="Times New Roman" w:cs="Times New Roman"/>
          <w:i/>
        </w:rPr>
        <w:t xml:space="preserve"> </w:t>
      </w:r>
    </w:p>
  </w:footnote>
  <w:footnote w:id="25">
    <w:p w14:paraId="08382FC4" w14:textId="581682C6" w:rsidR="00431DF4" w:rsidRPr="006E6B10" w:rsidRDefault="00431DF4" w:rsidP="002D71D2">
      <w:pPr>
        <w:pStyle w:val="FootnoteText"/>
        <w:spacing w:after="120"/>
        <w:jc w:val="both"/>
        <w:rPr>
          <w:rFonts w:ascii="Times New Roman" w:hAnsi="Times New Roman" w:cs="Times New Roman"/>
          <w:i/>
        </w:rPr>
      </w:pPr>
      <w:r w:rsidRPr="006E6B10">
        <w:rPr>
          <w:rStyle w:val="FootnoteReference"/>
          <w:rFonts w:ascii="Times New Roman" w:hAnsi="Times New Roman" w:cs="Times New Roman"/>
          <w:i/>
        </w:rPr>
        <w:footnoteRef/>
      </w:r>
      <w:r w:rsidRPr="006E6B10">
        <w:rPr>
          <w:rFonts w:ascii="Times New Roman" w:hAnsi="Times New Roman" w:cs="Times New Roman"/>
          <w:i/>
        </w:rPr>
        <w:t xml:space="preserve"> EK regula Nr. 1370/2007 (2007. gada 23. oktobris) par sabiedriskā pasažieru transporta pakalpojumiem, izmantojot dzelzceļu un autoceļus, un ar ko atceļ Padomes Regulu (EEK) Nr. 1191/69 un Padomes Regulu (EEK) Nr. 1107/70 </w:t>
      </w:r>
      <w:hyperlink r:id="rId18" w:history="1">
        <w:r w:rsidRPr="006E6B10">
          <w:rPr>
            <w:rStyle w:val="Hyperlink"/>
            <w:rFonts w:ascii="Times New Roman" w:hAnsi="Times New Roman" w:cs="Times New Roman"/>
            <w:i/>
          </w:rPr>
          <w:t>http://eur-lex.europa.eu/legal-content/LV/TXT/PDF/?uri=CELEX:32007R1370&amp;from=EN</w:t>
        </w:r>
      </w:hyperlink>
      <w:r w:rsidRPr="006E6B10">
        <w:rPr>
          <w:rFonts w:ascii="Times New Roman" w:hAnsi="Times New Roman" w:cs="Times New Roman"/>
          <w:i/>
        </w:rPr>
        <w:t xml:space="preserve"> </w:t>
      </w:r>
    </w:p>
  </w:footnote>
  <w:footnote w:id="26">
    <w:p w14:paraId="10D6BD70" w14:textId="4CC482EB" w:rsidR="00431DF4" w:rsidRPr="006E6B10" w:rsidRDefault="00431DF4" w:rsidP="002D71D2">
      <w:pPr>
        <w:pStyle w:val="FootnoteText"/>
        <w:spacing w:after="120"/>
        <w:jc w:val="both"/>
        <w:rPr>
          <w:rFonts w:ascii="Times New Roman" w:hAnsi="Times New Roman" w:cs="Times New Roman"/>
        </w:rPr>
      </w:pPr>
      <w:r w:rsidRPr="006E6B10">
        <w:rPr>
          <w:rStyle w:val="FootnoteReference"/>
          <w:rFonts w:ascii="Times New Roman" w:hAnsi="Times New Roman" w:cs="Times New Roman"/>
        </w:rPr>
        <w:footnoteRef/>
      </w:r>
      <w:r w:rsidRPr="006E6B10">
        <w:rPr>
          <w:rFonts w:ascii="Times New Roman" w:hAnsi="Times New Roman" w:cs="Times New Roman"/>
        </w:rPr>
        <w:t xml:space="preserve"> Piemēram </w:t>
      </w:r>
      <w:r w:rsidRPr="006E6B10">
        <w:rPr>
          <w:rFonts w:ascii="Times New Roman" w:hAnsi="Times New Roman" w:cs="Times New Roman"/>
          <w:i/>
        </w:rPr>
        <w:t xml:space="preserve">Komisijas 2011. gada 20. decembra lēmuma par Līguma par Eiropas Savienības darbību 106. panta 2. punkta piemērošanu valsts atbalstam attiecībā uz kompensāciju par sabiedriskajiem pakalpojumiem dažiem uzņēmumiem, kuriem uzticēts sniegt pakalpojumus ar vispārēju tautsaimniecisku nozīmi (2012/21/ES); OV L 7, 11.1.2012.  </w:t>
      </w:r>
      <w:r w:rsidRPr="006E6B10">
        <w:rPr>
          <w:rFonts w:ascii="Times New Roman" w:hAnsi="Times New Roman" w:cs="Times New Roman"/>
        </w:rPr>
        <w:t>5.pantā minētais</w:t>
      </w:r>
    </w:p>
  </w:footnote>
  <w:footnote w:id="27">
    <w:p w14:paraId="432D5AB1" w14:textId="69973B6D" w:rsidR="00431DF4" w:rsidRPr="006E6B10" w:rsidRDefault="00431DF4" w:rsidP="002D71D2">
      <w:pPr>
        <w:pStyle w:val="FootnoteText"/>
        <w:spacing w:after="120"/>
        <w:jc w:val="both"/>
        <w:rPr>
          <w:rFonts w:ascii="Times New Roman" w:hAnsi="Times New Roman" w:cs="Times New Roman"/>
        </w:rPr>
      </w:pPr>
      <w:r w:rsidRPr="006E6B10">
        <w:rPr>
          <w:rStyle w:val="FootnoteReference"/>
          <w:rFonts w:ascii="Times New Roman" w:hAnsi="Times New Roman" w:cs="Times New Roman"/>
        </w:rPr>
        <w:footnoteRef/>
      </w:r>
      <w:r w:rsidRPr="006E6B10">
        <w:rPr>
          <w:rFonts w:ascii="Times New Roman" w:hAnsi="Times New Roman" w:cs="Times New Roman"/>
        </w:rPr>
        <w:t xml:space="preserve"> </w:t>
      </w:r>
      <w:r w:rsidRPr="006E6B10">
        <w:rPr>
          <w:rFonts w:ascii="Times New Roman" w:hAnsi="Times New Roman" w:cs="Times New Roman"/>
          <w:i/>
        </w:rPr>
        <w:t>Komisijas dienestu darba dokuments “Rokasgrāmata par Eiropas Savienības valsts atbalsta, publiskā iepirkuma un iekšējā tirgus noteikumu piemērošanu vispārējas tautsaimnieciskas nozīmes pakalpojumiem un jo īpaši vispārējas nozīmes sociālajiem pakalpojumiem” SWD (2013) 53final/2 2013. gada 29.aprīlis 57.lpp</w:t>
      </w:r>
    </w:p>
  </w:footnote>
  <w:footnote w:id="28">
    <w:p w14:paraId="01CDCFCD" w14:textId="77777777" w:rsidR="00431DF4" w:rsidRPr="006E6B10" w:rsidRDefault="00431DF4" w:rsidP="002D71D2">
      <w:pPr>
        <w:pStyle w:val="FootnoteText"/>
        <w:spacing w:after="120"/>
        <w:rPr>
          <w:rFonts w:ascii="Times New Roman" w:hAnsi="Times New Roman" w:cs="Times New Roman"/>
        </w:rPr>
      </w:pPr>
      <w:r w:rsidRPr="006E6B10">
        <w:rPr>
          <w:rStyle w:val="FootnoteReference"/>
          <w:rFonts w:ascii="Times New Roman" w:hAnsi="Times New Roman" w:cs="Times New Roman"/>
        </w:rPr>
        <w:footnoteRef/>
      </w:r>
      <w:r w:rsidRPr="006E6B10">
        <w:rPr>
          <w:rFonts w:ascii="Times New Roman" w:hAnsi="Times New Roman" w:cs="Times New Roman"/>
        </w:rPr>
        <w:t xml:space="preserve"> </w:t>
      </w:r>
      <w:hyperlink r:id="rId19" w:history="1">
        <w:r w:rsidRPr="006E6B10">
          <w:rPr>
            <w:rStyle w:val="Hyperlink"/>
            <w:rFonts w:ascii="Times New Roman" w:hAnsi="Times New Roman" w:cs="Times New Roman"/>
          </w:rPr>
          <w:t>http://ec.europa.eu/competition/state_aid/legislation/reference_rates.html</w:t>
        </w:r>
      </w:hyperlink>
    </w:p>
    <w:p w14:paraId="6B60ECD1" w14:textId="7BB632D9" w:rsidR="00431DF4" w:rsidRPr="006E6B10" w:rsidRDefault="00431DF4" w:rsidP="002D71D2">
      <w:pPr>
        <w:pStyle w:val="FootnoteText"/>
        <w:spacing w:after="120"/>
        <w:rPr>
          <w:rFonts w:ascii="Times New Roman" w:hAnsi="Times New Roman" w:cs="Times New Roman"/>
        </w:rPr>
      </w:pPr>
    </w:p>
  </w:footnote>
  <w:footnote w:id="29">
    <w:p w14:paraId="4B017E46" w14:textId="260964B9" w:rsidR="00431DF4" w:rsidRDefault="00431DF4">
      <w:pPr>
        <w:pStyle w:val="FootnoteText"/>
      </w:pPr>
      <w:r>
        <w:rPr>
          <w:rStyle w:val="FootnoteReference"/>
        </w:rPr>
        <w:footnoteRef/>
      </w:r>
      <w:r>
        <w:t xml:space="preserve"> </w:t>
      </w:r>
      <w:hyperlink r:id="rId20" w:history="1">
        <w:r>
          <w:rPr>
            <w:rStyle w:val="Hyperlink"/>
          </w:rPr>
          <w:t>https://www.fm.gov.lv/lv/sadalas/komercdarbibas_atbalsta_kontrole/s/</w:t>
        </w:r>
      </w:hyperlink>
    </w:p>
  </w:footnote>
  <w:footnote w:id="30">
    <w:p w14:paraId="44228444" w14:textId="788F3D3E" w:rsidR="00431DF4" w:rsidRPr="006E6B10" w:rsidRDefault="00431DF4" w:rsidP="002D71D2">
      <w:pPr>
        <w:pStyle w:val="FootnoteText"/>
        <w:spacing w:after="120"/>
        <w:rPr>
          <w:rFonts w:ascii="Times New Roman" w:hAnsi="Times New Roman" w:cs="Times New Roman"/>
        </w:rPr>
      </w:pPr>
      <w:r w:rsidRPr="006E6B10">
        <w:rPr>
          <w:rStyle w:val="FootnoteReference"/>
          <w:rFonts w:ascii="Times New Roman" w:hAnsi="Times New Roman" w:cs="Times New Roman"/>
        </w:rPr>
        <w:footnoteRef/>
      </w:r>
      <w:r w:rsidRPr="006E6B10">
        <w:rPr>
          <w:rFonts w:ascii="Times New Roman" w:hAnsi="Times New Roman" w:cs="Times New Roman"/>
        </w:rPr>
        <w:t xml:space="preserve"> </w:t>
      </w:r>
      <w:hyperlink r:id="rId21" w:history="1">
        <w:r w:rsidRPr="006E6B10">
          <w:rPr>
            <w:rStyle w:val="Hyperlink"/>
            <w:rFonts w:ascii="Times New Roman" w:hAnsi="Times New Roman" w:cs="Times New Roman"/>
          </w:rPr>
          <w:t>http://ec.europa.eu/competition/state_aid/legislation/reference_rates.html</w:t>
        </w:r>
      </w:hyperlink>
    </w:p>
  </w:footnote>
  <w:footnote w:id="31">
    <w:p w14:paraId="454B5E92" w14:textId="77777777" w:rsidR="00431DF4" w:rsidRPr="006E6B10" w:rsidRDefault="00431DF4" w:rsidP="002D71D2">
      <w:pPr>
        <w:pStyle w:val="FootnoteText"/>
        <w:spacing w:after="120"/>
        <w:jc w:val="both"/>
        <w:rPr>
          <w:rFonts w:ascii="Times New Roman" w:hAnsi="Times New Roman" w:cs="Times New Roman"/>
          <w:i/>
        </w:rPr>
      </w:pPr>
      <w:r w:rsidRPr="006E6B10">
        <w:rPr>
          <w:rStyle w:val="FootnoteReference"/>
          <w:rFonts w:ascii="Times New Roman" w:hAnsi="Times New Roman" w:cs="Times New Roman"/>
          <w:i/>
        </w:rPr>
        <w:footnoteRef/>
      </w:r>
      <w:r w:rsidRPr="006E6B10">
        <w:rPr>
          <w:rFonts w:ascii="Times New Roman" w:hAnsi="Times New Roman" w:cs="Times New Roman"/>
          <w:i/>
        </w:rPr>
        <w:t xml:space="preserve"> Eiropas komisijas rokasgrāmata par Eiropas Savienības valsts atbalsta, publiskā iepirkuma un iekšējā tirgus noteikumu piemērošanu vispārējas tautsaimnieciskas nozīmes pakalpojumiem un jo īpaši vispārējas nozīmes sociālajiem pakalpojumiem  </w:t>
      </w:r>
      <w:hyperlink r:id="rId22" w:history="1">
        <w:r w:rsidRPr="006E6B10">
          <w:rPr>
            <w:rStyle w:val="Hyperlink"/>
            <w:rFonts w:ascii="Times New Roman" w:hAnsi="Times New Roman" w:cs="Times New Roman"/>
            <w:i/>
          </w:rPr>
          <w:t>http://ec.europa.eu/competition/state_aid/overview/new_guide_eu_rules_procurement_lv.pdf</w:t>
        </w:r>
      </w:hyperlink>
      <w:r w:rsidRPr="006E6B10">
        <w:rPr>
          <w:rFonts w:ascii="Times New Roman" w:hAnsi="Times New Roman" w:cs="Times New Roman"/>
          <w:i/>
        </w:rPr>
        <w:t xml:space="preserve"> </w:t>
      </w:r>
    </w:p>
  </w:footnote>
  <w:footnote w:id="32">
    <w:p w14:paraId="10757BD2" w14:textId="24280D1C" w:rsidR="00431DF4" w:rsidRPr="006E6B10" w:rsidRDefault="00431DF4" w:rsidP="002D71D2">
      <w:pPr>
        <w:pStyle w:val="FootnoteText"/>
        <w:spacing w:after="120"/>
        <w:jc w:val="both"/>
        <w:rPr>
          <w:rFonts w:ascii="Times New Roman" w:hAnsi="Times New Roman" w:cs="Times New Roman"/>
          <w:i/>
        </w:rPr>
      </w:pPr>
      <w:r w:rsidRPr="006E6B10">
        <w:rPr>
          <w:rStyle w:val="FootnoteReference"/>
          <w:rFonts w:ascii="Times New Roman" w:hAnsi="Times New Roman" w:cs="Times New Roman"/>
          <w:i/>
        </w:rPr>
        <w:footnoteRef/>
      </w:r>
      <w:r w:rsidRPr="006E6B10">
        <w:rPr>
          <w:rFonts w:ascii="Times New Roman" w:hAnsi="Times New Roman" w:cs="Times New Roman"/>
          <w:i/>
        </w:rPr>
        <w:t xml:space="preserve"> Komisijas </w:t>
      </w:r>
      <w:r w:rsidR="004632AA" w:rsidRPr="006E6B10">
        <w:rPr>
          <w:rFonts w:ascii="Times New Roman" w:hAnsi="Times New Roman" w:cs="Times New Roman"/>
          <w:i/>
        </w:rPr>
        <w:t>20</w:t>
      </w:r>
      <w:r w:rsidR="004632AA">
        <w:rPr>
          <w:rFonts w:ascii="Times New Roman" w:hAnsi="Times New Roman" w:cs="Times New Roman"/>
          <w:i/>
        </w:rPr>
        <w:t>23</w:t>
      </w:r>
      <w:r w:rsidRPr="006E6B10">
        <w:rPr>
          <w:rFonts w:ascii="Times New Roman" w:hAnsi="Times New Roman" w:cs="Times New Roman"/>
          <w:i/>
        </w:rPr>
        <w:t xml:space="preserve">. gada </w:t>
      </w:r>
      <w:r w:rsidR="004632AA">
        <w:rPr>
          <w:rFonts w:ascii="Times New Roman" w:hAnsi="Times New Roman" w:cs="Times New Roman"/>
          <w:i/>
        </w:rPr>
        <w:t>13.decembra</w:t>
      </w:r>
      <w:r w:rsidRPr="006E6B10">
        <w:rPr>
          <w:rFonts w:ascii="Times New Roman" w:hAnsi="Times New Roman" w:cs="Times New Roman"/>
          <w:i/>
        </w:rPr>
        <w:t xml:space="preserve"> regulā (ES) Nr.</w:t>
      </w:r>
      <w:r w:rsidR="004632AA">
        <w:rPr>
          <w:rFonts w:ascii="Times New Roman" w:hAnsi="Times New Roman" w:cs="Times New Roman"/>
          <w:i/>
        </w:rPr>
        <w:t>2023/2832</w:t>
      </w:r>
      <w:r w:rsidRPr="006E6B10">
        <w:rPr>
          <w:rFonts w:ascii="Times New Roman" w:hAnsi="Times New Roman" w:cs="Times New Roman"/>
          <w:i/>
        </w:rPr>
        <w:t xml:space="preserve"> par Līguma par Eiropas Savienības darbību 107. un 108.panta piemērošanu de minimis atbalstam, ko piešķir uzņēmumiem, kuri sniedz pakalpojumus ar vispārēju tautsaimniecisku nozīmi </w:t>
      </w:r>
      <w:hyperlink r:id="rId23" w:history="1">
        <w:r w:rsidR="004632AA">
          <w:rPr>
            <w:rStyle w:val="Hyperlink"/>
            <w:rFonts w:ascii="Times New Roman" w:hAnsi="Times New Roman" w:cs="Times New Roman"/>
            <w:i/>
          </w:rPr>
          <w:t>https://eur-lex.europa.eu/legal-content/LV/TXT/HTML/?uri=OJ:L_202302832</w:t>
        </w:r>
      </w:hyperlink>
      <w:r w:rsidRPr="006E6B10">
        <w:rPr>
          <w:rFonts w:ascii="Times New Roman" w:hAnsi="Times New Roman" w:cs="Times New Roman"/>
          <w:i/>
        </w:rPr>
        <w:t xml:space="preserve"> </w:t>
      </w:r>
    </w:p>
  </w:footnote>
  <w:footnote w:id="33">
    <w:p w14:paraId="24BF8715" w14:textId="77777777" w:rsidR="00431DF4" w:rsidRPr="006E6B10" w:rsidRDefault="00431DF4" w:rsidP="002D71D2">
      <w:pPr>
        <w:pStyle w:val="FootnoteText"/>
        <w:spacing w:after="120"/>
        <w:jc w:val="both"/>
        <w:rPr>
          <w:rFonts w:ascii="Times New Roman" w:hAnsi="Times New Roman" w:cs="Times New Roman"/>
          <w:i/>
        </w:rPr>
      </w:pPr>
      <w:r w:rsidRPr="006E6B10">
        <w:rPr>
          <w:rStyle w:val="FootnoteReference"/>
          <w:rFonts w:ascii="Times New Roman" w:hAnsi="Times New Roman" w:cs="Times New Roman"/>
          <w:i/>
        </w:rPr>
        <w:footnoteRef/>
      </w:r>
      <w:r w:rsidRPr="006E6B10">
        <w:rPr>
          <w:rFonts w:ascii="Times New Roman" w:hAnsi="Times New Roman" w:cs="Times New Roman"/>
          <w:i/>
        </w:rPr>
        <w:t xml:space="preserve"> </w:t>
      </w:r>
      <w:hyperlink r:id="rId24" w:history="1">
        <w:r w:rsidRPr="006E6B10">
          <w:rPr>
            <w:rStyle w:val="Hyperlink"/>
            <w:rFonts w:ascii="Times New Roman" w:hAnsi="Times New Roman" w:cs="Times New Roman"/>
            <w:i/>
          </w:rPr>
          <w:t>http://likumi.lv/doc.php?id=12483</w:t>
        </w:r>
      </w:hyperlink>
      <w:r w:rsidRPr="006E6B10">
        <w:rPr>
          <w:rFonts w:ascii="Times New Roman" w:hAnsi="Times New Roman" w:cs="Times New Roman"/>
          <w:i/>
        </w:rPr>
        <w:t xml:space="preserve"> </w:t>
      </w:r>
    </w:p>
  </w:footnote>
  <w:footnote w:id="34">
    <w:p w14:paraId="29597B76" w14:textId="4B2C408D" w:rsidR="00431DF4" w:rsidRPr="006E6B10" w:rsidRDefault="00431DF4" w:rsidP="002D71D2">
      <w:pPr>
        <w:pStyle w:val="FootnoteText"/>
        <w:spacing w:after="120"/>
        <w:rPr>
          <w:rFonts w:ascii="Times New Roman" w:hAnsi="Times New Roman" w:cs="Times New Roman"/>
        </w:rPr>
      </w:pPr>
      <w:r w:rsidRPr="006E6B10">
        <w:rPr>
          <w:rStyle w:val="FootnoteReference"/>
          <w:rFonts w:ascii="Times New Roman" w:hAnsi="Times New Roman" w:cs="Times New Roman"/>
        </w:rPr>
        <w:footnoteRef/>
      </w:r>
      <w:r w:rsidRPr="006E6B10">
        <w:rPr>
          <w:rFonts w:ascii="Times New Roman" w:hAnsi="Times New Roman" w:cs="Times New Roman"/>
        </w:rPr>
        <w:t xml:space="preserve"> </w:t>
      </w:r>
      <w:hyperlink r:id="rId25" w:history="1">
        <w:r w:rsidRPr="006E6B10">
          <w:rPr>
            <w:rStyle w:val="Hyperlink"/>
            <w:rFonts w:ascii="Times New Roman" w:hAnsi="Times New Roman" w:cs="Times New Roman"/>
          </w:rPr>
          <w:t>http://eur-lex.europa.eu/legal-content/LV/ALL/?uri=CELEX:52009XC1027(01)</w:t>
        </w:r>
      </w:hyperlink>
      <w:r w:rsidRPr="006E6B10">
        <w:rPr>
          <w:rFonts w:ascii="Times New Roman" w:hAnsi="Times New Roman" w:cs="Times New Roman"/>
        </w:rPr>
        <w:t xml:space="preserve"> </w:t>
      </w:r>
    </w:p>
  </w:footnote>
  <w:footnote w:id="35">
    <w:p w14:paraId="0D4447DA" w14:textId="77777777" w:rsidR="00431DF4" w:rsidRPr="006E6B10" w:rsidRDefault="00431DF4" w:rsidP="002D71D2">
      <w:pPr>
        <w:pStyle w:val="FootnoteText"/>
        <w:spacing w:after="120"/>
        <w:rPr>
          <w:rFonts w:ascii="Times New Roman" w:hAnsi="Times New Roman" w:cs="Times New Roman"/>
          <w:i/>
        </w:rPr>
      </w:pPr>
      <w:r w:rsidRPr="006E6B10">
        <w:rPr>
          <w:rStyle w:val="FootnoteReference"/>
          <w:rFonts w:ascii="Times New Roman" w:hAnsi="Times New Roman" w:cs="Times New Roman"/>
          <w:i/>
        </w:rPr>
        <w:footnoteRef/>
      </w:r>
      <w:r w:rsidRPr="006E6B10">
        <w:rPr>
          <w:rFonts w:ascii="Times New Roman" w:hAnsi="Times New Roman" w:cs="Times New Roman"/>
          <w:i/>
        </w:rPr>
        <w:t xml:space="preserve"> </w:t>
      </w:r>
      <w:hyperlink r:id="rId26" w:history="1">
        <w:r w:rsidRPr="006E6B10">
          <w:rPr>
            <w:rStyle w:val="Hyperlink"/>
            <w:rFonts w:ascii="Times New Roman" w:hAnsi="Times New Roman" w:cs="Times New Roman"/>
            <w:i/>
          </w:rPr>
          <w:t>http://likumi.lv/doc.php?id=68488</w:t>
        </w:r>
      </w:hyperlink>
      <w:r w:rsidRPr="006E6B10">
        <w:rPr>
          <w:rFonts w:ascii="Times New Roman" w:hAnsi="Times New Roman" w:cs="Times New Roman"/>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47F4"/>
    <w:multiLevelType w:val="hybridMultilevel"/>
    <w:tmpl w:val="ECA4D3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DE0091"/>
    <w:multiLevelType w:val="hybridMultilevel"/>
    <w:tmpl w:val="CC184B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E81FBD"/>
    <w:multiLevelType w:val="hybridMultilevel"/>
    <w:tmpl w:val="2AAA1C14"/>
    <w:lvl w:ilvl="0" w:tplc="88709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2538ED"/>
    <w:multiLevelType w:val="hybridMultilevel"/>
    <w:tmpl w:val="2D7676C0"/>
    <w:lvl w:ilvl="0" w:tplc="48D43C32">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0BB666E3"/>
    <w:multiLevelType w:val="hybridMultilevel"/>
    <w:tmpl w:val="8E98D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C890A27"/>
    <w:multiLevelType w:val="hybridMultilevel"/>
    <w:tmpl w:val="2932AC08"/>
    <w:lvl w:ilvl="0" w:tplc="FDC631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4F40518"/>
    <w:multiLevelType w:val="multilevel"/>
    <w:tmpl w:val="58EE2E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E513FB6"/>
    <w:multiLevelType w:val="multilevel"/>
    <w:tmpl w:val="17A42D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11E2549"/>
    <w:multiLevelType w:val="hybridMultilevel"/>
    <w:tmpl w:val="5748E574"/>
    <w:lvl w:ilvl="0" w:tplc="88709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2BE17B6"/>
    <w:multiLevelType w:val="hybridMultilevel"/>
    <w:tmpl w:val="9C0CF1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E163728"/>
    <w:multiLevelType w:val="hybridMultilevel"/>
    <w:tmpl w:val="925A10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1DE47CB"/>
    <w:multiLevelType w:val="hybridMultilevel"/>
    <w:tmpl w:val="E80CAFAC"/>
    <w:lvl w:ilvl="0" w:tplc="88709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CD1B98"/>
    <w:multiLevelType w:val="hybridMultilevel"/>
    <w:tmpl w:val="9982A93C"/>
    <w:lvl w:ilvl="0" w:tplc="48D43C32">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41C866A8"/>
    <w:multiLevelType w:val="hybridMultilevel"/>
    <w:tmpl w:val="13225438"/>
    <w:lvl w:ilvl="0" w:tplc="C01ED9C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AC0B5E"/>
    <w:multiLevelType w:val="hybridMultilevel"/>
    <w:tmpl w:val="A44EBD54"/>
    <w:lvl w:ilvl="0" w:tplc="88709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711617"/>
    <w:multiLevelType w:val="hybridMultilevel"/>
    <w:tmpl w:val="5C26941E"/>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025" w:hanging="360"/>
      </w:pPr>
      <w:rPr>
        <w:rFonts w:ascii="Courier New" w:hAnsi="Courier New" w:cs="Courier New" w:hint="default"/>
      </w:rPr>
    </w:lvl>
    <w:lvl w:ilvl="2" w:tplc="04260005" w:tentative="1">
      <w:start w:val="1"/>
      <w:numFmt w:val="bullet"/>
      <w:lvlText w:val=""/>
      <w:lvlJc w:val="left"/>
      <w:pPr>
        <w:ind w:left="1745" w:hanging="360"/>
      </w:pPr>
      <w:rPr>
        <w:rFonts w:ascii="Wingdings" w:hAnsi="Wingdings" w:hint="default"/>
      </w:rPr>
    </w:lvl>
    <w:lvl w:ilvl="3" w:tplc="04260001" w:tentative="1">
      <w:start w:val="1"/>
      <w:numFmt w:val="bullet"/>
      <w:lvlText w:val=""/>
      <w:lvlJc w:val="left"/>
      <w:pPr>
        <w:ind w:left="2465" w:hanging="360"/>
      </w:pPr>
      <w:rPr>
        <w:rFonts w:ascii="Symbol" w:hAnsi="Symbol" w:hint="default"/>
      </w:rPr>
    </w:lvl>
    <w:lvl w:ilvl="4" w:tplc="04260003" w:tentative="1">
      <w:start w:val="1"/>
      <w:numFmt w:val="bullet"/>
      <w:lvlText w:val="o"/>
      <w:lvlJc w:val="left"/>
      <w:pPr>
        <w:ind w:left="3185" w:hanging="360"/>
      </w:pPr>
      <w:rPr>
        <w:rFonts w:ascii="Courier New" w:hAnsi="Courier New" w:cs="Courier New" w:hint="default"/>
      </w:rPr>
    </w:lvl>
    <w:lvl w:ilvl="5" w:tplc="04260005" w:tentative="1">
      <w:start w:val="1"/>
      <w:numFmt w:val="bullet"/>
      <w:lvlText w:val=""/>
      <w:lvlJc w:val="left"/>
      <w:pPr>
        <w:ind w:left="3905" w:hanging="360"/>
      </w:pPr>
      <w:rPr>
        <w:rFonts w:ascii="Wingdings" w:hAnsi="Wingdings" w:hint="default"/>
      </w:rPr>
    </w:lvl>
    <w:lvl w:ilvl="6" w:tplc="04260001" w:tentative="1">
      <w:start w:val="1"/>
      <w:numFmt w:val="bullet"/>
      <w:lvlText w:val=""/>
      <w:lvlJc w:val="left"/>
      <w:pPr>
        <w:ind w:left="4625" w:hanging="360"/>
      </w:pPr>
      <w:rPr>
        <w:rFonts w:ascii="Symbol" w:hAnsi="Symbol" w:hint="default"/>
      </w:rPr>
    </w:lvl>
    <w:lvl w:ilvl="7" w:tplc="04260003" w:tentative="1">
      <w:start w:val="1"/>
      <w:numFmt w:val="bullet"/>
      <w:lvlText w:val="o"/>
      <w:lvlJc w:val="left"/>
      <w:pPr>
        <w:ind w:left="5345" w:hanging="360"/>
      </w:pPr>
      <w:rPr>
        <w:rFonts w:ascii="Courier New" w:hAnsi="Courier New" w:cs="Courier New" w:hint="default"/>
      </w:rPr>
    </w:lvl>
    <w:lvl w:ilvl="8" w:tplc="04260005" w:tentative="1">
      <w:start w:val="1"/>
      <w:numFmt w:val="bullet"/>
      <w:lvlText w:val=""/>
      <w:lvlJc w:val="left"/>
      <w:pPr>
        <w:ind w:left="6065" w:hanging="360"/>
      </w:pPr>
      <w:rPr>
        <w:rFonts w:ascii="Wingdings" w:hAnsi="Wingdings" w:hint="default"/>
      </w:rPr>
    </w:lvl>
  </w:abstractNum>
  <w:abstractNum w:abstractNumId="17" w15:restartNumberingAfterBreak="0">
    <w:nsid w:val="48A06D07"/>
    <w:multiLevelType w:val="hybridMultilevel"/>
    <w:tmpl w:val="E416C4FA"/>
    <w:lvl w:ilvl="0" w:tplc="88709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AFC78A6"/>
    <w:multiLevelType w:val="hybridMultilevel"/>
    <w:tmpl w:val="94BA230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4BC61D96"/>
    <w:multiLevelType w:val="hybridMultilevel"/>
    <w:tmpl w:val="41EEC2CE"/>
    <w:lvl w:ilvl="0" w:tplc="04260001">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0" w15:restartNumberingAfterBreak="0">
    <w:nsid w:val="4E391D55"/>
    <w:multiLevelType w:val="hybridMultilevel"/>
    <w:tmpl w:val="FF945702"/>
    <w:lvl w:ilvl="0" w:tplc="48D43C32">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50244DE8"/>
    <w:multiLevelType w:val="hybridMultilevel"/>
    <w:tmpl w:val="5002F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34F46A0"/>
    <w:multiLevelType w:val="hybridMultilevel"/>
    <w:tmpl w:val="588459D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F2B09"/>
    <w:multiLevelType w:val="hybridMultilevel"/>
    <w:tmpl w:val="702223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73022AD"/>
    <w:multiLevelType w:val="hybridMultilevel"/>
    <w:tmpl w:val="E25A548A"/>
    <w:lvl w:ilvl="0" w:tplc="04260001">
      <w:start w:val="1"/>
      <w:numFmt w:val="bullet"/>
      <w:lvlText w:val=""/>
      <w:lvlJc w:val="left"/>
      <w:pPr>
        <w:ind w:left="795" w:hanging="360"/>
      </w:pPr>
      <w:rPr>
        <w:rFonts w:ascii="Symbol" w:hAnsi="Symbol" w:hint="default"/>
      </w:rPr>
    </w:lvl>
    <w:lvl w:ilvl="1" w:tplc="04260003">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5" w15:restartNumberingAfterBreak="0">
    <w:nsid w:val="5FA03D3F"/>
    <w:multiLevelType w:val="hybridMultilevel"/>
    <w:tmpl w:val="AC50FDC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0137912"/>
    <w:multiLevelType w:val="hybridMultilevel"/>
    <w:tmpl w:val="E3C82858"/>
    <w:lvl w:ilvl="0" w:tplc="88709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5447AB"/>
    <w:multiLevelType w:val="hybridMultilevel"/>
    <w:tmpl w:val="C2E8E2D4"/>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67753F29"/>
    <w:multiLevelType w:val="hybridMultilevel"/>
    <w:tmpl w:val="E87C703E"/>
    <w:lvl w:ilvl="0" w:tplc="48D43C32">
      <w:numFmt w:val="bullet"/>
      <w:lvlText w:val="-"/>
      <w:lvlJc w:val="left"/>
      <w:pPr>
        <w:ind w:left="1515" w:hanging="360"/>
      </w:pPr>
      <w:rPr>
        <w:rFonts w:ascii="Times New Roman" w:eastAsiaTheme="minorHAnsi" w:hAnsi="Times New Roman" w:cs="Times New Roman"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29" w15:restartNumberingAfterBreak="0">
    <w:nsid w:val="6FB67A47"/>
    <w:multiLevelType w:val="hybridMultilevel"/>
    <w:tmpl w:val="FE3E3122"/>
    <w:lvl w:ilvl="0" w:tplc="04260001">
      <w:start w:val="1"/>
      <w:numFmt w:val="bullet"/>
      <w:lvlText w:val=""/>
      <w:lvlJc w:val="left"/>
      <w:pPr>
        <w:ind w:left="720" w:hanging="72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78E70649"/>
    <w:multiLevelType w:val="hybridMultilevel"/>
    <w:tmpl w:val="C5083D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A6A76F5"/>
    <w:multiLevelType w:val="hybridMultilevel"/>
    <w:tmpl w:val="CD5E13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C5E659F"/>
    <w:multiLevelType w:val="hybridMultilevel"/>
    <w:tmpl w:val="C576FC6E"/>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350110425">
    <w:abstractNumId w:val="7"/>
  </w:num>
  <w:num w:numId="2" w16cid:durableId="896624485">
    <w:abstractNumId w:val="12"/>
  </w:num>
  <w:num w:numId="3" w16cid:durableId="2054109654">
    <w:abstractNumId w:val="3"/>
  </w:num>
  <w:num w:numId="4" w16cid:durableId="1520001597">
    <w:abstractNumId w:val="30"/>
  </w:num>
  <w:num w:numId="5" w16cid:durableId="1391688926">
    <w:abstractNumId w:val="15"/>
  </w:num>
  <w:num w:numId="6" w16cid:durableId="1286502203">
    <w:abstractNumId w:val="22"/>
  </w:num>
  <w:num w:numId="7" w16cid:durableId="1239483017">
    <w:abstractNumId w:val="6"/>
  </w:num>
  <w:num w:numId="8" w16cid:durableId="2091807399">
    <w:abstractNumId w:val="20"/>
  </w:num>
  <w:num w:numId="9" w16cid:durableId="653871430">
    <w:abstractNumId w:val="27"/>
  </w:num>
  <w:num w:numId="10" w16cid:durableId="673533808">
    <w:abstractNumId w:val="23"/>
  </w:num>
  <w:num w:numId="11" w16cid:durableId="958610989">
    <w:abstractNumId w:val="1"/>
  </w:num>
  <w:num w:numId="12" w16cid:durableId="832259789">
    <w:abstractNumId w:val="10"/>
  </w:num>
  <w:num w:numId="13" w16cid:durableId="1880628462">
    <w:abstractNumId w:val="31"/>
  </w:num>
  <w:num w:numId="14" w16cid:durableId="1578130504">
    <w:abstractNumId w:val="0"/>
  </w:num>
  <w:num w:numId="15" w16cid:durableId="1524130554">
    <w:abstractNumId w:val="29"/>
  </w:num>
  <w:num w:numId="16" w16cid:durableId="763459865">
    <w:abstractNumId w:val="18"/>
  </w:num>
  <w:num w:numId="17" w16cid:durableId="989945545">
    <w:abstractNumId w:val="13"/>
  </w:num>
  <w:num w:numId="18" w16cid:durableId="1190147246">
    <w:abstractNumId w:val="16"/>
  </w:num>
  <w:num w:numId="19" w16cid:durableId="367031219">
    <w:abstractNumId w:val="4"/>
  </w:num>
  <w:num w:numId="20" w16cid:durableId="621961886">
    <w:abstractNumId w:val="19"/>
  </w:num>
  <w:num w:numId="21" w16cid:durableId="504128560">
    <w:abstractNumId w:val="28"/>
  </w:num>
  <w:num w:numId="22" w16cid:durableId="610821609">
    <w:abstractNumId w:val="32"/>
  </w:num>
  <w:num w:numId="23" w16cid:durableId="1906836398">
    <w:abstractNumId w:val="9"/>
  </w:num>
  <w:num w:numId="24" w16cid:durableId="1466503377">
    <w:abstractNumId w:val="2"/>
  </w:num>
  <w:num w:numId="25" w16cid:durableId="985747571">
    <w:abstractNumId w:val="14"/>
  </w:num>
  <w:num w:numId="26" w16cid:durableId="461340361">
    <w:abstractNumId w:val="17"/>
  </w:num>
  <w:num w:numId="27" w16cid:durableId="1400129584">
    <w:abstractNumId w:val="26"/>
  </w:num>
  <w:num w:numId="28" w16cid:durableId="1519125821">
    <w:abstractNumId w:val="8"/>
  </w:num>
  <w:num w:numId="29" w16cid:durableId="1118522177">
    <w:abstractNumId w:val="21"/>
  </w:num>
  <w:num w:numId="30" w16cid:durableId="386073011">
    <w:abstractNumId w:val="11"/>
  </w:num>
  <w:num w:numId="31" w16cid:durableId="1279068426">
    <w:abstractNumId w:val="5"/>
  </w:num>
  <w:num w:numId="32" w16cid:durableId="241567479">
    <w:abstractNumId w:val="24"/>
  </w:num>
  <w:num w:numId="33" w16cid:durableId="1608537263">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EA5"/>
    <w:rsid w:val="000019DA"/>
    <w:rsid w:val="00001C1A"/>
    <w:rsid w:val="00001C93"/>
    <w:rsid w:val="00004866"/>
    <w:rsid w:val="00004CC6"/>
    <w:rsid w:val="00005BC4"/>
    <w:rsid w:val="00011CD0"/>
    <w:rsid w:val="00012C46"/>
    <w:rsid w:val="000152CB"/>
    <w:rsid w:val="00017131"/>
    <w:rsid w:val="00017CC2"/>
    <w:rsid w:val="00017F3D"/>
    <w:rsid w:val="000211EB"/>
    <w:rsid w:val="00022041"/>
    <w:rsid w:val="0002222F"/>
    <w:rsid w:val="0002322B"/>
    <w:rsid w:val="00026414"/>
    <w:rsid w:val="0003064A"/>
    <w:rsid w:val="00030CDC"/>
    <w:rsid w:val="000344EE"/>
    <w:rsid w:val="00040663"/>
    <w:rsid w:val="000424FA"/>
    <w:rsid w:val="00042EA9"/>
    <w:rsid w:val="00043E4C"/>
    <w:rsid w:val="0004489F"/>
    <w:rsid w:val="00046464"/>
    <w:rsid w:val="000508E5"/>
    <w:rsid w:val="000518C9"/>
    <w:rsid w:val="000523B7"/>
    <w:rsid w:val="000538EC"/>
    <w:rsid w:val="00053E24"/>
    <w:rsid w:val="00056EF5"/>
    <w:rsid w:val="00063249"/>
    <w:rsid w:val="00064133"/>
    <w:rsid w:val="00071637"/>
    <w:rsid w:val="00073165"/>
    <w:rsid w:val="00074516"/>
    <w:rsid w:val="00076F2C"/>
    <w:rsid w:val="00077BCE"/>
    <w:rsid w:val="00086401"/>
    <w:rsid w:val="00090BF7"/>
    <w:rsid w:val="00091075"/>
    <w:rsid w:val="000929FB"/>
    <w:rsid w:val="00092D1E"/>
    <w:rsid w:val="00092D3B"/>
    <w:rsid w:val="000930BF"/>
    <w:rsid w:val="00093B25"/>
    <w:rsid w:val="00094B82"/>
    <w:rsid w:val="000973A9"/>
    <w:rsid w:val="00097423"/>
    <w:rsid w:val="000A35D9"/>
    <w:rsid w:val="000A3A09"/>
    <w:rsid w:val="000A4CE1"/>
    <w:rsid w:val="000A66A7"/>
    <w:rsid w:val="000A6FFA"/>
    <w:rsid w:val="000A78EC"/>
    <w:rsid w:val="000B0C3D"/>
    <w:rsid w:val="000B1477"/>
    <w:rsid w:val="000B6312"/>
    <w:rsid w:val="000B71BD"/>
    <w:rsid w:val="000B7BAB"/>
    <w:rsid w:val="000C0F21"/>
    <w:rsid w:val="000C10ED"/>
    <w:rsid w:val="000C21DC"/>
    <w:rsid w:val="000C25D9"/>
    <w:rsid w:val="000C4855"/>
    <w:rsid w:val="000C51D7"/>
    <w:rsid w:val="000C7A21"/>
    <w:rsid w:val="000D15ED"/>
    <w:rsid w:val="000D186E"/>
    <w:rsid w:val="000D2626"/>
    <w:rsid w:val="000D3E4B"/>
    <w:rsid w:val="000D570B"/>
    <w:rsid w:val="000D79E6"/>
    <w:rsid w:val="000D7B36"/>
    <w:rsid w:val="000E1F9E"/>
    <w:rsid w:val="000E42B6"/>
    <w:rsid w:val="000E53FB"/>
    <w:rsid w:val="000E6A8D"/>
    <w:rsid w:val="000E7303"/>
    <w:rsid w:val="000E7891"/>
    <w:rsid w:val="000F0E7E"/>
    <w:rsid w:val="000F46D3"/>
    <w:rsid w:val="000F626B"/>
    <w:rsid w:val="000F6A66"/>
    <w:rsid w:val="000F72D3"/>
    <w:rsid w:val="000F74EE"/>
    <w:rsid w:val="00104527"/>
    <w:rsid w:val="00110AE1"/>
    <w:rsid w:val="001119C8"/>
    <w:rsid w:val="00112524"/>
    <w:rsid w:val="00113C91"/>
    <w:rsid w:val="00114057"/>
    <w:rsid w:val="001148B2"/>
    <w:rsid w:val="00115CB9"/>
    <w:rsid w:val="00115F82"/>
    <w:rsid w:val="00115FB3"/>
    <w:rsid w:val="001166F3"/>
    <w:rsid w:val="001169B8"/>
    <w:rsid w:val="00117A5D"/>
    <w:rsid w:val="00125ECC"/>
    <w:rsid w:val="00127337"/>
    <w:rsid w:val="00130E49"/>
    <w:rsid w:val="001329EC"/>
    <w:rsid w:val="00133620"/>
    <w:rsid w:val="00133BE5"/>
    <w:rsid w:val="00134341"/>
    <w:rsid w:val="00134FDF"/>
    <w:rsid w:val="00135F0D"/>
    <w:rsid w:val="00137125"/>
    <w:rsid w:val="001401BB"/>
    <w:rsid w:val="001444FC"/>
    <w:rsid w:val="0014706D"/>
    <w:rsid w:val="001471D3"/>
    <w:rsid w:val="001523FE"/>
    <w:rsid w:val="00152DF6"/>
    <w:rsid w:val="001535F0"/>
    <w:rsid w:val="00154B88"/>
    <w:rsid w:val="001567EB"/>
    <w:rsid w:val="00157BBA"/>
    <w:rsid w:val="00161550"/>
    <w:rsid w:val="00162D56"/>
    <w:rsid w:val="00167FCE"/>
    <w:rsid w:val="001713E8"/>
    <w:rsid w:val="00171BBB"/>
    <w:rsid w:val="00171BE0"/>
    <w:rsid w:val="00177F9D"/>
    <w:rsid w:val="00180887"/>
    <w:rsid w:val="00180D11"/>
    <w:rsid w:val="0018149D"/>
    <w:rsid w:val="00182AC1"/>
    <w:rsid w:val="0018658E"/>
    <w:rsid w:val="001A0216"/>
    <w:rsid w:val="001A6120"/>
    <w:rsid w:val="001A787A"/>
    <w:rsid w:val="001B004A"/>
    <w:rsid w:val="001B0EA1"/>
    <w:rsid w:val="001B2671"/>
    <w:rsid w:val="001B620B"/>
    <w:rsid w:val="001B694A"/>
    <w:rsid w:val="001B7979"/>
    <w:rsid w:val="001C0188"/>
    <w:rsid w:val="001C0B22"/>
    <w:rsid w:val="001C1C60"/>
    <w:rsid w:val="001C229F"/>
    <w:rsid w:val="001C24F1"/>
    <w:rsid w:val="001C255D"/>
    <w:rsid w:val="001C2664"/>
    <w:rsid w:val="001C3196"/>
    <w:rsid w:val="001C3276"/>
    <w:rsid w:val="001C4E69"/>
    <w:rsid w:val="001D1B46"/>
    <w:rsid w:val="001D3486"/>
    <w:rsid w:val="001D5B00"/>
    <w:rsid w:val="001D612C"/>
    <w:rsid w:val="001D66E8"/>
    <w:rsid w:val="001D73A9"/>
    <w:rsid w:val="001D7ADE"/>
    <w:rsid w:val="001E089A"/>
    <w:rsid w:val="001E1421"/>
    <w:rsid w:val="001E32D6"/>
    <w:rsid w:val="001E46F1"/>
    <w:rsid w:val="001E4B03"/>
    <w:rsid w:val="001E6021"/>
    <w:rsid w:val="001F274D"/>
    <w:rsid w:val="001F3DFD"/>
    <w:rsid w:val="001F792B"/>
    <w:rsid w:val="0020132F"/>
    <w:rsid w:val="00201A7D"/>
    <w:rsid w:val="00204AAE"/>
    <w:rsid w:val="002053DC"/>
    <w:rsid w:val="00205AD6"/>
    <w:rsid w:val="002069EB"/>
    <w:rsid w:val="002113FA"/>
    <w:rsid w:val="00211CC0"/>
    <w:rsid w:val="00212EFF"/>
    <w:rsid w:val="00213FCE"/>
    <w:rsid w:val="00214EBC"/>
    <w:rsid w:val="00214ED0"/>
    <w:rsid w:val="00221F3C"/>
    <w:rsid w:val="0022468A"/>
    <w:rsid w:val="002271A5"/>
    <w:rsid w:val="00230475"/>
    <w:rsid w:val="0023083A"/>
    <w:rsid w:val="00233D66"/>
    <w:rsid w:val="00234122"/>
    <w:rsid w:val="0023442A"/>
    <w:rsid w:val="0023491E"/>
    <w:rsid w:val="00234F00"/>
    <w:rsid w:val="002356A2"/>
    <w:rsid w:val="00236C56"/>
    <w:rsid w:val="00240F9E"/>
    <w:rsid w:val="00245912"/>
    <w:rsid w:val="00246077"/>
    <w:rsid w:val="00247494"/>
    <w:rsid w:val="00247C50"/>
    <w:rsid w:val="00252CEE"/>
    <w:rsid w:val="002539C7"/>
    <w:rsid w:val="00256D21"/>
    <w:rsid w:val="0026038B"/>
    <w:rsid w:val="00260696"/>
    <w:rsid w:val="002658FE"/>
    <w:rsid w:val="002668F8"/>
    <w:rsid w:val="00266EDF"/>
    <w:rsid w:val="002704A0"/>
    <w:rsid w:val="00271150"/>
    <w:rsid w:val="00271CB6"/>
    <w:rsid w:val="00272564"/>
    <w:rsid w:val="00273C3C"/>
    <w:rsid w:val="00275FC9"/>
    <w:rsid w:val="002771D9"/>
    <w:rsid w:val="00280F0C"/>
    <w:rsid w:val="00281530"/>
    <w:rsid w:val="00286CB5"/>
    <w:rsid w:val="00291160"/>
    <w:rsid w:val="00291637"/>
    <w:rsid w:val="0029292D"/>
    <w:rsid w:val="00292A6B"/>
    <w:rsid w:val="0029334B"/>
    <w:rsid w:val="00293852"/>
    <w:rsid w:val="00294A7F"/>
    <w:rsid w:val="00295198"/>
    <w:rsid w:val="00295859"/>
    <w:rsid w:val="00295F93"/>
    <w:rsid w:val="002964F8"/>
    <w:rsid w:val="00297013"/>
    <w:rsid w:val="00297A57"/>
    <w:rsid w:val="00297D88"/>
    <w:rsid w:val="002A4421"/>
    <w:rsid w:val="002A573B"/>
    <w:rsid w:val="002A5E05"/>
    <w:rsid w:val="002A617C"/>
    <w:rsid w:val="002A675B"/>
    <w:rsid w:val="002A6CB2"/>
    <w:rsid w:val="002A7A26"/>
    <w:rsid w:val="002B0C0A"/>
    <w:rsid w:val="002B0E2F"/>
    <w:rsid w:val="002B3165"/>
    <w:rsid w:val="002B40A3"/>
    <w:rsid w:val="002B5269"/>
    <w:rsid w:val="002B6EF3"/>
    <w:rsid w:val="002B73AD"/>
    <w:rsid w:val="002C0C6F"/>
    <w:rsid w:val="002C2E31"/>
    <w:rsid w:val="002C36C8"/>
    <w:rsid w:val="002C4E3A"/>
    <w:rsid w:val="002C58D9"/>
    <w:rsid w:val="002C63AA"/>
    <w:rsid w:val="002C7035"/>
    <w:rsid w:val="002D0785"/>
    <w:rsid w:val="002D0D8A"/>
    <w:rsid w:val="002D14CB"/>
    <w:rsid w:val="002D71D2"/>
    <w:rsid w:val="002E1216"/>
    <w:rsid w:val="002E5B4E"/>
    <w:rsid w:val="002E5CA5"/>
    <w:rsid w:val="002E673D"/>
    <w:rsid w:val="002E6DBF"/>
    <w:rsid w:val="002F08B6"/>
    <w:rsid w:val="002F2F63"/>
    <w:rsid w:val="002F36F6"/>
    <w:rsid w:val="002F494D"/>
    <w:rsid w:val="002F5B6B"/>
    <w:rsid w:val="002F6B99"/>
    <w:rsid w:val="002F6E82"/>
    <w:rsid w:val="002F7807"/>
    <w:rsid w:val="002F7B67"/>
    <w:rsid w:val="00303157"/>
    <w:rsid w:val="00303227"/>
    <w:rsid w:val="00303970"/>
    <w:rsid w:val="0030769F"/>
    <w:rsid w:val="00311BF1"/>
    <w:rsid w:val="00311CE5"/>
    <w:rsid w:val="00315609"/>
    <w:rsid w:val="00316D0A"/>
    <w:rsid w:val="00320AB9"/>
    <w:rsid w:val="00321095"/>
    <w:rsid w:val="00321426"/>
    <w:rsid w:val="00323684"/>
    <w:rsid w:val="00323931"/>
    <w:rsid w:val="00323ABD"/>
    <w:rsid w:val="003246B3"/>
    <w:rsid w:val="00325F3C"/>
    <w:rsid w:val="003266E4"/>
    <w:rsid w:val="00330926"/>
    <w:rsid w:val="00331FF4"/>
    <w:rsid w:val="003327D5"/>
    <w:rsid w:val="00332B78"/>
    <w:rsid w:val="00332E45"/>
    <w:rsid w:val="00333C57"/>
    <w:rsid w:val="0033769E"/>
    <w:rsid w:val="003401AD"/>
    <w:rsid w:val="0034026A"/>
    <w:rsid w:val="00341BE5"/>
    <w:rsid w:val="00342E1A"/>
    <w:rsid w:val="00344420"/>
    <w:rsid w:val="003453B1"/>
    <w:rsid w:val="00346EE9"/>
    <w:rsid w:val="003535A5"/>
    <w:rsid w:val="00353919"/>
    <w:rsid w:val="003551C1"/>
    <w:rsid w:val="00356FF1"/>
    <w:rsid w:val="00364BBB"/>
    <w:rsid w:val="00365F8F"/>
    <w:rsid w:val="00366648"/>
    <w:rsid w:val="00367070"/>
    <w:rsid w:val="00367CFF"/>
    <w:rsid w:val="00370169"/>
    <w:rsid w:val="003724D5"/>
    <w:rsid w:val="00372707"/>
    <w:rsid w:val="0037315D"/>
    <w:rsid w:val="003737D2"/>
    <w:rsid w:val="00376187"/>
    <w:rsid w:val="003765A9"/>
    <w:rsid w:val="00380E0D"/>
    <w:rsid w:val="00381024"/>
    <w:rsid w:val="0038121C"/>
    <w:rsid w:val="003835B2"/>
    <w:rsid w:val="003838D0"/>
    <w:rsid w:val="0038397F"/>
    <w:rsid w:val="003915E8"/>
    <w:rsid w:val="00391C0A"/>
    <w:rsid w:val="00393AE5"/>
    <w:rsid w:val="003942DA"/>
    <w:rsid w:val="00394769"/>
    <w:rsid w:val="00394E73"/>
    <w:rsid w:val="003952C0"/>
    <w:rsid w:val="003A1370"/>
    <w:rsid w:val="003A6055"/>
    <w:rsid w:val="003A63B2"/>
    <w:rsid w:val="003B3F6D"/>
    <w:rsid w:val="003B5B99"/>
    <w:rsid w:val="003B7388"/>
    <w:rsid w:val="003C0360"/>
    <w:rsid w:val="003C18CF"/>
    <w:rsid w:val="003C2127"/>
    <w:rsid w:val="003C2AF5"/>
    <w:rsid w:val="003C442E"/>
    <w:rsid w:val="003C46F3"/>
    <w:rsid w:val="003C721B"/>
    <w:rsid w:val="003C7762"/>
    <w:rsid w:val="003D1F96"/>
    <w:rsid w:val="003D259A"/>
    <w:rsid w:val="003D361A"/>
    <w:rsid w:val="003D368F"/>
    <w:rsid w:val="003D5176"/>
    <w:rsid w:val="003E002C"/>
    <w:rsid w:val="003E1E52"/>
    <w:rsid w:val="003E4D3D"/>
    <w:rsid w:val="003F14A7"/>
    <w:rsid w:val="003F15F2"/>
    <w:rsid w:val="003F2EE5"/>
    <w:rsid w:val="003F669B"/>
    <w:rsid w:val="003F77FB"/>
    <w:rsid w:val="00400C31"/>
    <w:rsid w:val="00402A95"/>
    <w:rsid w:val="00405945"/>
    <w:rsid w:val="00406986"/>
    <w:rsid w:val="004078B5"/>
    <w:rsid w:val="00412EF5"/>
    <w:rsid w:val="00414C63"/>
    <w:rsid w:val="004150C9"/>
    <w:rsid w:val="00416DBD"/>
    <w:rsid w:val="00421758"/>
    <w:rsid w:val="004232EA"/>
    <w:rsid w:val="00425549"/>
    <w:rsid w:val="004257F7"/>
    <w:rsid w:val="00425EB8"/>
    <w:rsid w:val="0042679E"/>
    <w:rsid w:val="00430290"/>
    <w:rsid w:val="004302D3"/>
    <w:rsid w:val="00430AD1"/>
    <w:rsid w:val="004314AE"/>
    <w:rsid w:val="00431DF4"/>
    <w:rsid w:val="0043210B"/>
    <w:rsid w:val="00432AE9"/>
    <w:rsid w:val="00434BA5"/>
    <w:rsid w:val="004402F5"/>
    <w:rsid w:val="004426E1"/>
    <w:rsid w:val="00442CF1"/>
    <w:rsid w:val="004500FE"/>
    <w:rsid w:val="004503C7"/>
    <w:rsid w:val="00453048"/>
    <w:rsid w:val="00453E47"/>
    <w:rsid w:val="0045543B"/>
    <w:rsid w:val="00455741"/>
    <w:rsid w:val="004557FC"/>
    <w:rsid w:val="004557FD"/>
    <w:rsid w:val="004569E1"/>
    <w:rsid w:val="00456D3D"/>
    <w:rsid w:val="004570A0"/>
    <w:rsid w:val="00461BFD"/>
    <w:rsid w:val="00461FD5"/>
    <w:rsid w:val="004632AA"/>
    <w:rsid w:val="004647B5"/>
    <w:rsid w:val="00466197"/>
    <w:rsid w:val="0046780E"/>
    <w:rsid w:val="00473957"/>
    <w:rsid w:val="00473E29"/>
    <w:rsid w:val="00475227"/>
    <w:rsid w:val="0047547D"/>
    <w:rsid w:val="004759E1"/>
    <w:rsid w:val="00477917"/>
    <w:rsid w:val="004809D8"/>
    <w:rsid w:val="0048240A"/>
    <w:rsid w:val="004825E7"/>
    <w:rsid w:val="0048360E"/>
    <w:rsid w:val="00483672"/>
    <w:rsid w:val="0048389E"/>
    <w:rsid w:val="00484E76"/>
    <w:rsid w:val="00487658"/>
    <w:rsid w:val="00491D5F"/>
    <w:rsid w:val="00493274"/>
    <w:rsid w:val="004936A5"/>
    <w:rsid w:val="00494D78"/>
    <w:rsid w:val="00495498"/>
    <w:rsid w:val="00496199"/>
    <w:rsid w:val="00497585"/>
    <w:rsid w:val="00497C03"/>
    <w:rsid w:val="00497FB0"/>
    <w:rsid w:val="004A0014"/>
    <w:rsid w:val="004A0823"/>
    <w:rsid w:val="004A21F3"/>
    <w:rsid w:val="004A46BC"/>
    <w:rsid w:val="004A4B27"/>
    <w:rsid w:val="004B1426"/>
    <w:rsid w:val="004B28F1"/>
    <w:rsid w:val="004B2BB2"/>
    <w:rsid w:val="004B4C7F"/>
    <w:rsid w:val="004B501D"/>
    <w:rsid w:val="004B597F"/>
    <w:rsid w:val="004B5C33"/>
    <w:rsid w:val="004B6C1F"/>
    <w:rsid w:val="004B6D1A"/>
    <w:rsid w:val="004B7031"/>
    <w:rsid w:val="004B7FDE"/>
    <w:rsid w:val="004C19B9"/>
    <w:rsid w:val="004C2EBE"/>
    <w:rsid w:val="004C631A"/>
    <w:rsid w:val="004C69FB"/>
    <w:rsid w:val="004D0CF1"/>
    <w:rsid w:val="004D1775"/>
    <w:rsid w:val="004D4AA5"/>
    <w:rsid w:val="004D61F0"/>
    <w:rsid w:val="004D7D3B"/>
    <w:rsid w:val="004E1657"/>
    <w:rsid w:val="004E2BCA"/>
    <w:rsid w:val="004E353B"/>
    <w:rsid w:val="004E693A"/>
    <w:rsid w:val="004E7FB1"/>
    <w:rsid w:val="004F27E2"/>
    <w:rsid w:val="004F6848"/>
    <w:rsid w:val="004F6E0D"/>
    <w:rsid w:val="004F7C92"/>
    <w:rsid w:val="00500B64"/>
    <w:rsid w:val="005019A8"/>
    <w:rsid w:val="0050270F"/>
    <w:rsid w:val="0050308E"/>
    <w:rsid w:val="0050403B"/>
    <w:rsid w:val="00504AE8"/>
    <w:rsid w:val="00506DC0"/>
    <w:rsid w:val="00511C13"/>
    <w:rsid w:val="005144E6"/>
    <w:rsid w:val="00514B50"/>
    <w:rsid w:val="005155C0"/>
    <w:rsid w:val="005212E9"/>
    <w:rsid w:val="00521B8C"/>
    <w:rsid w:val="00525B8D"/>
    <w:rsid w:val="00526752"/>
    <w:rsid w:val="00527EC2"/>
    <w:rsid w:val="00530AEB"/>
    <w:rsid w:val="00532DB5"/>
    <w:rsid w:val="00533C30"/>
    <w:rsid w:val="0053486D"/>
    <w:rsid w:val="005349A5"/>
    <w:rsid w:val="00536D6F"/>
    <w:rsid w:val="00541B06"/>
    <w:rsid w:val="00542900"/>
    <w:rsid w:val="0054332A"/>
    <w:rsid w:val="00543B21"/>
    <w:rsid w:val="0054403B"/>
    <w:rsid w:val="00545489"/>
    <w:rsid w:val="00546347"/>
    <w:rsid w:val="00547407"/>
    <w:rsid w:val="005479E7"/>
    <w:rsid w:val="00547E58"/>
    <w:rsid w:val="00552198"/>
    <w:rsid w:val="0055325E"/>
    <w:rsid w:val="00554DAD"/>
    <w:rsid w:val="00562419"/>
    <w:rsid w:val="00565B2F"/>
    <w:rsid w:val="00566441"/>
    <w:rsid w:val="0056665E"/>
    <w:rsid w:val="00566A54"/>
    <w:rsid w:val="00570348"/>
    <w:rsid w:val="005745BA"/>
    <w:rsid w:val="00576494"/>
    <w:rsid w:val="00577636"/>
    <w:rsid w:val="00582445"/>
    <w:rsid w:val="00583AAF"/>
    <w:rsid w:val="00584C10"/>
    <w:rsid w:val="005861AA"/>
    <w:rsid w:val="00586B98"/>
    <w:rsid w:val="005905E5"/>
    <w:rsid w:val="00591144"/>
    <w:rsid w:val="0059189D"/>
    <w:rsid w:val="005932B8"/>
    <w:rsid w:val="00595228"/>
    <w:rsid w:val="00595E7C"/>
    <w:rsid w:val="00595FEB"/>
    <w:rsid w:val="005960F7"/>
    <w:rsid w:val="00596506"/>
    <w:rsid w:val="00597E73"/>
    <w:rsid w:val="005A2608"/>
    <w:rsid w:val="005A2B8F"/>
    <w:rsid w:val="005A4365"/>
    <w:rsid w:val="005A51B3"/>
    <w:rsid w:val="005A658E"/>
    <w:rsid w:val="005B1584"/>
    <w:rsid w:val="005C04D7"/>
    <w:rsid w:val="005C2190"/>
    <w:rsid w:val="005C5649"/>
    <w:rsid w:val="005C62A1"/>
    <w:rsid w:val="005C68E4"/>
    <w:rsid w:val="005D043A"/>
    <w:rsid w:val="005D2C3A"/>
    <w:rsid w:val="005D3AE5"/>
    <w:rsid w:val="005D4734"/>
    <w:rsid w:val="005D4FE8"/>
    <w:rsid w:val="005D580A"/>
    <w:rsid w:val="005D5E6A"/>
    <w:rsid w:val="005E5610"/>
    <w:rsid w:val="005F172C"/>
    <w:rsid w:val="005F18F8"/>
    <w:rsid w:val="005F1931"/>
    <w:rsid w:val="005F352E"/>
    <w:rsid w:val="005F4418"/>
    <w:rsid w:val="005F5650"/>
    <w:rsid w:val="00601BB1"/>
    <w:rsid w:val="00601C0C"/>
    <w:rsid w:val="00605C61"/>
    <w:rsid w:val="006134E3"/>
    <w:rsid w:val="006137FF"/>
    <w:rsid w:val="00620229"/>
    <w:rsid w:val="00620FAE"/>
    <w:rsid w:val="006215FE"/>
    <w:rsid w:val="006221BF"/>
    <w:rsid w:val="006232C8"/>
    <w:rsid w:val="0062441D"/>
    <w:rsid w:val="00625DF4"/>
    <w:rsid w:val="006275DD"/>
    <w:rsid w:val="00630D11"/>
    <w:rsid w:val="006313BE"/>
    <w:rsid w:val="00633F8A"/>
    <w:rsid w:val="00634222"/>
    <w:rsid w:val="00634306"/>
    <w:rsid w:val="0063598A"/>
    <w:rsid w:val="00636A3F"/>
    <w:rsid w:val="00641A49"/>
    <w:rsid w:val="00647161"/>
    <w:rsid w:val="0065088E"/>
    <w:rsid w:val="00650A94"/>
    <w:rsid w:val="00652226"/>
    <w:rsid w:val="00652F61"/>
    <w:rsid w:val="00655DA3"/>
    <w:rsid w:val="006576D1"/>
    <w:rsid w:val="00660E0D"/>
    <w:rsid w:val="00663A99"/>
    <w:rsid w:val="00664820"/>
    <w:rsid w:val="00665108"/>
    <w:rsid w:val="006653C7"/>
    <w:rsid w:val="00666452"/>
    <w:rsid w:val="0066645F"/>
    <w:rsid w:val="006702FB"/>
    <w:rsid w:val="00672238"/>
    <w:rsid w:val="00672B7A"/>
    <w:rsid w:val="006733C2"/>
    <w:rsid w:val="00673A4B"/>
    <w:rsid w:val="00675E30"/>
    <w:rsid w:val="00681AE8"/>
    <w:rsid w:val="00685F58"/>
    <w:rsid w:val="006862E0"/>
    <w:rsid w:val="006865AD"/>
    <w:rsid w:val="0069092E"/>
    <w:rsid w:val="006924BD"/>
    <w:rsid w:val="006968B6"/>
    <w:rsid w:val="006970CC"/>
    <w:rsid w:val="00697B83"/>
    <w:rsid w:val="00697FCF"/>
    <w:rsid w:val="006A0340"/>
    <w:rsid w:val="006A26B9"/>
    <w:rsid w:val="006A3EAE"/>
    <w:rsid w:val="006A4103"/>
    <w:rsid w:val="006A4924"/>
    <w:rsid w:val="006A5866"/>
    <w:rsid w:val="006A7E9D"/>
    <w:rsid w:val="006B0508"/>
    <w:rsid w:val="006B267D"/>
    <w:rsid w:val="006B27B6"/>
    <w:rsid w:val="006B3A9F"/>
    <w:rsid w:val="006C1513"/>
    <w:rsid w:val="006C5451"/>
    <w:rsid w:val="006C63DA"/>
    <w:rsid w:val="006C6FEF"/>
    <w:rsid w:val="006D030C"/>
    <w:rsid w:val="006D0360"/>
    <w:rsid w:val="006D55B1"/>
    <w:rsid w:val="006D5EDD"/>
    <w:rsid w:val="006D6BB4"/>
    <w:rsid w:val="006E33BD"/>
    <w:rsid w:val="006E36AB"/>
    <w:rsid w:val="006E3940"/>
    <w:rsid w:val="006E39DF"/>
    <w:rsid w:val="006E3B36"/>
    <w:rsid w:val="006E482F"/>
    <w:rsid w:val="006E63DF"/>
    <w:rsid w:val="006E64C2"/>
    <w:rsid w:val="006E6B10"/>
    <w:rsid w:val="006E6C3F"/>
    <w:rsid w:val="006F1508"/>
    <w:rsid w:val="006F2220"/>
    <w:rsid w:val="006F282E"/>
    <w:rsid w:val="006F370B"/>
    <w:rsid w:val="006F43A7"/>
    <w:rsid w:val="006F649B"/>
    <w:rsid w:val="00700902"/>
    <w:rsid w:val="00700CA8"/>
    <w:rsid w:val="00700FA3"/>
    <w:rsid w:val="00701AFE"/>
    <w:rsid w:val="0070236C"/>
    <w:rsid w:val="00703328"/>
    <w:rsid w:val="00703434"/>
    <w:rsid w:val="00703AA5"/>
    <w:rsid w:val="00705891"/>
    <w:rsid w:val="0071149C"/>
    <w:rsid w:val="00714264"/>
    <w:rsid w:val="00715DDE"/>
    <w:rsid w:val="00716D54"/>
    <w:rsid w:val="0072262A"/>
    <w:rsid w:val="00724208"/>
    <w:rsid w:val="007259F5"/>
    <w:rsid w:val="007317B7"/>
    <w:rsid w:val="00733C11"/>
    <w:rsid w:val="0073457E"/>
    <w:rsid w:val="00736595"/>
    <w:rsid w:val="00737F39"/>
    <w:rsid w:val="00740131"/>
    <w:rsid w:val="00740BAE"/>
    <w:rsid w:val="00740E09"/>
    <w:rsid w:val="00740EB8"/>
    <w:rsid w:val="0074191B"/>
    <w:rsid w:val="00746341"/>
    <w:rsid w:val="007521E0"/>
    <w:rsid w:val="007524FA"/>
    <w:rsid w:val="0075642A"/>
    <w:rsid w:val="00756643"/>
    <w:rsid w:val="00757F5E"/>
    <w:rsid w:val="007620B8"/>
    <w:rsid w:val="007629CF"/>
    <w:rsid w:val="00762AE4"/>
    <w:rsid w:val="0076677F"/>
    <w:rsid w:val="00766C68"/>
    <w:rsid w:val="007722BF"/>
    <w:rsid w:val="0077245F"/>
    <w:rsid w:val="007727BF"/>
    <w:rsid w:val="00772EE4"/>
    <w:rsid w:val="00775923"/>
    <w:rsid w:val="00775ABD"/>
    <w:rsid w:val="00777DDF"/>
    <w:rsid w:val="0078213E"/>
    <w:rsid w:val="00782550"/>
    <w:rsid w:val="0078278C"/>
    <w:rsid w:val="00782BDB"/>
    <w:rsid w:val="00784C70"/>
    <w:rsid w:val="00785E6A"/>
    <w:rsid w:val="00790F71"/>
    <w:rsid w:val="00793456"/>
    <w:rsid w:val="00794D57"/>
    <w:rsid w:val="007953EB"/>
    <w:rsid w:val="0079570F"/>
    <w:rsid w:val="007A0281"/>
    <w:rsid w:val="007A0FC9"/>
    <w:rsid w:val="007A36A9"/>
    <w:rsid w:val="007A41E9"/>
    <w:rsid w:val="007A4377"/>
    <w:rsid w:val="007A7818"/>
    <w:rsid w:val="007B16E5"/>
    <w:rsid w:val="007B3016"/>
    <w:rsid w:val="007B4534"/>
    <w:rsid w:val="007B68F3"/>
    <w:rsid w:val="007B6976"/>
    <w:rsid w:val="007C02E5"/>
    <w:rsid w:val="007C2F1B"/>
    <w:rsid w:val="007C5372"/>
    <w:rsid w:val="007C62DE"/>
    <w:rsid w:val="007C6A84"/>
    <w:rsid w:val="007D05E3"/>
    <w:rsid w:val="007D1DA6"/>
    <w:rsid w:val="007D31E5"/>
    <w:rsid w:val="007D3ECD"/>
    <w:rsid w:val="007D3F64"/>
    <w:rsid w:val="007D4572"/>
    <w:rsid w:val="007D6539"/>
    <w:rsid w:val="007D7219"/>
    <w:rsid w:val="007D79D5"/>
    <w:rsid w:val="007E128B"/>
    <w:rsid w:val="007E14BF"/>
    <w:rsid w:val="007E1B81"/>
    <w:rsid w:val="007E1C31"/>
    <w:rsid w:val="007E5A07"/>
    <w:rsid w:val="007F2A1A"/>
    <w:rsid w:val="007F3B3E"/>
    <w:rsid w:val="007F5753"/>
    <w:rsid w:val="00800885"/>
    <w:rsid w:val="00800CEF"/>
    <w:rsid w:val="00802BBF"/>
    <w:rsid w:val="00806DD5"/>
    <w:rsid w:val="008074F5"/>
    <w:rsid w:val="00810594"/>
    <w:rsid w:val="00811039"/>
    <w:rsid w:val="0081222F"/>
    <w:rsid w:val="00813782"/>
    <w:rsid w:val="00813B72"/>
    <w:rsid w:val="00820167"/>
    <w:rsid w:val="00820FA1"/>
    <w:rsid w:val="00821CE5"/>
    <w:rsid w:val="00823034"/>
    <w:rsid w:val="0082369F"/>
    <w:rsid w:val="00827555"/>
    <w:rsid w:val="00827E4C"/>
    <w:rsid w:val="00831918"/>
    <w:rsid w:val="00832B02"/>
    <w:rsid w:val="0083711C"/>
    <w:rsid w:val="0084012A"/>
    <w:rsid w:val="008407C8"/>
    <w:rsid w:val="00841C4F"/>
    <w:rsid w:val="00846BC7"/>
    <w:rsid w:val="00846BFA"/>
    <w:rsid w:val="008473A3"/>
    <w:rsid w:val="0084777F"/>
    <w:rsid w:val="0084795E"/>
    <w:rsid w:val="0085389E"/>
    <w:rsid w:val="008539FF"/>
    <w:rsid w:val="008541C4"/>
    <w:rsid w:val="00854BB6"/>
    <w:rsid w:val="00854CCE"/>
    <w:rsid w:val="00860BA5"/>
    <w:rsid w:val="00860C80"/>
    <w:rsid w:val="00860F8E"/>
    <w:rsid w:val="00863FC5"/>
    <w:rsid w:val="008649F4"/>
    <w:rsid w:val="00865E50"/>
    <w:rsid w:val="00866149"/>
    <w:rsid w:val="00866A31"/>
    <w:rsid w:val="008705AE"/>
    <w:rsid w:val="008711E7"/>
    <w:rsid w:val="00873D94"/>
    <w:rsid w:val="00874408"/>
    <w:rsid w:val="00876742"/>
    <w:rsid w:val="008770D7"/>
    <w:rsid w:val="00877136"/>
    <w:rsid w:val="00881718"/>
    <w:rsid w:val="00881A48"/>
    <w:rsid w:val="0088375E"/>
    <w:rsid w:val="00884409"/>
    <w:rsid w:val="00885E9B"/>
    <w:rsid w:val="00893ED8"/>
    <w:rsid w:val="0089484A"/>
    <w:rsid w:val="00894CB2"/>
    <w:rsid w:val="00895802"/>
    <w:rsid w:val="008A1949"/>
    <w:rsid w:val="008A31F8"/>
    <w:rsid w:val="008A4748"/>
    <w:rsid w:val="008B3107"/>
    <w:rsid w:val="008B3511"/>
    <w:rsid w:val="008B4CB2"/>
    <w:rsid w:val="008B4FE2"/>
    <w:rsid w:val="008B52BC"/>
    <w:rsid w:val="008B7412"/>
    <w:rsid w:val="008B7F93"/>
    <w:rsid w:val="008C7A56"/>
    <w:rsid w:val="008D24AA"/>
    <w:rsid w:val="008D24F6"/>
    <w:rsid w:val="008D35F4"/>
    <w:rsid w:val="008D4410"/>
    <w:rsid w:val="008D4735"/>
    <w:rsid w:val="008D73DB"/>
    <w:rsid w:val="008D7605"/>
    <w:rsid w:val="008E0478"/>
    <w:rsid w:val="008E05A0"/>
    <w:rsid w:val="008E0922"/>
    <w:rsid w:val="008E4F69"/>
    <w:rsid w:val="008E765B"/>
    <w:rsid w:val="008E7D4F"/>
    <w:rsid w:val="008F0DD2"/>
    <w:rsid w:val="008F15DF"/>
    <w:rsid w:val="008F2FEF"/>
    <w:rsid w:val="008F58BD"/>
    <w:rsid w:val="008F689F"/>
    <w:rsid w:val="008F73C9"/>
    <w:rsid w:val="009001A2"/>
    <w:rsid w:val="00902777"/>
    <w:rsid w:val="00904903"/>
    <w:rsid w:val="00904914"/>
    <w:rsid w:val="00904F4C"/>
    <w:rsid w:val="00905E6D"/>
    <w:rsid w:val="00906FE6"/>
    <w:rsid w:val="00911556"/>
    <w:rsid w:val="00917C20"/>
    <w:rsid w:val="009218E5"/>
    <w:rsid w:val="00921D8E"/>
    <w:rsid w:val="009241AB"/>
    <w:rsid w:val="00924368"/>
    <w:rsid w:val="00924C2D"/>
    <w:rsid w:val="00931C70"/>
    <w:rsid w:val="00931C7C"/>
    <w:rsid w:val="0093208E"/>
    <w:rsid w:val="00935C50"/>
    <w:rsid w:val="00936879"/>
    <w:rsid w:val="00937497"/>
    <w:rsid w:val="00937965"/>
    <w:rsid w:val="00942EEA"/>
    <w:rsid w:val="00946095"/>
    <w:rsid w:val="009471D6"/>
    <w:rsid w:val="0094736F"/>
    <w:rsid w:val="00947F19"/>
    <w:rsid w:val="00952E21"/>
    <w:rsid w:val="0095324D"/>
    <w:rsid w:val="009532D0"/>
    <w:rsid w:val="009538E0"/>
    <w:rsid w:val="00955736"/>
    <w:rsid w:val="00955D99"/>
    <w:rsid w:val="00956568"/>
    <w:rsid w:val="00957E53"/>
    <w:rsid w:val="009611A8"/>
    <w:rsid w:val="009634CF"/>
    <w:rsid w:val="00966EAF"/>
    <w:rsid w:val="009670A9"/>
    <w:rsid w:val="009679A0"/>
    <w:rsid w:val="009700A2"/>
    <w:rsid w:val="0097045A"/>
    <w:rsid w:val="00974E55"/>
    <w:rsid w:val="00975464"/>
    <w:rsid w:val="009762F7"/>
    <w:rsid w:val="0097634D"/>
    <w:rsid w:val="00976520"/>
    <w:rsid w:val="00981BDB"/>
    <w:rsid w:val="00984DAD"/>
    <w:rsid w:val="009877EB"/>
    <w:rsid w:val="00987853"/>
    <w:rsid w:val="00991FF1"/>
    <w:rsid w:val="00995EE6"/>
    <w:rsid w:val="0099695E"/>
    <w:rsid w:val="00996EC9"/>
    <w:rsid w:val="00997B6D"/>
    <w:rsid w:val="009A203B"/>
    <w:rsid w:val="009A25CB"/>
    <w:rsid w:val="009A3053"/>
    <w:rsid w:val="009A49B1"/>
    <w:rsid w:val="009A5854"/>
    <w:rsid w:val="009A6BC4"/>
    <w:rsid w:val="009A7C8F"/>
    <w:rsid w:val="009A7DA1"/>
    <w:rsid w:val="009A7FD3"/>
    <w:rsid w:val="009B2467"/>
    <w:rsid w:val="009B5E3D"/>
    <w:rsid w:val="009B7675"/>
    <w:rsid w:val="009B7DA6"/>
    <w:rsid w:val="009C336C"/>
    <w:rsid w:val="009C576D"/>
    <w:rsid w:val="009C690A"/>
    <w:rsid w:val="009D00C9"/>
    <w:rsid w:val="009D089E"/>
    <w:rsid w:val="009D2007"/>
    <w:rsid w:val="009D296E"/>
    <w:rsid w:val="009D2A88"/>
    <w:rsid w:val="009D61D3"/>
    <w:rsid w:val="009E1369"/>
    <w:rsid w:val="009E4398"/>
    <w:rsid w:val="009E4BFC"/>
    <w:rsid w:val="009E5CAA"/>
    <w:rsid w:val="009E60F1"/>
    <w:rsid w:val="009E7E66"/>
    <w:rsid w:val="009F0D95"/>
    <w:rsid w:val="009F1458"/>
    <w:rsid w:val="009F2FC7"/>
    <w:rsid w:val="009F31B3"/>
    <w:rsid w:val="009F4ACD"/>
    <w:rsid w:val="009F6920"/>
    <w:rsid w:val="009F789F"/>
    <w:rsid w:val="009F7BD5"/>
    <w:rsid w:val="00A002A3"/>
    <w:rsid w:val="00A026AB"/>
    <w:rsid w:val="00A02F74"/>
    <w:rsid w:val="00A0345C"/>
    <w:rsid w:val="00A04637"/>
    <w:rsid w:val="00A04E23"/>
    <w:rsid w:val="00A05109"/>
    <w:rsid w:val="00A051FE"/>
    <w:rsid w:val="00A06C3B"/>
    <w:rsid w:val="00A06CA4"/>
    <w:rsid w:val="00A121A4"/>
    <w:rsid w:val="00A12A3A"/>
    <w:rsid w:val="00A12BA2"/>
    <w:rsid w:val="00A16D6E"/>
    <w:rsid w:val="00A178B5"/>
    <w:rsid w:val="00A23C2C"/>
    <w:rsid w:val="00A254C8"/>
    <w:rsid w:val="00A32346"/>
    <w:rsid w:val="00A344DE"/>
    <w:rsid w:val="00A35C3F"/>
    <w:rsid w:val="00A405E4"/>
    <w:rsid w:val="00A41892"/>
    <w:rsid w:val="00A41C3B"/>
    <w:rsid w:val="00A43B60"/>
    <w:rsid w:val="00A44109"/>
    <w:rsid w:val="00A44AE2"/>
    <w:rsid w:val="00A47146"/>
    <w:rsid w:val="00A513A6"/>
    <w:rsid w:val="00A51CB9"/>
    <w:rsid w:val="00A522BD"/>
    <w:rsid w:val="00A52403"/>
    <w:rsid w:val="00A530D2"/>
    <w:rsid w:val="00A54F22"/>
    <w:rsid w:val="00A56DAD"/>
    <w:rsid w:val="00A571BB"/>
    <w:rsid w:val="00A64BC2"/>
    <w:rsid w:val="00A71253"/>
    <w:rsid w:val="00A7145F"/>
    <w:rsid w:val="00A7788A"/>
    <w:rsid w:val="00A84948"/>
    <w:rsid w:val="00A86EF7"/>
    <w:rsid w:val="00A87236"/>
    <w:rsid w:val="00A87256"/>
    <w:rsid w:val="00A876E7"/>
    <w:rsid w:val="00A87FA1"/>
    <w:rsid w:val="00A91C69"/>
    <w:rsid w:val="00A923F1"/>
    <w:rsid w:val="00A9247B"/>
    <w:rsid w:val="00A92FCA"/>
    <w:rsid w:val="00A93804"/>
    <w:rsid w:val="00A940C8"/>
    <w:rsid w:val="00A9592F"/>
    <w:rsid w:val="00AA11A8"/>
    <w:rsid w:val="00AA6595"/>
    <w:rsid w:val="00AA6F42"/>
    <w:rsid w:val="00AA746D"/>
    <w:rsid w:val="00AB0E39"/>
    <w:rsid w:val="00AB0EFE"/>
    <w:rsid w:val="00AB1016"/>
    <w:rsid w:val="00AB1AD7"/>
    <w:rsid w:val="00AB23BE"/>
    <w:rsid w:val="00AB3BC1"/>
    <w:rsid w:val="00AB51C4"/>
    <w:rsid w:val="00AB561A"/>
    <w:rsid w:val="00AB6C75"/>
    <w:rsid w:val="00AC1657"/>
    <w:rsid w:val="00AC5851"/>
    <w:rsid w:val="00AC728A"/>
    <w:rsid w:val="00AD075F"/>
    <w:rsid w:val="00AD0D5E"/>
    <w:rsid w:val="00AD125F"/>
    <w:rsid w:val="00AD1D1C"/>
    <w:rsid w:val="00AD2539"/>
    <w:rsid w:val="00AD3629"/>
    <w:rsid w:val="00AD39EF"/>
    <w:rsid w:val="00AD6D2D"/>
    <w:rsid w:val="00AD7C0E"/>
    <w:rsid w:val="00AE1162"/>
    <w:rsid w:val="00AE1CDA"/>
    <w:rsid w:val="00AE3208"/>
    <w:rsid w:val="00AE6F90"/>
    <w:rsid w:val="00AF1061"/>
    <w:rsid w:val="00AF21EC"/>
    <w:rsid w:val="00AF48C0"/>
    <w:rsid w:val="00B01F60"/>
    <w:rsid w:val="00B021D6"/>
    <w:rsid w:val="00B0315C"/>
    <w:rsid w:val="00B03A1B"/>
    <w:rsid w:val="00B0525B"/>
    <w:rsid w:val="00B05B44"/>
    <w:rsid w:val="00B06561"/>
    <w:rsid w:val="00B114E8"/>
    <w:rsid w:val="00B121A0"/>
    <w:rsid w:val="00B1410E"/>
    <w:rsid w:val="00B1460A"/>
    <w:rsid w:val="00B14A9B"/>
    <w:rsid w:val="00B15CCD"/>
    <w:rsid w:val="00B16AF1"/>
    <w:rsid w:val="00B20707"/>
    <w:rsid w:val="00B21421"/>
    <w:rsid w:val="00B21672"/>
    <w:rsid w:val="00B23A46"/>
    <w:rsid w:val="00B25FAC"/>
    <w:rsid w:val="00B3382A"/>
    <w:rsid w:val="00B34012"/>
    <w:rsid w:val="00B35768"/>
    <w:rsid w:val="00B35D14"/>
    <w:rsid w:val="00B377C2"/>
    <w:rsid w:val="00B3787F"/>
    <w:rsid w:val="00B40CA1"/>
    <w:rsid w:val="00B40D15"/>
    <w:rsid w:val="00B44B6B"/>
    <w:rsid w:val="00B45208"/>
    <w:rsid w:val="00B46FCD"/>
    <w:rsid w:val="00B5049D"/>
    <w:rsid w:val="00B504C0"/>
    <w:rsid w:val="00B5511C"/>
    <w:rsid w:val="00B6402D"/>
    <w:rsid w:val="00B6453C"/>
    <w:rsid w:val="00B65787"/>
    <w:rsid w:val="00B659AC"/>
    <w:rsid w:val="00B67A5F"/>
    <w:rsid w:val="00B70FF8"/>
    <w:rsid w:val="00B729A9"/>
    <w:rsid w:val="00B73B2E"/>
    <w:rsid w:val="00B74A40"/>
    <w:rsid w:val="00B76A22"/>
    <w:rsid w:val="00B76E2F"/>
    <w:rsid w:val="00B77E74"/>
    <w:rsid w:val="00B80E7F"/>
    <w:rsid w:val="00B8285C"/>
    <w:rsid w:val="00B84FE1"/>
    <w:rsid w:val="00B861DB"/>
    <w:rsid w:val="00B86FBB"/>
    <w:rsid w:val="00B91935"/>
    <w:rsid w:val="00B91E07"/>
    <w:rsid w:val="00B94B16"/>
    <w:rsid w:val="00B9517C"/>
    <w:rsid w:val="00B9690B"/>
    <w:rsid w:val="00BA10C6"/>
    <w:rsid w:val="00BA2292"/>
    <w:rsid w:val="00BA585B"/>
    <w:rsid w:val="00BA6FC6"/>
    <w:rsid w:val="00BB01F4"/>
    <w:rsid w:val="00BB0296"/>
    <w:rsid w:val="00BB3E35"/>
    <w:rsid w:val="00BB5493"/>
    <w:rsid w:val="00BB596B"/>
    <w:rsid w:val="00BB5FAD"/>
    <w:rsid w:val="00BC2613"/>
    <w:rsid w:val="00BC28FE"/>
    <w:rsid w:val="00BC2BCA"/>
    <w:rsid w:val="00BC4836"/>
    <w:rsid w:val="00BC5D40"/>
    <w:rsid w:val="00BC6641"/>
    <w:rsid w:val="00BC68A1"/>
    <w:rsid w:val="00BD6DF1"/>
    <w:rsid w:val="00BE0BA5"/>
    <w:rsid w:val="00BE0F30"/>
    <w:rsid w:val="00BE12F9"/>
    <w:rsid w:val="00BE1DFA"/>
    <w:rsid w:val="00BE6F97"/>
    <w:rsid w:val="00BF0CD3"/>
    <w:rsid w:val="00BF1009"/>
    <w:rsid w:val="00BF1573"/>
    <w:rsid w:val="00BF1DDF"/>
    <w:rsid w:val="00BF36D2"/>
    <w:rsid w:val="00BF5AAA"/>
    <w:rsid w:val="00C012B1"/>
    <w:rsid w:val="00C0169F"/>
    <w:rsid w:val="00C01983"/>
    <w:rsid w:val="00C019C3"/>
    <w:rsid w:val="00C0426C"/>
    <w:rsid w:val="00C065A3"/>
    <w:rsid w:val="00C1002F"/>
    <w:rsid w:val="00C106E1"/>
    <w:rsid w:val="00C121FB"/>
    <w:rsid w:val="00C14743"/>
    <w:rsid w:val="00C23ABD"/>
    <w:rsid w:val="00C2520C"/>
    <w:rsid w:val="00C30C8D"/>
    <w:rsid w:val="00C30D62"/>
    <w:rsid w:val="00C31CAA"/>
    <w:rsid w:val="00C34481"/>
    <w:rsid w:val="00C34B9C"/>
    <w:rsid w:val="00C36ABE"/>
    <w:rsid w:val="00C36E7C"/>
    <w:rsid w:val="00C41CCF"/>
    <w:rsid w:val="00C42F02"/>
    <w:rsid w:val="00C448BC"/>
    <w:rsid w:val="00C44BBE"/>
    <w:rsid w:val="00C4568D"/>
    <w:rsid w:val="00C4574E"/>
    <w:rsid w:val="00C4617B"/>
    <w:rsid w:val="00C53081"/>
    <w:rsid w:val="00C533BB"/>
    <w:rsid w:val="00C5429D"/>
    <w:rsid w:val="00C61DB6"/>
    <w:rsid w:val="00C63055"/>
    <w:rsid w:val="00C63298"/>
    <w:rsid w:val="00C636E6"/>
    <w:rsid w:val="00C63D83"/>
    <w:rsid w:val="00C647C2"/>
    <w:rsid w:val="00C653B5"/>
    <w:rsid w:val="00C665C3"/>
    <w:rsid w:val="00C66AF4"/>
    <w:rsid w:val="00C709E8"/>
    <w:rsid w:val="00C7409D"/>
    <w:rsid w:val="00C757B6"/>
    <w:rsid w:val="00C76752"/>
    <w:rsid w:val="00C815A1"/>
    <w:rsid w:val="00C83483"/>
    <w:rsid w:val="00C836E3"/>
    <w:rsid w:val="00C83ECD"/>
    <w:rsid w:val="00C84012"/>
    <w:rsid w:val="00C87F76"/>
    <w:rsid w:val="00C90181"/>
    <w:rsid w:val="00C92636"/>
    <w:rsid w:val="00C97349"/>
    <w:rsid w:val="00CA4408"/>
    <w:rsid w:val="00CA51A4"/>
    <w:rsid w:val="00CA51AB"/>
    <w:rsid w:val="00CB014A"/>
    <w:rsid w:val="00CB0A89"/>
    <w:rsid w:val="00CB11BA"/>
    <w:rsid w:val="00CB1834"/>
    <w:rsid w:val="00CB2094"/>
    <w:rsid w:val="00CB219E"/>
    <w:rsid w:val="00CB36E9"/>
    <w:rsid w:val="00CB6C31"/>
    <w:rsid w:val="00CC08E5"/>
    <w:rsid w:val="00CC0AB5"/>
    <w:rsid w:val="00CC70A7"/>
    <w:rsid w:val="00CC7B5A"/>
    <w:rsid w:val="00CC7E7E"/>
    <w:rsid w:val="00CD22FB"/>
    <w:rsid w:val="00CD2600"/>
    <w:rsid w:val="00CD33E3"/>
    <w:rsid w:val="00CE05FA"/>
    <w:rsid w:val="00CE090E"/>
    <w:rsid w:val="00CE0A23"/>
    <w:rsid w:val="00CE163D"/>
    <w:rsid w:val="00CE2F3D"/>
    <w:rsid w:val="00CE3178"/>
    <w:rsid w:val="00CE3FE6"/>
    <w:rsid w:val="00CE6CB0"/>
    <w:rsid w:val="00CE7973"/>
    <w:rsid w:val="00CE7BC4"/>
    <w:rsid w:val="00CE7C1C"/>
    <w:rsid w:val="00CF072B"/>
    <w:rsid w:val="00CF113D"/>
    <w:rsid w:val="00CF4399"/>
    <w:rsid w:val="00CF4885"/>
    <w:rsid w:val="00CF4CE8"/>
    <w:rsid w:val="00CF4D2B"/>
    <w:rsid w:val="00CF4E56"/>
    <w:rsid w:val="00CF50E6"/>
    <w:rsid w:val="00D001BA"/>
    <w:rsid w:val="00D005CC"/>
    <w:rsid w:val="00D01701"/>
    <w:rsid w:val="00D05ACA"/>
    <w:rsid w:val="00D0664D"/>
    <w:rsid w:val="00D06897"/>
    <w:rsid w:val="00D103BD"/>
    <w:rsid w:val="00D11591"/>
    <w:rsid w:val="00D12400"/>
    <w:rsid w:val="00D1320F"/>
    <w:rsid w:val="00D13235"/>
    <w:rsid w:val="00D14BFB"/>
    <w:rsid w:val="00D152B0"/>
    <w:rsid w:val="00D1678F"/>
    <w:rsid w:val="00D16C78"/>
    <w:rsid w:val="00D16FC1"/>
    <w:rsid w:val="00D20D9C"/>
    <w:rsid w:val="00D21348"/>
    <w:rsid w:val="00D21D95"/>
    <w:rsid w:val="00D24803"/>
    <w:rsid w:val="00D26021"/>
    <w:rsid w:val="00D263EF"/>
    <w:rsid w:val="00D27012"/>
    <w:rsid w:val="00D30D5F"/>
    <w:rsid w:val="00D32CD6"/>
    <w:rsid w:val="00D331C4"/>
    <w:rsid w:val="00D335D2"/>
    <w:rsid w:val="00D361FA"/>
    <w:rsid w:val="00D4050F"/>
    <w:rsid w:val="00D40749"/>
    <w:rsid w:val="00D426FE"/>
    <w:rsid w:val="00D4301A"/>
    <w:rsid w:val="00D445AF"/>
    <w:rsid w:val="00D51CB2"/>
    <w:rsid w:val="00D54AB5"/>
    <w:rsid w:val="00D55EA6"/>
    <w:rsid w:val="00D57110"/>
    <w:rsid w:val="00D62CAC"/>
    <w:rsid w:val="00D653CD"/>
    <w:rsid w:val="00D677D3"/>
    <w:rsid w:val="00D70D51"/>
    <w:rsid w:val="00D74D04"/>
    <w:rsid w:val="00D77943"/>
    <w:rsid w:val="00D8121E"/>
    <w:rsid w:val="00D815AB"/>
    <w:rsid w:val="00D84322"/>
    <w:rsid w:val="00D87AAB"/>
    <w:rsid w:val="00D87D3F"/>
    <w:rsid w:val="00D87FB2"/>
    <w:rsid w:val="00D93A41"/>
    <w:rsid w:val="00D94B8A"/>
    <w:rsid w:val="00D97C63"/>
    <w:rsid w:val="00DA154E"/>
    <w:rsid w:val="00DA357D"/>
    <w:rsid w:val="00DA4312"/>
    <w:rsid w:val="00DB0FCD"/>
    <w:rsid w:val="00DB2BEA"/>
    <w:rsid w:val="00DB3DF0"/>
    <w:rsid w:val="00DB3EA5"/>
    <w:rsid w:val="00DB5ACA"/>
    <w:rsid w:val="00DB69F1"/>
    <w:rsid w:val="00DB7188"/>
    <w:rsid w:val="00DC200F"/>
    <w:rsid w:val="00DC276C"/>
    <w:rsid w:val="00DC383C"/>
    <w:rsid w:val="00DC6BFC"/>
    <w:rsid w:val="00DC6D01"/>
    <w:rsid w:val="00DD0010"/>
    <w:rsid w:val="00DD14FC"/>
    <w:rsid w:val="00DD24E1"/>
    <w:rsid w:val="00DD3D5F"/>
    <w:rsid w:val="00DD4338"/>
    <w:rsid w:val="00DD4F49"/>
    <w:rsid w:val="00DD5273"/>
    <w:rsid w:val="00DD671B"/>
    <w:rsid w:val="00DD73E8"/>
    <w:rsid w:val="00DE195A"/>
    <w:rsid w:val="00DE1A21"/>
    <w:rsid w:val="00DE1D7C"/>
    <w:rsid w:val="00DE3DA1"/>
    <w:rsid w:val="00DE6A76"/>
    <w:rsid w:val="00DF1506"/>
    <w:rsid w:val="00DF1CA0"/>
    <w:rsid w:val="00DF4295"/>
    <w:rsid w:val="00DF45A4"/>
    <w:rsid w:val="00DF7791"/>
    <w:rsid w:val="00E0007B"/>
    <w:rsid w:val="00E00428"/>
    <w:rsid w:val="00E00525"/>
    <w:rsid w:val="00E00FBC"/>
    <w:rsid w:val="00E018C5"/>
    <w:rsid w:val="00E0309A"/>
    <w:rsid w:val="00E06E7B"/>
    <w:rsid w:val="00E11362"/>
    <w:rsid w:val="00E11578"/>
    <w:rsid w:val="00E12BAB"/>
    <w:rsid w:val="00E20BD9"/>
    <w:rsid w:val="00E22DF9"/>
    <w:rsid w:val="00E27217"/>
    <w:rsid w:val="00E3107A"/>
    <w:rsid w:val="00E321DD"/>
    <w:rsid w:val="00E32A3E"/>
    <w:rsid w:val="00E340CD"/>
    <w:rsid w:val="00E34281"/>
    <w:rsid w:val="00E4429F"/>
    <w:rsid w:val="00E45EFC"/>
    <w:rsid w:val="00E470F9"/>
    <w:rsid w:val="00E47269"/>
    <w:rsid w:val="00E51972"/>
    <w:rsid w:val="00E51C55"/>
    <w:rsid w:val="00E52608"/>
    <w:rsid w:val="00E571D2"/>
    <w:rsid w:val="00E600B6"/>
    <w:rsid w:val="00E6161F"/>
    <w:rsid w:val="00E664B2"/>
    <w:rsid w:val="00E70F9C"/>
    <w:rsid w:val="00E7604B"/>
    <w:rsid w:val="00E76E38"/>
    <w:rsid w:val="00E76EE4"/>
    <w:rsid w:val="00E80D57"/>
    <w:rsid w:val="00E83372"/>
    <w:rsid w:val="00E8601B"/>
    <w:rsid w:val="00E86C25"/>
    <w:rsid w:val="00E8760D"/>
    <w:rsid w:val="00E900AD"/>
    <w:rsid w:val="00E91DC9"/>
    <w:rsid w:val="00E95E34"/>
    <w:rsid w:val="00E96339"/>
    <w:rsid w:val="00EA3D69"/>
    <w:rsid w:val="00EA58EA"/>
    <w:rsid w:val="00EB10D2"/>
    <w:rsid w:val="00EB215C"/>
    <w:rsid w:val="00EB4F27"/>
    <w:rsid w:val="00EB519D"/>
    <w:rsid w:val="00EB5523"/>
    <w:rsid w:val="00EB619E"/>
    <w:rsid w:val="00EB71FF"/>
    <w:rsid w:val="00EC0B91"/>
    <w:rsid w:val="00EC18EB"/>
    <w:rsid w:val="00EC29FB"/>
    <w:rsid w:val="00EC4D49"/>
    <w:rsid w:val="00EC4DCB"/>
    <w:rsid w:val="00EC602B"/>
    <w:rsid w:val="00EC754A"/>
    <w:rsid w:val="00ED0627"/>
    <w:rsid w:val="00ED0932"/>
    <w:rsid w:val="00ED098D"/>
    <w:rsid w:val="00ED0C67"/>
    <w:rsid w:val="00ED10B9"/>
    <w:rsid w:val="00ED1252"/>
    <w:rsid w:val="00ED1E1A"/>
    <w:rsid w:val="00ED2F28"/>
    <w:rsid w:val="00EE0BB0"/>
    <w:rsid w:val="00EE46F3"/>
    <w:rsid w:val="00EE5671"/>
    <w:rsid w:val="00EE5B04"/>
    <w:rsid w:val="00EF0AA8"/>
    <w:rsid w:val="00EF18E5"/>
    <w:rsid w:val="00EF26D4"/>
    <w:rsid w:val="00EF563C"/>
    <w:rsid w:val="00EF5FE8"/>
    <w:rsid w:val="00F00AC3"/>
    <w:rsid w:val="00F02E6F"/>
    <w:rsid w:val="00F037E3"/>
    <w:rsid w:val="00F04440"/>
    <w:rsid w:val="00F07FB4"/>
    <w:rsid w:val="00F10560"/>
    <w:rsid w:val="00F121CA"/>
    <w:rsid w:val="00F1388F"/>
    <w:rsid w:val="00F13C38"/>
    <w:rsid w:val="00F168AE"/>
    <w:rsid w:val="00F1764B"/>
    <w:rsid w:val="00F204C2"/>
    <w:rsid w:val="00F2236D"/>
    <w:rsid w:val="00F233CA"/>
    <w:rsid w:val="00F257D2"/>
    <w:rsid w:val="00F26316"/>
    <w:rsid w:val="00F26452"/>
    <w:rsid w:val="00F26475"/>
    <w:rsid w:val="00F30258"/>
    <w:rsid w:val="00F31EFE"/>
    <w:rsid w:val="00F3473D"/>
    <w:rsid w:val="00F37A23"/>
    <w:rsid w:val="00F43B73"/>
    <w:rsid w:val="00F44111"/>
    <w:rsid w:val="00F45429"/>
    <w:rsid w:val="00F45A6F"/>
    <w:rsid w:val="00F4794A"/>
    <w:rsid w:val="00F50868"/>
    <w:rsid w:val="00F52651"/>
    <w:rsid w:val="00F53F1D"/>
    <w:rsid w:val="00F5562A"/>
    <w:rsid w:val="00F556EC"/>
    <w:rsid w:val="00F55BA1"/>
    <w:rsid w:val="00F616F9"/>
    <w:rsid w:val="00F622BF"/>
    <w:rsid w:val="00F65435"/>
    <w:rsid w:val="00F65480"/>
    <w:rsid w:val="00F66366"/>
    <w:rsid w:val="00F673B2"/>
    <w:rsid w:val="00F71247"/>
    <w:rsid w:val="00F738D9"/>
    <w:rsid w:val="00F74171"/>
    <w:rsid w:val="00F74392"/>
    <w:rsid w:val="00F74C7A"/>
    <w:rsid w:val="00F75A98"/>
    <w:rsid w:val="00F764F5"/>
    <w:rsid w:val="00F76E9A"/>
    <w:rsid w:val="00F8229D"/>
    <w:rsid w:val="00F831B5"/>
    <w:rsid w:val="00F837F4"/>
    <w:rsid w:val="00F86C39"/>
    <w:rsid w:val="00F879CD"/>
    <w:rsid w:val="00F90C4C"/>
    <w:rsid w:val="00F91B77"/>
    <w:rsid w:val="00F9326B"/>
    <w:rsid w:val="00F951F7"/>
    <w:rsid w:val="00FA0B87"/>
    <w:rsid w:val="00FA10C3"/>
    <w:rsid w:val="00FA2A78"/>
    <w:rsid w:val="00FA3D7C"/>
    <w:rsid w:val="00FA4343"/>
    <w:rsid w:val="00FA63B7"/>
    <w:rsid w:val="00FA65D6"/>
    <w:rsid w:val="00FA7B9F"/>
    <w:rsid w:val="00FA7D67"/>
    <w:rsid w:val="00FB2AAE"/>
    <w:rsid w:val="00FB4045"/>
    <w:rsid w:val="00FB4840"/>
    <w:rsid w:val="00FB593D"/>
    <w:rsid w:val="00FB5F39"/>
    <w:rsid w:val="00FB5FDD"/>
    <w:rsid w:val="00FC0941"/>
    <w:rsid w:val="00FC341B"/>
    <w:rsid w:val="00FC39CE"/>
    <w:rsid w:val="00FC3C0A"/>
    <w:rsid w:val="00FC7160"/>
    <w:rsid w:val="00FC7F68"/>
    <w:rsid w:val="00FE1B69"/>
    <w:rsid w:val="00FE494C"/>
    <w:rsid w:val="00FE4B3B"/>
    <w:rsid w:val="00FE51A8"/>
    <w:rsid w:val="00FE709D"/>
    <w:rsid w:val="00FF03FF"/>
    <w:rsid w:val="00FF069D"/>
    <w:rsid w:val="00FF398C"/>
    <w:rsid w:val="00FF4796"/>
    <w:rsid w:val="00FF5C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274E6"/>
  <w15:chartTrackingRefBased/>
  <w15:docId w15:val="{5B46385D-9ADD-4D31-B07D-581D1FEC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77"/>
    <w:pPr>
      <w:spacing w:before="120" w:after="120" w:line="240" w:lineRule="auto"/>
    </w:pPr>
  </w:style>
  <w:style w:type="paragraph" w:styleId="Heading1">
    <w:name w:val="heading 1"/>
    <w:basedOn w:val="Normal"/>
    <w:next w:val="Normal"/>
    <w:link w:val="Heading1Char"/>
    <w:uiPriority w:val="9"/>
    <w:qFormat/>
    <w:rsid w:val="00784C70"/>
    <w:pPr>
      <w:keepNext/>
      <w:keepLines/>
      <w:spacing w:before="480" w:after="240"/>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466197"/>
    <w:pPr>
      <w:keepNext/>
      <w:keepLines/>
      <w:spacing w:before="40" w:after="0"/>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uiPriority w:val="9"/>
    <w:semiHidden/>
    <w:unhideWhenUsed/>
    <w:qFormat/>
    <w:rsid w:val="00FA10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972"/>
    <w:pPr>
      <w:ind w:left="720"/>
      <w:contextualSpacing/>
    </w:pPr>
  </w:style>
  <w:style w:type="paragraph" w:styleId="Header">
    <w:name w:val="header"/>
    <w:basedOn w:val="Normal"/>
    <w:link w:val="HeaderChar"/>
    <w:uiPriority w:val="99"/>
    <w:unhideWhenUsed/>
    <w:rsid w:val="006862E0"/>
    <w:pPr>
      <w:tabs>
        <w:tab w:val="center" w:pos="4153"/>
        <w:tab w:val="right" w:pos="8306"/>
      </w:tabs>
      <w:spacing w:after="0"/>
    </w:pPr>
  </w:style>
  <w:style w:type="character" w:customStyle="1" w:styleId="HeaderChar">
    <w:name w:val="Header Char"/>
    <w:basedOn w:val="DefaultParagraphFont"/>
    <w:link w:val="Header"/>
    <w:uiPriority w:val="99"/>
    <w:rsid w:val="006862E0"/>
  </w:style>
  <w:style w:type="paragraph" w:styleId="Footer">
    <w:name w:val="footer"/>
    <w:basedOn w:val="Normal"/>
    <w:link w:val="FooterChar"/>
    <w:uiPriority w:val="99"/>
    <w:unhideWhenUsed/>
    <w:rsid w:val="006862E0"/>
    <w:pPr>
      <w:tabs>
        <w:tab w:val="center" w:pos="4153"/>
        <w:tab w:val="right" w:pos="8306"/>
      </w:tabs>
      <w:spacing w:after="0"/>
    </w:pPr>
  </w:style>
  <w:style w:type="character" w:customStyle="1" w:styleId="FooterChar">
    <w:name w:val="Footer Char"/>
    <w:basedOn w:val="DefaultParagraphFont"/>
    <w:link w:val="Footer"/>
    <w:uiPriority w:val="99"/>
    <w:rsid w:val="006862E0"/>
  </w:style>
  <w:style w:type="paragraph" w:styleId="EndnoteText">
    <w:name w:val="endnote text"/>
    <w:basedOn w:val="Normal"/>
    <w:link w:val="EndnoteTextChar"/>
    <w:uiPriority w:val="99"/>
    <w:semiHidden/>
    <w:unhideWhenUsed/>
    <w:rsid w:val="006862E0"/>
    <w:pPr>
      <w:spacing w:after="0"/>
    </w:pPr>
    <w:rPr>
      <w:sz w:val="20"/>
      <w:szCs w:val="20"/>
    </w:rPr>
  </w:style>
  <w:style w:type="character" w:customStyle="1" w:styleId="EndnoteTextChar">
    <w:name w:val="Endnote Text Char"/>
    <w:basedOn w:val="DefaultParagraphFont"/>
    <w:link w:val="EndnoteText"/>
    <w:uiPriority w:val="99"/>
    <w:semiHidden/>
    <w:rsid w:val="006862E0"/>
    <w:rPr>
      <w:sz w:val="20"/>
      <w:szCs w:val="20"/>
    </w:rPr>
  </w:style>
  <w:style w:type="character" w:styleId="EndnoteReference">
    <w:name w:val="endnote reference"/>
    <w:basedOn w:val="DefaultParagraphFont"/>
    <w:uiPriority w:val="99"/>
    <w:semiHidden/>
    <w:unhideWhenUsed/>
    <w:rsid w:val="006862E0"/>
    <w:rPr>
      <w:vertAlign w:val="superscript"/>
    </w:rPr>
  </w:style>
  <w:style w:type="paragraph" w:styleId="FootnoteText">
    <w:name w:val="footnote text"/>
    <w:aliases w:val="Footnote text"/>
    <w:basedOn w:val="Normal"/>
    <w:link w:val="FootnoteTextChar"/>
    <w:uiPriority w:val="99"/>
    <w:semiHidden/>
    <w:unhideWhenUsed/>
    <w:rsid w:val="00495498"/>
    <w:pPr>
      <w:spacing w:after="0"/>
    </w:pPr>
    <w:rPr>
      <w:sz w:val="20"/>
      <w:szCs w:val="20"/>
    </w:rPr>
  </w:style>
  <w:style w:type="character" w:customStyle="1" w:styleId="FootnoteTextChar">
    <w:name w:val="Footnote Text Char"/>
    <w:aliases w:val="Footnote text Char"/>
    <w:basedOn w:val="DefaultParagraphFont"/>
    <w:link w:val="FootnoteText"/>
    <w:uiPriority w:val="99"/>
    <w:rsid w:val="00495498"/>
    <w:rPr>
      <w:sz w:val="20"/>
      <w:szCs w:val="20"/>
    </w:rPr>
  </w:style>
  <w:style w:type="character" w:styleId="FootnoteReference">
    <w:name w:val="footnote reference"/>
    <w:aliases w:val="Footnote"/>
    <w:basedOn w:val="DefaultParagraphFont"/>
    <w:uiPriority w:val="99"/>
    <w:semiHidden/>
    <w:unhideWhenUsed/>
    <w:rsid w:val="00495498"/>
    <w:rPr>
      <w:vertAlign w:val="superscript"/>
    </w:rPr>
  </w:style>
  <w:style w:type="character" w:customStyle="1" w:styleId="Heading1Char">
    <w:name w:val="Heading 1 Char"/>
    <w:basedOn w:val="DefaultParagraphFont"/>
    <w:link w:val="Heading1"/>
    <w:uiPriority w:val="9"/>
    <w:rsid w:val="00784C70"/>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66197"/>
    <w:rPr>
      <w:rFonts w:ascii="Times New Roman" w:eastAsiaTheme="majorEastAsia" w:hAnsi="Times New Roman" w:cstheme="majorBidi"/>
      <w:sz w:val="28"/>
      <w:szCs w:val="26"/>
    </w:rPr>
  </w:style>
  <w:style w:type="character" w:styleId="Hyperlink">
    <w:name w:val="Hyperlink"/>
    <w:basedOn w:val="DefaultParagraphFont"/>
    <w:uiPriority w:val="99"/>
    <w:unhideWhenUsed/>
    <w:rsid w:val="00477917"/>
    <w:rPr>
      <w:color w:val="0563C1" w:themeColor="hyperlink"/>
      <w:u w:val="single"/>
    </w:rPr>
  </w:style>
  <w:style w:type="paragraph" w:styleId="TableofFigures">
    <w:name w:val="table of figures"/>
    <w:basedOn w:val="Normal"/>
    <w:next w:val="Normal"/>
    <w:uiPriority w:val="99"/>
    <w:unhideWhenUsed/>
    <w:rsid w:val="00477917"/>
    <w:pPr>
      <w:spacing w:after="0"/>
      <w:jc w:val="both"/>
    </w:pPr>
    <w:rPr>
      <w:rFonts w:ascii="Times New Roman" w:hAnsi="Times New Roman"/>
      <w:sz w:val="24"/>
    </w:rPr>
  </w:style>
  <w:style w:type="character" w:customStyle="1" w:styleId="Mention1">
    <w:name w:val="Mention1"/>
    <w:basedOn w:val="DefaultParagraphFont"/>
    <w:uiPriority w:val="99"/>
    <w:semiHidden/>
    <w:unhideWhenUsed/>
    <w:rsid w:val="00F00AC3"/>
    <w:rPr>
      <w:color w:val="2B579A"/>
      <w:shd w:val="clear" w:color="auto" w:fill="E6E6E6"/>
    </w:rPr>
  </w:style>
  <w:style w:type="table" w:styleId="TableGrid">
    <w:name w:val="Table Grid"/>
    <w:basedOn w:val="TableNormal"/>
    <w:uiPriority w:val="59"/>
    <w:rsid w:val="009E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4F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F49"/>
    <w:rPr>
      <w:rFonts w:ascii="Segoe UI" w:hAnsi="Segoe UI" w:cs="Segoe UI"/>
      <w:sz w:val="18"/>
      <w:szCs w:val="18"/>
    </w:rPr>
  </w:style>
  <w:style w:type="paragraph" w:customStyle="1" w:styleId="Text1">
    <w:name w:val="Text 1"/>
    <w:basedOn w:val="Normal"/>
    <w:rsid w:val="00784C70"/>
    <w:pPr>
      <w:spacing w:after="240"/>
      <w:ind w:left="482"/>
      <w:jc w:val="both"/>
    </w:pPr>
    <w:rPr>
      <w:rFonts w:ascii="Times New Roman" w:eastAsia="Times New Roman" w:hAnsi="Times New Roman" w:cs="Times New Roman"/>
      <w:sz w:val="24"/>
      <w:szCs w:val="20"/>
      <w:lang w:eastAsia="lv-LV" w:bidi="lv-LV"/>
    </w:rPr>
  </w:style>
  <w:style w:type="character" w:customStyle="1" w:styleId="FontStyle13">
    <w:name w:val="Font Style13"/>
    <w:uiPriority w:val="99"/>
    <w:rsid w:val="00784C70"/>
    <w:rPr>
      <w:rFonts w:ascii="Times New Roman" w:hAnsi="Times New Roman" w:cs="Times New Roman"/>
      <w:sz w:val="22"/>
      <w:szCs w:val="22"/>
    </w:rPr>
  </w:style>
  <w:style w:type="paragraph" w:customStyle="1" w:styleId="ListNumber1">
    <w:name w:val="List Number 1"/>
    <w:basedOn w:val="Normal"/>
    <w:rsid w:val="00784C70"/>
    <w:pPr>
      <w:numPr>
        <w:numId w:val="5"/>
      </w:numPr>
      <w:spacing w:after="240"/>
      <w:jc w:val="both"/>
    </w:pPr>
    <w:rPr>
      <w:rFonts w:ascii="Times New Roman" w:eastAsia="Times New Roman" w:hAnsi="Times New Roman" w:cs="Times New Roman"/>
      <w:sz w:val="24"/>
      <w:szCs w:val="20"/>
      <w:lang w:eastAsia="lv-LV" w:bidi="lv-LV"/>
    </w:rPr>
  </w:style>
  <w:style w:type="paragraph" w:customStyle="1" w:styleId="ListNumber1Level2">
    <w:name w:val="List Number 1 (Level 2)"/>
    <w:basedOn w:val="Normal"/>
    <w:rsid w:val="00784C70"/>
    <w:pPr>
      <w:numPr>
        <w:ilvl w:val="1"/>
        <w:numId w:val="5"/>
      </w:numPr>
      <w:spacing w:after="240"/>
      <w:jc w:val="both"/>
    </w:pPr>
    <w:rPr>
      <w:rFonts w:ascii="Times New Roman" w:eastAsia="Times New Roman" w:hAnsi="Times New Roman" w:cs="Times New Roman"/>
      <w:sz w:val="24"/>
      <w:szCs w:val="20"/>
      <w:lang w:eastAsia="lv-LV" w:bidi="lv-LV"/>
    </w:rPr>
  </w:style>
  <w:style w:type="paragraph" w:customStyle="1" w:styleId="ListNumber1Level3">
    <w:name w:val="List Number 1 (Level 3)"/>
    <w:basedOn w:val="Normal"/>
    <w:rsid w:val="00784C70"/>
    <w:pPr>
      <w:numPr>
        <w:ilvl w:val="2"/>
        <w:numId w:val="5"/>
      </w:numPr>
      <w:spacing w:after="240"/>
      <w:jc w:val="both"/>
    </w:pPr>
    <w:rPr>
      <w:rFonts w:ascii="Times New Roman" w:eastAsia="Times New Roman" w:hAnsi="Times New Roman" w:cs="Times New Roman"/>
      <w:sz w:val="24"/>
      <w:szCs w:val="20"/>
      <w:lang w:eastAsia="lv-LV" w:bidi="lv-LV"/>
    </w:rPr>
  </w:style>
  <w:style w:type="paragraph" w:customStyle="1" w:styleId="ListNumber1Level4">
    <w:name w:val="List Number 1 (Level 4)"/>
    <w:basedOn w:val="Normal"/>
    <w:rsid w:val="00784C70"/>
    <w:pPr>
      <w:numPr>
        <w:ilvl w:val="3"/>
        <w:numId w:val="5"/>
      </w:numPr>
      <w:spacing w:after="240"/>
      <w:jc w:val="both"/>
    </w:pPr>
    <w:rPr>
      <w:rFonts w:ascii="Times New Roman" w:eastAsia="Times New Roman" w:hAnsi="Times New Roman" w:cs="Times New Roman"/>
      <w:sz w:val="24"/>
      <w:szCs w:val="20"/>
      <w:lang w:eastAsia="lv-LV" w:bidi="lv-LV"/>
    </w:rPr>
  </w:style>
  <w:style w:type="character" w:customStyle="1" w:styleId="apple-converted-space">
    <w:name w:val="apple-converted-space"/>
    <w:basedOn w:val="DefaultParagraphFont"/>
    <w:rsid w:val="00784C70"/>
  </w:style>
  <w:style w:type="character" w:styleId="FollowedHyperlink">
    <w:name w:val="FollowedHyperlink"/>
    <w:basedOn w:val="DefaultParagraphFont"/>
    <w:uiPriority w:val="99"/>
    <w:semiHidden/>
    <w:unhideWhenUsed/>
    <w:rsid w:val="00F233CA"/>
    <w:rPr>
      <w:color w:val="954F72" w:themeColor="followedHyperlink"/>
      <w:u w:val="single"/>
    </w:rPr>
  </w:style>
  <w:style w:type="paragraph" w:styleId="NormalWeb">
    <w:name w:val="Normal (Web)"/>
    <w:basedOn w:val="Normal"/>
    <w:uiPriority w:val="99"/>
    <w:unhideWhenUsed/>
    <w:rsid w:val="007C02E5"/>
    <w:pPr>
      <w:spacing w:before="100" w:beforeAutospacing="1" w:after="100" w:afterAutospacing="1"/>
    </w:pPr>
    <w:rPr>
      <w:rFonts w:ascii="Times New Roman" w:eastAsia="Times New Roman" w:hAnsi="Times New Roman" w:cs="Times New Roman"/>
      <w:sz w:val="24"/>
      <w:szCs w:val="24"/>
      <w:lang w:eastAsia="lv-LV"/>
    </w:rPr>
  </w:style>
  <w:style w:type="table" w:styleId="GridTable1Light">
    <w:name w:val="Grid Table 1 Light"/>
    <w:basedOn w:val="TableNormal"/>
    <w:uiPriority w:val="46"/>
    <w:rsid w:val="007C02E5"/>
    <w:pPr>
      <w:spacing w:after="0" w:line="240" w:lineRule="auto"/>
    </w:pPr>
    <w:rPr>
      <w:rFonts w:ascii="Times New Roman" w:hAnsi="Times New Roman"/>
      <w:sz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7C02E5"/>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7C02E5"/>
    <w:rPr>
      <w:rFonts w:cstheme="minorBidi"/>
      <w:color w:val="auto"/>
    </w:rPr>
  </w:style>
  <w:style w:type="paragraph" w:customStyle="1" w:styleId="CM3">
    <w:name w:val="CM3"/>
    <w:basedOn w:val="Default"/>
    <w:next w:val="Default"/>
    <w:uiPriority w:val="99"/>
    <w:rsid w:val="007C02E5"/>
    <w:rPr>
      <w:rFonts w:cstheme="minorBidi"/>
      <w:color w:val="auto"/>
    </w:rPr>
  </w:style>
  <w:style w:type="character" w:styleId="Strong">
    <w:name w:val="Strong"/>
    <w:basedOn w:val="DefaultParagraphFont"/>
    <w:uiPriority w:val="22"/>
    <w:qFormat/>
    <w:rsid w:val="007B6976"/>
    <w:rPr>
      <w:b/>
      <w:bCs/>
    </w:rPr>
  </w:style>
  <w:style w:type="character" w:styleId="CommentReference">
    <w:name w:val="annotation reference"/>
    <w:basedOn w:val="DefaultParagraphFont"/>
    <w:uiPriority w:val="99"/>
    <w:semiHidden/>
    <w:unhideWhenUsed/>
    <w:rsid w:val="00073165"/>
    <w:rPr>
      <w:sz w:val="16"/>
      <w:szCs w:val="16"/>
    </w:rPr>
  </w:style>
  <w:style w:type="paragraph" w:styleId="CommentText">
    <w:name w:val="annotation text"/>
    <w:basedOn w:val="Normal"/>
    <w:link w:val="CommentTextChar"/>
    <w:uiPriority w:val="99"/>
    <w:unhideWhenUsed/>
    <w:rsid w:val="00073165"/>
    <w:rPr>
      <w:sz w:val="20"/>
      <w:szCs w:val="20"/>
    </w:rPr>
  </w:style>
  <w:style w:type="character" w:customStyle="1" w:styleId="CommentTextChar">
    <w:name w:val="Comment Text Char"/>
    <w:basedOn w:val="DefaultParagraphFont"/>
    <w:link w:val="CommentText"/>
    <w:uiPriority w:val="99"/>
    <w:rsid w:val="00073165"/>
    <w:rPr>
      <w:sz w:val="20"/>
      <w:szCs w:val="20"/>
    </w:rPr>
  </w:style>
  <w:style w:type="paragraph" w:styleId="CommentSubject">
    <w:name w:val="annotation subject"/>
    <w:basedOn w:val="CommentText"/>
    <w:next w:val="CommentText"/>
    <w:link w:val="CommentSubjectChar"/>
    <w:uiPriority w:val="99"/>
    <w:semiHidden/>
    <w:unhideWhenUsed/>
    <w:rsid w:val="00073165"/>
    <w:rPr>
      <w:b/>
      <w:bCs/>
    </w:rPr>
  </w:style>
  <w:style w:type="character" w:customStyle="1" w:styleId="CommentSubjectChar">
    <w:name w:val="Comment Subject Char"/>
    <w:basedOn w:val="CommentTextChar"/>
    <w:link w:val="CommentSubject"/>
    <w:uiPriority w:val="99"/>
    <w:semiHidden/>
    <w:rsid w:val="00073165"/>
    <w:rPr>
      <w:b/>
      <w:bCs/>
      <w:sz w:val="20"/>
      <w:szCs w:val="20"/>
    </w:rPr>
  </w:style>
  <w:style w:type="paragraph" w:styleId="TOCHeading">
    <w:name w:val="TOC Heading"/>
    <w:basedOn w:val="Heading1"/>
    <w:next w:val="Normal"/>
    <w:uiPriority w:val="39"/>
    <w:unhideWhenUsed/>
    <w:qFormat/>
    <w:rsid w:val="00110AE1"/>
    <w:pPr>
      <w:spacing w:before="240" w:after="0" w:line="259" w:lineRule="auto"/>
      <w:jc w:val="left"/>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110AE1"/>
    <w:pPr>
      <w:spacing w:after="100"/>
    </w:pPr>
  </w:style>
  <w:style w:type="paragraph" w:styleId="Revision">
    <w:name w:val="Revision"/>
    <w:hidden/>
    <w:uiPriority w:val="99"/>
    <w:semiHidden/>
    <w:rsid w:val="0081222F"/>
    <w:pPr>
      <w:spacing w:after="0" w:line="240" w:lineRule="auto"/>
    </w:pPr>
  </w:style>
  <w:style w:type="character" w:customStyle="1" w:styleId="Heading3Char">
    <w:name w:val="Heading 3 Char"/>
    <w:basedOn w:val="DefaultParagraphFont"/>
    <w:link w:val="Heading3"/>
    <w:uiPriority w:val="9"/>
    <w:semiHidden/>
    <w:rsid w:val="00FA10C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62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94890">
      <w:bodyDiv w:val="1"/>
      <w:marLeft w:val="0"/>
      <w:marRight w:val="0"/>
      <w:marTop w:val="0"/>
      <w:marBottom w:val="0"/>
      <w:divBdr>
        <w:top w:val="none" w:sz="0" w:space="0" w:color="auto"/>
        <w:left w:val="none" w:sz="0" w:space="0" w:color="auto"/>
        <w:bottom w:val="none" w:sz="0" w:space="0" w:color="auto"/>
        <w:right w:val="none" w:sz="0" w:space="0" w:color="auto"/>
      </w:divBdr>
    </w:div>
    <w:div w:id="617103605">
      <w:bodyDiv w:val="1"/>
      <w:marLeft w:val="0"/>
      <w:marRight w:val="0"/>
      <w:marTop w:val="0"/>
      <w:marBottom w:val="0"/>
      <w:divBdr>
        <w:top w:val="none" w:sz="0" w:space="0" w:color="auto"/>
        <w:left w:val="none" w:sz="0" w:space="0" w:color="auto"/>
        <w:bottom w:val="none" w:sz="0" w:space="0" w:color="auto"/>
        <w:right w:val="none" w:sz="0" w:space="0" w:color="auto"/>
      </w:divBdr>
    </w:div>
    <w:div w:id="1095520349">
      <w:bodyDiv w:val="1"/>
      <w:marLeft w:val="0"/>
      <w:marRight w:val="0"/>
      <w:marTop w:val="0"/>
      <w:marBottom w:val="0"/>
      <w:divBdr>
        <w:top w:val="none" w:sz="0" w:space="0" w:color="auto"/>
        <w:left w:val="none" w:sz="0" w:space="0" w:color="auto"/>
        <w:bottom w:val="none" w:sz="0" w:space="0" w:color="auto"/>
        <w:right w:val="none" w:sz="0" w:space="0" w:color="auto"/>
      </w:divBdr>
    </w:div>
    <w:div w:id="1171218770">
      <w:bodyDiv w:val="1"/>
      <w:marLeft w:val="0"/>
      <w:marRight w:val="0"/>
      <w:marTop w:val="0"/>
      <w:marBottom w:val="0"/>
      <w:divBdr>
        <w:top w:val="none" w:sz="0" w:space="0" w:color="auto"/>
        <w:left w:val="none" w:sz="0" w:space="0" w:color="auto"/>
        <w:bottom w:val="none" w:sz="0" w:space="0" w:color="auto"/>
        <w:right w:val="none" w:sz="0" w:space="0" w:color="auto"/>
      </w:divBdr>
    </w:div>
    <w:div w:id="1520125041">
      <w:bodyDiv w:val="1"/>
      <w:marLeft w:val="0"/>
      <w:marRight w:val="0"/>
      <w:marTop w:val="0"/>
      <w:marBottom w:val="0"/>
      <w:divBdr>
        <w:top w:val="none" w:sz="0" w:space="0" w:color="auto"/>
        <w:left w:val="none" w:sz="0" w:space="0" w:color="auto"/>
        <w:bottom w:val="none" w:sz="0" w:space="0" w:color="auto"/>
        <w:right w:val="none" w:sz="0" w:space="0" w:color="auto"/>
      </w:divBdr>
    </w:div>
    <w:div w:id="1895463024">
      <w:bodyDiv w:val="1"/>
      <w:marLeft w:val="0"/>
      <w:marRight w:val="0"/>
      <w:marTop w:val="0"/>
      <w:marBottom w:val="0"/>
      <w:divBdr>
        <w:top w:val="none" w:sz="0" w:space="0" w:color="auto"/>
        <w:left w:val="none" w:sz="0" w:space="0" w:color="auto"/>
        <w:bottom w:val="none" w:sz="0" w:space="0" w:color="auto"/>
        <w:right w:val="none" w:sz="0" w:space="0" w:color="auto"/>
      </w:divBdr>
    </w:div>
    <w:div w:id="201657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mpetition/state_aid/cases/218142/218142_723454_30_2.pdf" TargetMode="External"/><Relationship Id="rId13" Type="http://schemas.openxmlformats.org/officeDocument/2006/relationships/hyperlink" Target="http://eur-lex.europa.eu/legal-content/LV/ALL/?uri=CELEX:52012XC0111(03)" TargetMode="External"/><Relationship Id="rId18" Type="http://schemas.openxmlformats.org/officeDocument/2006/relationships/hyperlink" Target="http://eur-lex.europa.eu/legal-content/LV/TXT/PDF/?uri=CELEX:32007R1370&amp;from=EN" TargetMode="External"/><Relationship Id="rId26" Type="http://schemas.openxmlformats.org/officeDocument/2006/relationships/hyperlink" Target="http://likumi.lv/doc.php?id=68488" TargetMode="External"/><Relationship Id="rId3" Type="http://schemas.openxmlformats.org/officeDocument/2006/relationships/hyperlink" Target="http://ec.europa.eu/competition/state_aid/legislation/legislation.html" TargetMode="External"/><Relationship Id="rId21" Type="http://schemas.openxmlformats.org/officeDocument/2006/relationships/hyperlink" Target="http://ec.europa.eu/competition/state_aid/legislation/reference_rates.html" TargetMode="External"/><Relationship Id="rId7" Type="http://schemas.openxmlformats.org/officeDocument/2006/relationships/hyperlink" Target="http://eurlex.europa.eu/LexUriServ/LexUriServ.do?uri=OJ:L:2000:265:0015:0028:EN:PDF" TargetMode="External"/><Relationship Id="rId12" Type="http://schemas.openxmlformats.org/officeDocument/2006/relationships/hyperlink" Target="http://eur-lex.europa.eu/legal-content/LV/ALL/?uri=CELEX:32012D0021" TargetMode="External"/><Relationship Id="rId17" Type="http://schemas.openxmlformats.org/officeDocument/2006/relationships/hyperlink" Target="http://eur-lex.europa.eu/legal-content/LV/TXT/PDF/?uri=CELEX:31998Y0206(01)&amp;from=EN" TargetMode="External"/><Relationship Id="rId25" Type="http://schemas.openxmlformats.org/officeDocument/2006/relationships/hyperlink" Target="http://eur-lex.europa.eu/legal-content/LV/ALL/?uri=CELEX:52009XC1027(01)" TargetMode="External"/><Relationship Id="rId2" Type="http://schemas.openxmlformats.org/officeDocument/2006/relationships/hyperlink" Target="http://www.fm.gov.lv/files/files/06.10.2016%20preciz%20FINAL%20Valsts%20atbalsta%20VADLINIJAS.pdf" TargetMode="External"/><Relationship Id="rId16" Type="http://schemas.openxmlformats.org/officeDocument/2006/relationships/hyperlink" Target="http://eur-lex.europa.eu/legal-content/LV/TXT/PDF/?uri=CELEX:52009XC1027(01)&amp;from=EN" TargetMode="External"/><Relationship Id="rId20" Type="http://schemas.openxmlformats.org/officeDocument/2006/relationships/hyperlink" Target="https://www.fm.gov.lv/lv/sadalas/komercdarbibas_atbalsta_kontrole/s/" TargetMode="External"/><Relationship Id="rId1" Type="http://schemas.openxmlformats.org/officeDocument/2006/relationships/hyperlink" Target="http://eur-lex.europa.eu/legal-content/LV/ALL/?uri=CELEX:12012E/TXT" TargetMode="External"/><Relationship Id="rId6" Type="http://schemas.openxmlformats.org/officeDocument/2006/relationships/hyperlink" Target="http://eurlex.europa.eu/LexUriServ/LexUriServ.do?uri=OJ:L:2012:236:0001:0034:LV:PDF" TargetMode="External"/><Relationship Id="rId11" Type="http://schemas.openxmlformats.org/officeDocument/2006/relationships/hyperlink" Target="http://eur-lex.europa.eu/legal-content/LV/AUTO/?uri=OJ:C:2012:008:TOC" TargetMode="External"/><Relationship Id="rId24" Type="http://schemas.openxmlformats.org/officeDocument/2006/relationships/hyperlink" Target="http://likumi.lv/doc.php?id=12483" TargetMode="External"/><Relationship Id="rId5" Type="http://schemas.openxmlformats.org/officeDocument/2006/relationships/hyperlink" Target="file:///C:\Users\ka-liepa\AppData\Local\Microsoft\Windows\INetCache\Content.Outlook\4UD4CO23\(KONSOLID&#274;T&#256;" TargetMode="External"/><Relationship Id="rId15" Type="http://schemas.openxmlformats.org/officeDocument/2006/relationships/hyperlink" Target="https://eur-lex.europa.eu/legal-content/LV/TXT/HTML/?uri=OJ:L_202302832" TargetMode="External"/><Relationship Id="rId23" Type="http://schemas.openxmlformats.org/officeDocument/2006/relationships/hyperlink" Target="https://eur-lex.europa.eu/legal-content/LV/TXT/HTML/?uri=OJ:L_202302832" TargetMode="External"/><Relationship Id="rId10" Type="http://schemas.openxmlformats.org/officeDocument/2006/relationships/hyperlink" Target="http://ec.europa.eu/competition/state_aid/overview/new_guide_eu_rules_procurement_lv.pdf" TargetMode="External"/><Relationship Id="rId19" Type="http://schemas.openxmlformats.org/officeDocument/2006/relationships/hyperlink" Target="http://ec.europa.eu/competition/state_aid/legislation/reference_rates.html" TargetMode="External"/><Relationship Id="rId4" Type="http://schemas.openxmlformats.org/officeDocument/2006/relationships/hyperlink" Target="https://eur-lex.europa.eu/legal-content/EN/TXT/?uri=CELEX%3A02014R0651-20230701" TargetMode="External"/><Relationship Id="rId9" Type="http://schemas.openxmlformats.org/officeDocument/2006/relationships/hyperlink" Target="http://ec.europa.eu/competition/state_aid/cases/199656/199656_581678_68_2.pdf" TargetMode="External"/><Relationship Id="rId14" Type="http://schemas.openxmlformats.org/officeDocument/2006/relationships/hyperlink" Target="http://eur-lex.europa.eu/legal-content/LV/ALL/?uri=CELEX:52012XC0111(02)" TargetMode="External"/><Relationship Id="rId22" Type="http://schemas.openxmlformats.org/officeDocument/2006/relationships/hyperlink" Target="http://ec.europa.eu/competition/state_aid/overview/new_guide_eu_rules_procurement_l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50EA2-7EDD-48ED-BB03-19F79B3616D4}">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31</Pages>
  <Words>44228</Words>
  <Characters>25210</Characters>
  <Application>Microsoft Office Word</Application>
  <DocSecurity>0</DocSecurity>
  <Lines>210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Katrīna Ozoliņa</dc:creator>
  <cp:keywords/>
  <dc:description/>
  <cp:lastModifiedBy>Agita Pudule</cp:lastModifiedBy>
  <cp:revision>2</cp:revision>
  <cp:lastPrinted>2019-04-01T12:06:00Z</cp:lastPrinted>
  <dcterms:created xsi:type="dcterms:W3CDTF">2025-01-06T12:18:00Z</dcterms:created>
  <dcterms:modified xsi:type="dcterms:W3CDTF">2025-01-06T12:18:00Z</dcterms:modified>
</cp:coreProperties>
</file>