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913AB" w14:textId="7C1E3027" w:rsidR="004D0D42" w:rsidRPr="009D3988" w:rsidRDefault="004D0D42" w:rsidP="004D0D42">
      <w:pPr>
        <w:pStyle w:val="Heading1"/>
        <w:numPr>
          <w:ilvl w:val="0"/>
          <w:numId w:val="0"/>
        </w:numPr>
        <w:jc w:val="both"/>
        <w:rPr>
          <w:rFonts w:asciiTheme="majorBidi" w:hAnsiTheme="majorBidi"/>
        </w:rPr>
      </w:pPr>
      <w:bookmarkStart w:id="0" w:name="_Toc139275789"/>
      <w:r w:rsidRPr="009D3988">
        <w:rPr>
          <w:rFonts w:asciiTheme="majorBidi" w:hAnsiTheme="majorBidi"/>
          <w:noProof/>
          <w:lang w:eastAsia="lv-LV"/>
        </w:rPr>
        <w:drawing>
          <wp:anchor distT="0" distB="0" distL="114300" distR="114300" simplePos="0" relativeHeight="251659264" behindDoc="0" locked="0" layoutInCell="1" allowOverlap="1" wp14:anchorId="486B8CEB" wp14:editId="6109E4D1">
            <wp:simplePos x="0" y="0"/>
            <wp:positionH relativeFrom="page">
              <wp:align>left</wp:align>
            </wp:positionH>
            <wp:positionV relativeFrom="paragraph">
              <wp:posOffset>7593</wp:posOffset>
            </wp:positionV>
            <wp:extent cx="652145" cy="409575"/>
            <wp:effectExtent l="0" t="0" r="0" b="9525"/>
            <wp:wrapSquare wrapText="bothSides"/>
            <wp:docPr id="51" name="Picture 5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b="29502"/>
                    <a:stretch/>
                  </pic:blipFill>
                  <pic:spPr bwMode="auto">
                    <a:xfrm>
                      <a:off x="0" y="0"/>
                      <a:ext cx="652145" cy="409575"/>
                    </a:xfrm>
                    <a:prstGeom prst="rect">
                      <a:avLst/>
                    </a:prstGeom>
                    <a:ln>
                      <a:noFill/>
                    </a:ln>
                    <a:extLst>
                      <a:ext uri="{53640926-AAD7-44D8-BBD7-CCE9431645EC}">
                        <a14:shadowObscured xmlns:a14="http://schemas.microsoft.com/office/drawing/2010/main"/>
                      </a:ext>
                    </a:extLst>
                  </pic:spPr>
                </pic:pic>
              </a:graphicData>
            </a:graphic>
          </wp:anchor>
        </w:drawing>
      </w:r>
      <w:r w:rsidRPr="009D3988">
        <w:rPr>
          <w:rFonts w:asciiTheme="majorBidi" w:hAnsiTheme="majorBidi"/>
        </w:rPr>
        <w:t>Izmantotie jēdzieni / termini</w:t>
      </w:r>
      <w:bookmarkEnd w:id="0"/>
      <w:r w:rsidRPr="009D3988">
        <w:rPr>
          <w:rFonts w:asciiTheme="majorBidi" w:hAnsiTheme="majorBidi"/>
        </w:rPr>
        <w:t xml:space="preserve"> </w:t>
      </w:r>
    </w:p>
    <w:p w14:paraId="22443F9F" w14:textId="77777777" w:rsidR="004D0D42" w:rsidRPr="009D3988" w:rsidRDefault="004D0D42" w:rsidP="004D0D42">
      <w:pPr>
        <w:pStyle w:val="Zilieteksti"/>
        <w:rPr>
          <w:rFonts w:ascii="Times New Roman" w:hAnsi="Times New Roman" w:cs="Times New Roman"/>
          <w:sz w:val="24"/>
          <w:szCs w:val="24"/>
          <w:lang w:val="lv-LV"/>
        </w:rPr>
      </w:pPr>
      <w:r w:rsidRPr="009D3988">
        <w:rPr>
          <w:rFonts w:ascii="Times New Roman" w:hAnsi="Times New Roman" w:cs="Times New Roman"/>
          <w:sz w:val="24"/>
          <w:szCs w:val="24"/>
          <w:lang w:val="lv-LV"/>
        </w:rPr>
        <w:t>Izmantotie jēdzieni/ termini</w:t>
      </w:r>
    </w:p>
    <w:p w14:paraId="2F496897" w14:textId="77777777" w:rsidR="004D0D42" w:rsidRPr="009D3988" w:rsidRDefault="004D0D42" w:rsidP="004D0D42">
      <w:pPr>
        <w:pStyle w:val="Zilieteksti"/>
        <w:jc w:val="both"/>
        <w:rPr>
          <w:rFonts w:ascii="Times New Roman" w:eastAsia="Calibri" w:hAnsi="Times New Roman" w:cs="Times New Roman"/>
          <w:b w:val="0"/>
          <w:noProof w:val="0"/>
          <w:color w:val="000000" w:themeColor="text1"/>
          <w:sz w:val="24"/>
          <w:szCs w:val="24"/>
          <w:lang w:val="lv-LV"/>
        </w:rPr>
      </w:pPr>
      <w:r w:rsidRPr="009D3988">
        <w:rPr>
          <w:rFonts w:ascii="Times New Roman" w:eastAsia="Calibri" w:hAnsi="Times New Roman" w:cs="Times New Roman"/>
          <w:b w:val="0"/>
          <w:noProof w:val="0"/>
          <w:color w:val="000000" w:themeColor="text1"/>
          <w:sz w:val="24"/>
          <w:szCs w:val="24"/>
          <w:lang w:val="lv-LV"/>
        </w:rPr>
        <w:t>Rokasgrāmatā izmantotajiem jēdzieniem norādīts datu avots, bet izmantotie jēdzieni ir mainīti, lai labāk atspoguļotu pašvaldības funkcijas un uzdevumus. Kā datu avoti izmantoti arī normatīvie akti, kas nav pašvaldībām saistoši, bet iekļauti Rokasgrāmatā kā labās prakses piemēri.</w:t>
      </w:r>
    </w:p>
    <w:tbl>
      <w:tblPr>
        <w:tblStyle w:val="PlainTable1"/>
        <w:tblW w:w="9351" w:type="dxa"/>
        <w:tblLook w:val="04A0" w:firstRow="1" w:lastRow="0" w:firstColumn="1" w:lastColumn="0" w:noHBand="0" w:noVBand="1"/>
      </w:tblPr>
      <w:tblGrid>
        <w:gridCol w:w="1832"/>
        <w:gridCol w:w="7519"/>
      </w:tblGrid>
      <w:tr w:rsidR="004D0D42" w:rsidRPr="009D3988" w14:paraId="41541255" w14:textId="77777777" w:rsidTr="00285963">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832" w:type="dxa"/>
          </w:tcPr>
          <w:p w14:paraId="2E3E3AAE" w14:textId="77777777" w:rsidR="004D0D42" w:rsidRPr="009D3988" w:rsidRDefault="004D0D42" w:rsidP="00285963">
            <w:pPr>
              <w:pStyle w:val="Zilieteksti"/>
              <w:jc w:val="center"/>
              <w:rPr>
                <w:rFonts w:ascii="Times New Roman" w:hAnsi="Times New Roman" w:cs="Times New Roman"/>
                <w:b/>
                <w:sz w:val="24"/>
                <w:szCs w:val="24"/>
              </w:rPr>
            </w:pPr>
            <w:r w:rsidRPr="009D3988">
              <w:rPr>
                <w:rFonts w:ascii="Times New Roman" w:hAnsi="Times New Roman" w:cs="Times New Roman"/>
                <w:b/>
                <w:sz w:val="24"/>
                <w:szCs w:val="24"/>
              </w:rPr>
              <w:t>Jēdziens/ termins</w:t>
            </w:r>
          </w:p>
        </w:tc>
        <w:tc>
          <w:tcPr>
            <w:tcW w:w="7519" w:type="dxa"/>
          </w:tcPr>
          <w:p w14:paraId="245DE62D" w14:textId="77777777" w:rsidR="004D0D42" w:rsidRPr="009D3988" w:rsidRDefault="004D0D42" w:rsidP="00285963">
            <w:pPr>
              <w:pStyle w:val="Zilietekst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9D3988">
              <w:rPr>
                <w:rFonts w:ascii="Times New Roman" w:hAnsi="Times New Roman" w:cs="Times New Roman"/>
                <w:b/>
                <w:sz w:val="24"/>
                <w:szCs w:val="24"/>
              </w:rPr>
              <w:t>Skaidrojums</w:t>
            </w:r>
          </w:p>
        </w:tc>
      </w:tr>
      <w:tr w:rsidR="004D0D42" w:rsidRPr="009D3988" w14:paraId="2A3874CE" w14:textId="77777777" w:rsidTr="00285963">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832" w:type="dxa"/>
          </w:tcPr>
          <w:p w14:paraId="51501361" w14:textId="77777777" w:rsidR="004D0D42" w:rsidRPr="009D3988" w:rsidRDefault="004D0D42" w:rsidP="00285963">
            <w:pPr>
              <w:pStyle w:val="BodyText"/>
              <w:rPr>
                <w:rFonts w:ascii="Times New Roman" w:eastAsia="Calibri" w:hAnsi="Times New Roman"/>
                <w:color w:val="000000" w:themeColor="text1"/>
                <w:sz w:val="24"/>
                <w:lang w:val="lv-LV"/>
              </w:rPr>
            </w:pPr>
            <w:r w:rsidRPr="009D3988">
              <w:rPr>
                <w:rFonts w:ascii="Times New Roman" w:eastAsia="Calibri" w:hAnsi="Times New Roman"/>
                <w:color w:val="000000" w:themeColor="text1"/>
                <w:sz w:val="24"/>
                <w:lang w:val="lv-LV"/>
              </w:rPr>
              <w:t>Administratīvā pakļautība</w:t>
            </w:r>
          </w:p>
        </w:tc>
        <w:tc>
          <w:tcPr>
            <w:tcW w:w="7519" w:type="dxa"/>
          </w:tcPr>
          <w:p w14:paraId="08045B8A" w14:textId="77777777" w:rsidR="004D0D42" w:rsidRPr="009D3988" w:rsidRDefault="004D0D42" w:rsidP="00285963">
            <w:pPr>
              <w:pStyle w:val="BodyTex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4"/>
                <w:lang w:val="lv-LV"/>
              </w:rPr>
            </w:pPr>
            <w:r w:rsidRPr="009D3988">
              <w:rPr>
                <w:rFonts w:ascii="Times New Roman" w:eastAsia="Calibri" w:hAnsi="Times New Roman"/>
                <w:color w:val="000000" w:themeColor="text1"/>
                <w:sz w:val="24"/>
                <w:lang w:val="lv-LV"/>
              </w:rPr>
              <w:t>Attiecas uz IAN darbu izpildei nepieciešamā tehniskā nodrošinājuma un atbalsta nodrošināšanu.</w:t>
            </w:r>
          </w:p>
        </w:tc>
      </w:tr>
      <w:tr w:rsidR="004D0D42" w:rsidRPr="009D3988" w14:paraId="1A86DA01" w14:textId="77777777" w:rsidTr="00285963">
        <w:trPr>
          <w:trHeight w:val="70"/>
        </w:trPr>
        <w:tc>
          <w:tcPr>
            <w:cnfStyle w:val="001000000000" w:firstRow="0" w:lastRow="0" w:firstColumn="1" w:lastColumn="0" w:oddVBand="0" w:evenVBand="0" w:oddHBand="0" w:evenHBand="0" w:firstRowFirstColumn="0" w:firstRowLastColumn="0" w:lastRowFirstColumn="0" w:lastRowLastColumn="0"/>
            <w:tcW w:w="1832" w:type="dxa"/>
          </w:tcPr>
          <w:p w14:paraId="52E5DB1A" w14:textId="77777777" w:rsidR="004D0D42" w:rsidRPr="009D3988" w:rsidRDefault="004D0D42" w:rsidP="00285963">
            <w:pPr>
              <w:pStyle w:val="BodyText"/>
              <w:rPr>
                <w:rFonts w:ascii="Times New Roman" w:eastAsia="Calibri" w:hAnsi="Times New Roman"/>
                <w:color w:val="000000" w:themeColor="text1"/>
                <w:sz w:val="24"/>
                <w:lang w:val="lv-LV"/>
              </w:rPr>
            </w:pPr>
            <w:r w:rsidRPr="009D3988">
              <w:rPr>
                <w:rFonts w:ascii="Times New Roman" w:eastAsia="Calibri" w:hAnsi="Times New Roman"/>
                <w:color w:val="000000" w:themeColor="text1"/>
                <w:sz w:val="24"/>
                <w:lang w:val="lv-LV"/>
              </w:rPr>
              <w:t>Funkcionālā pakļautība</w:t>
            </w:r>
          </w:p>
        </w:tc>
        <w:tc>
          <w:tcPr>
            <w:tcW w:w="7519" w:type="dxa"/>
          </w:tcPr>
          <w:p w14:paraId="57134D3C" w14:textId="77777777" w:rsidR="004D0D42" w:rsidRPr="009D3988" w:rsidRDefault="004D0D42" w:rsidP="00285963">
            <w:pPr>
              <w:pStyle w:val="BodyTex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4"/>
                <w:lang w:val="lv-LV"/>
              </w:rPr>
            </w:pPr>
            <w:r w:rsidRPr="009D3988">
              <w:rPr>
                <w:rFonts w:ascii="Times New Roman" w:eastAsia="Calibri" w:hAnsi="Times New Roman"/>
                <w:color w:val="000000" w:themeColor="text1"/>
                <w:sz w:val="24"/>
                <w:lang w:val="lv-LV"/>
              </w:rPr>
              <w:t>Nosaka iekšējā audita funkcijas un uzdevumus.</w:t>
            </w:r>
          </w:p>
        </w:tc>
      </w:tr>
      <w:tr w:rsidR="004D0D42" w:rsidRPr="009D3988" w14:paraId="646AD021" w14:textId="77777777" w:rsidTr="00285963">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832" w:type="dxa"/>
          </w:tcPr>
          <w:p w14:paraId="42661EB9" w14:textId="77777777" w:rsidR="004D0D42" w:rsidRPr="009D3988" w:rsidRDefault="004D0D42" w:rsidP="00285963">
            <w:pPr>
              <w:pStyle w:val="BodyText"/>
              <w:rPr>
                <w:rFonts w:ascii="Times New Roman" w:eastAsia="Calibri" w:hAnsi="Times New Roman"/>
                <w:color w:val="000000" w:themeColor="text1"/>
                <w:sz w:val="24"/>
                <w:lang w:val="lv-LV"/>
              </w:rPr>
            </w:pPr>
            <w:r w:rsidRPr="009D3988">
              <w:rPr>
                <w:rFonts w:ascii="Times New Roman" w:eastAsia="Calibri" w:hAnsi="Times New Roman"/>
                <w:color w:val="000000" w:themeColor="text1"/>
                <w:sz w:val="24"/>
                <w:lang w:val="lv-LV"/>
              </w:rPr>
              <w:t>Iekšējais audits</w:t>
            </w:r>
          </w:p>
        </w:tc>
        <w:tc>
          <w:tcPr>
            <w:tcW w:w="7519" w:type="dxa"/>
          </w:tcPr>
          <w:p w14:paraId="62B5682F" w14:textId="52386948" w:rsidR="004D0D42" w:rsidRPr="009D3988" w:rsidRDefault="004D0D42" w:rsidP="00285963">
            <w:pPr>
              <w:pStyle w:val="BodyTex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4"/>
                <w:lang w:val="lv-LV"/>
              </w:rPr>
            </w:pPr>
            <w:r w:rsidRPr="009D3988">
              <w:rPr>
                <w:rFonts w:ascii="Times New Roman" w:eastAsia="Calibri" w:hAnsi="Times New Roman"/>
                <w:color w:val="000000" w:themeColor="text1"/>
                <w:sz w:val="24"/>
                <w:lang w:val="lv-LV"/>
              </w:rPr>
              <w:t xml:space="preserve">Neatkarīga, objektīva pārliecības </w:t>
            </w:r>
            <w:r w:rsidR="00E62A04" w:rsidRPr="009D3988">
              <w:rPr>
                <w:rFonts w:ascii="Times New Roman" w:eastAsia="Calibri" w:hAnsi="Times New Roman"/>
                <w:color w:val="000000" w:themeColor="text1"/>
                <w:sz w:val="24"/>
                <w:lang w:val="lv-LV"/>
              </w:rPr>
              <w:t>sniegšana</w:t>
            </w:r>
            <w:r w:rsidRPr="009D3988">
              <w:rPr>
                <w:rFonts w:ascii="Times New Roman" w:eastAsia="Calibri" w:hAnsi="Times New Roman"/>
                <w:color w:val="000000" w:themeColor="text1"/>
                <w:sz w:val="24"/>
                <w:lang w:val="lv-LV"/>
              </w:rPr>
              <w:t xml:space="preserve"> un konsultēšana, lai palielinātu pašvaldības vērtību un pilnveidotu tās darbības. Iekšējais audits palīdz pašvaldībai sasniegt tās mērķus, ieviešot sistemātisku, disciplinētu pieeju, lai novērtētu un pilnveidotu riska vadības, kontroles un pārvaldības procesu efektivitāti.</w:t>
            </w:r>
            <w:r w:rsidRPr="009D3988">
              <w:rPr>
                <w:rStyle w:val="FootnoteReference"/>
                <w:rFonts w:ascii="Times New Roman" w:eastAsia="Calibri" w:hAnsi="Times New Roman"/>
                <w:color w:val="000000" w:themeColor="text1"/>
                <w:sz w:val="24"/>
                <w:lang w:val="lv-LV"/>
              </w:rPr>
              <w:footnoteReference w:id="1"/>
            </w:r>
          </w:p>
        </w:tc>
      </w:tr>
      <w:tr w:rsidR="004D0D42" w:rsidRPr="009D3988" w14:paraId="2E52AB8C" w14:textId="77777777" w:rsidTr="00285963">
        <w:trPr>
          <w:trHeight w:val="85"/>
        </w:trPr>
        <w:tc>
          <w:tcPr>
            <w:cnfStyle w:val="001000000000" w:firstRow="0" w:lastRow="0" w:firstColumn="1" w:lastColumn="0" w:oddVBand="0" w:evenVBand="0" w:oddHBand="0" w:evenHBand="0" w:firstRowFirstColumn="0" w:firstRowLastColumn="0" w:lastRowFirstColumn="0" w:lastRowLastColumn="0"/>
            <w:tcW w:w="1832" w:type="dxa"/>
          </w:tcPr>
          <w:p w14:paraId="70BF61E5" w14:textId="77777777" w:rsidR="004D0D42" w:rsidRPr="009D3988" w:rsidRDefault="004D0D42" w:rsidP="00285963">
            <w:pPr>
              <w:pStyle w:val="BodyText"/>
              <w:rPr>
                <w:rFonts w:ascii="Times New Roman" w:eastAsia="Calibri" w:hAnsi="Times New Roman"/>
                <w:color w:val="000000" w:themeColor="text1"/>
                <w:sz w:val="24"/>
                <w:lang w:val="lv-LV"/>
              </w:rPr>
            </w:pPr>
            <w:r w:rsidRPr="009D3988">
              <w:rPr>
                <w:rFonts w:ascii="Times New Roman" w:eastAsia="Calibri" w:hAnsi="Times New Roman"/>
                <w:color w:val="000000" w:themeColor="text1"/>
                <w:sz w:val="24"/>
                <w:lang w:val="lv-LV"/>
              </w:rPr>
              <w:t>Iekšējā audita plāns</w:t>
            </w:r>
          </w:p>
        </w:tc>
        <w:tc>
          <w:tcPr>
            <w:tcW w:w="7519" w:type="dxa"/>
          </w:tcPr>
          <w:p w14:paraId="791B7B35" w14:textId="77777777" w:rsidR="004D0D42" w:rsidRPr="009D3988" w:rsidRDefault="004D0D42" w:rsidP="00285963">
            <w:pPr>
              <w:pStyle w:val="BodyTex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4"/>
                <w:lang w:val="lv-LV"/>
              </w:rPr>
            </w:pPr>
            <w:r w:rsidRPr="009D3988">
              <w:rPr>
                <w:rFonts w:ascii="Times New Roman" w:eastAsia="Calibri" w:hAnsi="Times New Roman"/>
                <w:color w:val="000000" w:themeColor="text1"/>
                <w:sz w:val="24"/>
                <w:lang w:val="lv-LV"/>
              </w:rPr>
              <w:t>Iekšējā audita vadītāja izveidots dokuments, kas identificē darba uzdevumus un citus iekšējā audita pakalpojumus, kas tiks sniegti noteiktā laika periodā. Plānam jābūt dinamiskam, atspoguļojot savlaicīgu reakciju uz organizatoriskām izmaiņām.</w:t>
            </w:r>
            <w:r w:rsidRPr="009D3988">
              <w:rPr>
                <w:rStyle w:val="FootnoteReference"/>
                <w:rFonts w:ascii="Times New Roman" w:eastAsia="Calibri" w:hAnsi="Times New Roman"/>
                <w:color w:val="000000" w:themeColor="text1"/>
                <w:sz w:val="24"/>
                <w:lang w:val="lv-LV"/>
              </w:rPr>
              <w:footnoteReference w:id="2"/>
            </w:r>
          </w:p>
        </w:tc>
      </w:tr>
      <w:tr w:rsidR="004D0D42" w:rsidRPr="009D3988" w14:paraId="5DF98DC9" w14:textId="77777777" w:rsidTr="00285963">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832" w:type="dxa"/>
          </w:tcPr>
          <w:p w14:paraId="348BE71D" w14:textId="77777777" w:rsidR="004D0D42" w:rsidRPr="009D3988" w:rsidRDefault="004D0D42" w:rsidP="00285963">
            <w:pPr>
              <w:pStyle w:val="BodyText"/>
              <w:rPr>
                <w:rFonts w:ascii="Times New Roman" w:eastAsia="Calibri" w:hAnsi="Times New Roman"/>
                <w:color w:val="000000" w:themeColor="text1"/>
                <w:sz w:val="24"/>
                <w:lang w:val="lv-LV"/>
              </w:rPr>
            </w:pPr>
            <w:r w:rsidRPr="009D3988">
              <w:rPr>
                <w:rFonts w:ascii="Times New Roman" w:eastAsia="Calibri" w:hAnsi="Times New Roman"/>
                <w:color w:val="000000" w:themeColor="text1"/>
                <w:sz w:val="24"/>
                <w:lang w:val="lv-LV"/>
              </w:rPr>
              <w:t>Iekšējā kontrole</w:t>
            </w:r>
          </w:p>
        </w:tc>
        <w:tc>
          <w:tcPr>
            <w:tcW w:w="7519" w:type="dxa"/>
          </w:tcPr>
          <w:p w14:paraId="762E016C" w14:textId="77777777" w:rsidR="004D0D42" w:rsidRPr="009D3988" w:rsidRDefault="004D0D42" w:rsidP="00285963">
            <w:pPr>
              <w:pStyle w:val="BodyTex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4"/>
                <w:lang w:val="lv-LV"/>
              </w:rPr>
            </w:pPr>
            <w:r w:rsidRPr="009D3988">
              <w:rPr>
                <w:rFonts w:ascii="Times New Roman" w:eastAsia="Calibri" w:hAnsi="Times New Roman"/>
                <w:color w:val="000000" w:themeColor="text1"/>
                <w:sz w:val="24"/>
                <w:lang w:val="lv-LV"/>
              </w:rPr>
              <w:t>Iekšējā kontrole ir process, ko veic vadība un darbinieki, kas paredzēts, lai sniegtu pamatotu pārliecību par mērķu sasniegšanu saistībā ar darbību, atskaitēm un atbilstību.</w:t>
            </w:r>
            <w:r w:rsidRPr="009D3988">
              <w:rPr>
                <w:rFonts w:ascii="Times New Roman" w:eastAsia="Calibri" w:hAnsi="Times New Roman"/>
                <w:color w:val="000000" w:themeColor="text1"/>
                <w:sz w:val="24"/>
                <w:vertAlign w:val="superscript"/>
                <w:lang w:val="lv-LV"/>
              </w:rPr>
              <w:footnoteReference w:id="3"/>
            </w:r>
          </w:p>
        </w:tc>
      </w:tr>
      <w:tr w:rsidR="004D0D42" w:rsidRPr="009D3988" w14:paraId="4BB88754" w14:textId="77777777" w:rsidTr="00285963">
        <w:trPr>
          <w:trHeight w:val="85"/>
        </w:trPr>
        <w:tc>
          <w:tcPr>
            <w:cnfStyle w:val="001000000000" w:firstRow="0" w:lastRow="0" w:firstColumn="1" w:lastColumn="0" w:oddVBand="0" w:evenVBand="0" w:oddHBand="0" w:evenHBand="0" w:firstRowFirstColumn="0" w:firstRowLastColumn="0" w:lastRowFirstColumn="0" w:lastRowLastColumn="0"/>
            <w:tcW w:w="1832" w:type="dxa"/>
          </w:tcPr>
          <w:p w14:paraId="49C1341B" w14:textId="77777777" w:rsidR="004D0D42" w:rsidRPr="009D3988" w:rsidRDefault="004D0D42" w:rsidP="00285963">
            <w:pPr>
              <w:pStyle w:val="BodyText"/>
              <w:rPr>
                <w:rFonts w:ascii="Times New Roman" w:eastAsia="Calibri" w:hAnsi="Times New Roman"/>
                <w:color w:val="000000" w:themeColor="text1"/>
                <w:sz w:val="24"/>
                <w:lang w:val="lv-LV"/>
              </w:rPr>
            </w:pPr>
            <w:r w:rsidRPr="009D3988">
              <w:rPr>
                <w:rFonts w:ascii="Times New Roman" w:eastAsia="Calibri" w:hAnsi="Times New Roman"/>
                <w:color w:val="000000" w:themeColor="text1"/>
                <w:sz w:val="24"/>
                <w:lang w:val="lv-LV"/>
              </w:rPr>
              <w:t>Iekšējās kontroles sistēma</w:t>
            </w:r>
          </w:p>
        </w:tc>
        <w:tc>
          <w:tcPr>
            <w:tcW w:w="7519" w:type="dxa"/>
          </w:tcPr>
          <w:p w14:paraId="13F8D2B8" w14:textId="77777777" w:rsidR="004D0D42" w:rsidRPr="009D3988" w:rsidRDefault="004D0D42" w:rsidP="00285963">
            <w:pPr>
              <w:pStyle w:val="BodyTex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4"/>
                <w:lang w:val="lv-LV"/>
              </w:rPr>
            </w:pPr>
            <w:r w:rsidRPr="009D3988">
              <w:rPr>
                <w:rFonts w:ascii="Times New Roman" w:eastAsia="Calibri" w:hAnsi="Times New Roman"/>
                <w:color w:val="000000" w:themeColor="text1"/>
                <w:sz w:val="24"/>
                <w:lang w:val="lv-LV"/>
              </w:rPr>
              <w:t>Risku vadības, kontroles un pārvaldības pasākumu kopums, kura uzdevums ir nodrošināt mērķu sasniegšanu, efektīvu darbību, aktīvu aizsardzību, pārskatu ticamību, darbības atbilstību tiesību aktiem un par kura izveidošanu ir atbildīgs izpilddirektors un institūciju vadītāji.</w:t>
            </w:r>
            <w:r w:rsidRPr="009D3988">
              <w:rPr>
                <w:rFonts w:ascii="Times New Roman" w:eastAsia="Calibri" w:hAnsi="Times New Roman"/>
                <w:color w:val="000000" w:themeColor="text1"/>
                <w:sz w:val="24"/>
                <w:vertAlign w:val="superscript"/>
              </w:rPr>
              <w:footnoteReference w:id="4"/>
            </w:r>
          </w:p>
        </w:tc>
      </w:tr>
      <w:tr w:rsidR="004D0D42" w:rsidRPr="009D3988" w14:paraId="415884DF" w14:textId="77777777" w:rsidTr="00285963">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832" w:type="dxa"/>
          </w:tcPr>
          <w:p w14:paraId="012C7AFC" w14:textId="77777777" w:rsidR="004D0D42" w:rsidRPr="009D3988" w:rsidRDefault="004D0D42" w:rsidP="00285963">
            <w:pPr>
              <w:pStyle w:val="BodyText"/>
              <w:rPr>
                <w:rFonts w:ascii="Times New Roman" w:eastAsia="Calibri" w:hAnsi="Times New Roman"/>
                <w:color w:val="000000" w:themeColor="text1"/>
                <w:sz w:val="24"/>
                <w:lang w:val="lv-LV"/>
              </w:rPr>
            </w:pPr>
            <w:r w:rsidRPr="009D3988">
              <w:rPr>
                <w:rFonts w:ascii="Times New Roman" w:eastAsia="Calibri" w:hAnsi="Times New Roman"/>
                <w:color w:val="000000" w:themeColor="text1"/>
                <w:sz w:val="24"/>
                <w:lang w:val="lv-LV"/>
              </w:rPr>
              <w:t>Interešu konflikts</w:t>
            </w:r>
          </w:p>
        </w:tc>
        <w:tc>
          <w:tcPr>
            <w:tcW w:w="7519" w:type="dxa"/>
          </w:tcPr>
          <w:p w14:paraId="2276C461" w14:textId="77777777" w:rsidR="004D0D42" w:rsidRPr="009D3988" w:rsidRDefault="004D0D42" w:rsidP="00285963">
            <w:pPr>
              <w:pStyle w:val="BodyTex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4"/>
                <w:lang w:val="lv-LV"/>
              </w:rPr>
            </w:pPr>
            <w:r w:rsidRPr="009D3988">
              <w:rPr>
                <w:rFonts w:ascii="Times New Roman" w:eastAsia="Calibri" w:hAnsi="Times New Roman"/>
                <w:color w:val="000000" w:themeColor="text1"/>
                <w:sz w:val="24"/>
                <w:lang w:val="lv-LV"/>
              </w:rPr>
              <w:t>Situācija, kad atbildīgā amatā ieceltam iekšējam auditoram ir konkurējošas profesionālas vai personīgas intereses, kas nav likuma “Par interešu konflikta novēršanu valsts amatpersonu darbībā”1. panta 5. punkta izpratnē. Šādas konkurējošas intereses var apdraudēt auditora objektivitāti tā pienākumu izpildē. Interešu konflikts pastāv arī tad, ja tas nav izraisījis neētisku vai neatbilstošu darbību. Interešu konflikts var radīt iespaidu par neatbilstību, kas var mazināt uzticību iekšējam auditoram, iekšējā audita struktūrvienībai un profesijai kopumā. Interešu konflikts var mazināt personas spēju neatkarīgi veikt tai uzticētos pienākumus un uzdevumus.</w:t>
            </w:r>
            <w:r w:rsidRPr="009D3988">
              <w:rPr>
                <w:rStyle w:val="FootnoteReference"/>
                <w:rFonts w:ascii="Times New Roman" w:eastAsia="Calibri" w:hAnsi="Times New Roman"/>
                <w:color w:val="000000" w:themeColor="text1"/>
                <w:sz w:val="24"/>
                <w:lang w:val="lv-LV"/>
              </w:rPr>
              <w:footnoteReference w:id="5"/>
            </w:r>
            <w:r w:rsidRPr="009D3988">
              <w:rPr>
                <w:rFonts w:ascii="Times New Roman" w:eastAsia="Calibri" w:hAnsi="Times New Roman"/>
                <w:color w:val="000000" w:themeColor="text1"/>
                <w:sz w:val="24"/>
                <w:lang w:val="lv-LV"/>
              </w:rPr>
              <w:t xml:space="preserve"> </w:t>
            </w:r>
          </w:p>
        </w:tc>
      </w:tr>
      <w:tr w:rsidR="004D0D42" w:rsidRPr="009D3988" w14:paraId="46359C05" w14:textId="77777777" w:rsidTr="00285963">
        <w:trPr>
          <w:trHeight w:val="85"/>
        </w:trPr>
        <w:tc>
          <w:tcPr>
            <w:cnfStyle w:val="001000000000" w:firstRow="0" w:lastRow="0" w:firstColumn="1" w:lastColumn="0" w:oddVBand="0" w:evenVBand="0" w:oddHBand="0" w:evenHBand="0" w:firstRowFirstColumn="0" w:firstRowLastColumn="0" w:lastRowFirstColumn="0" w:lastRowLastColumn="0"/>
            <w:tcW w:w="1832" w:type="dxa"/>
          </w:tcPr>
          <w:p w14:paraId="7BEE36DD" w14:textId="77777777" w:rsidR="004D0D42" w:rsidRPr="009D3988" w:rsidRDefault="004D0D42" w:rsidP="00285963">
            <w:pPr>
              <w:pStyle w:val="BodyText"/>
              <w:rPr>
                <w:rFonts w:ascii="Times New Roman" w:eastAsia="Calibri" w:hAnsi="Times New Roman"/>
                <w:color w:val="000000" w:themeColor="text1"/>
                <w:sz w:val="24"/>
                <w:lang w:val="lv-LV"/>
              </w:rPr>
            </w:pPr>
            <w:r w:rsidRPr="009D3988">
              <w:rPr>
                <w:rFonts w:ascii="Times New Roman" w:eastAsia="Calibri" w:hAnsi="Times New Roman"/>
                <w:color w:val="000000" w:themeColor="text1"/>
                <w:sz w:val="24"/>
                <w:lang w:val="lv-LV"/>
              </w:rPr>
              <w:lastRenderedPageBreak/>
              <w:t>Kompetence</w:t>
            </w:r>
          </w:p>
        </w:tc>
        <w:tc>
          <w:tcPr>
            <w:tcW w:w="7519" w:type="dxa"/>
          </w:tcPr>
          <w:p w14:paraId="7CBBA854" w14:textId="77777777" w:rsidR="004D0D42" w:rsidRPr="009D3988" w:rsidRDefault="004D0D42" w:rsidP="00285963">
            <w:pPr>
              <w:pStyle w:val="BodyTex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4"/>
                <w:lang w:val="lv-LV"/>
              </w:rPr>
            </w:pPr>
            <w:r w:rsidRPr="009D3988">
              <w:rPr>
                <w:rFonts w:ascii="Times New Roman" w:eastAsia="Calibri" w:hAnsi="Times New Roman"/>
                <w:color w:val="000000" w:themeColor="text1"/>
                <w:sz w:val="24"/>
                <w:lang w:val="lv-LV"/>
              </w:rPr>
              <w:t>Zināšanas, prasmes un iemaņas.</w:t>
            </w:r>
            <w:r w:rsidRPr="009D3988">
              <w:rPr>
                <w:rStyle w:val="FootnoteReference"/>
                <w:rFonts w:ascii="Times New Roman" w:eastAsia="Calibri" w:hAnsi="Times New Roman"/>
                <w:color w:val="000000" w:themeColor="text1"/>
                <w:sz w:val="24"/>
                <w:lang w:val="lv-LV"/>
              </w:rPr>
              <w:footnoteReference w:id="6"/>
            </w:r>
          </w:p>
        </w:tc>
      </w:tr>
      <w:tr w:rsidR="004D0D42" w:rsidRPr="009D3988" w14:paraId="0CA4F1D7" w14:textId="77777777" w:rsidTr="00285963">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832" w:type="dxa"/>
          </w:tcPr>
          <w:p w14:paraId="11AF4F40" w14:textId="77777777" w:rsidR="004D0D42" w:rsidRPr="009D3988" w:rsidRDefault="004D0D42" w:rsidP="00285963">
            <w:pPr>
              <w:pStyle w:val="BodyText"/>
              <w:rPr>
                <w:rFonts w:ascii="Times New Roman" w:eastAsia="Calibri" w:hAnsi="Times New Roman"/>
                <w:color w:val="000000" w:themeColor="text1"/>
                <w:sz w:val="24"/>
                <w:lang w:val="lv-LV"/>
              </w:rPr>
            </w:pPr>
            <w:r w:rsidRPr="009D3988">
              <w:rPr>
                <w:rFonts w:ascii="Times New Roman" w:eastAsia="Calibri" w:hAnsi="Times New Roman"/>
                <w:color w:val="000000" w:themeColor="text1"/>
                <w:sz w:val="24"/>
                <w:lang w:val="lv-LV"/>
              </w:rPr>
              <w:t>Konsultācijas</w:t>
            </w:r>
          </w:p>
        </w:tc>
        <w:tc>
          <w:tcPr>
            <w:tcW w:w="7519" w:type="dxa"/>
          </w:tcPr>
          <w:p w14:paraId="0D7FFF27" w14:textId="77777777" w:rsidR="004D0D42" w:rsidRPr="009D3988" w:rsidRDefault="004D0D42" w:rsidP="00285963">
            <w:pPr>
              <w:pStyle w:val="BodyTex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4"/>
                <w:lang w:val="lv-LV"/>
              </w:rPr>
            </w:pPr>
            <w:r w:rsidRPr="009D3988">
              <w:rPr>
                <w:rFonts w:ascii="Times New Roman" w:eastAsia="Calibri" w:hAnsi="Times New Roman"/>
                <w:color w:val="000000" w:themeColor="text1"/>
                <w:sz w:val="24"/>
                <w:lang w:val="lv-LV"/>
              </w:rPr>
              <w:t>Padomu sniegšanas pakalpojums, kura mērķis ir pilnveidot iekšējās kontroles sistēmu un kura būtību un apjomu ir noteicis izpilddirektors vai pašvaldības institūcijas vadītājs.</w:t>
            </w:r>
            <w:r w:rsidRPr="009D3988">
              <w:rPr>
                <w:rStyle w:val="FootnoteReference"/>
                <w:rFonts w:ascii="Times New Roman" w:hAnsi="Times New Roman"/>
                <w:color w:val="000000" w:themeColor="text1"/>
                <w:sz w:val="24"/>
                <w:shd w:val="clear" w:color="auto" w:fill="FFFFFF"/>
                <w:lang w:val="lv-LV"/>
              </w:rPr>
              <w:footnoteReference w:id="7"/>
            </w:r>
          </w:p>
          <w:p w14:paraId="026C37CA" w14:textId="77777777" w:rsidR="004D0D42" w:rsidRPr="009D3988" w:rsidRDefault="004D0D42" w:rsidP="00285963">
            <w:pPr>
              <w:pStyle w:val="BodyTex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4"/>
                <w:highlight w:val="yellow"/>
                <w:lang w:val="lv-LV"/>
              </w:rPr>
            </w:pPr>
            <w:r w:rsidRPr="009D3988">
              <w:rPr>
                <w:rFonts w:ascii="Times New Roman" w:eastAsia="Calibri" w:hAnsi="Times New Roman"/>
                <w:color w:val="000000" w:themeColor="text1"/>
                <w:sz w:val="24"/>
                <w:lang w:val="lv-LV"/>
              </w:rPr>
              <w:t>Konsultācijas un ar tām saistītie pakalpojumi, kuru būtība un apjoms ir saskaņots ar izpilddirektoru vai pašvaldības institūcijas vadītāju un kuri ir paredzēti, lai palielinātu pašvaldības institūcijas pārvaldības, riska vadības un kontroles procesu vērtību un tos uzlabotu, iekšējam auditoram neuzņemoties vadības pienākumus. Šādi pakalpojumi var būt, piemēram, konsultēšana, padomu došana un apmācība.</w:t>
            </w:r>
            <w:r w:rsidRPr="009D3988">
              <w:rPr>
                <w:rStyle w:val="FootnoteReference"/>
                <w:rFonts w:ascii="Times New Roman" w:eastAsia="Calibri" w:hAnsi="Times New Roman"/>
                <w:color w:val="000000" w:themeColor="text1"/>
                <w:sz w:val="24"/>
                <w:lang w:val="lv-LV"/>
              </w:rPr>
              <w:footnoteReference w:id="8"/>
            </w:r>
          </w:p>
        </w:tc>
      </w:tr>
      <w:tr w:rsidR="004D0D42" w:rsidRPr="009D3988" w14:paraId="6CA385BE" w14:textId="77777777" w:rsidTr="00285963">
        <w:trPr>
          <w:trHeight w:val="70"/>
        </w:trPr>
        <w:tc>
          <w:tcPr>
            <w:cnfStyle w:val="001000000000" w:firstRow="0" w:lastRow="0" w:firstColumn="1" w:lastColumn="0" w:oddVBand="0" w:evenVBand="0" w:oddHBand="0" w:evenHBand="0" w:firstRowFirstColumn="0" w:firstRowLastColumn="0" w:lastRowFirstColumn="0" w:lastRowLastColumn="0"/>
            <w:tcW w:w="1832" w:type="dxa"/>
          </w:tcPr>
          <w:p w14:paraId="2EDE7417" w14:textId="77777777" w:rsidR="004D0D42" w:rsidRPr="009D3988" w:rsidRDefault="004D0D42" w:rsidP="00285963">
            <w:pPr>
              <w:pStyle w:val="BodyText"/>
              <w:rPr>
                <w:rFonts w:ascii="Times New Roman" w:eastAsia="Calibri" w:hAnsi="Times New Roman"/>
                <w:color w:val="000000" w:themeColor="text1"/>
                <w:sz w:val="24"/>
                <w:lang w:val="lv-LV"/>
              </w:rPr>
            </w:pPr>
            <w:r w:rsidRPr="009D3988">
              <w:rPr>
                <w:rFonts w:ascii="Times New Roman" w:eastAsia="Calibri" w:hAnsi="Times New Roman"/>
                <w:color w:val="000000" w:themeColor="text1"/>
                <w:sz w:val="24"/>
                <w:lang w:val="lv-LV"/>
              </w:rPr>
              <w:t>Kontrole</w:t>
            </w:r>
          </w:p>
        </w:tc>
        <w:tc>
          <w:tcPr>
            <w:tcW w:w="7519" w:type="dxa"/>
          </w:tcPr>
          <w:p w14:paraId="27185C8E" w14:textId="77777777" w:rsidR="004D0D42" w:rsidRPr="009D3988" w:rsidRDefault="004D0D42" w:rsidP="00285963">
            <w:pPr>
              <w:pStyle w:val="BodyTex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4"/>
                <w:lang w:val="lv-LV"/>
              </w:rPr>
            </w:pPr>
            <w:r w:rsidRPr="009D3988">
              <w:rPr>
                <w:rFonts w:ascii="Times New Roman" w:eastAsia="Calibri" w:hAnsi="Times New Roman"/>
                <w:color w:val="000000" w:themeColor="text1"/>
                <w:sz w:val="24"/>
                <w:lang w:val="lv-LV"/>
              </w:rPr>
              <w:t>Visas darbības, kuras veic izpilddirektors, pašvaldības institūcijas vadība vai citas puses, lai nodrošinātu riska vadību un palielinātu varbūtību, ka noteiktie mērķi tiks sasniegti. Vadība plāno, organizē un vada tādu darba izpildi, kas ir pietiekama, lai nodrošinātu pamatotu pārliecību par to, ka mērķi tiks sasniegti.</w:t>
            </w:r>
            <w:r w:rsidRPr="009D3988">
              <w:rPr>
                <w:rStyle w:val="FootnoteReference"/>
                <w:rFonts w:ascii="Times New Roman" w:eastAsia="Calibri" w:hAnsi="Times New Roman"/>
                <w:color w:val="000000" w:themeColor="text1"/>
                <w:sz w:val="24"/>
                <w:lang w:val="lv-LV"/>
              </w:rPr>
              <w:footnoteReference w:id="9"/>
            </w:r>
          </w:p>
        </w:tc>
      </w:tr>
      <w:tr w:rsidR="004D0D42" w:rsidRPr="009D3988" w14:paraId="56A679E1" w14:textId="77777777" w:rsidTr="0028596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32" w:type="dxa"/>
          </w:tcPr>
          <w:p w14:paraId="584EBD86" w14:textId="77777777" w:rsidR="004D0D42" w:rsidRPr="009D3988" w:rsidRDefault="004D0D42" w:rsidP="00285963">
            <w:pPr>
              <w:pStyle w:val="BodyText"/>
              <w:rPr>
                <w:rFonts w:ascii="Times New Roman" w:eastAsia="Calibri" w:hAnsi="Times New Roman"/>
                <w:color w:val="000000" w:themeColor="text1"/>
                <w:sz w:val="24"/>
                <w:lang w:val="lv-LV"/>
              </w:rPr>
            </w:pPr>
            <w:r w:rsidRPr="009D3988">
              <w:rPr>
                <w:rFonts w:ascii="Times New Roman" w:eastAsia="Calibri" w:hAnsi="Times New Roman"/>
                <w:color w:val="000000" w:themeColor="text1"/>
                <w:sz w:val="24"/>
                <w:lang w:val="lv-LV"/>
              </w:rPr>
              <w:t>Krāpšana</w:t>
            </w:r>
          </w:p>
        </w:tc>
        <w:tc>
          <w:tcPr>
            <w:tcW w:w="7519" w:type="dxa"/>
          </w:tcPr>
          <w:p w14:paraId="5FC9AAB3" w14:textId="77777777" w:rsidR="004D0D42" w:rsidRPr="009D3988" w:rsidRDefault="004D0D42" w:rsidP="00285963">
            <w:pPr>
              <w:pStyle w:val="BodyTex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4"/>
                <w:lang w:val="lv-LV"/>
              </w:rPr>
            </w:pPr>
            <w:r w:rsidRPr="009D3988">
              <w:rPr>
                <w:rFonts w:ascii="Times New Roman" w:eastAsia="Calibri" w:hAnsi="Times New Roman"/>
                <w:color w:val="000000" w:themeColor="text1"/>
                <w:sz w:val="24"/>
                <w:lang w:val="lv-LV"/>
              </w:rPr>
              <w:t>Jebkura darbība, ko raksturo maldināšana, slēpšana vai uzticības pārkāpšana, ko veic personas vai organizācijas, lai nodrošinātu personisku vai biznesa labumu.</w:t>
            </w:r>
            <w:r w:rsidRPr="009D3988">
              <w:rPr>
                <w:rStyle w:val="FootnoteReference"/>
                <w:rFonts w:ascii="Times New Roman" w:eastAsia="Calibri" w:hAnsi="Times New Roman"/>
                <w:color w:val="000000" w:themeColor="text1"/>
                <w:sz w:val="24"/>
                <w:lang w:val="lv-LV"/>
              </w:rPr>
              <w:footnoteReference w:id="10"/>
            </w:r>
          </w:p>
        </w:tc>
      </w:tr>
      <w:tr w:rsidR="004D0D42" w:rsidRPr="009D3988" w14:paraId="3BD6E3BE" w14:textId="77777777" w:rsidTr="00285963">
        <w:trPr>
          <w:trHeight w:val="1754"/>
        </w:trPr>
        <w:tc>
          <w:tcPr>
            <w:cnfStyle w:val="001000000000" w:firstRow="0" w:lastRow="0" w:firstColumn="1" w:lastColumn="0" w:oddVBand="0" w:evenVBand="0" w:oddHBand="0" w:evenHBand="0" w:firstRowFirstColumn="0" w:firstRowLastColumn="0" w:lastRowFirstColumn="0" w:lastRowLastColumn="0"/>
            <w:tcW w:w="1832" w:type="dxa"/>
          </w:tcPr>
          <w:p w14:paraId="4B9E994F" w14:textId="77777777" w:rsidR="004D0D42" w:rsidRPr="009D3988" w:rsidRDefault="004D0D42" w:rsidP="00285963">
            <w:pPr>
              <w:pStyle w:val="BodyText"/>
              <w:rPr>
                <w:rFonts w:ascii="Times New Roman" w:eastAsia="Calibri" w:hAnsi="Times New Roman"/>
                <w:color w:val="000000" w:themeColor="text1"/>
                <w:sz w:val="24"/>
                <w:lang w:val="lv-LV"/>
              </w:rPr>
            </w:pPr>
            <w:r w:rsidRPr="009D3988">
              <w:rPr>
                <w:rFonts w:ascii="Times New Roman" w:eastAsia="Calibri" w:hAnsi="Times New Roman"/>
                <w:color w:val="000000" w:themeColor="text1"/>
                <w:sz w:val="24"/>
                <w:lang w:val="lv-LV"/>
              </w:rPr>
              <w:t>Neatkarība</w:t>
            </w:r>
          </w:p>
        </w:tc>
        <w:tc>
          <w:tcPr>
            <w:tcW w:w="7519" w:type="dxa"/>
          </w:tcPr>
          <w:p w14:paraId="1E6C4D1C" w14:textId="77777777" w:rsidR="004D0D42" w:rsidRPr="009D3988" w:rsidRDefault="004D0D42" w:rsidP="00285963">
            <w:pPr>
              <w:pStyle w:val="BodyTex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4"/>
                <w:lang w:val="lv-LV"/>
              </w:rPr>
            </w:pPr>
            <w:r w:rsidRPr="009D3988">
              <w:rPr>
                <w:rFonts w:ascii="Times New Roman" w:eastAsia="Calibri" w:hAnsi="Times New Roman"/>
                <w:color w:val="000000" w:themeColor="text1"/>
                <w:sz w:val="24"/>
                <w:lang w:val="lv-LV"/>
              </w:rPr>
              <w:t>Nozīmē to, ka nepastāv apstākļi, kas apdraudētu iekšējā audita struktūrvienības spēju neatkarīgi veikt iekšējā audita pienākumus. Lai nodrošinātu tādu neatkarības līmeni, kāds nepieciešams, lai iekšējā audita struktūrvienība spētu efektīvi veikt savus pienākumus, iekšējā audita vadītājam tieši un neierobežoti ir pieejama augstākā vadība. Draudi neatkarībai ir jārisina auditoru, darba uzdevuma, funkciju un organizācijas līmenī.</w:t>
            </w:r>
            <w:r w:rsidRPr="009D3988">
              <w:rPr>
                <w:rStyle w:val="FootnoteReference"/>
                <w:rFonts w:ascii="Times New Roman" w:eastAsia="Calibri" w:hAnsi="Times New Roman"/>
                <w:color w:val="000000" w:themeColor="text1"/>
                <w:sz w:val="24"/>
                <w:lang w:val="lv-LV"/>
              </w:rPr>
              <w:footnoteReference w:id="11"/>
            </w:r>
          </w:p>
        </w:tc>
      </w:tr>
      <w:tr w:rsidR="004D0D42" w:rsidRPr="009D3988" w14:paraId="0A6892A2" w14:textId="77777777" w:rsidTr="00285963">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832" w:type="dxa"/>
          </w:tcPr>
          <w:p w14:paraId="3DEBCF2F" w14:textId="77777777" w:rsidR="004D0D42" w:rsidRPr="009D3988" w:rsidRDefault="004D0D42" w:rsidP="00285963">
            <w:pPr>
              <w:pStyle w:val="BodyText"/>
              <w:rPr>
                <w:rFonts w:ascii="Times New Roman" w:eastAsia="Calibri" w:hAnsi="Times New Roman"/>
                <w:color w:val="000000" w:themeColor="text1"/>
                <w:sz w:val="24"/>
                <w:lang w:val="lv-LV"/>
              </w:rPr>
            </w:pPr>
            <w:r w:rsidRPr="009D3988">
              <w:rPr>
                <w:rFonts w:ascii="Times New Roman" w:eastAsia="Calibri" w:hAnsi="Times New Roman"/>
                <w:color w:val="000000" w:themeColor="text1"/>
                <w:sz w:val="24"/>
                <w:lang w:val="lv-LV"/>
              </w:rPr>
              <w:t>Pašvaldība</w:t>
            </w:r>
          </w:p>
        </w:tc>
        <w:tc>
          <w:tcPr>
            <w:tcW w:w="7519" w:type="dxa"/>
          </w:tcPr>
          <w:p w14:paraId="1A780BC7" w14:textId="77777777" w:rsidR="004D0D42" w:rsidRPr="009D3988" w:rsidRDefault="004D0D42" w:rsidP="00285963">
            <w:pPr>
              <w:pStyle w:val="BodyText"/>
              <w:spacing w:before="120" w:after="6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4"/>
                <w:lang w:val="lv-LV"/>
              </w:rPr>
            </w:pPr>
            <w:r w:rsidRPr="009D3988">
              <w:rPr>
                <w:rFonts w:ascii="Times New Roman" w:eastAsia="Calibri" w:hAnsi="Times New Roman"/>
                <w:color w:val="000000" w:themeColor="text1"/>
                <w:sz w:val="24"/>
                <w:lang w:val="lv-LV"/>
              </w:rPr>
              <w:t>Pašvaldība ir atvasināta publiska persona — vietējā pārvalde, kurai ir iedzīvotāju ievēlēta lēmējinstitūcija — dome un kura patstāvīgi nodrošina tai tiesību aktos noteikto funkciju un uzdevumu izpildi savas administratīvās teritorijas iedzīvotāju interesēs un ir atbildīga par to. Pašvaldība ir atbildīga par domes un pašvaldības administrācijas darbību, ja likumos nav noteikts citādi.</w:t>
            </w:r>
            <w:r w:rsidRPr="009D3988">
              <w:rPr>
                <w:rFonts w:ascii="Times New Roman" w:eastAsia="Calibri" w:hAnsi="Times New Roman"/>
                <w:color w:val="000000" w:themeColor="text1"/>
                <w:sz w:val="24"/>
                <w:vertAlign w:val="superscript"/>
              </w:rPr>
              <w:footnoteReference w:id="12"/>
            </w:r>
          </w:p>
        </w:tc>
      </w:tr>
      <w:tr w:rsidR="004D0D42" w:rsidRPr="009D3988" w14:paraId="3E76B0F6" w14:textId="77777777" w:rsidTr="00285963">
        <w:trPr>
          <w:trHeight w:val="85"/>
        </w:trPr>
        <w:tc>
          <w:tcPr>
            <w:cnfStyle w:val="001000000000" w:firstRow="0" w:lastRow="0" w:firstColumn="1" w:lastColumn="0" w:oddVBand="0" w:evenVBand="0" w:oddHBand="0" w:evenHBand="0" w:firstRowFirstColumn="0" w:firstRowLastColumn="0" w:lastRowFirstColumn="0" w:lastRowLastColumn="0"/>
            <w:tcW w:w="1832" w:type="dxa"/>
          </w:tcPr>
          <w:p w14:paraId="68CE1350" w14:textId="77777777" w:rsidR="004D0D42" w:rsidRPr="009D3988" w:rsidRDefault="004D0D42" w:rsidP="00285963">
            <w:pPr>
              <w:pStyle w:val="BodyText"/>
              <w:rPr>
                <w:rFonts w:ascii="Times New Roman" w:eastAsia="Calibri" w:hAnsi="Times New Roman"/>
                <w:color w:val="000000" w:themeColor="text1"/>
                <w:sz w:val="24"/>
                <w:lang w:val="lv-LV"/>
              </w:rPr>
            </w:pPr>
            <w:r w:rsidRPr="009D3988">
              <w:rPr>
                <w:rFonts w:ascii="Times New Roman" w:eastAsia="Calibri" w:hAnsi="Times New Roman"/>
                <w:color w:val="000000" w:themeColor="text1"/>
                <w:sz w:val="24"/>
                <w:lang w:val="lv-LV"/>
              </w:rPr>
              <w:t>Revīzijas iestāde</w:t>
            </w:r>
          </w:p>
        </w:tc>
        <w:tc>
          <w:tcPr>
            <w:tcW w:w="7519" w:type="dxa"/>
          </w:tcPr>
          <w:p w14:paraId="44C7C253" w14:textId="77777777" w:rsidR="004D0D42" w:rsidRPr="009D3988" w:rsidRDefault="004D0D42" w:rsidP="00285963">
            <w:pPr>
              <w:pStyle w:val="BodyText"/>
              <w:spacing w:before="12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4"/>
                <w:lang w:val="lv-LV"/>
              </w:rPr>
            </w:pPr>
            <w:r w:rsidRPr="009D3988">
              <w:rPr>
                <w:rFonts w:ascii="Times New Roman" w:eastAsia="Calibri" w:hAnsi="Times New Roman"/>
                <w:color w:val="000000" w:themeColor="text1"/>
                <w:sz w:val="24"/>
                <w:lang w:val="lv-LV"/>
              </w:rPr>
              <w:t>Revīzijas iestādes funkcijas pilda Finanšu ministrijas Eiropas Savienības fondu revīzijas departaments. Revīzijas iestādes galvenais uzdevums ir sniegt neatkarīgu un objektīvu atzinumu par Eiropas Savienības fondu un ārvalstu finanšu palīdzības vadības un kontroles sistēmas darbības efektivitāti un deklarēto izdevumu likumību un pareizību Eiropas Komisijai un Donorvalstīm</w:t>
            </w:r>
            <w:r w:rsidRPr="009D3988">
              <w:rPr>
                <w:rStyle w:val="FootnoteReference"/>
                <w:rFonts w:ascii="Times New Roman" w:eastAsia="Calibri" w:hAnsi="Times New Roman"/>
                <w:color w:val="000000" w:themeColor="text1"/>
                <w:sz w:val="24"/>
                <w:lang w:val="lv-LV"/>
              </w:rPr>
              <w:footnoteReference w:id="13"/>
            </w:r>
            <w:r w:rsidRPr="009D3988">
              <w:rPr>
                <w:rFonts w:ascii="Times New Roman" w:eastAsia="Calibri" w:hAnsi="Times New Roman"/>
                <w:color w:val="000000" w:themeColor="text1"/>
                <w:sz w:val="24"/>
                <w:lang w:val="lv-LV"/>
              </w:rPr>
              <w:t>.</w:t>
            </w:r>
          </w:p>
        </w:tc>
      </w:tr>
      <w:tr w:rsidR="004D0D42" w:rsidRPr="009D3988" w14:paraId="043FEC10" w14:textId="77777777" w:rsidTr="00285963">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832" w:type="dxa"/>
          </w:tcPr>
          <w:p w14:paraId="6A6F99CB" w14:textId="77777777" w:rsidR="004D0D42" w:rsidRPr="009D3988" w:rsidRDefault="004D0D42" w:rsidP="00285963">
            <w:pPr>
              <w:pStyle w:val="BodyText"/>
              <w:rPr>
                <w:rFonts w:ascii="Times New Roman" w:eastAsia="Calibri" w:hAnsi="Times New Roman"/>
                <w:color w:val="000000" w:themeColor="text1"/>
                <w:sz w:val="24"/>
                <w:lang w:val="lv-LV"/>
              </w:rPr>
            </w:pPr>
            <w:r w:rsidRPr="009D3988">
              <w:rPr>
                <w:rFonts w:ascii="Times New Roman" w:eastAsia="Calibri" w:hAnsi="Times New Roman"/>
                <w:color w:val="000000" w:themeColor="text1"/>
                <w:sz w:val="24"/>
                <w:lang w:val="lv-LV"/>
              </w:rPr>
              <w:lastRenderedPageBreak/>
              <w:t>Risku vadība</w:t>
            </w:r>
          </w:p>
        </w:tc>
        <w:tc>
          <w:tcPr>
            <w:tcW w:w="7519" w:type="dxa"/>
          </w:tcPr>
          <w:p w14:paraId="566BE513" w14:textId="77777777" w:rsidR="004D0D42" w:rsidRPr="009D3988" w:rsidRDefault="004D0D42" w:rsidP="00285963">
            <w:pPr>
              <w:pStyle w:val="BodyTex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4"/>
                <w:lang w:val="lv-LV"/>
              </w:rPr>
            </w:pPr>
            <w:r w:rsidRPr="009D3988">
              <w:rPr>
                <w:rFonts w:ascii="Times New Roman" w:eastAsia="Calibri" w:hAnsi="Times New Roman"/>
                <w:color w:val="000000" w:themeColor="text1"/>
                <w:sz w:val="24"/>
                <w:lang w:val="lv-LV"/>
              </w:rPr>
              <w:t>Process, kura mērķis ir identificēt, novērtēt, vadīt un kontrolēt potenciālos notikumus un situācijas, lai nodrošinātu pārliecību par organizācijas mērķu sasniegšanu.</w:t>
            </w:r>
            <w:r w:rsidRPr="009D3988">
              <w:rPr>
                <w:rFonts w:ascii="Times New Roman" w:eastAsia="Calibri" w:hAnsi="Times New Roman"/>
                <w:color w:val="000000" w:themeColor="text1"/>
                <w:sz w:val="24"/>
                <w:vertAlign w:val="superscript"/>
              </w:rPr>
              <w:footnoteReference w:id="14"/>
            </w:r>
          </w:p>
        </w:tc>
      </w:tr>
    </w:tbl>
    <w:p w14:paraId="44763FAD" w14:textId="77777777" w:rsidR="00835668" w:rsidRPr="009D3988" w:rsidRDefault="00835668" w:rsidP="004D0D42">
      <w:pPr>
        <w:rPr>
          <w:rFonts w:asciiTheme="majorBidi" w:hAnsiTheme="majorBidi" w:cstheme="majorBidi"/>
        </w:rPr>
      </w:pPr>
    </w:p>
    <w:sectPr w:rsidR="00835668" w:rsidRPr="009D3988" w:rsidSect="004D0D42">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49BCA" w14:textId="77777777" w:rsidR="000C6FD2" w:rsidRDefault="000C6FD2" w:rsidP="004D0D42">
      <w:pPr>
        <w:spacing w:after="0"/>
      </w:pPr>
      <w:r>
        <w:separator/>
      </w:r>
    </w:p>
  </w:endnote>
  <w:endnote w:type="continuationSeparator" w:id="0">
    <w:p w14:paraId="40FA1C5B" w14:textId="77777777" w:rsidR="000C6FD2" w:rsidRDefault="000C6FD2" w:rsidP="004D0D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0EA6E" w14:textId="77777777" w:rsidR="00DB49AE" w:rsidRDefault="00DB4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7533765"/>
      <w:docPartObj>
        <w:docPartGallery w:val="Page Numbers (Bottom of Page)"/>
        <w:docPartUnique/>
      </w:docPartObj>
    </w:sdtPr>
    <w:sdtEndPr>
      <w:rPr>
        <w:noProof/>
      </w:rPr>
    </w:sdtEndPr>
    <w:sdtContent>
      <w:p w14:paraId="77BE5022" w14:textId="0BDE37AD" w:rsidR="00D64037" w:rsidRDefault="00D640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FF14CB" w14:textId="77777777" w:rsidR="00D64037" w:rsidRDefault="00D640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7A121" w14:textId="77777777" w:rsidR="00DB49AE" w:rsidRDefault="00DB4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40689" w14:textId="77777777" w:rsidR="000C6FD2" w:rsidRDefault="000C6FD2" w:rsidP="004D0D42">
      <w:pPr>
        <w:spacing w:after="0"/>
      </w:pPr>
      <w:r>
        <w:separator/>
      </w:r>
    </w:p>
  </w:footnote>
  <w:footnote w:type="continuationSeparator" w:id="0">
    <w:p w14:paraId="46115701" w14:textId="77777777" w:rsidR="000C6FD2" w:rsidRDefault="000C6FD2" w:rsidP="004D0D42">
      <w:pPr>
        <w:spacing w:after="0"/>
      </w:pPr>
      <w:r>
        <w:continuationSeparator/>
      </w:r>
    </w:p>
  </w:footnote>
  <w:footnote w:id="1">
    <w:p w14:paraId="539C10C6" w14:textId="77777777" w:rsidR="004D0D42" w:rsidRPr="009D3988" w:rsidRDefault="004D0D42" w:rsidP="004D0D42">
      <w:pPr>
        <w:pStyle w:val="FootnoteText"/>
        <w:rPr>
          <w:rFonts w:ascii="Times New Roman" w:eastAsia="Calibri" w:hAnsi="Times New Roman" w:cs="Times New Roman"/>
          <w:color w:val="000000" w:themeColor="text1"/>
          <w:sz w:val="18"/>
          <w:szCs w:val="18"/>
        </w:rPr>
      </w:pPr>
      <w:r w:rsidRPr="009D3988">
        <w:rPr>
          <w:rFonts w:ascii="Times New Roman" w:eastAsia="Calibri" w:hAnsi="Times New Roman" w:cs="Times New Roman"/>
          <w:color w:val="000000" w:themeColor="text1"/>
          <w:sz w:val="18"/>
          <w:szCs w:val="18"/>
        </w:rPr>
        <w:footnoteRef/>
      </w:r>
      <w:r w:rsidRPr="009D3988">
        <w:rPr>
          <w:rFonts w:ascii="Times New Roman" w:eastAsia="Calibri" w:hAnsi="Times New Roman" w:cs="Times New Roman"/>
          <w:color w:val="000000" w:themeColor="text1"/>
          <w:sz w:val="18"/>
          <w:szCs w:val="18"/>
        </w:rPr>
        <w:t xml:space="preserve"> </w:t>
      </w:r>
      <w:hyperlink r:id="rId1" w:anchor="definicija" w:history="1">
        <w:r w:rsidRPr="009D3988">
          <w:rPr>
            <w:rFonts w:ascii="Times New Roman" w:eastAsia="Calibri" w:hAnsi="Times New Roman" w:cs="Times New Roman"/>
            <w:color w:val="000000" w:themeColor="text1"/>
            <w:sz w:val="18"/>
            <w:szCs w:val="18"/>
          </w:rPr>
          <w:t>https://iai.lv/lv/obligatie-noradijumi#definicija</w:t>
        </w:r>
      </w:hyperlink>
      <w:r w:rsidRPr="009D3988">
        <w:rPr>
          <w:rFonts w:ascii="Times New Roman" w:eastAsia="Calibri" w:hAnsi="Times New Roman" w:cs="Times New Roman"/>
          <w:color w:val="000000" w:themeColor="text1"/>
          <w:sz w:val="18"/>
          <w:szCs w:val="18"/>
        </w:rPr>
        <w:t xml:space="preserve">  </w:t>
      </w:r>
    </w:p>
  </w:footnote>
  <w:footnote w:id="2">
    <w:p w14:paraId="253C5685" w14:textId="77777777" w:rsidR="004D0D42" w:rsidRPr="009D3988" w:rsidRDefault="004D0D42" w:rsidP="004D0D42">
      <w:pPr>
        <w:pStyle w:val="FootnoteText"/>
        <w:rPr>
          <w:rFonts w:ascii="Times New Roman" w:eastAsia="Calibri" w:hAnsi="Times New Roman" w:cs="Times New Roman"/>
          <w:color w:val="000000" w:themeColor="text1"/>
          <w:sz w:val="18"/>
          <w:szCs w:val="18"/>
        </w:rPr>
      </w:pPr>
      <w:r w:rsidRPr="009D3988">
        <w:rPr>
          <w:rFonts w:ascii="Times New Roman" w:eastAsia="Calibri" w:hAnsi="Times New Roman" w:cs="Times New Roman"/>
          <w:color w:val="000000" w:themeColor="text1"/>
          <w:sz w:val="18"/>
          <w:szCs w:val="18"/>
        </w:rPr>
        <w:footnoteRef/>
      </w:r>
      <w:r w:rsidRPr="009D3988">
        <w:rPr>
          <w:rFonts w:ascii="Times New Roman" w:eastAsia="Calibri" w:hAnsi="Times New Roman" w:cs="Times New Roman"/>
          <w:color w:val="000000" w:themeColor="text1"/>
          <w:sz w:val="18"/>
          <w:szCs w:val="18"/>
        </w:rPr>
        <w:t xml:space="preserve"> </w:t>
      </w:r>
      <w:hyperlink r:id="rId2" w:history="1">
        <w:r w:rsidRPr="009D3988">
          <w:rPr>
            <w:rFonts w:ascii="Times New Roman" w:eastAsia="Calibri" w:hAnsi="Times New Roman" w:cs="Times New Roman"/>
            <w:color w:val="000000" w:themeColor="text1"/>
            <w:sz w:val="18"/>
            <w:szCs w:val="18"/>
          </w:rPr>
          <w:t>https://www.theiia.org/en/standards/Standards-Public-Comment/</w:t>
        </w:r>
      </w:hyperlink>
      <w:r w:rsidRPr="009D3988">
        <w:rPr>
          <w:rFonts w:ascii="Times New Roman" w:eastAsia="Calibri" w:hAnsi="Times New Roman" w:cs="Times New Roman"/>
          <w:color w:val="000000" w:themeColor="text1"/>
          <w:sz w:val="18"/>
          <w:szCs w:val="18"/>
        </w:rPr>
        <w:t xml:space="preserve"> </w:t>
      </w:r>
    </w:p>
  </w:footnote>
  <w:footnote w:id="3">
    <w:p w14:paraId="16CFF6F3" w14:textId="77777777" w:rsidR="004D0D42" w:rsidRPr="009D3988" w:rsidRDefault="004D0D42" w:rsidP="004D0D42">
      <w:pPr>
        <w:pStyle w:val="FootnoteText"/>
        <w:rPr>
          <w:rFonts w:ascii="Times New Roman" w:eastAsia="Calibri" w:hAnsi="Times New Roman" w:cs="Times New Roman"/>
          <w:color w:val="000000" w:themeColor="text1"/>
          <w:sz w:val="18"/>
          <w:szCs w:val="18"/>
        </w:rPr>
      </w:pPr>
      <w:r w:rsidRPr="009D3988">
        <w:rPr>
          <w:rFonts w:ascii="Times New Roman" w:eastAsia="Calibri" w:hAnsi="Times New Roman" w:cs="Times New Roman"/>
          <w:color w:val="000000" w:themeColor="text1"/>
          <w:sz w:val="18"/>
          <w:szCs w:val="18"/>
        </w:rPr>
        <w:footnoteRef/>
      </w:r>
      <w:r w:rsidRPr="009D3988">
        <w:rPr>
          <w:rFonts w:ascii="Times New Roman" w:eastAsia="Calibri" w:hAnsi="Times New Roman" w:cs="Times New Roman"/>
          <w:color w:val="000000" w:themeColor="text1"/>
          <w:sz w:val="18"/>
          <w:szCs w:val="18"/>
        </w:rPr>
        <w:t xml:space="preserve"> </w:t>
      </w:r>
      <w:hyperlink r:id="rId3" w:history="1">
        <w:r w:rsidRPr="009D3988">
          <w:rPr>
            <w:rFonts w:ascii="Times New Roman" w:eastAsia="Calibri" w:hAnsi="Times New Roman" w:cs="Times New Roman"/>
            <w:color w:val="000000" w:themeColor="text1"/>
            <w:sz w:val="18"/>
            <w:szCs w:val="18"/>
          </w:rPr>
          <w:t>https://www.coso.org/Shared%20Documents/Framework-Executive-Summary.pdf</w:t>
        </w:r>
      </w:hyperlink>
      <w:r w:rsidRPr="009D3988">
        <w:rPr>
          <w:rFonts w:ascii="Times New Roman" w:eastAsia="Calibri" w:hAnsi="Times New Roman" w:cs="Times New Roman"/>
          <w:color w:val="000000" w:themeColor="text1"/>
          <w:sz w:val="18"/>
          <w:szCs w:val="18"/>
        </w:rPr>
        <w:t xml:space="preserve"> </w:t>
      </w:r>
    </w:p>
  </w:footnote>
  <w:footnote w:id="4">
    <w:p w14:paraId="43417875" w14:textId="77777777" w:rsidR="004D0D42" w:rsidRPr="009D3988" w:rsidRDefault="004D0D42" w:rsidP="004D0D42">
      <w:pPr>
        <w:pStyle w:val="FootnoteText"/>
        <w:rPr>
          <w:rFonts w:ascii="Times New Roman" w:eastAsia="Calibri" w:hAnsi="Times New Roman" w:cs="Times New Roman"/>
          <w:color w:val="000000" w:themeColor="text1"/>
          <w:sz w:val="18"/>
          <w:szCs w:val="18"/>
        </w:rPr>
      </w:pPr>
      <w:r w:rsidRPr="009D3988">
        <w:rPr>
          <w:rFonts w:ascii="Times New Roman" w:eastAsia="Calibri" w:hAnsi="Times New Roman" w:cs="Times New Roman"/>
          <w:color w:val="000000" w:themeColor="text1"/>
          <w:sz w:val="18"/>
          <w:szCs w:val="18"/>
        </w:rPr>
        <w:footnoteRef/>
      </w:r>
      <w:r w:rsidRPr="009D3988">
        <w:rPr>
          <w:rFonts w:ascii="Times New Roman" w:eastAsia="Calibri" w:hAnsi="Times New Roman" w:cs="Times New Roman"/>
          <w:color w:val="000000" w:themeColor="text1"/>
          <w:sz w:val="18"/>
          <w:szCs w:val="18"/>
        </w:rPr>
        <w:t xml:space="preserve"> </w:t>
      </w:r>
      <w:hyperlink r:id="rId4" w:history="1">
        <w:r w:rsidRPr="009D3988">
          <w:rPr>
            <w:rFonts w:ascii="Times New Roman" w:eastAsia="Calibri" w:hAnsi="Times New Roman" w:cs="Times New Roman"/>
            <w:color w:val="000000" w:themeColor="text1"/>
            <w:sz w:val="18"/>
            <w:szCs w:val="18"/>
          </w:rPr>
          <w:t>https://likumi.lv/ta/id/253680-iekseja-audita-likums</w:t>
        </w:r>
      </w:hyperlink>
      <w:r w:rsidRPr="009D3988">
        <w:rPr>
          <w:rFonts w:ascii="Times New Roman" w:eastAsia="Calibri" w:hAnsi="Times New Roman" w:cs="Times New Roman"/>
          <w:color w:val="000000" w:themeColor="text1"/>
          <w:sz w:val="18"/>
          <w:szCs w:val="18"/>
        </w:rPr>
        <w:t xml:space="preserve"> </w:t>
      </w:r>
    </w:p>
  </w:footnote>
  <w:footnote w:id="5">
    <w:p w14:paraId="41B6F27A" w14:textId="77777777" w:rsidR="004D0D42" w:rsidRPr="009D3988" w:rsidRDefault="004D0D42" w:rsidP="004D0D42">
      <w:pPr>
        <w:pStyle w:val="FootnoteText"/>
        <w:rPr>
          <w:rFonts w:ascii="Times New Roman" w:eastAsia="Calibri" w:hAnsi="Times New Roman" w:cs="Times New Roman"/>
          <w:color w:val="000000" w:themeColor="text1"/>
          <w:sz w:val="18"/>
          <w:szCs w:val="18"/>
        </w:rPr>
      </w:pPr>
      <w:r w:rsidRPr="009D3988">
        <w:rPr>
          <w:rFonts w:ascii="Times New Roman" w:eastAsia="Calibri" w:hAnsi="Times New Roman" w:cs="Times New Roman"/>
          <w:color w:val="000000" w:themeColor="text1"/>
          <w:sz w:val="18"/>
          <w:szCs w:val="18"/>
        </w:rPr>
        <w:footnoteRef/>
      </w:r>
      <w:r w:rsidRPr="009D3988">
        <w:rPr>
          <w:rFonts w:ascii="Times New Roman" w:eastAsia="Calibri" w:hAnsi="Times New Roman" w:cs="Times New Roman"/>
          <w:color w:val="000000" w:themeColor="text1"/>
          <w:sz w:val="18"/>
          <w:szCs w:val="18"/>
        </w:rPr>
        <w:t xml:space="preserve"> </w:t>
      </w:r>
      <w:hyperlink r:id="rId5" w:history="1">
        <w:r w:rsidRPr="009D3988">
          <w:rPr>
            <w:rFonts w:ascii="Times New Roman" w:eastAsia="Calibri" w:hAnsi="Times New Roman" w:cs="Times New Roman"/>
            <w:color w:val="000000" w:themeColor="text1"/>
            <w:sz w:val="18"/>
            <w:szCs w:val="18"/>
          </w:rPr>
          <w:t>https://www.theiia.org/globalassets/site/standards/mandatory-guidance/ippf/2017/ippf-standards-2017-latvian.pdf</w:t>
        </w:r>
      </w:hyperlink>
      <w:r w:rsidRPr="009D3988">
        <w:rPr>
          <w:rFonts w:ascii="Times New Roman" w:eastAsia="Calibri" w:hAnsi="Times New Roman" w:cs="Times New Roman"/>
          <w:color w:val="000000" w:themeColor="text1"/>
          <w:sz w:val="18"/>
          <w:szCs w:val="18"/>
        </w:rPr>
        <w:t xml:space="preserve"> </w:t>
      </w:r>
    </w:p>
  </w:footnote>
  <w:footnote w:id="6">
    <w:p w14:paraId="22810139" w14:textId="77777777" w:rsidR="004D0D42" w:rsidRPr="00B64A21" w:rsidRDefault="004D0D42" w:rsidP="004D0D42">
      <w:pPr>
        <w:pStyle w:val="FootnoteText"/>
        <w:rPr>
          <w:rFonts w:eastAsia="Calibri" w:cs="Times New Roman"/>
          <w:sz w:val="16"/>
          <w:szCs w:val="16"/>
        </w:rPr>
      </w:pPr>
      <w:r w:rsidRPr="009D3988">
        <w:rPr>
          <w:rFonts w:ascii="Times New Roman" w:eastAsia="Calibri" w:hAnsi="Times New Roman" w:cs="Times New Roman"/>
          <w:color w:val="000000" w:themeColor="text1"/>
          <w:sz w:val="18"/>
          <w:szCs w:val="18"/>
        </w:rPr>
        <w:footnoteRef/>
      </w:r>
      <w:r w:rsidRPr="009D3988">
        <w:rPr>
          <w:rFonts w:ascii="Times New Roman" w:eastAsia="Calibri" w:hAnsi="Times New Roman" w:cs="Times New Roman"/>
          <w:color w:val="000000" w:themeColor="text1"/>
          <w:sz w:val="18"/>
          <w:szCs w:val="18"/>
        </w:rPr>
        <w:t xml:space="preserve"> </w:t>
      </w:r>
      <w:hyperlink r:id="rId6" w:history="1">
        <w:r w:rsidRPr="009D3988">
          <w:rPr>
            <w:rFonts w:ascii="Times New Roman" w:eastAsia="Calibri" w:hAnsi="Times New Roman" w:cs="Times New Roman"/>
            <w:color w:val="000000" w:themeColor="text1"/>
            <w:sz w:val="18"/>
            <w:szCs w:val="18"/>
          </w:rPr>
          <w:t>https://www.theiia.org/en/standards/Standards-Public-Comment/</w:t>
        </w:r>
      </w:hyperlink>
      <w:r w:rsidRPr="009D3988">
        <w:rPr>
          <w:rFonts w:eastAsia="Calibri" w:cs="Times New Roman"/>
          <w:color w:val="000000" w:themeColor="text1"/>
          <w:sz w:val="16"/>
          <w:szCs w:val="16"/>
        </w:rPr>
        <w:t xml:space="preserve"> </w:t>
      </w:r>
    </w:p>
  </w:footnote>
  <w:footnote w:id="7">
    <w:p w14:paraId="4A18A573" w14:textId="1C8D6BAD" w:rsidR="004D0D42" w:rsidRPr="009D3988" w:rsidRDefault="004D0D42" w:rsidP="004D0D42">
      <w:pPr>
        <w:pStyle w:val="FootnoteText"/>
        <w:rPr>
          <w:rFonts w:ascii="Times New Roman" w:eastAsia="Calibri" w:hAnsi="Times New Roman" w:cs="Times New Roman"/>
          <w:color w:val="000000" w:themeColor="text1"/>
          <w:sz w:val="18"/>
          <w:szCs w:val="18"/>
        </w:rPr>
      </w:pPr>
      <w:r w:rsidRPr="009D3988">
        <w:rPr>
          <w:rFonts w:ascii="Times New Roman" w:eastAsia="Calibri" w:hAnsi="Times New Roman" w:cs="Times New Roman"/>
          <w:color w:val="000000" w:themeColor="text1"/>
          <w:sz w:val="18"/>
          <w:szCs w:val="18"/>
        </w:rPr>
        <w:footnoteRef/>
      </w:r>
      <w:r w:rsidRPr="009D3988">
        <w:rPr>
          <w:rFonts w:ascii="Times New Roman" w:eastAsia="Calibri" w:hAnsi="Times New Roman" w:cs="Times New Roman"/>
          <w:color w:val="000000" w:themeColor="text1"/>
          <w:sz w:val="18"/>
          <w:szCs w:val="18"/>
        </w:rPr>
        <w:t xml:space="preserve"> </w:t>
      </w:r>
      <w:r w:rsidR="0015711D">
        <w:rPr>
          <w:rFonts w:ascii="Times New Roman" w:eastAsia="Calibri" w:hAnsi="Times New Roman" w:cs="Times New Roman"/>
          <w:color w:val="000000" w:themeColor="text1"/>
          <w:sz w:val="18"/>
          <w:szCs w:val="18"/>
        </w:rPr>
        <w:t xml:space="preserve"> </w:t>
      </w:r>
      <w:hyperlink r:id="rId7" w:history="1">
        <w:r w:rsidR="0015711D" w:rsidRPr="00641527">
          <w:rPr>
            <w:rStyle w:val="Hyperlink"/>
            <w:rFonts w:ascii="Times New Roman" w:eastAsia="Calibri" w:hAnsi="Times New Roman" w:cs="Times New Roman"/>
            <w:sz w:val="18"/>
            <w:szCs w:val="18"/>
          </w:rPr>
          <w:t>https://likumi.lv/ta/id/253680-iekseja-audita-likums</w:t>
        </w:r>
      </w:hyperlink>
      <w:r w:rsidRPr="009D3988">
        <w:rPr>
          <w:rFonts w:ascii="Times New Roman" w:eastAsia="Calibri" w:hAnsi="Times New Roman" w:cs="Times New Roman"/>
          <w:color w:val="000000" w:themeColor="text1"/>
          <w:sz w:val="18"/>
          <w:szCs w:val="18"/>
        </w:rPr>
        <w:t xml:space="preserve"> </w:t>
      </w:r>
    </w:p>
  </w:footnote>
  <w:footnote w:id="8">
    <w:p w14:paraId="2E8FFA08" w14:textId="05D111F4" w:rsidR="004D0D42" w:rsidRPr="009D3988" w:rsidRDefault="004D0D42" w:rsidP="004D0D42">
      <w:pPr>
        <w:pStyle w:val="FootnoteText"/>
        <w:rPr>
          <w:rFonts w:ascii="Times New Roman" w:hAnsi="Times New Roman" w:cs="Times New Roman"/>
          <w:color w:val="000000" w:themeColor="text1"/>
          <w:sz w:val="18"/>
          <w:szCs w:val="18"/>
        </w:rPr>
      </w:pPr>
      <w:r w:rsidRPr="009D3988">
        <w:rPr>
          <w:rFonts w:ascii="Times New Roman" w:eastAsia="Calibri" w:hAnsi="Times New Roman" w:cs="Times New Roman"/>
          <w:color w:val="000000" w:themeColor="text1"/>
          <w:sz w:val="18"/>
          <w:szCs w:val="18"/>
        </w:rPr>
        <w:footnoteRef/>
      </w:r>
      <w:r w:rsidRPr="009D3988">
        <w:rPr>
          <w:rFonts w:ascii="Times New Roman" w:eastAsia="Calibri" w:hAnsi="Times New Roman" w:cs="Times New Roman"/>
          <w:color w:val="000000" w:themeColor="text1"/>
          <w:sz w:val="18"/>
          <w:szCs w:val="18"/>
        </w:rPr>
        <w:t xml:space="preserve"> </w:t>
      </w:r>
      <w:hyperlink r:id="rId8" w:history="1">
        <w:r w:rsidRPr="009D3988">
          <w:rPr>
            <w:rFonts w:ascii="Times New Roman" w:eastAsia="Calibri" w:hAnsi="Times New Roman" w:cs="Times New Roman"/>
            <w:color w:val="000000" w:themeColor="text1"/>
            <w:sz w:val="18"/>
            <w:szCs w:val="18"/>
          </w:rPr>
          <w:t>https://www.theiia.org/globalassets/site/standards/mandatory-guidance/ippf/2017/ippf-standards-2017-latvian.pdf</w:t>
        </w:r>
      </w:hyperlink>
      <w:r w:rsidR="0015711D">
        <w:rPr>
          <w:rFonts w:ascii="Times New Roman" w:eastAsia="Calibri" w:hAnsi="Times New Roman" w:cs="Times New Roman"/>
          <w:color w:val="000000" w:themeColor="text1"/>
          <w:sz w:val="18"/>
          <w:szCs w:val="18"/>
        </w:rPr>
        <w:t xml:space="preserve"> </w:t>
      </w:r>
      <w:r w:rsidRPr="009D3988">
        <w:rPr>
          <w:rFonts w:ascii="Times New Roman" w:hAnsi="Times New Roman" w:cs="Times New Roman"/>
          <w:color w:val="000000" w:themeColor="text1"/>
          <w:sz w:val="18"/>
          <w:szCs w:val="18"/>
        </w:rPr>
        <w:t xml:space="preserve"> </w:t>
      </w:r>
    </w:p>
  </w:footnote>
  <w:footnote w:id="9">
    <w:p w14:paraId="6477C2CC" w14:textId="40AA80A0" w:rsidR="004D0D42" w:rsidRPr="009D3988" w:rsidRDefault="004D0D42" w:rsidP="004D0D42">
      <w:pPr>
        <w:pStyle w:val="FootnoteText"/>
        <w:rPr>
          <w:rFonts w:ascii="Times New Roman" w:eastAsia="Calibri" w:hAnsi="Times New Roman" w:cs="Times New Roman"/>
          <w:color w:val="000000" w:themeColor="text1"/>
          <w:sz w:val="18"/>
          <w:szCs w:val="18"/>
        </w:rPr>
      </w:pPr>
      <w:r w:rsidRPr="009D3988">
        <w:rPr>
          <w:rFonts w:ascii="Times New Roman" w:eastAsia="Calibri" w:hAnsi="Times New Roman" w:cs="Times New Roman"/>
          <w:color w:val="000000" w:themeColor="text1"/>
          <w:sz w:val="18"/>
          <w:szCs w:val="18"/>
        </w:rPr>
        <w:footnoteRef/>
      </w:r>
      <w:r w:rsidRPr="009D3988">
        <w:rPr>
          <w:rFonts w:ascii="Times New Roman" w:eastAsia="Calibri" w:hAnsi="Times New Roman" w:cs="Times New Roman"/>
          <w:color w:val="000000" w:themeColor="text1"/>
          <w:sz w:val="18"/>
          <w:szCs w:val="18"/>
        </w:rPr>
        <w:t xml:space="preserve"> </w:t>
      </w:r>
      <w:hyperlink r:id="rId9" w:history="1">
        <w:r w:rsidRPr="009D3988">
          <w:rPr>
            <w:rFonts w:ascii="Times New Roman" w:eastAsia="Calibri" w:hAnsi="Times New Roman" w:cs="Times New Roman"/>
            <w:color w:val="000000" w:themeColor="text1"/>
            <w:sz w:val="18"/>
            <w:szCs w:val="18"/>
          </w:rPr>
          <w:t>https://www.theiia.org/globalassets/site/standards/mandatory-guidance/ippf/2017/ippf-standards-2017-latvian.pdf</w:t>
        </w:r>
      </w:hyperlink>
      <w:r w:rsidR="0015711D">
        <w:rPr>
          <w:rFonts w:ascii="Times New Roman" w:eastAsia="Calibri" w:hAnsi="Times New Roman" w:cs="Times New Roman"/>
          <w:color w:val="000000" w:themeColor="text1"/>
          <w:sz w:val="18"/>
          <w:szCs w:val="18"/>
        </w:rPr>
        <w:t xml:space="preserve"> </w:t>
      </w:r>
      <w:r w:rsidRPr="009D3988">
        <w:rPr>
          <w:rFonts w:ascii="Times New Roman" w:eastAsia="Calibri" w:hAnsi="Times New Roman" w:cs="Times New Roman"/>
          <w:color w:val="000000" w:themeColor="text1"/>
          <w:sz w:val="18"/>
          <w:szCs w:val="18"/>
        </w:rPr>
        <w:t xml:space="preserve"> </w:t>
      </w:r>
    </w:p>
  </w:footnote>
  <w:footnote w:id="10">
    <w:p w14:paraId="6178E74C" w14:textId="77777777" w:rsidR="004D0D42" w:rsidRPr="009D3988" w:rsidRDefault="004D0D42" w:rsidP="004D0D42">
      <w:pPr>
        <w:pStyle w:val="FootnoteText"/>
        <w:rPr>
          <w:rFonts w:ascii="Times New Roman" w:eastAsia="Calibri" w:hAnsi="Times New Roman" w:cs="Times New Roman"/>
          <w:color w:val="000000" w:themeColor="text1"/>
          <w:sz w:val="18"/>
          <w:szCs w:val="18"/>
        </w:rPr>
      </w:pPr>
      <w:r w:rsidRPr="009D3988">
        <w:rPr>
          <w:rFonts w:ascii="Times New Roman" w:eastAsia="Calibri" w:hAnsi="Times New Roman" w:cs="Times New Roman"/>
          <w:color w:val="000000" w:themeColor="text1"/>
          <w:sz w:val="18"/>
          <w:szCs w:val="18"/>
        </w:rPr>
        <w:footnoteRef/>
      </w:r>
      <w:r w:rsidRPr="009D3988">
        <w:rPr>
          <w:rFonts w:ascii="Times New Roman" w:eastAsia="Calibri" w:hAnsi="Times New Roman" w:cs="Times New Roman"/>
          <w:color w:val="000000" w:themeColor="text1"/>
          <w:sz w:val="18"/>
          <w:szCs w:val="18"/>
        </w:rPr>
        <w:t xml:space="preserve"> </w:t>
      </w:r>
      <w:hyperlink r:id="rId10" w:history="1">
        <w:r w:rsidRPr="009D3988">
          <w:rPr>
            <w:rFonts w:ascii="Times New Roman" w:eastAsia="Calibri" w:hAnsi="Times New Roman" w:cs="Times New Roman"/>
            <w:color w:val="000000" w:themeColor="text1"/>
            <w:sz w:val="18"/>
            <w:szCs w:val="18"/>
          </w:rPr>
          <w:t>https://www.theiia.org/en/standards/Standards-Public-Comment/</w:t>
        </w:r>
      </w:hyperlink>
      <w:r w:rsidRPr="009D3988">
        <w:rPr>
          <w:rFonts w:ascii="Times New Roman" w:eastAsia="Calibri" w:hAnsi="Times New Roman" w:cs="Times New Roman"/>
          <w:color w:val="000000" w:themeColor="text1"/>
          <w:sz w:val="18"/>
          <w:szCs w:val="18"/>
        </w:rPr>
        <w:t xml:space="preserve"> </w:t>
      </w:r>
    </w:p>
  </w:footnote>
  <w:footnote w:id="11">
    <w:p w14:paraId="764E2A9E" w14:textId="77777777" w:rsidR="004D0D42" w:rsidRPr="009D3988" w:rsidRDefault="004D0D42" w:rsidP="004D0D42">
      <w:pPr>
        <w:pStyle w:val="FootnoteText"/>
        <w:rPr>
          <w:rFonts w:ascii="Times New Roman" w:eastAsia="Calibri" w:hAnsi="Times New Roman" w:cs="Times New Roman"/>
          <w:color w:val="000000" w:themeColor="text1"/>
          <w:sz w:val="18"/>
          <w:szCs w:val="18"/>
        </w:rPr>
      </w:pPr>
      <w:r w:rsidRPr="009D3988">
        <w:rPr>
          <w:rFonts w:ascii="Times New Roman" w:eastAsia="Calibri" w:hAnsi="Times New Roman" w:cs="Times New Roman"/>
          <w:color w:val="000000" w:themeColor="text1"/>
          <w:sz w:val="18"/>
          <w:szCs w:val="18"/>
        </w:rPr>
        <w:footnoteRef/>
      </w:r>
      <w:r w:rsidRPr="009D3988">
        <w:rPr>
          <w:rFonts w:ascii="Times New Roman" w:eastAsia="Calibri" w:hAnsi="Times New Roman" w:cs="Times New Roman"/>
          <w:color w:val="000000" w:themeColor="text1"/>
          <w:sz w:val="18"/>
          <w:szCs w:val="18"/>
        </w:rPr>
        <w:t xml:space="preserve"> </w:t>
      </w:r>
      <w:hyperlink r:id="rId11" w:history="1">
        <w:r w:rsidRPr="009D3988">
          <w:rPr>
            <w:rFonts w:ascii="Times New Roman" w:eastAsia="Calibri" w:hAnsi="Times New Roman" w:cs="Times New Roman"/>
            <w:color w:val="000000" w:themeColor="text1"/>
            <w:sz w:val="18"/>
            <w:szCs w:val="18"/>
          </w:rPr>
          <w:t>https://www.theiia.org/globalassets/site/standards/mandatory-guidance/ippf/2017/ippf-standards-2017-latvian.pdf</w:t>
        </w:r>
      </w:hyperlink>
      <w:r w:rsidRPr="009D3988">
        <w:rPr>
          <w:rFonts w:ascii="Times New Roman" w:eastAsia="Calibri" w:hAnsi="Times New Roman" w:cs="Times New Roman"/>
          <w:color w:val="000000" w:themeColor="text1"/>
          <w:sz w:val="18"/>
          <w:szCs w:val="18"/>
        </w:rPr>
        <w:t xml:space="preserve"> </w:t>
      </w:r>
    </w:p>
  </w:footnote>
  <w:footnote w:id="12">
    <w:p w14:paraId="2FC5F1B3" w14:textId="77777777" w:rsidR="004D0D42" w:rsidRPr="009D3988" w:rsidRDefault="004D0D42" w:rsidP="004D0D42">
      <w:pPr>
        <w:pStyle w:val="FootnoteText"/>
        <w:rPr>
          <w:rFonts w:ascii="Times New Roman" w:eastAsia="Calibri" w:hAnsi="Times New Roman" w:cs="Times New Roman"/>
          <w:color w:val="000000" w:themeColor="text1"/>
          <w:sz w:val="18"/>
          <w:szCs w:val="18"/>
        </w:rPr>
      </w:pPr>
      <w:r w:rsidRPr="009D3988">
        <w:rPr>
          <w:rFonts w:ascii="Times New Roman" w:eastAsia="Calibri" w:hAnsi="Times New Roman" w:cs="Times New Roman"/>
          <w:color w:val="000000" w:themeColor="text1"/>
          <w:sz w:val="18"/>
          <w:szCs w:val="18"/>
        </w:rPr>
        <w:footnoteRef/>
      </w:r>
      <w:r w:rsidRPr="009D3988">
        <w:rPr>
          <w:rFonts w:ascii="Times New Roman" w:eastAsia="Calibri" w:hAnsi="Times New Roman" w:cs="Times New Roman"/>
          <w:color w:val="000000" w:themeColor="text1"/>
          <w:sz w:val="18"/>
          <w:szCs w:val="18"/>
        </w:rPr>
        <w:t xml:space="preserve"> </w:t>
      </w:r>
      <w:hyperlink r:id="rId12" w:history="1">
        <w:r w:rsidRPr="009D3988">
          <w:rPr>
            <w:rFonts w:ascii="Times New Roman" w:eastAsia="Calibri" w:hAnsi="Times New Roman" w:cs="Times New Roman"/>
            <w:color w:val="000000" w:themeColor="text1"/>
            <w:sz w:val="18"/>
            <w:szCs w:val="18"/>
          </w:rPr>
          <w:t>https://likumi.lv/ta/id/336956-pasvaldibu-likums</w:t>
        </w:r>
      </w:hyperlink>
      <w:r w:rsidRPr="009D3988">
        <w:rPr>
          <w:rFonts w:ascii="Times New Roman" w:eastAsia="Calibri" w:hAnsi="Times New Roman" w:cs="Times New Roman"/>
          <w:color w:val="000000" w:themeColor="text1"/>
          <w:sz w:val="18"/>
          <w:szCs w:val="18"/>
        </w:rPr>
        <w:t xml:space="preserve"> </w:t>
      </w:r>
    </w:p>
  </w:footnote>
  <w:footnote w:id="13">
    <w:p w14:paraId="57D63512" w14:textId="77777777" w:rsidR="004D0D42" w:rsidRPr="009D3988" w:rsidRDefault="004D0D42" w:rsidP="004D0D42">
      <w:pPr>
        <w:pStyle w:val="FootnoteText"/>
        <w:rPr>
          <w:rFonts w:ascii="Times New Roman" w:hAnsi="Times New Roman" w:cs="Times New Roman"/>
          <w:color w:val="000000" w:themeColor="text1"/>
          <w:sz w:val="18"/>
          <w:szCs w:val="18"/>
        </w:rPr>
      </w:pPr>
      <w:r w:rsidRPr="009D3988">
        <w:rPr>
          <w:rStyle w:val="FootnoteReference"/>
          <w:rFonts w:ascii="Times New Roman" w:hAnsi="Times New Roman" w:cs="Times New Roman"/>
          <w:color w:val="000000" w:themeColor="text1"/>
          <w:sz w:val="18"/>
          <w:szCs w:val="18"/>
        </w:rPr>
        <w:footnoteRef/>
      </w:r>
      <w:r w:rsidRPr="009D3988">
        <w:rPr>
          <w:rFonts w:ascii="Times New Roman" w:hAnsi="Times New Roman" w:cs="Times New Roman"/>
          <w:color w:val="000000" w:themeColor="text1"/>
          <w:sz w:val="18"/>
          <w:szCs w:val="18"/>
        </w:rPr>
        <w:t xml:space="preserve"> https://www.fm.gov.lv/lv/es-fondu-revizijas-iestade-0</w:t>
      </w:r>
    </w:p>
  </w:footnote>
  <w:footnote w:id="14">
    <w:p w14:paraId="4FBED399" w14:textId="77777777" w:rsidR="004D0D42" w:rsidRDefault="004D0D42" w:rsidP="004D0D42">
      <w:pPr>
        <w:pStyle w:val="FootnoteText"/>
      </w:pPr>
      <w:r w:rsidRPr="009D3988">
        <w:rPr>
          <w:rFonts w:ascii="Times New Roman" w:eastAsia="Calibri" w:hAnsi="Times New Roman" w:cs="Times New Roman"/>
          <w:color w:val="000000" w:themeColor="text1"/>
          <w:sz w:val="18"/>
          <w:szCs w:val="18"/>
        </w:rPr>
        <w:footnoteRef/>
      </w:r>
      <w:r w:rsidRPr="009D3988">
        <w:rPr>
          <w:rFonts w:ascii="Times New Roman" w:eastAsia="Calibri" w:hAnsi="Times New Roman" w:cs="Times New Roman"/>
          <w:color w:val="000000" w:themeColor="text1"/>
          <w:sz w:val="18"/>
          <w:szCs w:val="18"/>
        </w:rPr>
        <w:t xml:space="preserve"> </w:t>
      </w:r>
      <w:hyperlink r:id="rId13" w:history="1">
        <w:r w:rsidRPr="009D3988">
          <w:rPr>
            <w:rFonts w:ascii="Times New Roman" w:eastAsia="Calibri" w:hAnsi="Times New Roman" w:cs="Times New Roman"/>
            <w:color w:val="000000" w:themeColor="text1"/>
            <w:sz w:val="18"/>
            <w:szCs w:val="18"/>
          </w:rPr>
          <w:t>https://www.theiia.org/globalassets/site/standards/mandatory-guidance/ippf/2017/ippf-standards-2017-latvian.pdf</w:t>
        </w:r>
      </w:hyperlink>
      <w:r w:rsidRPr="009D3988">
        <w:rPr>
          <w:color w:val="000000" w:themeColor="text1"/>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CC476" w14:textId="77777777" w:rsidR="00DB49AE" w:rsidRDefault="00DB4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9E50A" w14:textId="046326B8" w:rsidR="00D64037" w:rsidRDefault="00D64037" w:rsidP="00D64037">
    <w:pPr>
      <w:pStyle w:val="Header"/>
      <w:jc w:val="right"/>
      <w:rPr>
        <w:rFonts w:asciiTheme="majorBidi" w:hAnsiTheme="majorBidi" w:cstheme="majorBidi"/>
        <w:i/>
        <w:iCs/>
        <w:color w:val="auto"/>
      </w:rPr>
    </w:pPr>
    <w:r w:rsidRPr="00B929DE">
      <w:rPr>
        <w:rFonts w:asciiTheme="majorBidi" w:hAnsiTheme="majorBidi" w:cstheme="majorBidi"/>
        <w:i/>
        <w:iCs/>
        <w:color w:val="auto"/>
      </w:rPr>
      <w:t>Rokasgrāmata</w:t>
    </w:r>
    <w:r>
      <w:rPr>
        <w:rFonts w:asciiTheme="majorBidi" w:hAnsiTheme="majorBidi" w:cstheme="majorBidi"/>
        <w:i/>
        <w:iCs/>
        <w:color w:val="auto"/>
      </w:rPr>
      <w:t xml:space="preserve"> 2024</w:t>
    </w:r>
    <w:r w:rsidRPr="00B929DE">
      <w:rPr>
        <w:rFonts w:asciiTheme="majorBidi" w:hAnsiTheme="majorBidi" w:cstheme="majorBidi"/>
        <w:i/>
        <w:iCs/>
        <w:color w:val="auto"/>
      </w:rPr>
      <w:t xml:space="preserve">: </w:t>
    </w:r>
    <w:r>
      <w:rPr>
        <w:rFonts w:asciiTheme="majorBidi" w:hAnsiTheme="majorBidi" w:cstheme="majorBidi"/>
        <w:i/>
        <w:iCs/>
        <w:color w:val="auto"/>
      </w:rPr>
      <w:t xml:space="preserve">(I) </w:t>
    </w:r>
    <w:r w:rsidRPr="00B929DE">
      <w:rPr>
        <w:rFonts w:asciiTheme="majorBidi" w:hAnsiTheme="majorBidi" w:cstheme="majorBidi"/>
        <w:i/>
        <w:iCs/>
        <w:color w:val="auto"/>
      </w:rPr>
      <w:t>Iekšējā audita sistēma pašvaldībās</w:t>
    </w:r>
  </w:p>
  <w:p w14:paraId="2D07FB9D" w14:textId="77777777" w:rsidR="00DB49AE" w:rsidRDefault="00DB49AE" w:rsidP="00D64037">
    <w:pPr>
      <w:pStyle w:val="Header"/>
      <w:jc w:val="right"/>
      <w:rPr>
        <w:rFonts w:asciiTheme="majorBidi" w:hAnsiTheme="majorBidi" w:cstheme="majorBidi"/>
        <w:i/>
        <w:iCs/>
        <w:color w:val="auto"/>
      </w:rPr>
    </w:pPr>
  </w:p>
  <w:p w14:paraId="6021AE1A" w14:textId="1BD90AC9" w:rsidR="00DB49AE" w:rsidRDefault="00DB49AE" w:rsidP="00D64037">
    <w:pPr>
      <w:pStyle w:val="Header"/>
      <w:jc w:val="right"/>
    </w:pPr>
    <w:r w:rsidRPr="00DB49AE">
      <w:t>RG1_P1_Izmantotie_jēdzieni_2024</w:t>
    </w:r>
  </w:p>
  <w:p w14:paraId="653A7715" w14:textId="77777777" w:rsidR="00DB49AE" w:rsidRDefault="00DB49AE" w:rsidP="00D6403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D4C93" w14:textId="77777777" w:rsidR="00DB49AE" w:rsidRDefault="00DB49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51B14"/>
    <w:multiLevelType w:val="multilevel"/>
    <w:tmpl w:val="33049010"/>
    <w:lvl w:ilvl="0">
      <w:start w:val="1"/>
      <w:numFmt w:val="decimal"/>
      <w:pStyle w:val="Heading1"/>
      <w:lvlText w:val="%1."/>
      <w:lvlJc w:val="left"/>
      <w:pPr>
        <w:ind w:left="720" w:hanging="360"/>
      </w:p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2433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D42"/>
    <w:rsid w:val="000C6FD2"/>
    <w:rsid w:val="0015711D"/>
    <w:rsid w:val="004D0D42"/>
    <w:rsid w:val="00753BA9"/>
    <w:rsid w:val="00835668"/>
    <w:rsid w:val="008B7864"/>
    <w:rsid w:val="008C7C87"/>
    <w:rsid w:val="009D3988"/>
    <w:rsid w:val="00D64037"/>
    <w:rsid w:val="00DB49AE"/>
    <w:rsid w:val="00E62A0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968E"/>
  <w15:chartTrackingRefBased/>
  <w15:docId w15:val="{69015B49-ACDF-48F8-846B-2D45C548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aturs"/>
    <w:qFormat/>
    <w:rsid w:val="004D0D42"/>
    <w:pPr>
      <w:spacing w:after="240" w:line="240" w:lineRule="auto"/>
    </w:pPr>
    <w:rPr>
      <w:rFonts w:ascii="Arial" w:hAnsi="Arial"/>
      <w:color w:val="5E6175"/>
      <w:kern w:val="0"/>
      <w:sz w:val="20"/>
      <w14:ligatures w14:val="none"/>
    </w:rPr>
  </w:style>
  <w:style w:type="paragraph" w:styleId="Heading1">
    <w:name w:val="heading 1"/>
    <w:basedOn w:val="Normal"/>
    <w:next w:val="BodyText"/>
    <w:link w:val="Heading1Char"/>
    <w:uiPriority w:val="9"/>
    <w:qFormat/>
    <w:rsid w:val="004D0D42"/>
    <w:pPr>
      <w:keepNext/>
      <w:keepLines/>
      <w:numPr>
        <w:numId w:val="1"/>
      </w:numPr>
      <w:pBdr>
        <w:bottom w:val="single" w:sz="18" w:space="1" w:color="2F5496"/>
      </w:pBdr>
      <w:spacing w:after="480"/>
      <w:ind w:left="0" w:firstLine="0"/>
      <w:outlineLvl w:val="0"/>
    </w:pPr>
    <w:rPr>
      <w:rFonts w:eastAsiaTheme="majorEastAsia" w:cstheme="majorBidi"/>
      <w:b/>
      <w:caps/>
      <w:color w:val="2F5496"/>
      <w:sz w:val="28"/>
      <w:szCs w:val="32"/>
    </w:rPr>
  </w:style>
  <w:style w:type="paragraph" w:styleId="Heading2">
    <w:name w:val="heading 2"/>
    <w:basedOn w:val="Normal"/>
    <w:next w:val="BodyText"/>
    <w:link w:val="Heading2Char"/>
    <w:uiPriority w:val="9"/>
    <w:unhideWhenUsed/>
    <w:qFormat/>
    <w:rsid w:val="004D0D42"/>
    <w:pPr>
      <w:keepNext/>
      <w:keepLines/>
      <w:numPr>
        <w:ilvl w:val="1"/>
        <w:numId w:val="1"/>
      </w:numPr>
      <w:ind w:left="0" w:firstLine="0"/>
      <w:outlineLvl w:val="1"/>
    </w:pPr>
    <w:rPr>
      <w:rFonts w:eastAsiaTheme="majorEastAsia" w:cstheme="majorBidi"/>
      <w:b/>
      <w:color w:val="2F5496"/>
      <w:sz w:val="24"/>
      <w:szCs w:val="26"/>
    </w:rPr>
  </w:style>
  <w:style w:type="paragraph" w:styleId="Heading3">
    <w:name w:val="heading 3"/>
    <w:basedOn w:val="Normal"/>
    <w:next w:val="BodyText"/>
    <w:link w:val="Heading3Char"/>
    <w:uiPriority w:val="9"/>
    <w:unhideWhenUsed/>
    <w:qFormat/>
    <w:rsid w:val="004D0D42"/>
    <w:pPr>
      <w:keepNext/>
      <w:keepLines/>
      <w:numPr>
        <w:ilvl w:val="2"/>
        <w:numId w:val="1"/>
      </w:numPr>
      <w:ind w:left="0" w:firstLine="0"/>
      <w:outlineLvl w:val="2"/>
    </w:pPr>
    <w:rPr>
      <w:rFonts w:eastAsiaTheme="majorEastAsia" w:cstheme="majorBidi"/>
      <w:b/>
      <w:color w:val="2F549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D42"/>
    <w:rPr>
      <w:rFonts w:ascii="Arial" w:eastAsiaTheme="majorEastAsia" w:hAnsi="Arial" w:cstheme="majorBidi"/>
      <w:b/>
      <w:caps/>
      <w:color w:val="2F5496"/>
      <w:kern w:val="0"/>
      <w:sz w:val="28"/>
      <w:szCs w:val="32"/>
      <w14:ligatures w14:val="none"/>
    </w:rPr>
  </w:style>
  <w:style w:type="character" w:customStyle="1" w:styleId="Heading2Char">
    <w:name w:val="Heading 2 Char"/>
    <w:basedOn w:val="DefaultParagraphFont"/>
    <w:link w:val="Heading2"/>
    <w:uiPriority w:val="9"/>
    <w:rsid w:val="004D0D42"/>
    <w:rPr>
      <w:rFonts w:ascii="Arial" w:eastAsiaTheme="majorEastAsia" w:hAnsi="Arial" w:cstheme="majorBidi"/>
      <w:b/>
      <w:color w:val="2F5496"/>
      <w:kern w:val="0"/>
      <w:sz w:val="24"/>
      <w:szCs w:val="26"/>
      <w14:ligatures w14:val="none"/>
    </w:rPr>
  </w:style>
  <w:style w:type="character" w:customStyle="1" w:styleId="Heading3Char">
    <w:name w:val="Heading 3 Char"/>
    <w:basedOn w:val="DefaultParagraphFont"/>
    <w:link w:val="Heading3"/>
    <w:uiPriority w:val="9"/>
    <w:rsid w:val="004D0D42"/>
    <w:rPr>
      <w:rFonts w:ascii="Arial" w:eastAsiaTheme="majorEastAsia" w:hAnsi="Arial" w:cstheme="majorBidi"/>
      <w:b/>
      <w:color w:val="2F5496"/>
      <w:kern w:val="0"/>
      <w:sz w:val="20"/>
      <w:szCs w:val="24"/>
      <w14:ligatures w14:val="none"/>
    </w:rPr>
  </w:style>
  <w:style w:type="paragraph" w:styleId="BodyText">
    <w:name w:val="Body Text"/>
    <w:basedOn w:val="Normal"/>
    <w:link w:val="BodyTextChar"/>
    <w:qFormat/>
    <w:rsid w:val="004D0D42"/>
    <w:pPr>
      <w:spacing w:after="120"/>
      <w:jc w:val="both"/>
    </w:pPr>
    <w:rPr>
      <w:rFonts w:eastAsia="Times New Roman" w:cs="Times New Roman"/>
      <w:szCs w:val="24"/>
      <w:lang w:val="en-US"/>
    </w:rPr>
  </w:style>
  <w:style w:type="character" w:customStyle="1" w:styleId="BodyTextChar">
    <w:name w:val="Body Text Char"/>
    <w:basedOn w:val="DefaultParagraphFont"/>
    <w:link w:val="BodyText"/>
    <w:rsid w:val="004D0D42"/>
    <w:rPr>
      <w:rFonts w:ascii="Arial" w:eastAsia="Times New Roman" w:hAnsi="Arial" w:cs="Times New Roman"/>
      <w:color w:val="5E6175"/>
      <w:kern w:val="0"/>
      <w:sz w:val="20"/>
      <w:szCs w:val="24"/>
      <w:lang w:val="en-US"/>
      <w14:ligatures w14:val="none"/>
    </w:rPr>
  </w:style>
  <w:style w:type="paragraph" w:customStyle="1" w:styleId="Zilieteksti">
    <w:name w:val="Zilie teksti"/>
    <w:basedOn w:val="Normal"/>
    <w:link w:val="ZilietekstiChar"/>
    <w:qFormat/>
    <w:rsid w:val="004D0D42"/>
    <w:rPr>
      <w:b/>
      <w:noProof/>
      <w:color w:val="2F5496"/>
      <w:lang w:val="en-US"/>
    </w:rPr>
  </w:style>
  <w:style w:type="character" w:customStyle="1" w:styleId="ZilietekstiChar">
    <w:name w:val="Zilie teksti Char"/>
    <w:basedOn w:val="DefaultParagraphFont"/>
    <w:link w:val="Zilieteksti"/>
    <w:rsid w:val="004D0D42"/>
    <w:rPr>
      <w:rFonts w:ascii="Arial" w:hAnsi="Arial"/>
      <w:b/>
      <w:noProof/>
      <w:color w:val="2F5496"/>
      <w:kern w:val="0"/>
      <w:sz w:val="20"/>
      <w:lang w:val="en-US"/>
      <w14:ligatures w14:val="none"/>
    </w:rPr>
  </w:style>
  <w:style w:type="paragraph" w:styleId="FootnoteText">
    <w:name w:val="footnote text"/>
    <w:basedOn w:val="Normal"/>
    <w:link w:val="FootnoteTextChar"/>
    <w:uiPriority w:val="99"/>
    <w:semiHidden/>
    <w:unhideWhenUsed/>
    <w:rsid w:val="004D0D42"/>
    <w:pPr>
      <w:spacing w:after="0"/>
    </w:pPr>
    <w:rPr>
      <w:szCs w:val="20"/>
    </w:rPr>
  </w:style>
  <w:style w:type="character" w:customStyle="1" w:styleId="FootnoteTextChar">
    <w:name w:val="Footnote Text Char"/>
    <w:basedOn w:val="DefaultParagraphFont"/>
    <w:link w:val="FootnoteText"/>
    <w:uiPriority w:val="99"/>
    <w:semiHidden/>
    <w:rsid w:val="004D0D42"/>
    <w:rPr>
      <w:rFonts w:ascii="Arial" w:hAnsi="Arial"/>
      <w:color w:val="5E6175"/>
      <w:kern w:val="0"/>
      <w:sz w:val="20"/>
      <w:szCs w:val="20"/>
      <w14:ligatures w14:val="none"/>
    </w:rPr>
  </w:style>
  <w:style w:type="character" w:styleId="FootnoteReference">
    <w:name w:val="footnote reference"/>
    <w:basedOn w:val="DefaultParagraphFont"/>
    <w:uiPriority w:val="99"/>
    <w:semiHidden/>
    <w:unhideWhenUsed/>
    <w:rsid w:val="004D0D42"/>
    <w:rPr>
      <w:vertAlign w:val="superscript"/>
    </w:rPr>
  </w:style>
  <w:style w:type="table" w:styleId="PlainTable1">
    <w:name w:val="Plain Table 1"/>
    <w:basedOn w:val="TableNormal"/>
    <w:uiPriority w:val="41"/>
    <w:rsid w:val="004D0D42"/>
    <w:pPr>
      <w:spacing w:after="0" w:line="240" w:lineRule="auto"/>
    </w:pPr>
    <w:rPr>
      <w:rFonts w:ascii="Arial" w:hAnsi="Arial"/>
      <w:color w:val="5E6175"/>
      <w:kern w:val="0"/>
      <w:sz w:val="2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D64037"/>
    <w:pPr>
      <w:tabs>
        <w:tab w:val="center" w:pos="4153"/>
        <w:tab w:val="right" w:pos="8306"/>
      </w:tabs>
      <w:spacing w:after="0"/>
    </w:pPr>
  </w:style>
  <w:style w:type="character" w:customStyle="1" w:styleId="HeaderChar">
    <w:name w:val="Header Char"/>
    <w:basedOn w:val="DefaultParagraphFont"/>
    <w:link w:val="Header"/>
    <w:uiPriority w:val="99"/>
    <w:rsid w:val="00D64037"/>
    <w:rPr>
      <w:rFonts w:ascii="Arial" w:hAnsi="Arial"/>
      <w:color w:val="5E6175"/>
      <w:kern w:val="0"/>
      <w:sz w:val="20"/>
      <w14:ligatures w14:val="none"/>
    </w:rPr>
  </w:style>
  <w:style w:type="paragraph" w:styleId="Footer">
    <w:name w:val="footer"/>
    <w:basedOn w:val="Normal"/>
    <w:link w:val="FooterChar"/>
    <w:uiPriority w:val="99"/>
    <w:unhideWhenUsed/>
    <w:rsid w:val="00D64037"/>
    <w:pPr>
      <w:tabs>
        <w:tab w:val="center" w:pos="4153"/>
        <w:tab w:val="right" w:pos="8306"/>
      </w:tabs>
      <w:spacing w:after="0"/>
    </w:pPr>
  </w:style>
  <w:style w:type="character" w:customStyle="1" w:styleId="FooterChar">
    <w:name w:val="Footer Char"/>
    <w:basedOn w:val="DefaultParagraphFont"/>
    <w:link w:val="Footer"/>
    <w:uiPriority w:val="99"/>
    <w:rsid w:val="00D64037"/>
    <w:rPr>
      <w:rFonts w:ascii="Arial" w:hAnsi="Arial"/>
      <w:color w:val="5E6175"/>
      <w:kern w:val="0"/>
      <w:sz w:val="20"/>
      <w14:ligatures w14:val="none"/>
    </w:rPr>
  </w:style>
  <w:style w:type="character" w:styleId="Hyperlink">
    <w:name w:val="Hyperlink"/>
    <w:basedOn w:val="DefaultParagraphFont"/>
    <w:uiPriority w:val="99"/>
    <w:unhideWhenUsed/>
    <w:rsid w:val="0015711D"/>
    <w:rPr>
      <w:color w:val="0563C1" w:themeColor="hyperlink"/>
      <w:u w:val="single"/>
    </w:rPr>
  </w:style>
  <w:style w:type="character" w:styleId="UnresolvedMention">
    <w:name w:val="Unresolved Mention"/>
    <w:basedOn w:val="DefaultParagraphFont"/>
    <w:uiPriority w:val="99"/>
    <w:semiHidden/>
    <w:unhideWhenUsed/>
    <w:rsid w:val="00157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theiia.org/globalassets/site/standards/mandatory-guidance/ippf/2017/ippf-standards-2017-latvian.pdf" TargetMode="External"/><Relationship Id="rId13" Type="http://schemas.openxmlformats.org/officeDocument/2006/relationships/hyperlink" Target="https://www.theiia.org/globalassets/site/standards/mandatory-guidance/ippf/2017/ippf-standards-2017-latvian.pdf" TargetMode="External"/><Relationship Id="rId3" Type="http://schemas.openxmlformats.org/officeDocument/2006/relationships/hyperlink" Target="https://www.coso.org/Shared%20Documents/Framework-Executive-Summary.pdf" TargetMode="External"/><Relationship Id="rId7" Type="http://schemas.openxmlformats.org/officeDocument/2006/relationships/hyperlink" Target="https://likumi.lv/ta/id/253680-iekseja-audita-likums" TargetMode="External"/><Relationship Id="rId12" Type="http://schemas.openxmlformats.org/officeDocument/2006/relationships/hyperlink" Target="https://likumi.lv/ta/id/336956-pasvaldibu-likums" TargetMode="External"/><Relationship Id="rId2" Type="http://schemas.openxmlformats.org/officeDocument/2006/relationships/hyperlink" Target="https://www.theiia.org/en/standards/Standards-Public-Comment/" TargetMode="External"/><Relationship Id="rId1" Type="http://schemas.openxmlformats.org/officeDocument/2006/relationships/hyperlink" Target="https://iai.lv/lv/obligatie-noradijumi" TargetMode="External"/><Relationship Id="rId6" Type="http://schemas.openxmlformats.org/officeDocument/2006/relationships/hyperlink" Target="https://www.theiia.org/en/standards/Standards-Public-Comment/" TargetMode="External"/><Relationship Id="rId11" Type="http://schemas.openxmlformats.org/officeDocument/2006/relationships/hyperlink" Target="https://www.theiia.org/globalassets/site/standards/mandatory-guidance/ippf/2017/ippf-standards-2017-latvian.pdf" TargetMode="External"/><Relationship Id="rId5" Type="http://schemas.openxmlformats.org/officeDocument/2006/relationships/hyperlink" Target="https://www.theiia.org/globalassets/site/standards/mandatory-guidance/ippf/2017/ippf-standards-2017-latvian.pdf" TargetMode="External"/><Relationship Id="rId10" Type="http://schemas.openxmlformats.org/officeDocument/2006/relationships/hyperlink" Target="https://www.theiia.org/en/standards/Standards-Public-Comment/" TargetMode="External"/><Relationship Id="rId4" Type="http://schemas.openxmlformats.org/officeDocument/2006/relationships/hyperlink" Target="https://likumi.lv/ta/id/253680-iekseja-audita-likums" TargetMode="External"/><Relationship Id="rId9" Type="http://schemas.openxmlformats.org/officeDocument/2006/relationships/hyperlink" Target="https://www.theiia.org/globalassets/site/standards/mandatory-guidance/ippf/2017/ippf-standards-2017-latvi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1B47780D051624D8DE587FAE7B5FA6C" ma:contentTypeVersion="17" ma:contentTypeDescription="Izveidot jaunu dokumentu." ma:contentTypeScope="" ma:versionID="b4bc9474b584f0de617bc98e1e927a6d">
  <xsd:schema xmlns:xsd="http://www.w3.org/2001/XMLSchema" xmlns:xs="http://www.w3.org/2001/XMLSchema" xmlns:p="http://schemas.microsoft.com/office/2006/metadata/properties" xmlns:ns2="a89fb681-c182-4799-b37c-5baaa5779afd" xmlns:ns3="101bcb93-aba8-40a6-a808-673e60b9d4a6" targetNamespace="http://schemas.microsoft.com/office/2006/metadata/properties" ma:root="true" ma:fieldsID="63a96ebe18f41fab8dcd39df42203671" ns2:_="" ns3:_="">
    <xsd:import namespace="a89fb681-c182-4799-b37c-5baaa5779afd"/>
    <xsd:import namespace="101bcb93-aba8-40a6-a808-673e60b9d4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fb681-c182-4799-b37c-5baaa5779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f8cd4879-25d4-450b-b64f-ad81e813ef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bcb93-aba8-40a6-a808-673e60b9d4a6" elementFormDefault="qualified">
    <xsd:import namespace="http://schemas.microsoft.com/office/2006/documentManagement/types"/>
    <xsd:import namespace="http://schemas.microsoft.com/office/infopath/2007/PartnerControls"/>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d7536c7c-808d-4677-be6c-198446526566}" ma:internalName="TaxCatchAll" ma:showField="CatchAllData" ma:web="101bcb93-aba8-40a6-a808-673e60b9d4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482AC-5FA0-4AD2-8943-0B56D94B0572}">
  <ds:schemaRefs>
    <ds:schemaRef ds:uri="http://schemas.microsoft.com/sharepoint/v3/contenttype/forms"/>
  </ds:schemaRefs>
</ds:datastoreItem>
</file>

<file path=customXml/itemProps2.xml><?xml version="1.0" encoding="utf-8"?>
<ds:datastoreItem xmlns:ds="http://schemas.openxmlformats.org/officeDocument/2006/customXml" ds:itemID="{94F6C030-6DF2-41D0-8019-76597CCC4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fb681-c182-4799-b37c-5baaa5779afd"/>
    <ds:schemaRef ds:uri="101bcb93-aba8-40a6-a808-673e60b9d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3126</Words>
  <Characters>1783</Characters>
  <Application>Microsoft Office Word</Application>
  <DocSecurity>0</DocSecurity>
  <Lines>14</Lines>
  <Paragraphs>9</Paragraphs>
  <ScaleCrop>false</ScaleCrop>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 Consultant</dc:creator>
  <cp:keywords/>
  <dc:description/>
  <cp:lastModifiedBy>Gita Mežupa</cp:lastModifiedBy>
  <cp:revision>6</cp:revision>
  <dcterms:created xsi:type="dcterms:W3CDTF">2023-07-03T08:29:00Z</dcterms:created>
  <dcterms:modified xsi:type="dcterms:W3CDTF">2025-01-27T17:18:00Z</dcterms:modified>
</cp:coreProperties>
</file>