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0AFA5" w14:textId="1D9993FB" w:rsidR="00A46379" w:rsidRPr="00342133" w:rsidRDefault="00A46379" w:rsidP="00A46379">
      <w:pPr>
        <w:pStyle w:val="Heading1"/>
        <w:numPr>
          <w:ilvl w:val="0"/>
          <w:numId w:val="0"/>
        </w:numPr>
        <w:jc w:val="both"/>
        <w:rPr>
          <w:rFonts w:ascii="Times New Roman" w:hAnsi="Times New Roman" w:cs="Times New Roman"/>
          <w:color w:val="auto"/>
          <w:sz w:val="24"/>
          <w:szCs w:val="24"/>
        </w:rPr>
      </w:pPr>
      <w:bookmarkStart w:id="0" w:name="_Toc139275790"/>
      <w:bookmarkStart w:id="1" w:name="_Toc128580334"/>
      <w:r w:rsidRPr="00342133">
        <w:rPr>
          <w:rFonts w:ascii="Times New Roman" w:hAnsi="Times New Roman" w:cs="Times New Roman"/>
          <w:noProof/>
          <w:color w:val="auto"/>
          <w:sz w:val="24"/>
          <w:szCs w:val="24"/>
          <w:lang w:eastAsia="lv-LV"/>
        </w:rPr>
        <w:drawing>
          <wp:anchor distT="0" distB="0" distL="114300" distR="114300" simplePos="0" relativeHeight="251659264" behindDoc="0" locked="0" layoutInCell="1" allowOverlap="1" wp14:anchorId="0C92D024" wp14:editId="77479E5C">
            <wp:simplePos x="0" y="0"/>
            <wp:positionH relativeFrom="page">
              <wp:align>left</wp:align>
            </wp:positionH>
            <wp:positionV relativeFrom="paragraph">
              <wp:posOffset>7593</wp:posOffset>
            </wp:positionV>
            <wp:extent cx="652145" cy="409575"/>
            <wp:effectExtent l="0" t="0" r="0" b="9525"/>
            <wp:wrapSquare wrapText="bothSides"/>
            <wp:docPr id="141" name="Attēls 14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b="29502"/>
                    <a:stretch/>
                  </pic:blipFill>
                  <pic:spPr bwMode="auto">
                    <a:xfrm>
                      <a:off x="0" y="0"/>
                      <a:ext cx="652145" cy="409575"/>
                    </a:xfrm>
                    <a:prstGeom prst="rect">
                      <a:avLst/>
                    </a:prstGeom>
                    <a:ln>
                      <a:noFill/>
                    </a:ln>
                    <a:extLst>
                      <a:ext uri="{53640926-AAD7-44D8-BBD7-CCE9431645EC}">
                        <a14:shadowObscured xmlns:a14="http://schemas.microsoft.com/office/drawing/2010/main"/>
                      </a:ext>
                    </a:extLst>
                  </pic:spPr>
                </pic:pic>
              </a:graphicData>
            </a:graphic>
          </wp:anchor>
        </w:drawing>
      </w:r>
      <w:r w:rsidRPr="00342133">
        <w:rPr>
          <w:rFonts w:ascii="Times New Roman" w:hAnsi="Times New Roman" w:cs="Times New Roman"/>
          <w:color w:val="auto"/>
          <w:sz w:val="24"/>
          <w:szCs w:val="24"/>
        </w:rPr>
        <w:t>Pašvaldības atbalsta funkciju apraksts</w:t>
      </w:r>
      <w:bookmarkEnd w:id="0"/>
      <w:r w:rsidRPr="00342133">
        <w:rPr>
          <w:rFonts w:ascii="Times New Roman" w:hAnsi="Times New Roman" w:cs="Times New Roman"/>
          <w:color w:val="auto"/>
          <w:sz w:val="24"/>
          <w:szCs w:val="24"/>
        </w:rPr>
        <w:t xml:space="preserve"> </w:t>
      </w:r>
    </w:p>
    <w:p w14:paraId="516F261B" w14:textId="2E9690CF" w:rsidR="00A46379" w:rsidRPr="00342133" w:rsidRDefault="00A46379" w:rsidP="00A46379">
      <w:pPr>
        <w:spacing w:after="160" w:line="259" w:lineRule="auto"/>
        <w:jc w:val="both"/>
        <w:rPr>
          <w:rFonts w:ascii="Times New Roman" w:hAnsi="Times New Roman" w:cs="Times New Roman"/>
          <w:color w:val="auto"/>
          <w:sz w:val="24"/>
          <w:szCs w:val="24"/>
        </w:rPr>
      </w:pPr>
      <w:r w:rsidRPr="00342133">
        <w:rPr>
          <w:rFonts w:ascii="Times New Roman" w:hAnsi="Times New Roman" w:cs="Times New Roman"/>
          <w:color w:val="auto"/>
          <w:sz w:val="24"/>
          <w:szCs w:val="24"/>
        </w:rPr>
        <w:t xml:space="preserve">Tabulā zemāk iekļautā informācija par pašvaldības atbalsta funkcijām, pamatojoties uz VARAM izstrādāto “Metodika 2021. gada </w:t>
      </w:r>
      <w:proofErr w:type="spellStart"/>
      <w:r w:rsidRPr="00342133">
        <w:rPr>
          <w:rFonts w:ascii="Times New Roman" w:hAnsi="Times New Roman" w:cs="Times New Roman"/>
          <w:color w:val="auto"/>
          <w:sz w:val="24"/>
          <w:szCs w:val="24"/>
        </w:rPr>
        <w:t>jaunveidojamo</w:t>
      </w:r>
      <w:proofErr w:type="spellEnd"/>
      <w:r w:rsidRPr="00342133">
        <w:rPr>
          <w:rFonts w:ascii="Times New Roman" w:hAnsi="Times New Roman" w:cs="Times New Roman"/>
          <w:color w:val="auto"/>
          <w:sz w:val="24"/>
          <w:szCs w:val="24"/>
        </w:rPr>
        <w:t xml:space="preserve"> novadu pašvaldību darbības uzsākšana”.</w:t>
      </w:r>
      <w:r w:rsidRPr="00342133">
        <w:rPr>
          <w:rStyle w:val="FootnoteReference"/>
          <w:rFonts w:ascii="Times New Roman" w:hAnsi="Times New Roman" w:cs="Times New Roman"/>
          <w:color w:val="auto"/>
          <w:sz w:val="24"/>
          <w:szCs w:val="24"/>
        </w:rPr>
        <w:footnoteReference w:id="1"/>
      </w:r>
      <w:r w:rsidRPr="00342133">
        <w:rPr>
          <w:rFonts w:ascii="Times New Roman" w:hAnsi="Times New Roman" w:cs="Times New Roman"/>
          <w:color w:val="auto"/>
          <w:sz w:val="24"/>
          <w:szCs w:val="24"/>
        </w:rPr>
        <w:t xml:space="preserve"> Informācija ir vispārināta un domāta tikai ieskatam par to, kas tiek saprasts ar atbalsta funkcijām. </w:t>
      </w:r>
    </w:p>
    <w:tbl>
      <w:tblPr>
        <w:tblStyle w:val="PlainTable1"/>
        <w:tblW w:w="9351" w:type="dxa"/>
        <w:tblLayout w:type="fixed"/>
        <w:tblLook w:val="01E0" w:firstRow="1" w:lastRow="1" w:firstColumn="1" w:lastColumn="1" w:noHBand="0" w:noVBand="0"/>
      </w:tblPr>
      <w:tblGrid>
        <w:gridCol w:w="1980"/>
        <w:gridCol w:w="7371"/>
      </w:tblGrid>
      <w:tr w:rsidR="00342133" w:rsidRPr="00342133" w14:paraId="7CCE6BAE" w14:textId="77777777" w:rsidTr="00A46379">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80" w:type="dxa"/>
          </w:tcPr>
          <w:p w14:paraId="3015B97E" w14:textId="77777777" w:rsidR="00A46379" w:rsidRPr="00342133" w:rsidRDefault="00A46379" w:rsidP="00285963">
            <w:pPr>
              <w:pStyle w:val="TableParagraph"/>
              <w:spacing w:before="120" w:after="120"/>
              <w:ind w:left="57" w:right="43"/>
              <w:rPr>
                <w:iCs/>
                <w:sz w:val="24"/>
                <w:szCs w:val="24"/>
              </w:rPr>
            </w:pPr>
            <w:r w:rsidRPr="00342133">
              <w:rPr>
                <w:iCs/>
                <w:sz w:val="24"/>
                <w:szCs w:val="24"/>
              </w:rPr>
              <w:t xml:space="preserve">Atbalsta funkcija </w:t>
            </w:r>
          </w:p>
        </w:tc>
        <w:tc>
          <w:tcPr>
            <w:cnfStyle w:val="000100000000" w:firstRow="0" w:lastRow="0" w:firstColumn="0" w:lastColumn="1" w:oddVBand="0" w:evenVBand="0" w:oddHBand="0" w:evenHBand="0" w:firstRowFirstColumn="0" w:firstRowLastColumn="0" w:lastRowFirstColumn="0" w:lastRowLastColumn="0"/>
            <w:tcW w:w="7371" w:type="dxa"/>
          </w:tcPr>
          <w:p w14:paraId="4C79EEE4" w14:textId="77777777" w:rsidR="00A46379" w:rsidRPr="00342133" w:rsidRDefault="00A46379" w:rsidP="00285963">
            <w:pPr>
              <w:pStyle w:val="TableParagraph"/>
              <w:spacing w:before="120"/>
              <w:ind w:left="0" w:right="112"/>
              <w:jc w:val="both"/>
              <w:rPr>
                <w:iCs/>
                <w:sz w:val="24"/>
                <w:szCs w:val="24"/>
              </w:rPr>
            </w:pPr>
            <w:r w:rsidRPr="00342133">
              <w:rPr>
                <w:iCs/>
                <w:sz w:val="24"/>
                <w:szCs w:val="24"/>
              </w:rPr>
              <w:t xml:space="preserve">Funkcijas apraksts </w:t>
            </w:r>
          </w:p>
        </w:tc>
      </w:tr>
      <w:tr w:rsidR="00342133" w:rsidRPr="00342133" w14:paraId="21635021" w14:textId="77777777" w:rsidTr="00A46379">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980" w:type="dxa"/>
          </w:tcPr>
          <w:p w14:paraId="1605DDA9" w14:textId="77777777" w:rsidR="00A46379" w:rsidRPr="00342133" w:rsidRDefault="00A46379" w:rsidP="00285963">
            <w:pPr>
              <w:pStyle w:val="TableParagraph"/>
              <w:spacing w:before="120"/>
              <w:ind w:left="57" w:right="37"/>
              <w:jc w:val="left"/>
              <w:rPr>
                <w:iCs/>
                <w:sz w:val="24"/>
                <w:szCs w:val="24"/>
              </w:rPr>
            </w:pPr>
            <w:r w:rsidRPr="00342133">
              <w:rPr>
                <w:iCs/>
                <w:sz w:val="24"/>
                <w:szCs w:val="24"/>
              </w:rPr>
              <w:t xml:space="preserve">Klientu apkalpošana </w:t>
            </w:r>
          </w:p>
        </w:tc>
        <w:tc>
          <w:tcPr>
            <w:cnfStyle w:val="000100000000" w:firstRow="0" w:lastRow="0" w:firstColumn="0" w:lastColumn="1" w:oddVBand="0" w:evenVBand="0" w:oddHBand="0" w:evenHBand="0" w:firstRowFirstColumn="0" w:firstRowLastColumn="0" w:lastRowFirstColumn="0" w:lastRowLastColumn="0"/>
            <w:tcW w:w="7371" w:type="dxa"/>
          </w:tcPr>
          <w:p w14:paraId="7A156226" w14:textId="77777777" w:rsidR="00A46379" w:rsidRPr="00342133" w:rsidRDefault="00A46379" w:rsidP="00285963">
            <w:pPr>
              <w:pStyle w:val="TableParagraph"/>
              <w:spacing w:before="120" w:after="120"/>
              <w:ind w:left="0"/>
              <w:jc w:val="both"/>
              <w:rPr>
                <w:iCs/>
                <w:sz w:val="24"/>
                <w:szCs w:val="24"/>
              </w:rPr>
            </w:pPr>
            <w:r w:rsidRPr="00342133">
              <w:rPr>
                <w:b w:val="0"/>
                <w:bCs w:val="0"/>
                <w:iCs/>
                <w:sz w:val="24"/>
                <w:szCs w:val="24"/>
              </w:rPr>
              <w:t xml:space="preserve">Klientu apkalpošanas darbības plānošana, izveide, uzturēšana, monitorings un pilnveide, kā arī iespēja iedzīvotājiem pieteikt/ konsultēt gan valsts centrālās pārvaldes, gan pašvaldību pakalpojumus klātienē un attālināti. </w:t>
            </w:r>
          </w:p>
        </w:tc>
      </w:tr>
      <w:tr w:rsidR="00342133" w:rsidRPr="00342133" w14:paraId="601756B9" w14:textId="77777777" w:rsidTr="00A46379">
        <w:trPr>
          <w:trHeight w:val="1521"/>
        </w:trPr>
        <w:tc>
          <w:tcPr>
            <w:cnfStyle w:val="001000000000" w:firstRow="0" w:lastRow="0" w:firstColumn="1" w:lastColumn="0" w:oddVBand="0" w:evenVBand="0" w:oddHBand="0" w:evenHBand="0" w:firstRowFirstColumn="0" w:firstRowLastColumn="0" w:lastRowFirstColumn="0" w:lastRowLastColumn="0"/>
            <w:tcW w:w="1980" w:type="dxa"/>
          </w:tcPr>
          <w:p w14:paraId="7A05D36F" w14:textId="77777777" w:rsidR="00A46379" w:rsidRPr="00342133" w:rsidRDefault="00A46379" w:rsidP="00285963">
            <w:pPr>
              <w:pStyle w:val="TableParagraph"/>
              <w:spacing w:before="120"/>
              <w:ind w:left="57" w:right="37"/>
              <w:jc w:val="left"/>
              <w:rPr>
                <w:iCs/>
                <w:sz w:val="24"/>
                <w:szCs w:val="24"/>
              </w:rPr>
            </w:pPr>
            <w:r w:rsidRPr="00342133">
              <w:rPr>
                <w:iCs/>
                <w:sz w:val="24"/>
                <w:szCs w:val="24"/>
              </w:rPr>
              <w:t>Lietvedība</w:t>
            </w:r>
          </w:p>
        </w:tc>
        <w:tc>
          <w:tcPr>
            <w:cnfStyle w:val="000100000000" w:firstRow="0" w:lastRow="0" w:firstColumn="0" w:lastColumn="1" w:oddVBand="0" w:evenVBand="0" w:oddHBand="0" w:evenHBand="0" w:firstRowFirstColumn="0" w:firstRowLastColumn="0" w:lastRowFirstColumn="0" w:lastRowLastColumn="0"/>
            <w:tcW w:w="7371" w:type="dxa"/>
          </w:tcPr>
          <w:p w14:paraId="4C8D342C" w14:textId="77777777" w:rsidR="00A46379" w:rsidRPr="00342133" w:rsidRDefault="00A46379" w:rsidP="00285963">
            <w:pPr>
              <w:pStyle w:val="TableParagraph"/>
              <w:spacing w:before="120"/>
              <w:ind w:left="0"/>
              <w:jc w:val="both"/>
              <w:rPr>
                <w:b w:val="0"/>
                <w:bCs w:val="0"/>
                <w:iCs/>
                <w:sz w:val="24"/>
                <w:szCs w:val="24"/>
              </w:rPr>
            </w:pPr>
            <w:r w:rsidRPr="00342133">
              <w:rPr>
                <w:b w:val="0"/>
                <w:bCs w:val="0"/>
                <w:iCs/>
                <w:sz w:val="24"/>
                <w:szCs w:val="24"/>
              </w:rPr>
              <w:t xml:space="preserve">Ienākošo un izejošo dokumentu reģistrācija, t.sk. ienākošo sūdzību, iesniegumu (lūgumu, priekšlikumu, jautājumu) izskatīšana, korespondences nosūtīšana, dokumentu aprites organizēšana, kā arī dažādu dokumentu, izziņu sagatavošana, izsniegšana, dokumentu arhivēšana (t. sk. dokumentu veidošanas, uzkrāšanas, izvērtēšanas, saglabāšanas, sakārtošanas, pieejamības un izmatošanas pārvaldība). </w:t>
            </w:r>
          </w:p>
        </w:tc>
      </w:tr>
      <w:tr w:rsidR="00342133" w:rsidRPr="00342133" w14:paraId="272BDA90" w14:textId="77777777" w:rsidTr="00A46379">
        <w:trPr>
          <w:cnfStyle w:val="000000100000" w:firstRow="0" w:lastRow="0" w:firstColumn="0" w:lastColumn="0" w:oddVBand="0" w:evenVBand="0" w:oddHBand="1" w:evenHBand="0" w:firstRowFirstColumn="0" w:firstRowLastColumn="0" w:lastRowFirstColumn="0" w:lastRowLastColumn="0"/>
          <w:trHeight w:val="1269"/>
        </w:trPr>
        <w:tc>
          <w:tcPr>
            <w:cnfStyle w:val="001000000000" w:firstRow="0" w:lastRow="0" w:firstColumn="1" w:lastColumn="0" w:oddVBand="0" w:evenVBand="0" w:oddHBand="0" w:evenHBand="0" w:firstRowFirstColumn="0" w:firstRowLastColumn="0" w:lastRowFirstColumn="0" w:lastRowLastColumn="0"/>
            <w:tcW w:w="1980" w:type="dxa"/>
          </w:tcPr>
          <w:p w14:paraId="7A66CFC5" w14:textId="77777777" w:rsidR="00A46379" w:rsidRPr="00342133" w:rsidRDefault="00A46379" w:rsidP="00285963">
            <w:pPr>
              <w:pStyle w:val="TableParagraph"/>
              <w:spacing w:before="120"/>
              <w:ind w:left="57" w:right="37"/>
              <w:jc w:val="left"/>
              <w:rPr>
                <w:b w:val="0"/>
                <w:bCs w:val="0"/>
                <w:iCs/>
                <w:sz w:val="24"/>
                <w:szCs w:val="24"/>
              </w:rPr>
            </w:pPr>
            <w:r w:rsidRPr="00342133">
              <w:rPr>
                <w:iCs/>
                <w:sz w:val="24"/>
                <w:szCs w:val="24"/>
              </w:rPr>
              <w:t>Finanses un grāmatvedība</w:t>
            </w:r>
          </w:p>
        </w:tc>
        <w:tc>
          <w:tcPr>
            <w:cnfStyle w:val="000100000000" w:firstRow="0" w:lastRow="0" w:firstColumn="0" w:lastColumn="1" w:oddVBand="0" w:evenVBand="0" w:oddHBand="0" w:evenHBand="0" w:firstRowFirstColumn="0" w:firstRowLastColumn="0" w:lastRowFirstColumn="0" w:lastRowLastColumn="0"/>
            <w:tcW w:w="7371" w:type="dxa"/>
          </w:tcPr>
          <w:p w14:paraId="553DAD3B" w14:textId="77777777" w:rsidR="00A46379" w:rsidRPr="00342133" w:rsidRDefault="00A46379" w:rsidP="00285963">
            <w:pPr>
              <w:pStyle w:val="TableParagraph"/>
              <w:spacing w:before="60"/>
              <w:ind w:left="0"/>
              <w:jc w:val="both"/>
              <w:rPr>
                <w:b w:val="0"/>
                <w:bCs w:val="0"/>
                <w:iCs/>
                <w:sz w:val="24"/>
                <w:szCs w:val="24"/>
              </w:rPr>
            </w:pPr>
            <w:r w:rsidRPr="00342133">
              <w:rPr>
                <w:b w:val="0"/>
                <w:bCs w:val="0"/>
                <w:iCs/>
                <w:sz w:val="24"/>
                <w:szCs w:val="24"/>
              </w:rPr>
              <w:t>Pašvaldības budžeta plānošana, t.sk. analīze, budžeta grozījumi, finanšu pārskatu sagatavošana. Maksājumu (t.sk. nodokļu un nodevu) iekasēšana. Maksājumu veikšana.</w:t>
            </w:r>
          </w:p>
          <w:p w14:paraId="3A2B833B" w14:textId="77777777" w:rsidR="00A46379" w:rsidRPr="00342133" w:rsidRDefault="00A46379" w:rsidP="00285963">
            <w:pPr>
              <w:pStyle w:val="TableParagraph"/>
              <w:spacing w:before="60"/>
              <w:ind w:left="0"/>
              <w:jc w:val="both"/>
              <w:rPr>
                <w:b w:val="0"/>
                <w:bCs w:val="0"/>
                <w:iCs/>
                <w:sz w:val="24"/>
                <w:szCs w:val="24"/>
              </w:rPr>
            </w:pPr>
            <w:r w:rsidRPr="00342133">
              <w:rPr>
                <w:b w:val="0"/>
                <w:bCs w:val="0"/>
                <w:iCs/>
                <w:sz w:val="24"/>
                <w:szCs w:val="24"/>
              </w:rPr>
              <w:t>Saskaņā ar „Grāmatvedības likums”</w:t>
            </w:r>
            <w:r w:rsidRPr="00342133">
              <w:rPr>
                <w:rStyle w:val="FootnoteReference"/>
                <w:b w:val="0"/>
                <w:bCs w:val="0"/>
                <w:iCs/>
                <w:sz w:val="24"/>
                <w:szCs w:val="24"/>
              </w:rPr>
              <w:footnoteReference w:id="2"/>
            </w:r>
            <w:r w:rsidRPr="00342133">
              <w:rPr>
                <w:b w:val="0"/>
                <w:bCs w:val="0"/>
                <w:iCs/>
                <w:sz w:val="24"/>
                <w:szCs w:val="24"/>
              </w:rPr>
              <w:t xml:space="preserve"> 4. pantu grāmatvedības uzdevumi ir šādi:</w:t>
            </w:r>
          </w:p>
          <w:p w14:paraId="32563D42" w14:textId="77777777" w:rsidR="00A46379" w:rsidRPr="00342133" w:rsidRDefault="00A46379" w:rsidP="00285963">
            <w:pPr>
              <w:pStyle w:val="TableParagraph"/>
              <w:spacing w:before="60"/>
              <w:ind w:left="0"/>
              <w:jc w:val="both"/>
              <w:rPr>
                <w:b w:val="0"/>
                <w:bCs w:val="0"/>
                <w:iCs/>
                <w:sz w:val="24"/>
                <w:szCs w:val="24"/>
              </w:rPr>
            </w:pPr>
            <w:r w:rsidRPr="00342133">
              <w:rPr>
                <w:b w:val="0"/>
                <w:bCs w:val="0"/>
                <w:iCs/>
                <w:sz w:val="24"/>
                <w:szCs w:val="24"/>
              </w:rPr>
              <w:t>1) nodrošināt pašvaldības vadību ar grāmatvedības informāciju, kas nepieciešama saimnieciska rakstura lēmumu pieņemšanai;</w:t>
            </w:r>
          </w:p>
          <w:p w14:paraId="3178EA1D" w14:textId="77777777" w:rsidR="00A46379" w:rsidRPr="00342133" w:rsidRDefault="00A46379" w:rsidP="00285963">
            <w:pPr>
              <w:pStyle w:val="TableParagraph"/>
              <w:spacing w:before="60"/>
              <w:ind w:left="0"/>
              <w:jc w:val="both"/>
              <w:rPr>
                <w:b w:val="0"/>
                <w:bCs w:val="0"/>
                <w:iCs/>
                <w:sz w:val="24"/>
                <w:szCs w:val="24"/>
              </w:rPr>
            </w:pPr>
            <w:r w:rsidRPr="00342133">
              <w:rPr>
                <w:b w:val="0"/>
                <w:bCs w:val="0"/>
                <w:iCs/>
                <w:sz w:val="24"/>
                <w:szCs w:val="24"/>
              </w:rPr>
              <w:t>2) nodrošināt finanšu pārskatu lietotājus ar patiesu un pilnīgu informāciju par pašvaldības mantu, saistībām, finansiālo stāvokli, saimnieciskās darbības rezultātiem un naudas plūsmu;</w:t>
            </w:r>
          </w:p>
          <w:p w14:paraId="06BA2BE9" w14:textId="77777777" w:rsidR="00A46379" w:rsidRPr="00342133" w:rsidRDefault="00A46379" w:rsidP="00285963">
            <w:pPr>
              <w:pStyle w:val="TableParagraph"/>
              <w:spacing w:before="60"/>
              <w:ind w:left="0"/>
              <w:jc w:val="both"/>
              <w:rPr>
                <w:b w:val="0"/>
                <w:bCs w:val="0"/>
                <w:iCs/>
                <w:sz w:val="24"/>
                <w:szCs w:val="24"/>
              </w:rPr>
            </w:pPr>
            <w:r w:rsidRPr="00342133">
              <w:rPr>
                <w:b w:val="0"/>
                <w:bCs w:val="0"/>
                <w:iCs/>
                <w:sz w:val="24"/>
                <w:szCs w:val="24"/>
              </w:rPr>
              <w:t>3) veikt nodokļu aprēķināšanu;</w:t>
            </w:r>
          </w:p>
          <w:p w14:paraId="2F334729" w14:textId="77777777" w:rsidR="00A46379" w:rsidRPr="00342133" w:rsidRDefault="00A46379" w:rsidP="00285963">
            <w:pPr>
              <w:pStyle w:val="TableParagraph"/>
              <w:spacing w:before="60" w:after="120"/>
              <w:ind w:left="0"/>
              <w:jc w:val="both"/>
              <w:rPr>
                <w:iCs/>
                <w:sz w:val="24"/>
                <w:szCs w:val="24"/>
              </w:rPr>
            </w:pPr>
            <w:r w:rsidRPr="00342133">
              <w:rPr>
                <w:b w:val="0"/>
                <w:bCs w:val="0"/>
                <w:iCs/>
                <w:sz w:val="24"/>
                <w:szCs w:val="24"/>
              </w:rPr>
              <w:t>4) nodrošināt ieņēmumu un izdevumu norobežošanu pa pārskata periodiem.</w:t>
            </w:r>
          </w:p>
          <w:p w14:paraId="5D3DCE9A" w14:textId="77777777" w:rsidR="00A46379" w:rsidRPr="00342133" w:rsidRDefault="00A46379" w:rsidP="00285963">
            <w:pPr>
              <w:pStyle w:val="TableParagraph"/>
              <w:spacing w:before="60" w:after="120"/>
              <w:ind w:left="0"/>
              <w:jc w:val="both"/>
              <w:rPr>
                <w:b w:val="0"/>
                <w:bCs w:val="0"/>
                <w:iCs/>
                <w:sz w:val="24"/>
                <w:szCs w:val="24"/>
              </w:rPr>
            </w:pPr>
            <w:r w:rsidRPr="00342133">
              <w:rPr>
                <w:b w:val="0"/>
                <w:bCs w:val="0"/>
                <w:iCs/>
                <w:sz w:val="24"/>
                <w:szCs w:val="24"/>
              </w:rPr>
              <w:t>Citi uzdevumi: grāmatvedības konta atvēršana, uzņēmuma saimniecisko darījumu analīze un reģistrēšana grāmatvedības reģistros, grāmatvedības kontu atlikumu aprēķināšana, grāmatvedības kontu apgrozījumu un atlikumu pārskata sagatavošana, koriģējošo un slēguma ierakstu iegrāmatošana, finanšu pārskatu sagatavošana un nodokļu aprēķināšana, kases grāmatu kārtošana, inventarizācija, gada pārskata sagatavošana.</w:t>
            </w:r>
          </w:p>
        </w:tc>
      </w:tr>
      <w:tr w:rsidR="00342133" w:rsidRPr="00342133" w14:paraId="0047542C" w14:textId="77777777" w:rsidTr="00A46379">
        <w:trPr>
          <w:trHeight w:val="1392"/>
        </w:trPr>
        <w:tc>
          <w:tcPr>
            <w:cnfStyle w:val="001000000000" w:firstRow="0" w:lastRow="0" w:firstColumn="1" w:lastColumn="0" w:oddVBand="0" w:evenVBand="0" w:oddHBand="0" w:evenHBand="0" w:firstRowFirstColumn="0" w:firstRowLastColumn="0" w:lastRowFirstColumn="0" w:lastRowLastColumn="0"/>
            <w:tcW w:w="1980" w:type="dxa"/>
          </w:tcPr>
          <w:p w14:paraId="586CA060" w14:textId="77777777" w:rsidR="00A46379" w:rsidRPr="00342133" w:rsidRDefault="00A46379" w:rsidP="00285963">
            <w:pPr>
              <w:pStyle w:val="TableParagraph"/>
              <w:spacing w:before="120"/>
              <w:ind w:left="57" w:right="37"/>
              <w:jc w:val="left"/>
              <w:rPr>
                <w:iCs/>
                <w:sz w:val="24"/>
                <w:szCs w:val="24"/>
              </w:rPr>
            </w:pPr>
            <w:r w:rsidRPr="00342133">
              <w:rPr>
                <w:iCs/>
                <w:sz w:val="24"/>
                <w:szCs w:val="24"/>
              </w:rPr>
              <w:lastRenderedPageBreak/>
              <w:t>Juridiskais atbalsts</w:t>
            </w:r>
          </w:p>
        </w:tc>
        <w:tc>
          <w:tcPr>
            <w:cnfStyle w:val="000100000000" w:firstRow="0" w:lastRow="0" w:firstColumn="0" w:lastColumn="1" w:oddVBand="0" w:evenVBand="0" w:oddHBand="0" w:evenHBand="0" w:firstRowFirstColumn="0" w:firstRowLastColumn="0" w:lastRowFirstColumn="0" w:lastRowLastColumn="0"/>
            <w:tcW w:w="7371" w:type="dxa"/>
          </w:tcPr>
          <w:p w14:paraId="5A516973" w14:textId="77777777" w:rsidR="00A46379" w:rsidRPr="00342133" w:rsidRDefault="00A46379" w:rsidP="00285963">
            <w:pPr>
              <w:pStyle w:val="TableParagraph"/>
              <w:spacing w:before="120"/>
              <w:ind w:left="0"/>
              <w:jc w:val="both"/>
              <w:rPr>
                <w:b w:val="0"/>
                <w:bCs w:val="0"/>
                <w:iCs/>
                <w:sz w:val="24"/>
                <w:szCs w:val="24"/>
              </w:rPr>
            </w:pPr>
            <w:r w:rsidRPr="00342133">
              <w:rPr>
                <w:b w:val="0"/>
                <w:bCs w:val="0"/>
                <w:iCs/>
                <w:sz w:val="24"/>
                <w:szCs w:val="24"/>
              </w:rPr>
              <w:t xml:space="preserve">Domes sēdēm sagatavoto lēmumu projektu sagatavošana un atbilstības tiesību normām pārbaudīšana. Pašvaldības saistošo noteikumu sagatavošana, grozījumi saistošajos noteikumos. Līgumu projektu sagatavošana, pārskatīšana. Pašvaldības iepirkuma dokumentu izstrāde. Juridiskās konsultācijas domei, pašvaldības institūciju vadītājiem un darbiniekiem. </w:t>
            </w:r>
          </w:p>
        </w:tc>
      </w:tr>
      <w:tr w:rsidR="00342133" w:rsidRPr="00342133" w14:paraId="1A3DB438" w14:textId="77777777" w:rsidTr="00A46379">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1980" w:type="dxa"/>
          </w:tcPr>
          <w:p w14:paraId="4B74C4F8" w14:textId="77777777" w:rsidR="00A46379" w:rsidRPr="00342133" w:rsidRDefault="00A46379" w:rsidP="00285963">
            <w:pPr>
              <w:pStyle w:val="TableParagraph"/>
              <w:spacing w:before="0"/>
              <w:ind w:left="6"/>
              <w:jc w:val="left"/>
              <w:rPr>
                <w:b w:val="0"/>
                <w:bCs w:val="0"/>
                <w:iCs/>
                <w:sz w:val="24"/>
                <w:szCs w:val="24"/>
              </w:rPr>
            </w:pPr>
            <w:proofErr w:type="spellStart"/>
            <w:r w:rsidRPr="00342133">
              <w:rPr>
                <w:iCs/>
                <w:sz w:val="24"/>
                <w:szCs w:val="24"/>
              </w:rPr>
              <w:t>Personālvadība</w:t>
            </w:r>
            <w:proofErr w:type="spellEnd"/>
          </w:p>
        </w:tc>
        <w:tc>
          <w:tcPr>
            <w:cnfStyle w:val="000100000000" w:firstRow="0" w:lastRow="0" w:firstColumn="0" w:lastColumn="1" w:oddVBand="0" w:evenVBand="0" w:oddHBand="0" w:evenHBand="0" w:firstRowFirstColumn="0" w:firstRowLastColumn="0" w:lastRowFirstColumn="0" w:lastRowLastColumn="0"/>
            <w:tcW w:w="7371" w:type="dxa"/>
          </w:tcPr>
          <w:p w14:paraId="59B545A5" w14:textId="77777777" w:rsidR="00A46379" w:rsidRPr="00342133" w:rsidRDefault="00A46379" w:rsidP="00285963">
            <w:pPr>
              <w:pStyle w:val="TableParagraph"/>
              <w:spacing w:before="120" w:after="120"/>
              <w:ind w:left="0"/>
              <w:jc w:val="both"/>
              <w:rPr>
                <w:b w:val="0"/>
                <w:bCs w:val="0"/>
                <w:iCs/>
                <w:sz w:val="24"/>
                <w:szCs w:val="24"/>
              </w:rPr>
            </w:pPr>
            <w:r w:rsidRPr="00342133">
              <w:rPr>
                <w:b w:val="0"/>
                <w:bCs w:val="0"/>
                <w:iCs/>
                <w:sz w:val="24"/>
                <w:szCs w:val="24"/>
              </w:rPr>
              <w:t xml:space="preserve">Pašvaldības darbinieku atlase. Rīkojumu sagatavošana par darbinieku pieņemšanu/ atbrīvošanu no darba. Jauno un pastāvīgo darbinieku apmācību organizēšana un koordinēšana. Darbinieku ikgadējas novērtēšanas organizēšana, rezultātu apkopošana. Darba drošības prasību ievērošanas nodrošināšana. </w:t>
            </w:r>
          </w:p>
        </w:tc>
      </w:tr>
      <w:tr w:rsidR="00342133" w:rsidRPr="00342133" w14:paraId="5A5E3D46" w14:textId="77777777" w:rsidTr="00A46379">
        <w:trPr>
          <w:trHeight w:val="783"/>
        </w:trPr>
        <w:tc>
          <w:tcPr>
            <w:cnfStyle w:val="001000000000" w:firstRow="0" w:lastRow="0" w:firstColumn="1" w:lastColumn="0" w:oddVBand="0" w:evenVBand="0" w:oddHBand="0" w:evenHBand="0" w:firstRowFirstColumn="0" w:firstRowLastColumn="0" w:lastRowFirstColumn="0" w:lastRowLastColumn="0"/>
            <w:tcW w:w="1980" w:type="dxa"/>
          </w:tcPr>
          <w:p w14:paraId="4C3783B0" w14:textId="77777777" w:rsidR="00A46379" w:rsidRPr="00342133" w:rsidRDefault="00A46379" w:rsidP="00285963">
            <w:pPr>
              <w:pStyle w:val="TableParagraph"/>
              <w:spacing w:before="120"/>
              <w:ind w:left="57" w:right="42"/>
              <w:jc w:val="left"/>
              <w:rPr>
                <w:b w:val="0"/>
                <w:bCs w:val="0"/>
                <w:iCs/>
                <w:sz w:val="24"/>
                <w:szCs w:val="24"/>
              </w:rPr>
            </w:pPr>
            <w:r w:rsidRPr="00342133">
              <w:rPr>
                <w:iCs/>
                <w:sz w:val="24"/>
                <w:szCs w:val="24"/>
              </w:rPr>
              <w:t>Saimnieciskais atbalsts</w:t>
            </w:r>
          </w:p>
        </w:tc>
        <w:tc>
          <w:tcPr>
            <w:cnfStyle w:val="000100000000" w:firstRow="0" w:lastRow="0" w:firstColumn="0" w:lastColumn="1" w:oddVBand="0" w:evenVBand="0" w:oddHBand="0" w:evenHBand="0" w:firstRowFirstColumn="0" w:firstRowLastColumn="0" w:lastRowFirstColumn="0" w:lastRowLastColumn="0"/>
            <w:tcW w:w="7371" w:type="dxa"/>
          </w:tcPr>
          <w:p w14:paraId="08C3CB63" w14:textId="77777777" w:rsidR="00A46379" w:rsidRPr="00342133" w:rsidRDefault="00A46379" w:rsidP="00285963">
            <w:pPr>
              <w:pStyle w:val="TableParagraph"/>
              <w:spacing w:before="120"/>
              <w:ind w:left="0"/>
              <w:jc w:val="both"/>
              <w:rPr>
                <w:b w:val="0"/>
                <w:bCs w:val="0"/>
                <w:iCs/>
                <w:sz w:val="24"/>
                <w:szCs w:val="24"/>
              </w:rPr>
            </w:pPr>
            <w:r w:rsidRPr="00342133">
              <w:rPr>
                <w:b w:val="0"/>
                <w:bCs w:val="0"/>
                <w:iCs/>
                <w:sz w:val="24"/>
                <w:szCs w:val="24"/>
              </w:rPr>
              <w:t>Sagādes nodrošināšana pašvaldības vajadzībām. Izlietoto finanšu līdzekļu dokumentācija pašvaldības vajadzībām sadarbībā ar grāmatvedību. Pašvaldības telpu un apkārtnes uzturēšanas kārtība. Pagasta/pilsētas pārvaldes ēku uzturēšana.</w:t>
            </w:r>
          </w:p>
        </w:tc>
      </w:tr>
      <w:tr w:rsidR="00342133" w:rsidRPr="00342133" w14:paraId="5975900C" w14:textId="77777777" w:rsidTr="00A4637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980" w:type="dxa"/>
          </w:tcPr>
          <w:p w14:paraId="6C619BFD" w14:textId="77777777" w:rsidR="00A46379" w:rsidRPr="00342133" w:rsidRDefault="00A46379" w:rsidP="00285963">
            <w:pPr>
              <w:pStyle w:val="TableParagraph"/>
              <w:spacing w:before="120"/>
              <w:ind w:left="0"/>
              <w:jc w:val="left"/>
              <w:rPr>
                <w:iCs/>
                <w:sz w:val="24"/>
                <w:szCs w:val="24"/>
              </w:rPr>
            </w:pPr>
            <w:r w:rsidRPr="00342133">
              <w:rPr>
                <w:iCs/>
                <w:sz w:val="24"/>
                <w:szCs w:val="24"/>
              </w:rPr>
              <w:t>Sabiedriskās attiecības</w:t>
            </w:r>
          </w:p>
          <w:p w14:paraId="77AA38E2" w14:textId="77777777" w:rsidR="00A46379" w:rsidRPr="00342133" w:rsidRDefault="00A46379" w:rsidP="00285963">
            <w:pPr>
              <w:pStyle w:val="TableParagraph"/>
              <w:spacing w:before="120"/>
              <w:ind w:left="57" w:right="42"/>
              <w:jc w:val="left"/>
              <w:rPr>
                <w:b w:val="0"/>
                <w:bCs w:val="0"/>
                <w:iCs/>
                <w:sz w:val="24"/>
                <w:szCs w:val="24"/>
              </w:rPr>
            </w:pPr>
          </w:p>
        </w:tc>
        <w:tc>
          <w:tcPr>
            <w:cnfStyle w:val="000100000000" w:firstRow="0" w:lastRow="0" w:firstColumn="0" w:lastColumn="1" w:oddVBand="0" w:evenVBand="0" w:oddHBand="0" w:evenHBand="0" w:firstRowFirstColumn="0" w:firstRowLastColumn="0" w:lastRowFirstColumn="0" w:lastRowLastColumn="0"/>
            <w:tcW w:w="7371" w:type="dxa"/>
          </w:tcPr>
          <w:p w14:paraId="58553F98" w14:textId="77777777" w:rsidR="00A46379" w:rsidRPr="00342133" w:rsidRDefault="00A46379" w:rsidP="00285963">
            <w:pPr>
              <w:pStyle w:val="TableParagraph"/>
              <w:spacing w:before="120" w:after="120"/>
              <w:ind w:left="0"/>
              <w:jc w:val="both"/>
              <w:rPr>
                <w:b w:val="0"/>
                <w:bCs w:val="0"/>
                <w:iCs/>
                <w:spacing w:val="-3"/>
                <w:sz w:val="24"/>
                <w:szCs w:val="24"/>
              </w:rPr>
            </w:pPr>
            <w:r w:rsidRPr="00342133">
              <w:rPr>
                <w:b w:val="0"/>
                <w:bCs w:val="0"/>
                <w:iCs/>
                <w:sz w:val="24"/>
                <w:szCs w:val="24"/>
              </w:rPr>
              <w:t xml:space="preserve">Regulāra iedzīvotāju </w:t>
            </w:r>
            <w:r w:rsidRPr="00342133">
              <w:rPr>
                <w:b w:val="0"/>
                <w:bCs w:val="0"/>
                <w:iCs/>
                <w:spacing w:val="-3"/>
                <w:sz w:val="24"/>
                <w:szCs w:val="24"/>
              </w:rPr>
              <w:t xml:space="preserve">informēšana par pašvaldības aktualitātēm, nodrošinot iespēju iedzīvotājiem izteikt / publicēt </w:t>
            </w:r>
            <w:r w:rsidRPr="00342133">
              <w:rPr>
                <w:b w:val="0"/>
                <w:bCs w:val="0"/>
                <w:iCs/>
                <w:sz w:val="24"/>
                <w:szCs w:val="24"/>
              </w:rPr>
              <w:t>viedokli</w:t>
            </w:r>
            <w:r w:rsidRPr="00342133">
              <w:rPr>
                <w:b w:val="0"/>
                <w:bCs w:val="0"/>
                <w:iCs/>
                <w:spacing w:val="-3"/>
                <w:sz w:val="24"/>
                <w:szCs w:val="24"/>
              </w:rPr>
              <w:t xml:space="preserve">. Pašvaldības </w:t>
            </w:r>
            <w:r w:rsidRPr="00342133">
              <w:rPr>
                <w:b w:val="0"/>
                <w:bCs w:val="0"/>
                <w:iCs/>
                <w:sz w:val="24"/>
                <w:szCs w:val="24"/>
              </w:rPr>
              <w:t>pieņemto</w:t>
            </w:r>
            <w:r w:rsidRPr="00342133">
              <w:rPr>
                <w:b w:val="0"/>
                <w:bCs w:val="0"/>
                <w:iCs/>
                <w:spacing w:val="-12"/>
                <w:sz w:val="24"/>
                <w:szCs w:val="24"/>
              </w:rPr>
              <w:t xml:space="preserve"> </w:t>
            </w:r>
            <w:r w:rsidRPr="00342133">
              <w:rPr>
                <w:b w:val="0"/>
                <w:bCs w:val="0"/>
                <w:iCs/>
                <w:sz w:val="24"/>
                <w:szCs w:val="24"/>
              </w:rPr>
              <w:t>lēmumu</w:t>
            </w:r>
            <w:r w:rsidRPr="00342133">
              <w:rPr>
                <w:b w:val="0"/>
                <w:bCs w:val="0"/>
                <w:iCs/>
                <w:spacing w:val="-11"/>
                <w:sz w:val="24"/>
                <w:szCs w:val="24"/>
              </w:rPr>
              <w:t xml:space="preserve"> </w:t>
            </w:r>
            <w:r w:rsidRPr="00342133">
              <w:rPr>
                <w:b w:val="0"/>
                <w:bCs w:val="0"/>
                <w:iCs/>
                <w:sz w:val="24"/>
                <w:szCs w:val="24"/>
              </w:rPr>
              <w:t>izskaidrošana.</w:t>
            </w:r>
            <w:r w:rsidRPr="00342133">
              <w:rPr>
                <w:b w:val="0"/>
                <w:bCs w:val="0"/>
                <w:iCs/>
                <w:spacing w:val="-5"/>
                <w:sz w:val="24"/>
                <w:szCs w:val="24"/>
              </w:rPr>
              <w:t xml:space="preserve"> </w:t>
            </w:r>
            <w:r w:rsidRPr="00342133">
              <w:rPr>
                <w:b w:val="0"/>
                <w:bCs w:val="0"/>
                <w:iCs/>
                <w:spacing w:val="-3"/>
                <w:sz w:val="24"/>
                <w:szCs w:val="24"/>
              </w:rPr>
              <w:t>Sadarbība</w:t>
            </w:r>
            <w:r w:rsidRPr="00342133">
              <w:rPr>
                <w:b w:val="0"/>
                <w:bCs w:val="0"/>
                <w:iCs/>
                <w:spacing w:val="-6"/>
                <w:sz w:val="24"/>
                <w:szCs w:val="24"/>
              </w:rPr>
              <w:t xml:space="preserve"> </w:t>
            </w:r>
            <w:r w:rsidRPr="00342133">
              <w:rPr>
                <w:b w:val="0"/>
                <w:bCs w:val="0"/>
                <w:iCs/>
                <w:sz w:val="24"/>
                <w:szCs w:val="24"/>
              </w:rPr>
              <w:t>ar</w:t>
            </w:r>
            <w:r w:rsidRPr="00342133">
              <w:rPr>
                <w:b w:val="0"/>
                <w:bCs w:val="0"/>
                <w:iCs/>
                <w:spacing w:val="-7"/>
                <w:sz w:val="24"/>
                <w:szCs w:val="24"/>
              </w:rPr>
              <w:t xml:space="preserve"> </w:t>
            </w:r>
            <w:r w:rsidRPr="00342133">
              <w:rPr>
                <w:b w:val="0"/>
                <w:bCs w:val="0"/>
                <w:iCs/>
                <w:sz w:val="24"/>
                <w:szCs w:val="24"/>
              </w:rPr>
              <w:t>masu</w:t>
            </w:r>
            <w:r w:rsidRPr="00342133">
              <w:rPr>
                <w:b w:val="0"/>
                <w:bCs w:val="0"/>
                <w:iCs/>
                <w:spacing w:val="-12"/>
                <w:sz w:val="24"/>
                <w:szCs w:val="24"/>
              </w:rPr>
              <w:t xml:space="preserve"> </w:t>
            </w:r>
            <w:r w:rsidRPr="00342133">
              <w:rPr>
                <w:b w:val="0"/>
                <w:bCs w:val="0"/>
                <w:iCs/>
                <w:sz w:val="24"/>
                <w:szCs w:val="24"/>
              </w:rPr>
              <w:t xml:space="preserve">informācijas līdzekļiem. </w:t>
            </w:r>
            <w:r w:rsidRPr="00342133">
              <w:rPr>
                <w:b w:val="0"/>
                <w:bCs w:val="0"/>
                <w:iCs/>
                <w:spacing w:val="-3"/>
                <w:sz w:val="24"/>
                <w:szCs w:val="24"/>
              </w:rPr>
              <w:t>Informatīvo materiālu un izdevumu sagatavošana. O</w:t>
            </w:r>
            <w:r w:rsidRPr="00342133">
              <w:rPr>
                <w:b w:val="0"/>
                <w:bCs w:val="0"/>
                <w:sz w:val="24"/>
                <w:szCs w:val="24"/>
              </w:rPr>
              <w:t>ficiālās tīmekļvietnes</w:t>
            </w:r>
            <w:r w:rsidRPr="00342133">
              <w:rPr>
                <w:b w:val="0"/>
                <w:bCs w:val="0"/>
                <w:iCs/>
                <w:spacing w:val="7"/>
                <w:sz w:val="24"/>
                <w:szCs w:val="24"/>
              </w:rPr>
              <w:t xml:space="preserve"> </w:t>
            </w:r>
            <w:r w:rsidRPr="00342133">
              <w:rPr>
                <w:b w:val="0"/>
                <w:bCs w:val="0"/>
                <w:iCs/>
                <w:spacing w:val="-3"/>
                <w:sz w:val="24"/>
                <w:szCs w:val="24"/>
              </w:rPr>
              <w:t>uzturēšana. Iedzīvotāju aptauju organizēšana, t. sk. veidojot arī interneta vidē iespējas iedzīvotājiem paust savas vēlmes vai piedalīties aptaujā.</w:t>
            </w:r>
          </w:p>
        </w:tc>
      </w:tr>
      <w:tr w:rsidR="00342133" w:rsidRPr="00342133" w14:paraId="074DC2FD" w14:textId="77777777" w:rsidTr="00A46379">
        <w:trPr>
          <w:trHeight w:val="1365"/>
        </w:trPr>
        <w:tc>
          <w:tcPr>
            <w:cnfStyle w:val="001000000000" w:firstRow="0" w:lastRow="0" w:firstColumn="1" w:lastColumn="0" w:oddVBand="0" w:evenVBand="0" w:oddHBand="0" w:evenHBand="0" w:firstRowFirstColumn="0" w:firstRowLastColumn="0" w:lastRowFirstColumn="0" w:lastRowLastColumn="0"/>
            <w:tcW w:w="1980" w:type="dxa"/>
          </w:tcPr>
          <w:p w14:paraId="0E23F06F" w14:textId="77777777" w:rsidR="00A46379" w:rsidRPr="00342133" w:rsidRDefault="00A46379" w:rsidP="00285963">
            <w:pPr>
              <w:pStyle w:val="TableParagraph"/>
              <w:spacing w:before="120"/>
              <w:ind w:left="57" w:right="37"/>
              <w:jc w:val="left"/>
              <w:rPr>
                <w:b w:val="0"/>
                <w:bCs w:val="0"/>
                <w:iCs/>
                <w:sz w:val="24"/>
                <w:szCs w:val="24"/>
              </w:rPr>
            </w:pPr>
            <w:r w:rsidRPr="00342133">
              <w:rPr>
                <w:iCs/>
                <w:sz w:val="24"/>
                <w:szCs w:val="24"/>
              </w:rPr>
              <w:t xml:space="preserve">Pakalpojumu un teritorijas attīstība </w:t>
            </w:r>
          </w:p>
        </w:tc>
        <w:tc>
          <w:tcPr>
            <w:cnfStyle w:val="000100000000" w:firstRow="0" w:lastRow="0" w:firstColumn="0" w:lastColumn="1" w:oddVBand="0" w:evenVBand="0" w:oddHBand="0" w:evenHBand="0" w:firstRowFirstColumn="0" w:firstRowLastColumn="0" w:lastRowFirstColumn="0" w:lastRowLastColumn="0"/>
            <w:tcW w:w="7371" w:type="dxa"/>
          </w:tcPr>
          <w:p w14:paraId="13CB7E29" w14:textId="77777777" w:rsidR="00A46379" w:rsidRPr="00342133" w:rsidRDefault="00A46379" w:rsidP="00285963">
            <w:pPr>
              <w:pStyle w:val="TableParagraph"/>
              <w:spacing w:before="120"/>
              <w:ind w:left="0"/>
              <w:jc w:val="both"/>
              <w:rPr>
                <w:iCs/>
                <w:sz w:val="24"/>
                <w:szCs w:val="24"/>
              </w:rPr>
            </w:pPr>
            <w:r w:rsidRPr="00342133">
              <w:rPr>
                <w:b w:val="0"/>
                <w:bCs w:val="0"/>
                <w:iCs/>
                <w:sz w:val="24"/>
                <w:szCs w:val="24"/>
              </w:rPr>
              <w:t xml:space="preserve">Teritorijas attīstības plānošanā ietilpst arī izstrādāt trīs teritoriju attīstības plānošanas dokumentus – ilgtspējīgas attīstības stratēģiju, attīstības programmu un teritorijas plānojumu. Papildus var tikt izstrādāts </w:t>
            </w:r>
            <w:proofErr w:type="spellStart"/>
            <w:r w:rsidRPr="00342133">
              <w:rPr>
                <w:b w:val="0"/>
                <w:bCs w:val="0"/>
                <w:iCs/>
                <w:sz w:val="24"/>
                <w:szCs w:val="24"/>
              </w:rPr>
              <w:t>lokālplānojums</w:t>
            </w:r>
            <w:proofErr w:type="spellEnd"/>
            <w:r w:rsidRPr="00342133">
              <w:rPr>
                <w:b w:val="0"/>
                <w:bCs w:val="0"/>
                <w:iCs/>
                <w:sz w:val="24"/>
                <w:szCs w:val="24"/>
              </w:rPr>
              <w:t xml:space="preserve"> un tematiskais plānojums. Šo un citu saistītu dokumentu kopumu ievietošana informācijas sistēmā TAPIS. Nodrošināt, lai novada iedzīvotājiem ir iespēja iepazīties ar iepriekš minētiem dokumentiem Geolatvija.lv vai drukātā veidā sabiedriski nozīmīgās vietās. Finansējuma piesaiste. Projektu pieteikumu sagatavošana un vadība, konsultācijas novada izpildinstitūcijām un uzņēmējiem. Nekustamā īpašuma apsaimniekošanas jautājumu pārraudzīšana. Komercdarbības veicināšanas konsultācijas. </w:t>
            </w:r>
          </w:p>
          <w:p w14:paraId="00B3A857" w14:textId="77777777" w:rsidR="00A46379" w:rsidRPr="00342133" w:rsidRDefault="00A46379" w:rsidP="00285963">
            <w:pPr>
              <w:pStyle w:val="TableParagraph"/>
              <w:spacing w:before="120" w:after="120"/>
              <w:ind w:left="0"/>
              <w:jc w:val="both"/>
              <w:rPr>
                <w:b w:val="0"/>
                <w:bCs w:val="0"/>
                <w:iCs/>
                <w:sz w:val="24"/>
                <w:szCs w:val="24"/>
              </w:rPr>
            </w:pPr>
            <w:r w:rsidRPr="00342133">
              <w:rPr>
                <w:b w:val="0"/>
                <w:bCs w:val="0"/>
                <w:iCs/>
                <w:sz w:val="24"/>
                <w:szCs w:val="24"/>
              </w:rPr>
              <w:t>Teritorijas attīstības plānošanas likuma</w:t>
            </w:r>
            <w:r w:rsidRPr="00342133">
              <w:rPr>
                <w:rStyle w:val="FootnoteReference"/>
                <w:b w:val="0"/>
                <w:bCs w:val="0"/>
                <w:iCs/>
                <w:sz w:val="24"/>
                <w:szCs w:val="24"/>
              </w:rPr>
              <w:footnoteReference w:id="3"/>
            </w:r>
            <w:r w:rsidRPr="00342133">
              <w:rPr>
                <w:b w:val="0"/>
                <w:bCs w:val="0"/>
                <w:iCs/>
                <w:sz w:val="24"/>
                <w:szCs w:val="24"/>
              </w:rPr>
              <w:t xml:space="preserve"> 12. pantā noteikta pašvaldības kompetence attiecībā uz teritorijas plānošanu. </w:t>
            </w:r>
          </w:p>
        </w:tc>
      </w:tr>
      <w:tr w:rsidR="00342133" w:rsidRPr="00342133" w14:paraId="6BE007A9" w14:textId="77777777" w:rsidTr="00A46379">
        <w:trPr>
          <w:cnfStyle w:val="010000000000" w:firstRow="0" w:lastRow="1" w:firstColumn="0" w:lastColumn="0" w:oddVBand="0" w:evenVBand="0" w:oddHBand="0"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1980" w:type="dxa"/>
          </w:tcPr>
          <w:p w14:paraId="4D3E0BEC" w14:textId="77777777" w:rsidR="00A46379" w:rsidRPr="00342133" w:rsidRDefault="00A46379" w:rsidP="00285963">
            <w:pPr>
              <w:pStyle w:val="TableParagraph"/>
              <w:spacing w:before="120"/>
              <w:ind w:left="0"/>
              <w:jc w:val="left"/>
              <w:rPr>
                <w:b w:val="0"/>
                <w:bCs w:val="0"/>
                <w:iCs/>
                <w:sz w:val="24"/>
                <w:szCs w:val="24"/>
              </w:rPr>
            </w:pPr>
            <w:r w:rsidRPr="00342133">
              <w:rPr>
                <w:iCs/>
                <w:sz w:val="24"/>
                <w:szCs w:val="24"/>
              </w:rPr>
              <w:t>Informācijas un komunikācijas tehnoloģiju (IKT) atbalsts</w:t>
            </w:r>
          </w:p>
        </w:tc>
        <w:tc>
          <w:tcPr>
            <w:cnfStyle w:val="000100000000" w:firstRow="0" w:lastRow="0" w:firstColumn="0" w:lastColumn="1" w:oddVBand="0" w:evenVBand="0" w:oddHBand="0" w:evenHBand="0" w:firstRowFirstColumn="0" w:firstRowLastColumn="0" w:lastRowFirstColumn="0" w:lastRowLastColumn="0"/>
            <w:tcW w:w="7371" w:type="dxa"/>
          </w:tcPr>
          <w:p w14:paraId="605C41EC" w14:textId="77777777" w:rsidR="00A46379" w:rsidRPr="00342133" w:rsidRDefault="00A46379" w:rsidP="00285963">
            <w:pPr>
              <w:pStyle w:val="TableParagraph"/>
              <w:spacing w:before="120"/>
              <w:ind w:left="0"/>
              <w:jc w:val="both"/>
              <w:rPr>
                <w:iCs/>
                <w:sz w:val="24"/>
                <w:szCs w:val="24"/>
              </w:rPr>
            </w:pPr>
            <w:r w:rsidRPr="00342133">
              <w:rPr>
                <w:b w:val="0"/>
                <w:bCs w:val="0"/>
                <w:iCs/>
                <w:sz w:val="24"/>
                <w:szCs w:val="24"/>
              </w:rPr>
              <w:t xml:space="preserve">IKT resursu un darbību plānošana. IS izveide, uzturēšana, monitorings un pilnveide. IKT resursu inventarizācija, darbinieku apmācība saistībā ar sistēmu ieviešanu, datu migrācijas nodrošināšana. </w:t>
            </w:r>
          </w:p>
          <w:p w14:paraId="4E59F385" w14:textId="77777777" w:rsidR="00A46379" w:rsidRPr="00342133" w:rsidRDefault="00A46379" w:rsidP="00285963">
            <w:pPr>
              <w:pStyle w:val="TableParagraph"/>
              <w:spacing w:before="120"/>
              <w:ind w:left="0"/>
              <w:jc w:val="both"/>
              <w:rPr>
                <w:b w:val="0"/>
                <w:bCs w:val="0"/>
                <w:iCs/>
                <w:sz w:val="24"/>
                <w:szCs w:val="24"/>
              </w:rPr>
            </w:pPr>
          </w:p>
        </w:tc>
      </w:tr>
      <w:bookmarkEnd w:id="1"/>
    </w:tbl>
    <w:p w14:paraId="6B2627CE" w14:textId="77777777" w:rsidR="00835668" w:rsidRPr="00342133" w:rsidRDefault="00835668">
      <w:pPr>
        <w:rPr>
          <w:rFonts w:ascii="Times New Roman" w:hAnsi="Times New Roman" w:cs="Times New Roman"/>
          <w:color w:val="auto"/>
          <w:sz w:val="24"/>
          <w:szCs w:val="24"/>
        </w:rPr>
      </w:pPr>
    </w:p>
    <w:sectPr w:rsidR="00835668" w:rsidRPr="00342133" w:rsidSect="00A46379">
      <w:headerReference w:type="even" r:id="rId10"/>
      <w:headerReference w:type="default" r:id="rId11"/>
      <w:footerReference w:type="even" r:id="rId12"/>
      <w:footerReference w:type="default" r:id="rId13"/>
      <w:headerReference w:type="first" r:id="rId14"/>
      <w:footerReference w:type="first" r:id="rId15"/>
      <w:pgSz w:w="11906" w:h="16838"/>
      <w:pgMar w:top="1701" w:right="85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1786F" w14:textId="77777777" w:rsidR="00080591" w:rsidRDefault="00080591" w:rsidP="00A46379">
      <w:pPr>
        <w:spacing w:after="0"/>
      </w:pPr>
      <w:r>
        <w:separator/>
      </w:r>
    </w:p>
  </w:endnote>
  <w:endnote w:type="continuationSeparator" w:id="0">
    <w:p w14:paraId="2D8CD305" w14:textId="77777777" w:rsidR="00080591" w:rsidRDefault="00080591" w:rsidP="00A463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3B2D" w14:textId="77777777" w:rsidR="00E20021" w:rsidRDefault="00E20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469496"/>
      <w:docPartObj>
        <w:docPartGallery w:val="Page Numbers (Bottom of Page)"/>
        <w:docPartUnique/>
      </w:docPartObj>
    </w:sdtPr>
    <w:sdtEndPr>
      <w:rPr>
        <w:noProof/>
      </w:rPr>
    </w:sdtEndPr>
    <w:sdtContent>
      <w:p w14:paraId="191E8737" w14:textId="1AB67585" w:rsidR="00FD2D5C" w:rsidRDefault="00FD2D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4014E8" w14:textId="77777777" w:rsidR="00FD2D5C" w:rsidRDefault="00FD2D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A6004" w14:textId="77777777" w:rsidR="00E20021" w:rsidRDefault="00E20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EF89D" w14:textId="77777777" w:rsidR="00080591" w:rsidRDefault="00080591" w:rsidP="00A46379">
      <w:pPr>
        <w:spacing w:after="0"/>
      </w:pPr>
      <w:r>
        <w:separator/>
      </w:r>
    </w:p>
  </w:footnote>
  <w:footnote w:type="continuationSeparator" w:id="0">
    <w:p w14:paraId="67DCFC23" w14:textId="77777777" w:rsidR="00080591" w:rsidRDefault="00080591" w:rsidP="00A46379">
      <w:pPr>
        <w:spacing w:after="0"/>
      </w:pPr>
      <w:r>
        <w:continuationSeparator/>
      </w:r>
    </w:p>
  </w:footnote>
  <w:footnote w:id="1">
    <w:p w14:paraId="119332D9" w14:textId="12B6BD30" w:rsidR="00A46379" w:rsidRPr="00342133" w:rsidRDefault="00A46379" w:rsidP="00A46379">
      <w:pPr>
        <w:pStyle w:val="FootnoteText"/>
        <w:rPr>
          <w:rFonts w:ascii="Times New Roman" w:hAnsi="Times New Roman" w:cs="Times New Roman"/>
          <w:color w:val="auto"/>
          <w:sz w:val="18"/>
          <w:szCs w:val="18"/>
        </w:rPr>
      </w:pPr>
      <w:r w:rsidRPr="00342133">
        <w:rPr>
          <w:rStyle w:val="FootnoteReference"/>
          <w:rFonts w:ascii="Times New Roman" w:hAnsi="Times New Roman" w:cs="Times New Roman"/>
          <w:color w:val="auto"/>
          <w:sz w:val="18"/>
          <w:szCs w:val="18"/>
        </w:rPr>
        <w:footnoteRef/>
      </w:r>
      <w:r w:rsidRPr="00342133">
        <w:rPr>
          <w:rFonts w:ascii="Times New Roman" w:hAnsi="Times New Roman" w:cs="Times New Roman"/>
          <w:color w:val="auto"/>
          <w:sz w:val="18"/>
          <w:szCs w:val="18"/>
        </w:rPr>
        <w:t xml:space="preserve"> </w:t>
      </w:r>
      <w:hyperlink r:id="rId1" w:history="1">
        <w:r w:rsidR="00FD2D5C" w:rsidRPr="00641527">
          <w:rPr>
            <w:rStyle w:val="Hyperlink"/>
            <w:rFonts w:ascii="Times New Roman" w:hAnsi="Times New Roman" w:cs="Times New Roman"/>
            <w:sz w:val="18"/>
            <w:szCs w:val="18"/>
          </w:rPr>
          <w:t>https://www.varam.gov.lv/en/media/5941/download</w:t>
        </w:r>
      </w:hyperlink>
      <w:r w:rsidR="00FD2D5C">
        <w:rPr>
          <w:rFonts w:ascii="Times New Roman" w:hAnsi="Times New Roman" w:cs="Times New Roman"/>
          <w:color w:val="auto"/>
          <w:sz w:val="18"/>
          <w:szCs w:val="18"/>
        </w:rPr>
        <w:t xml:space="preserve"> </w:t>
      </w:r>
    </w:p>
  </w:footnote>
  <w:footnote w:id="2">
    <w:p w14:paraId="57127962" w14:textId="6D8522C1" w:rsidR="00A46379" w:rsidRDefault="00A46379" w:rsidP="00A46379">
      <w:pPr>
        <w:pStyle w:val="FootnoteText"/>
      </w:pPr>
      <w:r w:rsidRPr="00342133">
        <w:rPr>
          <w:rStyle w:val="FootnoteReference"/>
          <w:rFonts w:ascii="Times New Roman" w:hAnsi="Times New Roman" w:cs="Times New Roman"/>
          <w:color w:val="auto"/>
          <w:sz w:val="18"/>
          <w:szCs w:val="18"/>
        </w:rPr>
        <w:footnoteRef/>
      </w:r>
      <w:r w:rsidRPr="00342133">
        <w:rPr>
          <w:rFonts w:ascii="Times New Roman" w:hAnsi="Times New Roman" w:cs="Times New Roman"/>
          <w:color w:val="auto"/>
          <w:sz w:val="18"/>
          <w:szCs w:val="18"/>
        </w:rPr>
        <w:t xml:space="preserve"> </w:t>
      </w:r>
      <w:hyperlink r:id="rId2" w:history="1">
        <w:r w:rsidR="00FD2D5C" w:rsidRPr="00641527">
          <w:rPr>
            <w:rStyle w:val="Hyperlink"/>
            <w:rFonts w:ascii="Times New Roman" w:hAnsi="Times New Roman" w:cs="Times New Roman"/>
            <w:sz w:val="18"/>
            <w:szCs w:val="18"/>
          </w:rPr>
          <w:t>https://likumi.lv/ta/id/324249-gramatvedibas-likums</w:t>
        </w:r>
      </w:hyperlink>
      <w:r w:rsidR="00FD2D5C">
        <w:rPr>
          <w:rFonts w:ascii="Times New Roman" w:hAnsi="Times New Roman" w:cs="Times New Roman"/>
          <w:color w:val="auto"/>
          <w:sz w:val="18"/>
          <w:szCs w:val="18"/>
        </w:rPr>
        <w:t xml:space="preserve"> </w:t>
      </w:r>
    </w:p>
  </w:footnote>
  <w:footnote w:id="3">
    <w:p w14:paraId="7AC79A89" w14:textId="3DB4851B" w:rsidR="00A46379" w:rsidRDefault="00A46379" w:rsidP="00A46379">
      <w:pPr>
        <w:pStyle w:val="FootnoteText"/>
        <w:rPr>
          <w:rFonts w:ascii="Times New Roman" w:hAnsi="Times New Roman" w:cs="Times New Roman"/>
          <w:color w:val="auto"/>
          <w:sz w:val="18"/>
          <w:szCs w:val="18"/>
        </w:rPr>
      </w:pPr>
      <w:r w:rsidRPr="00342133">
        <w:rPr>
          <w:rStyle w:val="FootnoteReference"/>
          <w:rFonts w:ascii="Times New Roman" w:hAnsi="Times New Roman" w:cs="Times New Roman"/>
          <w:color w:val="auto"/>
          <w:sz w:val="18"/>
          <w:szCs w:val="18"/>
        </w:rPr>
        <w:footnoteRef/>
      </w:r>
      <w:r w:rsidRPr="00342133">
        <w:rPr>
          <w:rFonts w:ascii="Times New Roman" w:hAnsi="Times New Roman" w:cs="Times New Roman"/>
          <w:color w:val="auto"/>
          <w:sz w:val="18"/>
          <w:szCs w:val="18"/>
        </w:rPr>
        <w:t xml:space="preserve"> </w:t>
      </w:r>
      <w:hyperlink r:id="rId3" w:history="1">
        <w:r w:rsidR="00FD2D5C" w:rsidRPr="00641527">
          <w:rPr>
            <w:rStyle w:val="Hyperlink"/>
            <w:rFonts w:ascii="Times New Roman" w:hAnsi="Times New Roman" w:cs="Times New Roman"/>
            <w:sz w:val="18"/>
            <w:szCs w:val="18"/>
          </w:rPr>
          <w:t>https://likumi.lv/ta/id/238807-teritorijas-attistibas-planosanas-likums</w:t>
        </w:r>
      </w:hyperlink>
    </w:p>
    <w:p w14:paraId="04C94777" w14:textId="77777777" w:rsidR="00FD2D5C" w:rsidRPr="00342133" w:rsidRDefault="00FD2D5C" w:rsidP="00A46379">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4DC06" w14:textId="77777777" w:rsidR="00E20021" w:rsidRDefault="00E20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76853" w14:textId="1658805D" w:rsidR="00FD2D5C" w:rsidRDefault="00E20021" w:rsidP="00FD2D5C">
    <w:pPr>
      <w:pStyle w:val="Header"/>
      <w:jc w:val="right"/>
      <w:rPr>
        <w:rFonts w:asciiTheme="majorBidi" w:hAnsiTheme="majorBidi" w:cstheme="majorBidi"/>
        <w:i/>
        <w:iCs/>
        <w:color w:val="auto"/>
      </w:rPr>
    </w:pPr>
    <w:r w:rsidRPr="00B929DE">
      <w:rPr>
        <w:rFonts w:asciiTheme="majorBidi" w:hAnsiTheme="majorBidi" w:cstheme="majorBidi"/>
        <w:i/>
        <w:iCs/>
        <w:color w:val="auto"/>
      </w:rPr>
      <w:t>Rokasgrāmata</w:t>
    </w:r>
    <w:r>
      <w:rPr>
        <w:rFonts w:asciiTheme="majorBidi" w:hAnsiTheme="majorBidi" w:cstheme="majorBidi"/>
        <w:i/>
        <w:iCs/>
        <w:color w:val="auto"/>
      </w:rPr>
      <w:t xml:space="preserve"> 2024</w:t>
    </w:r>
    <w:r w:rsidRPr="00B929DE">
      <w:rPr>
        <w:rFonts w:asciiTheme="majorBidi" w:hAnsiTheme="majorBidi" w:cstheme="majorBidi"/>
        <w:i/>
        <w:iCs/>
        <w:color w:val="auto"/>
      </w:rPr>
      <w:t xml:space="preserve">: </w:t>
    </w:r>
    <w:r>
      <w:rPr>
        <w:rFonts w:asciiTheme="majorBidi" w:hAnsiTheme="majorBidi" w:cstheme="majorBidi"/>
        <w:i/>
        <w:iCs/>
        <w:color w:val="auto"/>
      </w:rPr>
      <w:t xml:space="preserve">(I) </w:t>
    </w:r>
    <w:r w:rsidRPr="00B929DE">
      <w:rPr>
        <w:rFonts w:asciiTheme="majorBidi" w:hAnsiTheme="majorBidi" w:cstheme="majorBidi"/>
        <w:i/>
        <w:iCs/>
        <w:color w:val="auto"/>
      </w:rPr>
      <w:t>Iekšējā audita sistēma pašvaldībās</w:t>
    </w:r>
  </w:p>
  <w:p w14:paraId="6CB6496F" w14:textId="77777777" w:rsidR="00F67BA8" w:rsidRDefault="00F67BA8" w:rsidP="00FD2D5C">
    <w:pPr>
      <w:pStyle w:val="Header"/>
      <w:jc w:val="right"/>
      <w:rPr>
        <w:rFonts w:asciiTheme="majorBidi" w:hAnsiTheme="majorBidi" w:cstheme="majorBidi"/>
        <w:i/>
        <w:iCs/>
        <w:color w:val="auto"/>
      </w:rPr>
    </w:pPr>
  </w:p>
  <w:p w14:paraId="429DC0FE" w14:textId="70523FE6" w:rsidR="00F67BA8" w:rsidRDefault="00F67BA8" w:rsidP="00FD2D5C">
    <w:pPr>
      <w:pStyle w:val="Header"/>
      <w:jc w:val="right"/>
    </w:pPr>
    <w:r w:rsidRPr="00F67BA8">
      <w:t>RG1_P6_Atbalsta_funkciju_apraksts_2024</w:t>
    </w:r>
  </w:p>
  <w:p w14:paraId="52DA5B4B" w14:textId="77777777" w:rsidR="00FD2D5C" w:rsidRDefault="00FD2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5EBA" w14:textId="77777777" w:rsidR="00E20021" w:rsidRDefault="00E20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51B14"/>
    <w:multiLevelType w:val="multilevel"/>
    <w:tmpl w:val="33049010"/>
    <w:lvl w:ilvl="0">
      <w:start w:val="1"/>
      <w:numFmt w:val="decimal"/>
      <w:pStyle w:val="Heading1"/>
      <w:lvlText w:val="%1."/>
      <w:lvlJc w:val="left"/>
      <w:pPr>
        <w:ind w:left="720" w:hanging="360"/>
      </w:p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5117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79"/>
    <w:rsid w:val="00080591"/>
    <w:rsid w:val="00342133"/>
    <w:rsid w:val="00835668"/>
    <w:rsid w:val="008B7864"/>
    <w:rsid w:val="008C7C87"/>
    <w:rsid w:val="00A46379"/>
    <w:rsid w:val="00E20021"/>
    <w:rsid w:val="00F67BA8"/>
    <w:rsid w:val="00FD2D5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F67B"/>
  <w15:chartTrackingRefBased/>
  <w15:docId w15:val="{E50050BB-29C9-41DA-91B6-B9962FB5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turs"/>
    <w:qFormat/>
    <w:rsid w:val="00A46379"/>
    <w:pPr>
      <w:spacing w:after="240" w:line="240" w:lineRule="auto"/>
    </w:pPr>
    <w:rPr>
      <w:rFonts w:ascii="Arial" w:hAnsi="Arial"/>
      <w:color w:val="5E6175"/>
      <w:kern w:val="0"/>
      <w:sz w:val="20"/>
      <w14:ligatures w14:val="none"/>
    </w:rPr>
  </w:style>
  <w:style w:type="paragraph" w:styleId="Heading1">
    <w:name w:val="heading 1"/>
    <w:basedOn w:val="Normal"/>
    <w:next w:val="BodyText"/>
    <w:link w:val="Heading1Char"/>
    <w:uiPriority w:val="9"/>
    <w:qFormat/>
    <w:rsid w:val="00A46379"/>
    <w:pPr>
      <w:keepNext/>
      <w:keepLines/>
      <w:numPr>
        <w:numId w:val="1"/>
      </w:numPr>
      <w:pBdr>
        <w:bottom w:val="single" w:sz="18" w:space="1" w:color="2F5496"/>
      </w:pBdr>
      <w:spacing w:after="480"/>
      <w:ind w:left="0" w:firstLine="0"/>
      <w:outlineLvl w:val="0"/>
    </w:pPr>
    <w:rPr>
      <w:rFonts w:eastAsiaTheme="majorEastAsia" w:cstheme="majorBidi"/>
      <w:b/>
      <w:caps/>
      <w:color w:val="2F5496"/>
      <w:sz w:val="28"/>
      <w:szCs w:val="32"/>
    </w:rPr>
  </w:style>
  <w:style w:type="paragraph" w:styleId="Heading2">
    <w:name w:val="heading 2"/>
    <w:basedOn w:val="Normal"/>
    <w:next w:val="BodyText"/>
    <w:link w:val="Heading2Char"/>
    <w:uiPriority w:val="9"/>
    <w:unhideWhenUsed/>
    <w:qFormat/>
    <w:rsid w:val="00A46379"/>
    <w:pPr>
      <w:keepNext/>
      <w:keepLines/>
      <w:numPr>
        <w:ilvl w:val="1"/>
        <w:numId w:val="1"/>
      </w:numPr>
      <w:ind w:left="0" w:firstLine="0"/>
      <w:outlineLvl w:val="1"/>
    </w:pPr>
    <w:rPr>
      <w:rFonts w:eastAsiaTheme="majorEastAsia" w:cstheme="majorBidi"/>
      <w:b/>
      <w:color w:val="2F5496"/>
      <w:sz w:val="24"/>
      <w:szCs w:val="26"/>
    </w:rPr>
  </w:style>
  <w:style w:type="paragraph" w:styleId="Heading3">
    <w:name w:val="heading 3"/>
    <w:basedOn w:val="Normal"/>
    <w:next w:val="BodyText"/>
    <w:link w:val="Heading3Char"/>
    <w:uiPriority w:val="9"/>
    <w:unhideWhenUsed/>
    <w:qFormat/>
    <w:rsid w:val="00A46379"/>
    <w:pPr>
      <w:keepNext/>
      <w:keepLines/>
      <w:numPr>
        <w:ilvl w:val="2"/>
        <w:numId w:val="1"/>
      </w:numPr>
      <w:ind w:left="0" w:firstLine="0"/>
      <w:outlineLvl w:val="2"/>
    </w:pPr>
    <w:rPr>
      <w:rFonts w:eastAsiaTheme="majorEastAsia" w:cstheme="majorBidi"/>
      <w:b/>
      <w:color w:val="2F54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379"/>
    <w:rPr>
      <w:rFonts w:ascii="Arial" w:eastAsiaTheme="majorEastAsia" w:hAnsi="Arial" w:cstheme="majorBidi"/>
      <w:b/>
      <w:caps/>
      <w:color w:val="2F5496"/>
      <w:kern w:val="0"/>
      <w:sz w:val="28"/>
      <w:szCs w:val="32"/>
      <w14:ligatures w14:val="none"/>
    </w:rPr>
  </w:style>
  <w:style w:type="character" w:customStyle="1" w:styleId="Heading2Char">
    <w:name w:val="Heading 2 Char"/>
    <w:basedOn w:val="DefaultParagraphFont"/>
    <w:link w:val="Heading2"/>
    <w:uiPriority w:val="9"/>
    <w:rsid w:val="00A46379"/>
    <w:rPr>
      <w:rFonts w:ascii="Arial" w:eastAsiaTheme="majorEastAsia" w:hAnsi="Arial" w:cstheme="majorBidi"/>
      <w:b/>
      <w:color w:val="2F5496"/>
      <w:kern w:val="0"/>
      <w:sz w:val="24"/>
      <w:szCs w:val="26"/>
      <w14:ligatures w14:val="none"/>
    </w:rPr>
  </w:style>
  <w:style w:type="character" w:customStyle="1" w:styleId="Heading3Char">
    <w:name w:val="Heading 3 Char"/>
    <w:basedOn w:val="DefaultParagraphFont"/>
    <w:link w:val="Heading3"/>
    <w:uiPriority w:val="9"/>
    <w:rsid w:val="00A46379"/>
    <w:rPr>
      <w:rFonts w:ascii="Arial" w:eastAsiaTheme="majorEastAsia" w:hAnsi="Arial" w:cstheme="majorBidi"/>
      <w:b/>
      <w:color w:val="2F5496"/>
      <w:kern w:val="0"/>
      <w:sz w:val="20"/>
      <w:szCs w:val="24"/>
      <w14:ligatures w14:val="none"/>
    </w:rPr>
  </w:style>
  <w:style w:type="paragraph" w:styleId="FootnoteText">
    <w:name w:val="footnote text"/>
    <w:basedOn w:val="Normal"/>
    <w:link w:val="FootnoteTextChar"/>
    <w:uiPriority w:val="99"/>
    <w:semiHidden/>
    <w:unhideWhenUsed/>
    <w:rsid w:val="00A46379"/>
    <w:pPr>
      <w:spacing w:after="0"/>
    </w:pPr>
    <w:rPr>
      <w:szCs w:val="20"/>
    </w:rPr>
  </w:style>
  <w:style w:type="character" w:customStyle="1" w:styleId="FootnoteTextChar">
    <w:name w:val="Footnote Text Char"/>
    <w:basedOn w:val="DefaultParagraphFont"/>
    <w:link w:val="FootnoteText"/>
    <w:uiPriority w:val="99"/>
    <w:semiHidden/>
    <w:rsid w:val="00A46379"/>
    <w:rPr>
      <w:rFonts w:ascii="Arial" w:hAnsi="Arial"/>
      <w:color w:val="5E6175"/>
      <w:kern w:val="0"/>
      <w:sz w:val="20"/>
      <w:szCs w:val="20"/>
      <w14:ligatures w14:val="none"/>
    </w:rPr>
  </w:style>
  <w:style w:type="character" w:styleId="FootnoteReference">
    <w:name w:val="footnote reference"/>
    <w:basedOn w:val="DefaultParagraphFont"/>
    <w:uiPriority w:val="99"/>
    <w:semiHidden/>
    <w:unhideWhenUsed/>
    <w:rsid w:val="00A46379"/>
    <w:rPr>
      <w:vertAlign w:val="superscript"/>
    </w:rPr>
  </w:style>
  <w:style w:type="paragraph" w:customStyle="1" w:styleId="TableParagraph">
    <w:name w:val="Table Paragraph"/>
    <w:basedOn w:val="Normal"/>
    <w:uiPriority w:val="1"/>
    <w:qFormat/>
    <w:rsid w:val="00A46379"/>
    <w:pPr>
      <w:widowControl w:val="0"/>
      <w:autoSpaceDE w:val="0"/>
      <w:autoSpaceDN w:val="0"/>
      <w:spacing w:before="8" w:after="0"/>
      <w:ind w:left="277"/>
      <w:jc w:val="center"/>
    </w:pPr>
    <w:rPr>
      <w:rFonts w:ascii="Times New Roman" w:eastAsia="Times New Roman" w:hAnsi="Times New Roman" w:cs="Times New Roman"/>
      <w:color w:val="auto"/>
      <w:sz w:val="22"/>
    </w:rPr>
  </w:style>
  <w:style w:type="table" w:styleId="PlainTable1">
    <w:name w:val="Plain Table 1"/>
    <w:basedOn w:val="TableNormal"/>
    <w:uiPriority w:val="41"/>
    <w:rsid w:val="00A46379"/>
    <w:pPr>
      <w:spacing w:after="0" w:line="240" w:lineRule="auto"/>
    </w:pPr>
    <w:rPr>
      <w:rFonts w:ascii="Arial" w:hAnsi="Arial"/>
      <w:color w:val="5E6175"/>
      <w:kern w:val="0"/>
      <w:sz w:val="2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semiHidden/>
    <w:unhideWhenUsed/>
    <w:rsid w:val="00A46379"/>
    <w:pPr>
      <w:spacing w:after="120"/>
    </w:pPr>
  </w:style>
  <w:style w:type="character" w:customStyle="1" w:styleId="BodyTextChar">
    <w:name w:val="Body Text Char"/>
    <w:basedOn w:val="DefaultParagraphFont"/>
    <w:link w:val="BodyText"/>
    <w:uiPriority w:val="99"/>
    <w:semiHidden/>
    <w:rsid w:val="00A46379"/>
    <w:rPr>
      <w:rFonts w:ascii="Arial" w:hAnsi="Arial"/>
      <w:color w:val="5E6175"/>
      <w:kern w:val="0"/>
      <w:sz w:val="20"/>
      <w14:ligatures w14:val="none"/>
    </w:rPr>
  </w:style>
  <w:style w:type="paragraph" w:styleId="Header">
    <w:name w:val="header"/>
    <w:basedOn w:val="Normal"/>
    <w:link w:val="HeaderChar"/>
    <w:uiPriority w:val="99"/>
    <w:unhideWhenUsed/>
    <w:rsid w:val="00FD2D5C"/>
    <w:pPr>
      <w:tabs>
        <w:tab w:val="center" w:pos="4153"/>
        <w:tab w:val="right" w:pos="8306"/>
      </w:tabs>
      <w:spacing w:after="0"/>
    </w:pPr>
  </w:style>
  <w:style w:type="character" w:customStyle="1" w:styleId="HeaderChar">
    <w:name w:val="Header Char"/>
    <w:basedOn w:val="DefaultParagraphFont"/>
    <w:link w:val="Header"/>
    <w:uiPriority w:val="99"/>
    <w:rsid w:val="00FD2D5C"/>
    <w:rPr>
      <w:rFonts w:ascii="Arial" w:hAnsi="Arial"/>
      <w:color w:val="5E6175"/>
      <w:kern w:val="0"/>
      <w:sz w:val="20"/>
      <w14:ligatures w14:val="none"/>
    </w:rPr>
  </w:style>
  <w:style w:type="paragraph" w:styleId="Footer">
    <w:name w:val="footer"/>
    <w:basedOn w:val="Normal"/>
    <w:link w:val="FooterChar"/>
    <w:uiPriority w:val="99"/>
    <w:unhideWhenUsed/>
    <w:rsid w:val="00FD2D5C"/>
    <w:pPr>
      <w:tabs>
        <w:tab w:val="center" w:pos="4153"/>
        <w:tab w:val="right" w:pos="8306"/>
      </w:tabs>
      <w:spacing w:after="0"/>
    </w:pPr>
  </w:style>
  <w:style w:type="character" w:customStyle="1" w:styleId="FooterChar">
    <w:name w:val="Footer Char"/>
    <w:basedOn w:val="DefaultParagraphFont"/>
    <w:link w:val="Footer"/>
    <w:uiPriority w:val="99"/>
    <w:rsid w:val="00FD2D5C"/>
    <w:rPr>
      <w:rFonts w:ascii="Arial" w:hAnsi="Arial"/>
      <w:color w:val="5E6175"/>
      <w:kern w:val="0"/>
      <w:sz w:val="20"/>
      <w14:ligatures w14:val="none"/>
    </w:rPr>
  </w:style>
  <w:style w:type="character" w:styleId="Hyperlink">
    <w:name w:val="Hyperlink"/>
    <w:basedOn w:val="DefaultParagraphFont"/>
    <w:uiPriority w:val="99"/>
    <w:unhideWhenUsed/>
    <w:rsid w:val="00FD2D5C"/>
    <w:rPr>
      <w:color w:val="0563C1" w:themeColor="hyperlink"/>
      <w:u w:val="single"/>
    </w:rPr>
  </w:style>
  <w:style w:type="character" w:styleId="UnresolvedMention">
    <w:name w:val="Unresolved Mention"/>
    <w:basedOn w:val="DefaultParagraphFont"/>
    <w:uiPriority w:val="99"/>
    <w:semiHidden/>
    <w:unhideWhenUsed/>
    <w:rsid w:val="00FD2D5C"/>
    <w:rPr>
      <w:color w:val="605E5C"/>
      <w:shd w:val="clear" w:color="auto" w:fill="E1DFDD"/>
    </w:rPr>
  </w:style>
  <w:style w:type="character" w:styleId="FollowedHyperlink">
    <w:name w:val="FollowedHyperlink"/>
    <w:basedOn w:val="DefaultParagraphFont"/>
    <w:uiPriority w:val="99"/>
    <w:semiHidden/>
    <w:unhideWhenUsed/>
    <w:rsid w:val="00FD2D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38807-teritorijas-attistibas-planosanas-likums" TargetMode="External"/><Relationship Id="rId2" Type="http://schemas.openxmlformats.org/officeDocument/2006/relationships/hyperlink" Target="https://likumi.lv/ta/id/324249-gramatvedibas-likums" TargetMode="External"/><Relationship Id="rId1" Type="http://schemas.openxmlformats.org/officeDocument/2006/relationships/hyperlink" Target="https://www.varam.gov.lv/en/media/5941/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1B47780D051624D8DE587FAE7B5FA6C" ma:contentTypeVersion="17" ma:contentTypeDescription="Izveidot jaunu dokumentu." ma:contentTypeScope="" ma:versionID="b4bc9474b584f0de617bc98e1e927a6d">
  <xsd:schema xmlns:xsd="http://www.w3.org/2001/XMLSchema" xmlns:xs="http://www.w3.org/2001/XMLSchema" xmlns:p="http://schemas.microsoft.com/office/2006/metadata/properties" xmlns:ns2="a89fb681-c182-4799-b37c-5baaa5779afd" xmlns:ns3="101bcb93-aba8-40a6-a808-673e60b9d4a6" targetNamespace="http://schemas.microsoft.com/office/2006/metadata/properties" ma:root="true" ma:fieldsID="63a96ebe18f41fab8dcd39df42203671" ns2:_="" ns3:_="">
    <xsd:import namespace="a89fb681-c182-4799-b37c-5baaa5779afd"/>
    <xsd:import namespace="101bcb93-aba8-40a6-a808-673e60b9d4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fb681-c182-4799-b37c-5baaa5779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f8cd4879-25d4-450b-b64f-ad81e813ef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bcb93-aba8-40a6-a808-673e60b9d4a6" elementFormDefault="qualified">
    <xsd:import namespace="http://schemas.microsoft.com/office/2006/documentManagement/types"/>
    <xsd:import namespace="http://schemas.microsoft.com/office/infopath/2007/PartnerControls"/>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d7536c7c-808d-4677-be6c-198446526566}" ma:internalName="TaxCatchAll" ma:showField="CatchAllData" ma:web="101bcb93-aba8-40a6-a808-673e60b9d4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922A4-5970-4F92-8E49-CC7D43BC9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fb681-c182-4799-b37c-5baaa5779afd"/>
    <ds:schemaRef ds:uri="101bcb93-aba8-40a6-a808-673e60b9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18DC7-73EE-4AE9-BD94-24DAF1EB8BDE}">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2936</Words>
  <Characters>1675</Characters>
  <Application>Microsoft Office Word</Application>
  <DocSecurity>0</DocSecurity>
  <Lines>13</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Consultant</dc:creator>
  <cp:keywords/>
  <dc:description/>
  <cp:lastModifiedBy>Gita Mežupa</cp:lastModifiedBy>
  <cp:revision>5</cp:revision>
  <dcterms:created xsi:type="dcterms:W3CDTF">2023-07-03T08:27:00Z</dcterms:created>
  <dcterms:modified xsi:type="dcterms:W3CDTF">2025-01-27T17:14:00Z</dcterms:modified>
</cp:coreProperties>
</file>