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7724706C" w:rsidR="007E09FD" w:rsidRDefault="00BF0FF2" w:rsidP="008211E6">
      <w:pPr>
        <w:rPr>
          <w:noProof/>
        </w:rPr>
      </w:pPr>
      <w:r>
        <w:rPr>
          <w:noProof/>
        </w:rPr>
        <w:drawing>
          <wp:inline distT="0" distB="0" distL="0" distR="0" wp14:anchorId="4BF9CF40" wp14:editId="25318440">
            <wp:extent cx="6120130" cy="3999865"/>
            <wp:effectExtent l="0" t="0" r="13970" b="635"/>
            <wp:docPr id="20616642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4ADBDE" w14:textId="057D4A5A" w:rsidR="00753E4D" w:rsidRDefault="00753E4D" w:rsidP="008E1C2A">
      <w:pPr>
        <w:pStyle w:val="Footer"/>
        <w:rPr>
          <w:noProof/>
        </w:rPr>
      </w:pPr>
      <w:r>
        <w:tab/>
      </w:r>
      <w:r w:rsidR="00BF0FF2">
        <w:rPr>
          <w:noProof/>
        </w:rPr>
        <w:drawing>
          <wp:inline distT="0" distB="0" distL="0" distR="0" wp14:anchorId="2C4F8061" wp14:editId="6E561CBF">
            <wp:extent cx="6230679" cy="4391246"/>
            <wp:effectExtent l="0" t="0" r="0" b="9525"/>
            <wp:docPr id="7602313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E505ED" w14:textId="3F215081" w:rsidR="00C00D31" w:rsidRPr="00C00D31" w:rsidRDefault="00C00D31" w:rsidP="00C00D31">
      <w:pPr>
        <w:tabs>
          <w:tab w:val="left" w:pos="8306"/>
        </w:tabs>
      </w:pPr>
      <w:r>
        <w:tab/>
      </w:r>
    </w:p>
    <w:p w14:paraId="5B55945C" w14:textId="77777777" w:rsidR="00FC19E4" w:rsidRDefault="002E2D25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7DA98122" wp14:editId="51DD0887">
            <wp:extent cx="6432698" cy="4423144"/>
            <wp:effectExtent l="0" t="0" r="6350" b="15875"/>
            <wp:docPr id="8598309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4B7CED" w14:textId="77777777" w:rsidR="00FC19E4" w:rsidRDefault="00FC19E4" w:rsidP="008E1C2A">
      <w:pPr>
        <w:pStyle w:val="Footer"/>
        <w:jc w:val="right"/>
      </w:pPr>
    </w:p>
    <w:p w14:paraId="7B150593" w14:textId="7D296D1A" w:rsidR="00753E4D" w:rsidRPr="00753E4D" w:rsidRDefault="002E2D25" w:rsidP="008E1C2A">
      <w:pPr>
        <w:pStyle w:val="Footer"/>
        <w:jc w:val="right"/>
      </w:pPr>
      <w:r>
        <w:rPr>
          <w:noProof/>
        </w:rPr>
        <w:drawing>
          <wp:inline distT="0" distB="0" distL="0" distR="0" wp14:anchorId="5568F338" wp14:editId="597C162D">
            <wp:extent cx="6400800" cy="4465320"/>
            <wp:effectExtent l="0" t="0" r="0" b="11430"/>
            <wp:docPr id="14797316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C021B2" w14:textId="399C4305" w:rsidR="00753E4D" w:rsidRPr="00753E4D" w:rsidRDefault="00E6456F" w:rsidP="00753E4D">
      <w:r>
        <w:rPr>
          <w:noProof/>
        </w:rPr>
        <w:lastRenderedPageBreak/>
        <w:drawing>
          <wp:inline distT="0" distB="0" distL="0" distR="0" wp14:anchorId="3AC3D77B" wp14:editId="4362F202">
            <wp:extent cx="6120130" cy="3991610"/>
            <wp:effectExtent l="0" t="0" r="13970" b="8890"/>
            <wp:docPr id="2546647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2232C645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9327F0">
      <w:rPr>
        <w:rFonts w:ascii="Times New Roman" w:hAnsi="Times New Roman" w:cs="Times New Roman"/>
        <w:i/>
        <w:sz w:val="20"/>
        <w:szCs w:val="20"/>
      </w:rPr>
      <w:t>3</w:t>
    </w:r>
    <w:r w:rsidR="00E6456F">
      <w:rPr>
        <w:rFonts w:ascii="Times New Roman" w:hAnsi="Times New Roman" w:cs="Times New Roman"/>
        <w:i/>
        <w:sz w:val="20"/>
        <w:szCs w:val="20"/>
      </w:rPr>
      <w:t>1</w:t>
    </w:r>
    <w:r w:rsidR="00781816">
      <w:rPr>
        <w:rFonts w:ascii="Times New Roman" w:hAnsi="Times New Roman" w:cs="Times New Roman"/>
        <w:i/>
        <w:sz w:val="20"/>
        <w:szCs w:val="20"/>
      </w:rPr>
      <w:t>.1</w:t>
    </w:r>
    <w:r w:rsidR="00E6456F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35713F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4609"/>
    <w:rsid w:val="000A5383"/>
    <w:rsid w:val="000E4AF6"/>
    <w:rsid w:val="00154B9C"/>
    <w:rsid w:val="001759B2"/>
    <w:rsid w:val="001875F7"/>
    <w:rsid w:val="00197EE3"/>
    <w:rsid w:val="00212AD5"/>
    <w:rsid w:val="00213567"/>
    <w:rsid w:val="00236B54"/>
    <w:rsid w:val="002E2D25"/>
    <w:rsid w:val="002F6CDC"/>
    <w:rsid w:val="0035713F"/>
    <w:rsid w:val="003C3EC7"/>
    <w:rsid w:val="003E377C"/>
    <w:rsid w:val="003F5B69"/>
    <w:rsid w:val="00423CB8"/>
    <w:rsid w:val="00442FAE"/>
    <w:rsid w:val="00487AE7"/>
    <w:rsid w:val="004B614D"/>
    <w:rsid w:val="004E5357"/>
    <w:rsid w:val="00521A43"/>
    <w:rsid w:val="005B7F4B"/>
    <w:rsid w:val="005C0597"/>
    <w:rsid w:val="00604808"/>
    <w:rsid w:val="00606DE0"/>
    <w:rsid w:val="00660092"/>
    <w:rsid w:val="0067030D"/>
    <w:rsid w:val="006B65F1"/>
    <w:rsid w:val="006C5BAD"/>
    <w:rsid w:val="006F3042"/>
    <w:rsid w:val="00702EDD"/>
    <w:rsid w:val="00720724"/>
    <w:rsid w:val="007463D8"/>
    <w:rsid w:val="00753E4D"/>
    <w:rsid w:val="00781816"/>
    <w:rsid w:val="007D0122"/>
    <w:rsid w:val="007E09FD"/>
    <w:rsid w:val="007E5F53"/>
    <w:rsid w:val="008211E6"/>
    <w:rsid w:val="008314F4"/>
    <w:rsid w:val="00880401"/>
    <w:rsid w:val="0089656A"/>
    <w:rsid w:val="008B0451"/>
    <w:rsid w:val="008C27D3"/>
    <w:rsid w:val="008D0304"/>
    <w:rsid w:val="008E117A"/>
    <w:rsid w:val="008E1C2A"/>
    <w:rsid w:val="008F39B8"/>
    <w:rsid w:val="008F418D"/>
    <w:rsid w:val="0092493E"/>
    <w:rsid w:val="009327F0"/>
    <w:rsid w:val="00941C01"/>
    <w:rsid w:val="009622EA"/>
    <w:rsid w:val="0099148E"/>
    <w:rsid w:val="009C26B8"/>
    <w:rsid w:val="009E2007"/>
    <w:rsid w:val="009E62EA"/>
    <w:rsid w:val="009F4B3E"/>
    <w:rsid w:val="00A671DC"/>
    <w:rsid w:val="00AC1656"/>
    <w:rsid w:val="00AC5091"/>
    <w:rsid w:val="00AE185D"/>
    <w:rsid w:val="00AF6342"/>
    <w:rsid w:val="00B30B6B"/>
    <w:rsid w:val="00B31F57"/>
    <w:rsid w:val="00B3723B"/>
    <w:rsid w:val="00B5491D"/>
    <w:rsid w:val="00BD4272"/>
    <w:rsid w:val="00BF0FF2"/>
    <w:rsid w:val="00BF528F"/>
    <w:rsid w:val="00C00D31"/>
    <w:rsid w:val="00C209E1"/>
    <w:rsid w:val="00C51A6B"/>
    <w:rsid w:val="00C83859"/>
    <w:rsid w:val="00D20A06"/>
    <w:rsid w:val="00D4695D"/>
    <w:rsid w:val="00D85106"/>
    <w:rsid w:val="00DA36D1"/>
    <w:rsid w:val="00DB2D92"/>
    <w:rsid w:val="00DC2C3F"/>
    <w:rsid w:val="00DD6492"/>
    <w:rsid w:val="00E23038"/>
    <w:rsid w:val="00E25F83"/>
    <w:rsid w:val="00E34523"/>
    <w:rsid w:val="00E37FE6"/>
    <w:rsid w:val="00E40171"/>
    <w:rsid w:val="00E6456F"/>
    <w:rsid w:val="00E979FD"/>
    <w:rsid w:val="00ED1EA8"/>
    <w:rsid w:val="00F15762"/>
    <w:rsid w:val="00F606F8"/>
    <w:rsid w:val="00F74762"/>
    <w:rsid w:val="00F824B9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12_Decembris_2024\GG%20tabulas\Pa&#353;vald&#299;bu%20bilances%20dati%202007-2024%20%20konsol_12_ME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12_Decembris_2024\GG%20tabulas\Pa&#353;vald&#299;bu%20bilances%20dati%202007-2024%20%20konsol_12_MEN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12_Decembris_2024\GG%20tabulas\Pa&#353;vald&#299;bu%20bilances%20dati%202007-2024%20%20konsol_12_MEN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12_Decembris_2024\GG%20tabulas\Pa&#353;vald&#299;bu%20bilances%20dati%202007-2024%20%20konsol_12_MEN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Datu%20b&#257;zes\2024\12_Decembris_2024\Saist&#299;bas_2024_12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/>
              <a:t>Pašvaldību kopbudžeta faktiskie ieņēmumi uz 31.12.2024</a:t>
            </a:r>
            <a:r>
              <a:rPr lang="lv-LV" sz="1400" b="1" i="1"/>
              <a:t>.,</a:t>
            </a:r>
            <a:r>
              <a:rPr lang="lv-LV" sz="1400" b="0" i="1"/>
              <a:t> % no ieņēmumiem kopā*</a:t>
            </a:r>
          </a:p>
        </c:rich>
      </c:tx>
      <c:layout>
        <c:manualLayout>
          <c:xMode val="edge"/>
          <c:yMode val="edge"/>
          <c:x val="0.16083334831122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845778238100114"/>
          <c:y val="0.25055423407771388"/>
          <c:w val="0.74551879582094205"/>
          <c:h val="0.554877693579838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F06-404A-9FED-34F9CDCC9F8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F06-404A-9FED-34F9CDCC9F8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F06-404A-9FED-34F9CDCC9F8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F06-404A-9FED-34F9CDCC9F8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F06-404A-9FED-34F9CDCC9F8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F06-404A-9FED-34F9CDCC9F83}"/>
              </c:ext>
            </c:extLst>
          </c:dPt>
          <c:dLbls>
            <c:dLbl>
              <c:idx val="0"/>
              <c:layout>
                <c:manualLayout>
                  <c:x val="-0.26366187137862479"/>
                  <c:y val="-0.1500374576738167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05050712309171"/>
                      <c:h val="0.136485210563321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F06-404A-9FED-34F9CDCC9F83}"/>
                </c:ext>
              </c:extLst>
            </c:dLbl>
            <c:dLbl>
              <c:idx val="1"/>
              <c:layout>
                <c:manualLayout>
                  <c:x val="-5.2907652755009721E-3"/>
                  <c:y val="0.173722315123582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06-404A-9FED-34F9CDCC9F83}"/>
                </c:ext>
              </c:extLst>
            </c:dLbl>
            <c:dLbl>
              <c:idx val="2"/>
              <c:layout>
                <c:manualLayout>
                  <c:x val="-9.3511085548838614E-4"/>
                  <c:y val="9.31413935220312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2063207807677"/>
                      <c:h val="0.1443258709981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F06-404A-9FED-34F9CDCC9F83}"/>
                </c:ext>
              </c:extLst>
            </c:dLbl>
            <c:dLbl>
              <c:idx val="3"/>
              <c:layout>
                <c:manualLayout>
                  <c:x val="-3.3066346205585351E-2"/>
                  <c:y val="-1.18960574954308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06-404A-9FED-34F9CDCC9F83}"/>
                </c:ext>
              </c:extLst>
            </c:dLbl>
            <c:dLbl>
              <c:idx val="4"/>
              <c:layout>
                <c:manualLayout>
                  <c:x val="-3.1046912900933768E-2"/>
                  <c:y val="-6.55789856904180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93811569362088"/>
                      <c:h val="8.60884054836850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F06-404A-9FED-34F9CDCC9F83}"/>
                </c:ext>
              </c:extLst>
            </c:dLbl>
            <c:dLbl>
              <c:idx val="5"/>
              <c:layout>
                <c:manualLayout>
                  <c:x val="6.2682492038567739E-2"/>
                  <c:y val="-6.408466285737158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65881116904379"/>
                      <c:h val="0.142634563916532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F06-404A-9FED-34F9CDCC9F8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'Ieņēmumi '!$B$2:$B$7</c:f>
              <c:strCache>
                <c:ptCount val="6"/>
                <c:pt idx="0">
                  <c:v>Nodokļu ieņēmumi</c:v>
                </c:pt>
                <c:pt idx="1">
                  <c:v>Nenodokļu ieņēmumi</c:v>
                </c:pt>
                <c:pt idx="2">
                  <c:v>Maksas pakalpojumi un citi pašu ieņēmumi</c:v>
                </c:pt>
                <c:pt idx="3">
                  <c:v>Ārvalstu finanšu palīdzība</c:v>
                </c:pt>
                <c:pt idx="4">
                  <c:v>Transferti</c:v>
                </c:pt>
                <c:pt idx="5">
                  <c:v>Ziedojumi un dāvinājumi</c:v>
                </c:pt>
              </c:strCache>
            </c:strRef>
          </c:cat>
          <c:val>
            <c:numRef>
              <c:f>'Ieņēmumi '!$V$2:$V$7</c:f>
              <c:numCache>
                <c:formatCode>_-* #\ ##0.0_-;\-* #\ ##0.0_-;_-* "-"??_-;_-@_-</c:formatCode>
                <c:ptCount val="6"/>
                <c:pt idx="0">
                  <c:v>63.024270664453951</c:v>
                </c:pt>
                <c:pt idx="1">
                  <c:v>2.633052204984327</c:v>
                </c:pt>
                <c:pt idx="2">
                  <c:v>4.8</c:v>
                </c:pt>
                <c:pt idx="3" formatCode="0.0">
                  <c:v>0.17681966736671723</c:v>
                </c:pt>
                <c:pt idx="4">
                  <c:v>29.366432203308069</c:v>
                </c:pt>
                <c:pt idx="5">
                  <c:v>2.0566818626063715E-2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F06-404A-9FED-34F9CDCC9F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Pašvaldību kopbudžeta faktiskie nodokļu ieņēmumi uz 31.12.2024., </a:t>
            </a:r>
            <a:r>
              <a:rPr lang="lv-LV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% no nodokļu ieņēmumiem kopā*</a:t>
            </a:r>
          </a:p>
        </c:rich>
      </c:tx>
      <c:layout>
        <c:manualLayout>
          <c:xMode val="edge"/>
          <c:yMode val="edge"/>
          <c:x val="0.16161340958519863"/>
          <c:y val="8.23409633640492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15993510416534"/>
          <c:y val="0.16790616410829509"/>
          <c:w val="0.72611499558607651"/>
          <c:h val="0.519363329067845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5D2-4E30-B318-C9675FB49C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5D2-4E30-B318-C9675FB49C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5D2-4E30-B318-C9675FB49CD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5D2-4E30-B318-C9675FB49CD6}"/>
              </c:ext>
            </c:extLst>
          </c:dPt>
          <c:dLbls>
            <c:dLbl>
              <c:idx val="0"/>
              <c:layout>
                <c:manualLayout>
                  <c:x val="-0.13007916455905147"/>
                  <c:y val="0.133229446548288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D2-4E30-B318-C9675FB49CD6}"/>
                </c:ext>
              </c:extLst>
            </c:dLbl>
            <c:dLbl>
              <c:idx val="1"/>
              <c:layout>
                <c:manualLayout>
                  <c:x val="0.12910430842296136"/>
                  <c:y val="9.31959044197636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D2-4E30-B318-C9675FB49CD6}"/>
                </c:ext>
              </c:extLst>
            </c:dLbl>
            <c:dLbl>
              <c:idx val="2"/>
              <c:layout>
                <c:manualLayout>
                  <c:x val="-5.362709428634236E-2"/>
                  <c:y val="7.13193709582114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D2-4E30-B318-C9675FB49CD6}"/>
                </c:ext>
              </c:extLst>
            </c:dLbl>
            <c:dLbl>
              <c:idx val="3"/>
              <c:layout>
                <c:manualLayout>
                  <c:x val="-8.882779360036E-2"/>
                  <c:y val="-2.8492024599318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D2-4E30-B318-C9675FB49C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'Nodokļu ieņēmumi '!$B$2:$B$5</c:f>
              <c:strCache>
                <c:ptCount val="4"/>
                <c:pt idx="0">
                  <c:v>Iedzīvotāju ienākuma nodoklis</c:v>
                </c:pt>
                <c:pt idx="1">
                  <c:v>Nekustamā īpašuma nodoklis</c:v>
                </c:pt>
                <c:pt idx="2">
                  <c:v>Azartspēļu nodoklis</c:v>
                </c:pt>
                <c:pt idx="3">
                  <c:v>Dabas resursu nodoklis</c:v>
                </c:pt>
              </c:strCache>
            </c:strRef>
          </c:cat>
          <c:val>
            <c:numRef>
              <c:f>'Nodokļu ieņēmumi '!$V$2:$V$5</c:f>
              <c:numCache>
                <c:formatCode>0.0</c:formatCode>
                <c:ptCount val="4"/>
                <c:pt idx="0">
                  <c:v>89.181146854332638</c:v>
                </c:pt>
                <c:pt idx="1">
                  <c:v>10.03844774796619</c:v>
                </c:pt>
                <c:pt idx="2">
                  <c:v>6.1218849222495549E-2</c:v>
                </c:pt>
                <c:pt idx="3">
                  <c:v>0.71918654847868191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D2-4E30-B318-C9675FB49C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sz="900" b="0" i="0" u="none" strike="noStrike" kern="1200" baseline="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lv-LV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/>
              <a:t>Pašvaldību kopbudžeta faktiskie izdevumi sadalījumā pa funkcijām uz 31.12.2024., </a:t>
            </a:r>
            <a:r>
              <a:rPr lang="lv-LV" sz="1400" b="0" i="1"/>
              <a:t>% no izdevumiem kopā*</a:t>
            </a:r>
          </a:p>
        </c:rich>
      </c:tx>
      <c:layout>
        <c:manualLayout>
          <c:xMode val="edge"/>
          <c:yMode val="edge"/>
          <c:x val="0.14271369830005209"/>
          <c:y val="5.0330392118070667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366853887291411E-2"/>
          <c:y val="0.33320778766883907"/>
          <c:w val="0.71248919371260788"/>
          <c:h val="0.50890068208558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A8B-423A-9ED2-7C8241B0A33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A8B-423A-9ED2-7C8241B0A33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BA8B-423A-9ED2-7C8241B0A33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BA8B-423A-9ED2-7C8241B0A33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BA8B-423A-9ED2-7C8241B0A33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BA8B-423A-9ED2-7C8241B0A337}"/>
              </c:ext>
            </c:extLst>
          </c:dPt>
          <c:dPt>
            <c:idx val="6"/>
            <c:bubble3D val="0"/>
            <c:spPr>
              <a:solidFill>
                <a:srgbClr val="FF33CC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BA8B-423A-9ED2-7C8241B0A33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BA8B-423A-9ED2-7C8241B0A33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BA8B-423A-9ED2-7C8241B0A337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BA8B-423A-9ED2-7C8241B0A337}"/>
              </c:ext>
            </c:extLst>
          </c:dPt>
          <c:dLbls>
            <c:dLbl>
              <c:idx val="0"/>
              <c:layout>
                <c:manualLayout>
                  <c:x val="-3.8610639292058539E-2"/>
                  <c:y val="-4.6099141936160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8B-423A-9ED2-7C8241B0A337}"/>
                </c:ext>
              </c:extLst>
            </c:dLbl>
            <c:dLbl>
              <c:idx val="1"/>
              <c:layout>
                <c:manualLayout>
                  <c:x val="8.3910912965028478E-2"/>
                  <c:y val="-8.94661878009062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8B-423A-9ED2-7C8241B0A337}"/>
                </c:ext>
              </c:extLst>
            </c:dLbl>
            <c:dLbl>
              <c:idx val="2"/>
              <c:layout>
                <c:manualLayout>
                  <c:x val="8.7880469647177023E-2"/>
                  <c:y val="1.66854928474254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8B-423A-9ED2-7C8241B0A337}"/>
                </c:ext>
              </c:extLst>
            </c:dLbl>
            <c:dLbl>
              <c:idx val="3"/>
              <c:layout>
                <c:manualLayout>
                  <c:x val="5.6844797164421576E-2"/>
                  <c:y val="3.88796626552334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8B-423A-9ED2-7C8241B0A337}"/>
                </c:ext>
              </c:extLst>
            </c:dLbl>
            <c:dLbl>
              <c:idx val="4"/>
              <c:layout>
                <c:manualLayout>
                  <c:x val="4.7464799574922036E-2"/>
                  <c:y val="2.377703804770594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A8B-423A-9ED2-7C8241B0A337}"/>
                </c:ext>
              </c:extLst>
            </c:dLbl>
            <c:dLbl>
              <c:idx val="5"/>
              <c:layout>
                <c:manualLayout>
                  <c:x val="6.9283859315707907E-2"/>
                  <c:y val="5.04275669448308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A8B-423A-9ED2-7C8241B0A337}"/>
                </c:ext>
              </c:extLst>
            </c:dLbl>
            <c:dLbl>
              <c:idx val="6"/>
              <c:layout>
                <c:manualLayout>
                  <c:x val="1.9036742966957326E-2"/>
                  <c:y val="1.67864736389271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A8B-423A-9ED2-7C8241B0A337}"/>
                </c:ext>
              </c:extLst>
            </c:dLbl>
            <c:dLbl>
              <c:idx val="7"/>
              <c:layout>
                <c:manualLayout>
                  <c:x val="-0.10050186638213456"/>
                  <c:y val="6.9177107082594461E-2"/>
                </c:manualLayout>
              </c:layout>
              <c:tx>
                <c:rich>
                  <a:bodyPr/>
                  <a:lstStyle/>
                  <a:p>
                    <a:fld id="{49D219F9-94AB-41ED-BAB5-74570A71BC7A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</a:t>
                    </a:r>
                    <a:fld id="{1A7443CD-1738-4AE1-AC85-D131FDCBD0CB}" type="VALUE">
                      <a:rPr lang="lv-LV" baseline="0"/>
                      <a:pPr/>
                      <a:t>[VALUE]</a:t>
                    </a:fld>
                    <a:endParaRPr lang="lv-LV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A8B-423A-9ED2-7C8241B0A337}"/>
                </c:ext>
              </c:extLst>
            </c:dLbl>
            <c:dLbl>
              <c:idx val="8"/>
              <c:layout>
                <c:manualLayout>
                  <c:x val="0.18339007282792721"/>
                  <c:y val="-0.14186336629592328"/>
                </c:manualLayout>
              </c:layout>
              <c:tx>
                <c:rich>
                  <a:bodyPr/>
                  <a:lstStyle/>
                  <a:p>
                    <a:fld id="{7A4B2047-83D2-4F55-B57B-DE5C9E49744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4465BDEB-32BB-4265-B735-282CEA6FFC8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29692832764507"/>
                      <c:h val="0.139718015665796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BA8B-423A-9ED2-7C8241B0A337}"/>
                </c:ext>
              </c:extLst>
            </c:dLbl>
            <c:dLbl>
              <c:idx val="9"/>
              <c:layout>
                <c:manualLayout>
                  <c:x val="2.16311205754465E-2"/>
                  <c:y val="-3.83135405334714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A8B-423A-9ED2-7C8241B0A33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'Izdevumi pēc funkcijām '!$B$3:$B$12</c:f>
              <c:strCache>
                <c:ptCount val="10"/>
                <c:pt idx="0">
                  <c:v>Vispārējie valdības dienesti</c:v>
                </c:pt>
                <c:pt idx="1">
                  <c:v>Aizsardzība</c:v>
                </c:pt>
                <c:pt idx="2">
                  <c:v>Sabiedriskā kārtība un drošība</c:v>
                </c:pt>
                <c:pt idx="3">
                  <c:v>Ekonomiskā darbība</c:v>
                </c:pt>
                <c:pt idx="4">
                  <c:v>Vides aizsardzība</c:v>
                </c:pt>
                <c:pt idx="5">
                  <c:v>Teritoriju un mājokļu apsaimniekošana</c:v>
                </c:pt>
                <c:pt idx="6">
                  <c:v>Veselība</c:v>
                </c:pt>
                <c:pt idx="7">
                  <c:v>Atpūta, kultūra un reliģija</c:v>
                </c:pt>
                <c:pt idx="8">
                  <c:v>Izglītība</c:v>
                </c:pt>
                <c:pt idx="9">
                  <c:v>Sociālā aizsardzība</c:v>
                </c:pt>
              </c:strCache>
            </c:strRef>
          </c:cat>
          <c:val>
            <c:numRef>
              <c:f>'Izdevumi pēc funkcijām '!$J$3:$J$12</c:f>
              <c:numCache>
                <c:formatCode>#\ ##0.0</c:formatCode>
                <c:ptCount val="10"/>
                <c:pt idx="0">
                  <c:v>13.266764007741317</c:v>
                </c:pt>
                <c:pt idx="1">
                  <c:v>3.7038995016531312E-4</c:v>
                </c:pt>
                <c:pt idx="2">
                  <c:v>1.7076571351017025</c:v>
                </c:pt>
                <c:pt idx="3">
                  <c:v>13.628554785430543</c:v>
                </c:pt>
                <c:pt idx="4">
                  <c:v>1.1345335575097817</c:v>
                </c:pt>
                <c:pt idx="5">
                  <c:v>8.6142178969044139</c:v>
                </c:pt>
                <c:pt idx="6">
                  <c:v>0.46161871850010483</c:v>
                </c:pt>
                <c:pt idx="7">
                  <c:v>6.2878182864196308</c:v>
                </c:pt>
                <c:pt idx="8">
                  <c:v>42.945755651018388</c:v>
                </c:pt>
                <c:pt idx="9">
                  <c:v>11.952709571423949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A8B-423A-9ED2-7C8241B0A33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>
                <a:latin typeface="Times New Roman" panose="02020603050405020304" pitchFamily="18" charset="0"/>
                <a:cs typeface="Times New Roman" panose="02020603050405020304" pitchFamily="18" charset="0"/>
              </a:rPr>
              <a:t>Pašvaldību kopbudžeta faktiskie izdevumi uz 31.12.2024., </a:t>
            </a:r>
            <a:r>
              <a:rPr lang="lv-LV" sz="1400" b="0" i="1">
                <a:latin typeface="Times New Roman" panose="02020603050405020304" pitchFamily="18" charset="0"/>
                <a:cs typeface="Times New Roman" panose="02020603050405020304" pitchFamily="18" charset="0"/>
              </a:rPr>
              <a:t>% no izdevumiem kopā*</a:t>
            </a:r>
          </a:p>
        </c:rich>
      </c:tx>
      <c:layout>
        <c:manualLayout>
          <c:xMode val="edge"/>
          <c:yMode val="edge"/>
          <c:x val="0.103021497312835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30"/>
      <c:rotY val="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914145948014788E-2"/>
          <c:y val="0.22907217357804346"/>
          <c:w val="0.74263857642794662"/>
          <c:h val="0.5303917748336065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98D-46AE-9C7F-9B6C61A2D3E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98D-46AE-9C7F-9B6C61A2D3EA}"/>
              </c:ext>
            </c:extLst>
          </c:dPt>
          <c:dLbls>
            <c:dLbl>
              <c:idx val="0"/>
              <c:layout>
                <c:manualLayout>
                  <c:x val="0.20272642312021044"/>
                  <c:y val="-0.34296932165445432"/>
                </c:manualLayout>
              </c:layout>
              <c:tx>
                <c:rich>
                  <a:bodyPr/>
                  <a:lstStyle/>
                  <a:p>
                    <a:fld id="{423A2DD0-82E3-4A86-B06E-86662F24418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A3B42D8-66D7-4729-B189-CA30D01028D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9180758142937"/>
                      <c:h val="0.1502512107534675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8D-46AE-9C7F-9B6C61A2D3EA}"/>
                </c:ext>
              </c:extLst>
            </c:dLbl>
            <c:dLbl>
              <c:idx val="1"/>
              <c:layout>
                <c:manualLayout>
                  <c:x val="7.1611105116258095E-2"/>
                  <c:y val="-1.5349481343477153E-2"/>
                </c:manualLayout>
              </c:layout>
              <c:tx>
                <c:rich>
                  <a:bodyPr/>
                  <a:lstStyle/>
                  <a:p>
                    <a:fld id="{B6C6CADC-3690-4577-8F14-817E3DCDEA2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9267EAD-3160-4A14-916F-16F8E361831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35743425301533"/>
                      <c:h val="0.13511887711257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98D-46AE-9C7F-9B6C61A2D3E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'Izdevumi '!$B$3:$B$4</c:f>
              <c:strCache>
                <c:ptCount val="2"/>
                <c:pt idx="0">
                  <c:v>Uzturēšanas izdevumi</c:v>
                </c:pt>
                <c:pt idx="1">
                  <c:v>Kapitālie izdevumi</c:v>
                </c:pt>
              </c:strCache>
            </c:strRef>
          </c:cat>
          <c:val>
            <c:numRef>
              <c:f>'Izdevumi '!$U$3:$U$4</c:f>
              <c:numCache>
                <c:formatCode>#\ ##0.0</c:formatCode>
                <c:ptCount val="2"/>
                <c:pt idx="0">
                  <c:v>3311.9564009999999</c:v>
                </c:pt>
                <c:pt idx="1">
                  <c:v>487.27499699999998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8D-46AE-9C7F-9B6C61A2D3E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/>
              <a:t>Pašvaldību uzņemto saistību apmēri* uz 31.12.2024</a:t>
            </a:r>
            <a:r>
              <a:rPr lang="lv-LV" sz="1400" i="0"/>
              <a:t>., </a:t>
            </a:r>
            <a:r>
              <a:rPr lang="lv-LV" sz="1400" b="0" i="1"/>
              <a:t>(%)</a:t>
            </a:r>
          </a:p>
        </c:rich>
      </c:tx>
      <c:layout>
        <c:manualLayout>
          <c:xMode val="edge"/>
          <c:yMode val="edge"/>
          <c:x val="0.15480063331988045"/>
          <c:y val="4.59674166564368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46007315734507"/>
          <c:y val="0.12187658249312346"/>
          <c:w val="0.8360575248630836"/>
          <c:h val="0.6091250278790895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'sagatave grafikam '!$J$4:$J$8</c:f>
              <c:strCache>
                <c:ptCount val="5"/>
                <c:pt idx="0">
                  <c:v>2</c:v>
                </c:pt>
                <c:pt idx="1">
                  <c:v>14</c:v>
                </c:pt>
                <c:pt idx="2">
                  <c:v>20</c:v>
                </c:pt>
                <c:pt idx="3">
                  <c:v>6</c:v>
                </c:pt>
                <c:pt idx="4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DB8-4BED-8F48-8A9580144BE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DB8-4BED-8F48-8A9580144BE7}"/>
              </c:ext>
            </c:extLst>
          </c:dPt>
          <c:cat>
            <c:multiLvlStrRef>
              <c:f>'sagatave grafikam '!$I$4:$J$8</c:f>
              <c:multiLvlStrCache>
                <c:ptCount val="5"/>
                <c:lvl>
                  <c:pt idx="0">
                    <c:v>2</c:v>
                  </c:pt>
                  <c:pt idx="1">
                    <c:v>14</c:v>
                  </c:pt>
                  <c:pt idx="2">
                    <c:v>20</c:v>
                  </c:pt>
                  <c:pt idx="3">
                    <c:v>6</c:v>
                  </c:pt>
                  <c:pt idx="4">
                    <c:v>1</c:v>
                  </c:pt>
                </c:lvl>
                <c:lvl>
                  <c:pt idx="0">
                    <c:v>0.1 - 4.99</c:v>
                  </c:pt>
                  <c:pt idx="1">
                    <c:v>5.0 - 9.99</c:v>
                  </c:pt>
                  <c:pt idx="2">
                    <c:v>10.0 - 14.99</c:v>
                  </c:pt>
                  <c:pt idx="3">
                    <c:v>15.0 - 19.99</c:v>
                  </c:pt>
                  <c:pt idx="4">
                    <c:v>virs 20.00</c:v>
                  </c:pt>
                </c:lvl>
              </c:multiLvlStrCache>
            </c:multiLvlStrRef>
          </c:cat>
          <c:val>
            <c:numRef>
              <c:f>'sagatave grafikam '!$J$4:$J$8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20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B8-4BED-8F48-8A9580144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278016"/>
        <c:axId val="56284288"/>
        <c:axId val="57045440"/>
      </c:bar3DChart>
      <c:catAx>
        <c:axId val="562780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lv-LV"/>
                  <a:t>Saistību apmērs, %</a:t>
                </a:r>
              </a:p>
            </c:rich>
          </c:tx>
          <c:layout>
            <c:manualLayout>
              <c:xMode val="edge"/>
              <c:yMode val="edge"/>
              <c:x val="0.43410640768806746"/>
              <c:y val="0.768006665243737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lv-LV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6284288"/>
        <c:crosses val="autoZero"/>
        <c:auto val="1"/>
        <c:lblAlgn val="ctr"/>
        <c:lblOffset val="100"/>
        <c:noMultiLvlLbl val="0"/>
      </c:catAx>
      <c:valAx>
        <c:axId val="5628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</a:t>
                </a:r>
                <a:r>
                  <a:rPr lang="lv-LV"/>
                  <a:t>ašvaldību skaits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3877052508555917E-2"/>
              <c:y val="0.334481097803538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6278016"/>
        <c:crosses val="autoZero"/>
        <c:crossBetween val="between"/>
      </c:valAx>
      <c:serAx>
        <c:axId val="57045440"/>
        <c:scaling>
          <c:orientation val="minMax"/>
        </c:scaling>
        <c:delete val="1"/>
        <c:axPos val="b"/>
        <c:majorTickMark val="none"/>
        <c:minorTickMark val="none"/>
        <c:tickLblPos val="nextTo"/>
        <c:crossAx val="562842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0.58726</cdr:x>
      <cdr:y>0.9232</cdr:y>
    </cdr:from>
    <cdr:to>
      <cdr:x>0.99048</cdr:x>
      <cdr:y>0.99636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38551" y="3735135"/>
          <a:ext cx="2498252" cy="295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800" b="0"/>
            <a:t>*Pašvaldību pamatbudžets un ziedojumi un dāvinājumi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0.59556</cdr:x>
      <cdr:y>0.9267</cdr:y>
    </cdr:from>
    <cdr:to>
      <cdr:x>0.99878</cdr:x>
      <cdr:y>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644908" y="3743475"/>
          <a:ext cx="2467758" cy="2926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800" b="0"/>
            <a:t>*Pašvaldību pamatbudžets un ziedojumi un dāvinājumi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0.58852</cdr:x>
      <cdr:y>0.95558</cdr:y>
    </cdr:from>
    <cdr:to>
      <cdr:x>0.99174</cdr:x>
      <cdr:y>0.99528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785655" y="4226334"/>
          <a:ext cx="2593732" cy="1755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800" b="0"/>
            <a:t>*Pašvaldību pamatbudžets un ziedojumi un dāvinājumi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0.52914</cdr:x>
      <cdr:y>0.95448</cdr:y>
    </cdr:from>
    <cdr:to>
      <cdr:x>0.99048</cdr:x>
      <cdr:y>0.99636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85461" y="4231758"/>
          <a:ext cx="2864460" cy="185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lv-LV" sz="800" b="0"/>
            <a:t>* Pašvaldību pamatbudžets un ziedojumi un dāvinājumi</a:t>
          </a:r>
        </a:p>
        <a:p xmlns:a="http://schemas.openxmlformats.org/drawingml/2006/main">
          <a:pPr algn="r"/>
          <a:endParaRPr lang="lv-LV" sz="800" b="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0.89768</cdr:y>
    </cdr:from>
    <cdr:to>
      <cdr:x>1</cdr:x>
      <cdr:y>0.99623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583173"/>
          <a:ext cx="6120130" cy="393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eaLnBrk="1" fontAlgn="auto" latinLnBrk="0" hangingPunct="1"/>
          <a:r>
            <a:rPr lang="lv-LV" sz="10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* Saistību</a:t>
          </a:r>
          <a:r>
            <a:rPr lang="lv-LV" sz="10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(aizņēmumu, galvojumu, citu ilgtermiņa saistību) atmaksājamās summas pret 2024.gada pašvaldību plānotajiem pamatbudžeta ieņēmumiem bez valsts budžeta transfertiem noteiktam mērķim un iemaksām PFIF</a:t>
          </a:r>
          <a:endParaRPr lang="lv-LV" sz="10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Līga Rimšāne</cp:lastModifiedBy>
  <cp:revision>64</cp:revision>
  <dcterms:created xsi:type="dcterms:W3CDTF">2022-09-28T09:53:00Z</dcterms:created>
  <dcterms:modified xsi:type="dcterms:W3CDTF">2025-01-28T10:02:00Z</dcterms:modified>
</cp:coreProperties>
</file>