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BF789" w14:textId="77777777" w:rsidR="00E279B8" w:rsidRDefault="00E279B8" w:rsidP="00B33183">
      <w:pPr>
        <w:pStyle w:val="Subtitle"/>
        <w:jc w:val="center"/>
      </w:pPr>
    </w:p>
    <w:p w14:paraId="409411F8" w14:textId="77777777" w:rsidR="00E279B8" w:rsidRDefault="00E279B8" w:rsidP="00B33183">
      <w:pPr>
        <w:pStyle w:val="Subtitle"/>
      </w:pPr>
    </w:p>
    <w:p w14:paraId="0B8230B6" w14:textId="77777777" w:rsidR="00E279B8" w:rsidRDefault="001451E5" w:rsidP="00B33183">
      <w:pPr>
        <w:pStyle w:val="Logo"/>
        <w:tabs>
          <w:tab w:val="left" w:pos="2400"/>
          <w:tab w:val="left" w:pos="6282"/>
          <w:tab w:val="left" w:pos="7185"/>
          <w:tab w:val="right" w:pos="9288"/>
        </w:tabs>
        <w:spacing w:before="0" w:after="120"/>
        <w:jc w:val="left"/>
      </w:pPr>
      <w:r>
        <w:rPr>
          <w:lang w:eastAsia="lv-LV"/>
        </w:rPr>
        <mc:AlternateContent>
          <mc:Choice Requires="wps">
            <w:drawing>
              <wp:anchor distT="0" distB="0" distL="114300" distR="114300" simplePos="0" relativeHeight="251660288" behindDoc="0" locked="0" layoutInCell="1" allowOverlap="1" wp14:anchorId="53B0BD58" wp14:editId="2389DE9C">
                <wp:simplePos x="0" y="0"/>
                <wp:positionH relativeFrom="margin">
                  <wp:posOffset>317068</wp:posOffset>
                </wp:positionH>
                <wp:positionV relativeFrom="paragraph">
                  <wp:posOffset>546456</wp:posOffset>
                </wp:positionV>
                <wp:extent cx="5334000" cy="15944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5334000" cy="1594485"/>
                        </a:xfrm>
                        <a:prstGeom prst="rect">
                          <a:avLst/>
                        </a:prstGeom>
                        <a:solidFill>
                          <a:schemeClr val="lt1"/>
                        </a:solidFill>
                        <a:ln w="6350">
                          <a:noFill/>
                        </a:ln>
                      </wps:spPr>
                      <wps:txbx>
                        <w:txbxContent>
                          <w:p w14:paraId="05780F94" w14:textId="5853AD48" w:rsidR="0049308C" w:rsidRPr="001451E5" w:rsidRDefault="0049308C" w:rsidP="00993753">
                            <w:pPr>
                              <w:ind w:left="0"/>
                              <w:jc w:val="center"/>
                              <w:rPr>
                                <w:rFonts w:cs="Times New Roman"/>
                                <w:b/>
                                <w:sz w:val="48"/>
                                <w:szCs w:val="48"/>
                              </w:rPr>
                            </w:pPr>
                            <w:r w:rsidRPr="001451E5">
                              <w:rPr>
                                <w:rFonts w:cs="Times New Roman"/>
                                <w:b/>
                                <w:sz w:val="48"/>
                                <w:szCs w:val="48"/>
                              </w:rPr>
                              <w:t xml:space="preserve">Informatīvais ziņojums par </w:t>
                            </w:r>
                            <w:r w:rsidR="00652CD0">
                              <w:rPr>
                                <w:rFonts w:cs="Times New Roman"/>
                                <w:b/>
                                <w:sz w:val="48"/>
                                <w:szCs w:val="48"/>
                              </w:rPr>
                              <w:t>ministriju un citu centrālo valsts iestāžu</w:t>
                            </w:r>
                            <w:r w:rsidRPr="001451E5">
                              <w:rPr>
                                <w:rFonts w:cs="Times New Roman"/>
                                <w:b/>
                                <w:sz w:val="48"/>
                                <w:szCs w:val="48"/>
                              </w:rPr>
                              <w:t xml:space="preserve"> prioritārajiem pasākumiem 20</w:t>
                            </w:r>
                            <w:r w:rsidR="00C416BE">
                              <w:rPr>
                                <w:rFonts w:cs="Times New Roman"/>
                                <w:b/>
                                <w:sz w:val="48"/>
                                <w:szCs w:val="48"/>
                              </w:rPr>
                              <w:t>20., 2021. un 2022</w:t>
                            </w:r>
                            <w:r w:rsidRPr="001451E5">
                              <w:rPr>
                                <w:rFonts w:cs="Times New Roman"/>
                                <w:b/>
                                <w:sz w:val="48"/>
                                <w:szCs w:val="48"/>
                              </w:rPr>
                              <w:t>.</w:t>
                            </w:r>
                            <w:r w:rsidR="00C416BE">
                              <w:rPr>
                                <w:rFonts w:cs="Times New Roman"/>
                                <w:b/>
                                <w:sz w:val="48"/>
                                <w:szCs w:val="48"/>
                              </w:rPr>
                              <w:t> </w:t>
                            </w:r>
                            <w:r w:rsidRPr="001451E5">
                              <w:rPr>
                                <w:rFonts w:cs="Times New Roman"/>
                                <w:b/>
                                <w:sz w:val="48"/>
                                <w:szCs w:val="48"/>
                              </w:rPr>
                              <w:t>gadam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0BD58" id="_x0000_t202" coordsize="21600,21600" o:spt="202" path="m,l,21600r21600,l21600,xe">
                <v:stroke joinstyle="miter"/>
                <v:path gradientshapeok="t" o:connecttype="rect"/>
              </v:shapetype>
              <v:shape id="Text Box 4" o:spid="_x0000_s1026" type="#_x0000_t202" style="position:absolute;left:0;text-align:left;margin-left:24.95pt;margin-top:43.05pt;width:420pt;height:125.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" fillcolor="white [3201]" stroked="f" strokeweight=".5pt">
                <v:textbox>
                  <w:txbxContent>
                    <w:p w14:paraId="05780F94" w14:textId="5853AD48" w:rsidR="0049308C" w:rsidRPr="001451E5" w:rsidRDefault="0049308C" w:rsidP="00993753">
                      <w:pPr>
                        <w:ind w:left="0"/>
                        <w:jc w:val="center"/>
                        <w:rPr>
                          <w:rFonts w:cs="Times New Roman"/>
                          <w:b/>
                          <w:sz w:val="48"/>
                          <w:szCs w:val="48"/>
                        </w:rPr>
                      </w:pPr>
                      <w:r w:rsidRPr="001451E5">
                        <w:rPr>
                          <w:rFonts w:cs="Times New Roman"/>
                          <w:b/>
                          <w:sz w:val="48"/>
                          <w:szCs w:val="48"/>
                        </w:rPr>
                        <w:t xml:space="preserve">Informatīvais ziņojums par </w:t>
                      </w:r>
                      <w:r w:rsidR="00652CD0">
                        <w:rPr>
                          <w:rFonts w:cs="Times New Roman"/>
                          <w:b/>
                          <w:sz w:val="48"/>
                          <w:szCs w:val="48"/>
                        </w:rPr>
                        <w:t>ministriju un citu centrālo valsts iestāžu</w:t>
                      </w:r>
                      <w:r w:rsidRPr="001451E5">
                        <w:rPr>
                          <w:rFonts w:cs="Times New Roman"/>
                          <w:b/>
                          <w:sz w:val="48"/>
                          <w:szCs w:val="48"/>
                        </w:rPr>
                        <w:t xml:space="preserve"> prioritārajiem pasākumiem 20</w:t>
                      </w:r>
                      <w:r w:rsidR="00C416BE">
                        <w:rPr>
                          <w:rFonts w:cs="Times New Roman"/>
                          <w:b/>
                          <w:sz w:val="48"/>
                          <w:szCs w:val="48"/>
                        </w:rPr>
                        <w:t>20., 2021. un 2022</w:t>
                      </w:r>
                      <w:r w:rsidRPr="001451E5">
                        <w:rPr>
                          <w:rFonts w:cs="Times New Roman"/>
                          <w:b/>
                          <w:sz w:val="48"/>
                          <w:szCs w:val="48"/>
                        </w:rPr>
                        <w:t>.</w:t>
                      </w:r>
                      <w:r w:rsidR="00C416BE">
                        <w:rPr>
                          <w:rFonts w:cs="Times New Roman"/>
                          <w:b/>
                          <w:sz w:val="48"/>
                          <w:szCs w:val="48"/>
                        </w:rPr>
                        <w:t> </w:t>
                      </w:r>
                      <w:r w:rsidRPr="001451E5">
                        <w:rPr>
                          <w:rFonts w:cs="Times New Roman"/>
                          <w:b/>
                          <w:sz w:val="48"/>
                          <w:szCs w:val="48"/>
                        </w:rPr>
                        <w:t>gadam</w:t>
                      </w:r>
                    </w:p>
                  </w:txbxContent>
                </v:textbox>
                <w10:wrap anchorx="margin"/>
              </v:shape>
            </w:pict>
          </mc:Fallback>
        </mc:AlternateContent>
      </w:r>
      <w:r w:rsidR="000B615F">
        <w:rPr>
          <w:lang w:eastAsia="lv-LV"/>
        </w:rPr>
        <w:drawing>
          <wp:anchor distT="0" distB="0" distL="114300" distR="114300" simplePos="0" relativeHeight="251659264" behindDoc="0" locked="0" layoutInCell="1" allowOverlap="1" wp14:anchorId="075E08B1" wp14:editId="2CF0C5BF">
            <wp:simplePos x="0" y="0"/>
            <wp:positionH relativeFrom="column">
              <wp:posOffset>3686176</wp:posOffset>
            </wp:positionH>
            <wp:positionV relativeFrom="paragraph">
              <wp:posOffset>3080385</wp:posOffset>
            </wp:positionV>
            <wp:extent cx="2218848" cy="2125550"/>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M logo.png"/>
                    <pic:cNvPicPr/>
                  </pic:nvPicPr>
                  <pic:blipFill>
                    <a:blip r:embed="rId8">
                      <a:extLst>
                        <a:ext uri="{28A0092B-C50C-407E-A947-70E740481C1C}">
                          <a14:useLocalDpi xmlns:a14="http://schemas.microsoft.com/office/drawing/2010/main" val="0"/>
                        </a:ext>
                      </a:extLst>
                    </a:blip>
                    <a:stretch>
                      <a:fillRect/>
                    </a:stretch>
                  </pic:blipFill>
                  <pic:spPr>
                    <a:xfrm>
                      <a:off x="0" y="0"/>
                      <a:ext cx="2225532" cy="2131953"/>
                    </a:xfrm>
                    <a:prstGeom prst="rect">
                      <a:avLst/>
                    </a:prstGeom>
                  </pic:spPr>
                </pic:pic>
              </a:graphicData>
            </a:graphic>
            <wp14:sizeRelH relativeFrom="margin">
              <wp14:pctWidth>0</wp14:pctWidth>
            </wp14:sizeRelH>
            <wp14:sizeRelV relativeFrom="margin">
              <wp14:pctHeight>0</wp14:pctHeight>
            </wp14:sizeRelV>
          </wp:anchor>
        </w:drawing>
      </w:r>
      <w:r w:rsidR="00993753">
        <w:tab/>
      </w:r>
      <w:r w:rsidR="00993753">
        <w:tab/>
      </w:r>
      <w:r w:rsidR="00993753">
        <w:tab/>
      </w:r>
      <w:r w:rsidR="00993753">
        <w:tab/>
      </w:r>
    </w:p>
    <w:p w14:paraId="1C9372E3" w14:textId="77777777" w:rsidR="00B33183" w:rsidRDefault="00B33183" w:rsidP="00B33183">
      <w:pPr>
        <w:pStyle w:val="Logo"/>
        <w:tabs>
          <w:tab w:val="left" w:pos="2400"/>
          <w:tab w:val="left" w:pos="6282"/>
          <w:tab w:val="left" w:pos="7185"/>
          <w:tab w:val="right" w:pos="9288"/>
        </w:tabs>
        <w:spacing w:before="0" w:after="120"/>
        <w:jc w:val="left"/>
      </w:pPr>
    </w:p>
    <w:p w14:paraId="5FAB2DDA" w14:textId="77777777" w:rsidR="00B33183" w:rsidRDefault="00B33183" w:rsidP="00B33183">
      <w:pPr>
        <w:pStyle w:val="Logo"/>
        <w:tabs>
          <w:tab w:val="left" w:pos="2400"/>
          <w:tab w:val="left" w:pos="6282"/>
          <w:tab w:val="left" w:pos="7185"/>
          <w:tab w:val="right" w:pos="9288"/>
        </w:tabs>
        <w:spacing w:before="0" w:after="120"/>
        <w:jc w:val="left"/>
      </w:pPr>
    </w:p>
    <w:p w14:paraId="450AF7A9" w14:textId="77777777" w:rsidR="00B33183" w:rsidRDefault="00B33183" w:rsidP="00B33183">
      <w:pPr>
        <w:pStyle w:val="Logo"/>
        <w:tabs>
          <w:tab w:val="left" w:pos="2400"/>
          <w:tab w:val="left" w:pos="6282"/>
          <w:tab w:val="left" w:pos="7185"/>
          <w:tab w:val="right" w:pos="9288"/>
        </w:tabs>
        <w:spacing w:before="0" w:after="120"/>
        <w:jc w:val="left"/>
      </w:pPr>
    </w:p>
    <w:p w14:paraId="50CBE4B6" w14:textId="77777777" w:rsidR="00B33183" w:rsidRDefault="00B33183" w:rsidP="00B33183">
      <w:pPr>
        <w:pStyle w:val="Contactinfo"/>
        <w:spacing w:after="120"/>
        <w:rPr>
          <w:rFonts w:cs="Times New Roman"/>
        </w:rPr>
      </w:pPr>
    </w:p>
    <w:p w14:paraId="1CF1E3AD" w14:textId="77777777" w:rsidR="0062084D" w:rsidRDefault="0062084D" w:rsidP="00B33183">
      <w:pPr>
        <w:pStyle w:val="Contactinfo"/>
        <w:spacing w:after="120"/>
        <w:rPr>
          <w:rFonts w:cs="Times New Roman"/>
        </w:rPr>
      </w:pPr>
    </w:p>
    <w:p w14:paraId="3911FD8C" w14:textId="5DD3312D" w:rsidR="00E279B8" w:rsidRPr="000B615F" w:rsidRDefault="00B10ACC" w:rsidP="00B33183">
      <w:pPr>
        <w:pStyle w:val="Contactinfo"/>
        <w:spacing w:after="120"/>
        <w:rPr>
          <w:rFonts w:cs="Times New Roman"/>
        </w:rPr>
      </w:pPr>
      <w:r>
        <w:rPr>
          <w:rFonts w:cs="Times New Roman"/>
        </w:rPr>
        <w:t>2019</w:t>
      </w:r>
      <w:r w:rsidR="008B4FD0">
        <w:rPr>
          <w:rFonts w:cs="Times New Roman"/>
          <w:caps w:val="0"/>
        </w:rPr>
        <w:t>.</w:t>
      </w:r>
      <w:r w:rsidR="00320B00">
        <w:rPr>
          <w:rFonts w:cs="Times New Roman"/>
          <w:caps w:val="0"/>
        </w:rPr>
        <w:t> </w:t>
      </w:r>
      <w:r w:rsidR="000B615F">
        <w:rPr>
          <w:rFonts w:cs="Times New Roman"/>
          <w:caps w:val="0"/>
        </w:rPr>
        <w:t>gads</w:t>
      </w:r>
    </w:p>
    <w:p w14:paraId="0238BF20" w14:textId="77777777" w:rsidR="00907CBB" w:rsidRDefault="00907CBB" w:rsidP="00B33183">
      <w:pPr>
        <w:rPr>
          <w:noProof/>
        </w:rPr>
      </w:pPr>
    </w:p>
    <w:p w14:paraId="5608EB3E" w14:textId="77777777" w:rsidR="00993753" w:rsidRDefault="00993753" w:rsidP="00B33183">
      <w:pPr>
        <w:rPr>
          <w:noProof/>
        </w:rPr>
      </w:pPr>
    </w:p>
    <w:p w14:paraId="2F358158" w14:textId="77777777" w:rsidR="00993753" w:rsidRDefault="00993753" w:rsidP="00B33183">
      <w:pPr>
        <w:rPr>
          <w:noProof/>
        </w:rPr>
      </w:pPr>
    </w:p>
    <w:p w14:paraId="32AFD2F4" w14:textId="77777777" w:rsidR="000B615F" w:rsidRDefault="000B615F" w:rsidP="00B33183">
      <w:pPr>
        <w:rPr>
          <w:noProof/>
        </w:rPr>
      </w:pPr>
    </w:p>
    <w:p w14:paraId="1E3CA725" w14:textId="77777777" w:rsidR="00993753" w:rsidRDefault="00993753" w:rsidP="00B33183">
      <w:pPr>
        <w:rPr>
          <w:noProof/>
        </w:rPr>
      </w:pPr>
    </w:p>
    <w:p w14:paraId="17E4FB61" w14:textId="77777777" w:rsidR="00DF58CC" w:rsidRDefault="00DF58CC" w:rsidP="00B33183">
      <w:pPr>
        <w:rPr>
          <w:noProof/>
        </w:rPr>
      </w:pPr>
    </w:p>
    <w:p w14:paraId="468C6FE9" w14:textId="77777777" w:rsidR="00DF58CC" w:rsidRDefault="00DF58CC" w:rsidP="00B33183">
      <w:pPr>
        <w:rPr>
          <w:noProof/>
        </w:rPr>
      </w:pPr>
    </w:p>
    <w:p w14:paraId="14AE15EA" w14:textId="16967196" w:rsidR="00DF58CC" w:rsidRDefault="00DF58CC" w:rsidP="00B33183">
      <w:pPr>
        <w:ind w:firstLine="648"/>
        <w:rPr>
          <w:rFonts w:cs="Times New Roman"/>
          <w:szCs w:val="24"/>
        </w:rPr>
      </w:pPr>
    </w:p>
    <w:p w14:paraId="153A4893" w14:textId="4516A338" w:rsidR="000E5F1C" w:rsidRPr="001451E5" w:rsidRDefault="00DF58CC" w:rsidP="00534CDB">
      <w:pPr>
        <w:ind w:left="0" w:right="74" w:firstLine="709"/>
        <w:rPr>
          <w:rFonts w:cs="Times New Roman"/>
          <w:szCs w:val="24"/>
        </w:rPr>
      </w:pPr>
      <w:r w:rsidRPr="001451E5">
        <w:rPr>
          <w:rFonts w:cs="Times New Roman"/>
          <w:szCs w:val="24"/>
        </w:rPr>
        <w:lastRenderedPageBreak/>
        <w:t>Pamatojoties uz Likumu par budžetu un</w:t>
      </w:r>
      <w:r w:rsidR="004526A1" w:rsidRPr="001451E5">
        <w:rPr>
          <w:rFonts w:cs="Times New Roman"/>
          <w:szCs w:val="24"/>
        </w:rPr>
        <w:t xml:space="preserve"> finanšu vadību</w:t>
      </w:r>
      <w:r w:rsidRPr="001451E5">
        <w:rPr>
          <w:rFonts w:cs="Times New Roman"/>
          <w:szCs w:val="24"/>
        </w:rPr>
        <w:t xml:space="preserve">, </w:t>
      </w:r>
      <w:r w:rsidR="00165024">
        <w:rPr>
          <w:rFonts w:cs="Times New Roman"/>
          <w:szCs w:val="24"/>
        </w:rPr>
        <w:t xml:space="preserve">kā arī </w:t>
      </w:r>
      <w:r w:rsidRPr="001451E5">
        <w:rPr>
          <w:rFonts w:cs="Times New Roman"/>
          <w:szCs w:val="24"/>
        </w:rPr>
        <w:t>saskaņā ar 2012.</w:t>
      </w:r>
      <w:r w:rsidR="00C416BE">
        <w:rPr>
          <w:rFonts w:cs="Times New Roman"/>
          <w:szCs w:val="24"/>
        </w:rPr>
        <w:t> </w:t>
      </w:r>
      <w:r w:rsidRPr="001451E5">
        <w:rPr>
          <w:rFonts w:cs="Times New Roman"/>
          <w:szCs w:val="24"/>
        </w:rPr>
        <w:t>gada 11.</w:t>
      </w:r>
      <w:r w:rsidR="00C416BE">
        <w:rPr>
          <w:rFonts w:cs="Times New Roman"/>
          <w:szCs w:val="24"/>
        </w:rPr>
        <w:t> </w:t>
      </w:r>
      <w:r w:rsidRPr="001451E5">
        <w:rPr>
          <w:rFonts w:cs="Times New Roman"/>
          <w:szCs w:val="24"/>
        </w:rPr>
        <w:t>decembra Ministru kabineta (turpmāk – MK) noteikumiem Nr.</w:t>
      </w:r>
      <w:r w:rsidR="00C416BE">
        <w:rPr>
          <w:rFonts w:cs="Times New Roman"/>
          <w:szCs w:val="24"/>
        </w:rPr>
        <w:t> </w:t>
      </w:r>
      <w:r w:rsidRPr="001451E5">
        <w:rPr>
          <w:rFonts w:cs="Times New Roman"/>
          <w:szCs w:val="24"/>
        </w:rPr>
        <w:t xml:space="preserve">867 “Kārtība, kādā nosakāms maksimāli pieļaujamais valsts budžeta izdevumu kopapjoms un maksimāli pieļaujamais valsts budžeta izdevumu kopējais apjoms katrai </w:t>
      </w:r>
      <w:r w:rsidRPr="009222BE">
        <w:rPr>
          <w:rFonts w:cs="Times New Roman"/>
          <w:szCs w:val="24"/>
        </w:rPr>
        <w:t>ministrijai un citām centrālajām valsts iestādēm vidējam termiņam” (turpmā</w:t>
      </w:r>
      <w:r w:rsidR="00C416BE">
        <w:rPr>
          <w:rFonts w:cs="Times New Roman"/>
          <w:szCs w:val="24"/>
        </w:rPr>
        <w:t>k – MK noteikumi Nr.</w:t>
      </w:r>
      <w:r w:rsidR="004A2D0E">
        <w:rPr>
          <w:rFonts w:cs="Times New Roman"/>
          <w:szCs w:val="24"/>
        </w:rPr>
        <w:t> </w:t>
      </w:r>
      <w:r w:rsidR="00C416BE">
        <w:rPr>
          <w:rFonts w:cs="Times New Roman"/>
          <w:szCs w:val="24"/>
        </w:rPr>
        <w:t>867) un 2019</w:t>
      </w:r>
      <w:r w:rsidRPr="009222BE">
        <w:rPr>
          <w:rFonts w:cs="Times New Roman"/>
          <w:szCs w:val="24"/>
        </w:rPr>
        <w:t>.</w:t>
      </w:r>
      <w:r w:rsidR="00C416BE">
        <w:rPr>
          <w:rFonts w:cs="Times New Roman"/>
          <w:szCs w:val="24"/>
        </w:rPr>
        <w:t> gada 20</w:t>
      </w:r>
      <w:r w:rsidRPr="009222BE">
        <w:rPr>
          <w:rFonts w:cs="Times New Roman"/>
          <w:szCs w:val="24"/>
        </w:rPr>
        <w:t>.</w:t>
      </w:r>
      <w:r w:rsidR="00C416BE">
        <w:rPr>
          <w:rFonts w:cs="Times New Roman"/>
          <w:szCs w:val="24"/>
        </w:rPr>
        <w:t> </w:t>
      </w:r>
      <w:r w:rsidRPr="009222BE">
        <w:rPr>
          <w:rFonts w:cs="Times New Roman"/>
          <w:szCs w:val="24"/>
        </w:rPr>
        <w:t>marta rīkojumu Nr.</w:t>
      </w:r>
      <w:r w:rsidR="00C416BE">
        <w:rPr>
          <w:rFonts w:cs="Times New Roman"/>
          <w:szCs w:val="24"/>
        </w:rPr>
        <w:t> 116</w:t>
      </w:r>
      <w:r w:rsidRPr="009222BE">
        <w:rPr>
          <w:rFonts w:cs="Times New Roman"/>
          <w:szCs w:val="24"/>
        </w:rPr>
        <w:t xml:space="preserve"> “Par likumprojekta “Par vidēja termiņa budžeta ietvaru 20</w:t>
      </w:r>
      <w:r w:rsidR="00C416BE">
        <w:rPr>
          <w:rFonts w:cs="Times New Roman"/>
          <w:szCs w:val="24"/>
        </w:rPr>
        <w:t>20</w:t>
      </w:r>
      <w:r w:rsidRPr="009222BE">
        <w:rPr>
          <w:rFonts w:cs="Times New Roman"/>
          <w:szCs w:val="24"/>
        </w:rPr>
        <w:t>., 202</w:t>
      </w:r>
      <w:r w:rsidR="00C416BE">
        <w:rPr>
          <w:rFonts w:cs="Times New Roman"/>
          <w:szCs w:val="24"/>
        </w:rPr>
        <w:t>1. un 2022</w:t>
      </w:r>
      <w:r w:rsidRPr="009222BE">
        <w:rPr>
          <w:rFonts w:cs="Times New Roman"/>
          <w:szCs w:val="24"/>
        </w:rPr>
        <w:t>. gadam” un likumprojekta “</w:t>
      </w:r>
      <w:r w:rsidR="00C416BE">
        <w:rPr>
          <w:rFonts w:cs="Times New Roman"/>
          <w:szCs w:val="24"/>
        </w:rPr>
        <w:t>Par valsts budžetu 2020</w:t>
      </w:r>
      <w:r w:rsidRPr="009222BE">
        <w:rPr>
          <w:rFonts w:cs="Times New Roman"/>
          <w:szCs w:val="24"/>
        </w:rPr>
        <w:t>.</w:t>
      </w:r>
      <w:r w:rsidR="00C416BE">
        <w:rPr>
          <w:rFonts w:cs="Times New Roman"/>
          <w:szCs w:val="24"/>
        </w:rPr>
        <w:t> </w:t>
      </w:r>
      <w:r w:rsidRPr="009222BE">
        <w:rPr>
          <w:rFonts w:cs="Times New Roman"/>
          <w:szCs w:val="24"/>
        </w:rPr>
        <w:t>gadam” sagatavošanas grafiku”, Finanšu ministrija</w:t>
      </w:r>
      <w:r w:rsidR="00250E05" w:rsidRPr="009222BE">
        <w:rPr>
          <w:rFonts w:cs="Times New Roman"/>
          <w:szCs w:val="24"/>
        </w:rPr>
        <w:t xml:space="preserve"> (turpmāk – </w:t>
      </w:r>
      <w:r w:rsidR="00165024" w:rsidRPr="009222BE">
        <w:rPr>
          <w:rFonts w:cs="Times New Roman"/>
          <w:szCs w:val="24"/>
        </w:rPr>
        <w:t>FM)</w:t>
      </w:r>
      <w:r w:rsidR="00781BD8" w:rsidRPr="009222BE">
        <w:rPr>
          <w:rFonts w:cs="Times New Roman"/>
          <w:szCs w:val="24"/>
        </w:rPr>
        <w:t xml:space="preserve"> </w:t>
      </w:r>
      <w:r w:rsidRPr="009222BE">
        <w:rPr>
          <w:rFonts w:cs="Times New Roman"/>
          <w:szCs w:val="24"/>
        </w:rPr>
        <w:t xml:space="preserve">ir sagatavojusi informatīvo ziņojumu par valsts budžeta prioritārajiem pasākumiem (turpmāk – </w:t>
      </w:r>
      <w:r w:rsidR="005730E7" w:rsidRPr="009222BE">
        <w:rPr>
          <w:rFonts w:cs="Times New Roman"/>
          <w:szCs w:val="24"/>
        </w:rPr>
        <w:t>PP</w:t>
      </w:r>
      <w:r w:rsidR="00C416BE">
        <w:rPr>
          <w:rFonts w:cs="Times New Roman"/>
          <w:szCs w:val="24"/>
        </w:rPr>
        <w:t>) 2020., 2021. un 2022</w:t>
      </w:r>
      <w:r w:rsidRPr="009222BE">
        <w:rPr>
          <w:rFonts w:cs="Times New Roman"/>
          <w:szCs w:val="24"/>
        </w:rPr>
        <w:t>.</w:t>
      </w:r>
      <w:r w:rsidR="00C416BE">
        <w:rPr>
          <w:rFonts w:cs="Times New Roman"/>
          <w:szCs w:val="24"/>
        </w:rPr>
        <w:t xml:space="preserve"> </w:t>
      </w:r>
      <w:r w:rsidRPr="009222BE">
        <w:rPr>
          <w:rFonts w:cs="Times New Roman"/>
          <w:szCs w:val="24"/>
        </w:rPr>
        <w:t>gadam.</w:t>
      </w:r>
      <w:r w:rsidR="002272ED">
        <w:rPr>
          <w:rFonts w:cs="Times New Roman"/>
          <w:szCs w:val="24"/>
        </w:rPr>
        <w:t xml:space="preserve"> </w:t>
      </w:r>
    </w:p>
    <w:p w14:paraId="37C3E925" w14:textId="79F13D76" w:rsidR="0082356D" w:rsidRPr="001451E5" w:rsidRDefault="00A57539" w:rsidP="00D65F8A">
      <w:pPr>
        <w:pStyle w:val="ListParagraph"/>
        <w:numPr>
          <w:ilvl w:val="0"/>
          <w:numId w:val="13"/>
        </w:numPr>
        <w:spacing w:before="120"/>
        <w:ind w:left="431" w:right="74" w:hanging="357"/>
        <w:contextualSpacing w:val="0"/>
        <w:jc w:val="center"/>
        <w:rPr>
          <w:rFonts w:cs="Times New Roman"/>
          <w:b/>
          <w:szCs w:val="24"/>
        </w:rPr>
      </w:pPr>
      <w:r w:rsidRPr="00A57539">
        <w:rPr>
          <w:noProof/>
          <w:lang w:eastAsia="lv-LV"/>
        </w:rPr>
        <mc:AlternateContent>
          <mc:Choice Requires="wps">
            <w:drawing>
              <wp:anchor distT="0" distB="0" distL="114300" distR="114300" simplePos="0" relativeHeight="251676672" behindDoc="0" locked="0" layoutInCell="1" allowOverlap="1" wp14:anchorId="30467DC3" wp14:editId="65080F13">
                <wp:simplePos x="0" y="0"/>
                <wp:positionH relativeFrom="column">
                  <wp:posOffset>10541111</wp:posOffset>
                </wp:positionH>
                <wp:positionV relativeFrom="paragraph">
                  <wp:posOffset>-74405</wp:posOffset>
                </wp:positionV>
                <wp:extent cx="1019175" cy="371475"/>
                <wp:effectExtent l="0" t="0" r="9525" b="9525"/>
                <wp:wrapNone/>
                <wp:docPr id="15" name="TextBox 4"/>
                <wp:cNvGraphicFramePr/>
                <a:graphic xmlns:a="http://schemas.openxmlformats.org/drawingml/2006/main">
                  <a:graphicData uri="http://schemas.microsoft.com/office/word/2010/wordprocessingShape">
                    <wps:wsp>
                      <wps:cNvSpPr txBox="1"/>
                      <wps:spPr>
                        <a:xfrm>
                          <a:off x="0" y="0"/>
                          <a:ext cx="1019175" cy="3714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D1BDED5" w14:textId="77777777" w:rsidR="00A57539" w:rsidRDefault="00A57539" w:rsidP="00A57539">
                            <w:pPr>
                              <w:pStyle w:val="NormalWeb"/>
                              <w:spacing w:before="0" w:beforeAutospacing="0" w:after="0" w:afterAutospacing="0"/>
                            </w:pPr>
                            <w:r>
                              <w:rPr>
                                <w:color w:val="000000" w:themeColor="dark1"/>
                                <w:sz w:val="34"/>
                                <w:szCs w:val="34"/>
                                <w:lang w:val="el-GR"/>
                              </w:rPr>
                              <w:t>Σ</w:t>
                            </w:r>
                            <w:r>
                              <w:rPr>
                                <w:color w:val="000000" w:themeColor="dark1"/>
                                <w:sz w:val="34"/>
                                <w:szCs w:val="34"/>
                              </w:rPr>
                              <w:t xml:space="preserve"> 1 882,9</w:t>
                            </w:r>
                          </w:p>
                        </w:txbxContent>
                      </wps:txbx>
                      <wps:bodyPr vertOverflow="clip" horzOverflow="clip" wrap="square" rtlCol="0" anchor="t"/>
                    </wps:wsp>
                  </a:graphicData>
                </a:graphic>
              </wp:anchor>
            </w:drawing>
          </mc:Choice>
          <mc:Fallback>
            <w:pict>
              <v:shape w14:anchorId="30467DC3" id="TextBox 4" o:spid="_x0000_s1027" type="#_x0000_t202" style="position:absolute;left:0;text-align:left;margin-left:830pt;margin-top:-5.85pt;width:80.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" fillcolor="white [3201]" stroked="f">
                <v:textbox>
                  <w:txbxContent>
                    <w:p w14:paraId="1D1BDED5" w14:textId="77777777" w:rsidR="00A57539" w:rsidRDefault="00A57539" w:rsidP="00A57539">
                      <w:pPr>
                        <w:pStyle w:val="NormalWeb"/>
                        <w:spacing w:before="0" w:beforeAutospacing="0" w:after="0" w:afterAutospacing="0"/>
                      </w:pPr>
                      <w:r>
                        <w:rPr>
                          <w:color w:val="000000" w:themeColor="dark1"/>
                          <w:sz w:val="34"/>
                          <w:szCs w:val="34"/>
                          <w:lang w:val="el-GR"/>
                        </w:rPr>
                        <w:t>Σ</w:t>
                      </w:r>
                      <w:r>
                        <w:rPr>
                          <w:color w:val="000000" w:themeColor="dark1"/>
                          <w:sz w:val="34"/>
                          <w:szCs w:val="34"/>
                        </w:rPr>
                        <w:t xml:space="preserve"> 1 882,9</w:t>
                      </w:r>
                    </w:p>
                  </w:txbxContent>
                </v:textbox>
              </v:shape>
            </w:pict>
          </mc:Fallback>
        </mc:AlternateContent>
      </w:r>
      <w:r w:rsidR="004526A1" w:rsidRPr="001451E5">
        <w:rPr>
          <w:rFonts w:cs="Times New Roman"/>
          <w:b/>
          <w:szCs w:val="24"/>
        </w:rPr>
        <w:t xml:space="preserve">Iesniegtie priekšlikumi </w:t>
      </w:r>
      <w:r w:rsidR="0016546E">
        <w:rPr>
          <w:rFonts w:cs="Times New Roman"/>
          <w:b/>
          <w:szCs w:val="24"/>
        </w:rPr>
        <w:t>PP</w:t>
      </w:r>
    </w:p>
    <w:p w14:paraId="30481CE9" w14:textId="0B81F286" w:rsidR="00534CDB" w:rsidRDefault="00AC6C4E" w:rsidP="00534CDB">
      <w:pPr>
        <w:spacing w:before="120"/>
        <w:ind w:left="74" w:right="74" w:firstLine="635"/>
        <w:rPr>
          <w:rFonts w:cs="Times New Roman"/>
          <w:szCs w:val="24"/>
        </w:rPr>
      </w:pPr>
      <w:r w:rsidRPr="001451E5">
        <w:rPr>
          <w:rFonts w:cs="Times New Roman"/>
          <w:szCs w:val="24"/>
        </w:rPr>
        <w:t>Ministriju papil</w:t>
      </w:r>
      <w:r w:rsidR="00D657AC">
        <w:rPr>
          <w:rFonts w:cs="Times New Roman"/>
          <w:szCs w:val="24"/>
        </w:rPr>
        <w:t>du finansējuma pieprasījumi 2020</w:t>
      </w:r>
      <w:r w:rsidRPr="001451E5">
        <w:rPr>
          <w:rFonts w:cs="Times New Roman"/>
          <w:szCs w:val="24"/>
        </w:rPr>
        <w:t>.</w:t>
      </w:r>
      <w:r w:rsidR="00D657AC">
        <w:rPr>
          <w:rFonts w:cs="Times New Roman"/>
          <w:szCs w:val="24"/>
        </w:rPr>
        <w:t> </w:t>
      </w:r>
      <w:r w:rsidRPr="001451E5">
        <w:rPr>
          <w:rFonts w:cs="Times New Roman"/>
          <w:szCs w:val="24"/>
        </w:rPr>
        <w:t xml:space="preserve">gadam kopā veido </w:t>
      </w:r>
      <w:r w:rsidR="00534CDB" w:rsidRPr="008666C3">
        <w:rPr>
          <w:rFonts w:cs="Times New Roman"/>
          <w:szCs w:val="24"/>
        </w:rPr>
        <w:t>953,</w:t>
      </w:r>
      <w:r w:rsidR="00032D50">
        <w:rPr>
          <w:rFonts w:cs="Times New Roman"/>
          <w:szCs w:val="24"/>
        </w:rPr>
        <w:t>5</w:t>
      </w:r>
      <w:r w:rsidR="00534CDB" w:rsidRPr="008666C3">
        <w:rPr>
          <w:rFonts w:cs="Times New Roman"/>
          <w:szCs w:val="24"/>
        </w:rPr>
        <w:t xml:space="preserve"> </w:t>
      </w:r>
      <w:proofErr w:type="spellStart"/>
      <w:r w:rsidR="00534CDB" w:rsidRPr="008666C3">
        <w:rPr>
          <w:rFonts w:cs="Times New Roman"/>
          <w:szCs w:val="24"/>
          <w:lang w:val="en-US"/>
        </w:rPr>
        <w:t>milj</w:t>
      </w:r>
      <w:proofErr w:type="spellEnd"/>
      <w:r w:rsidR="00534CDB" w:rsidRPr="008666C3">
        <w:rPr>
          <w:rFonts w:cs="Times New Roman"/>
          <w:szCs w:val="24"/>
          <w:lang w:val="en-US"/>
        </w:rPr>
        <w:t xml:space="preserve">. </w:t>
      </w:r>
      <w:proofErr w:type="gramStart"/>
      <w:r w:rsidR="00534CDB" w:rsidRPr="008666C3">
        <w:rPr>
          <w:rFonts w:cs="Times New Roman"/>
          <w:i/>
          <w:iCs/>
          <w:szCs w:val="24"/>
          <w:lang w:val="en-US"/>
        </w:rPr>
        <w:t>euro</w:t>
      </w:r>
      <w:proofErr w:type="gramEnd"/>
      <w:r w:rsidR="00534CDB" w:rsidRPr="008666C3">
        <w:rPr>
          <w:rFonts w:cs="Times New Roman"/>
          <w:szCs w:val="24"/>
          <w:lang w:val="en-US"/>
        </w:rPr>
        <w:t>, 202</w:t>
      </w:r>
      <w:r w:rsidR="00534CDB" w:rsidRPr="008666C3">
        <w:rPr>
          <w:rFonts w:cs="Times New Roman"/>
          <w:szCs w:val="24"/>
        </w:rPr>
        <w:t>1</w:t>
      </w:r>
      <w:r w:rsidR="00534CDB" w:rsidRPr="008666C3">
        <w:rPr>
          <w:rFonts w:cs="Times New Roman"/>
          <w:szCs w:val="24"/>
          <w:lang w:val="en-US"/>
        </w:rPr>
        <w:t>.</w:t>
      </w:r>
      <w:r w:rsidR="00534CDB" w:rsidRPr="008666C3">
        <w:rPr>
          <w:rFonts w:cs="Times New Roman"/>
          <w:szCs w:val="24"/>
        </w:rPr>
        <w:t xml:space="preserve"> </w:t>
      </w:r>
      <w:proofErr w:type="spellStart"/>
      <w:proofErr w:type="gramStart"/>
      <w:r w:rsidR="00534CDB" w:rsidRPr="008666C3">
        <w:rPr>
          <w:rFonts w:cs="Times New Roman"/>
          <w:szCs w:val="24"/>
          <w:lang w:val="en-US"/>
        </w:rPr>
        <w:t>gadam</w:t>
      </w:r>
      <w:proofErr w:type="spellEnd"/>
      <w:proofErr w:type="gramEnd"/>
      <w:r w:rsidR="00534CDB" w:rsidRPr="008666C3">
        <w:rPr>
          <w:rFonts w:cs="Times New Roman"/>
          <w:szCs w:val="24"/>
          <w:lang w:val="en-US"/>
        </w:rPr>
        <w:t xml:space="preserve"> – 1</w:t>
      </w:r>
      <w:r w:rsidR="00534CDB" w:rsidRPr="008666C3">
        <w:rPr>
          <w:rFonts w:cs="Times New Roman"/>
          <w:szCs w:val="24"/>
        </w:rPr>
        <w:t xml:space="preserve"> 817,</w:t>
      </w:r>
      <w:r w:rsidR="00032D50">
        <w:rPr>
          <w:rFonts w:cs="Times New Roman"/>
          <w:szCs w:val="24"/>
        </w:rPr>
        <w:t>4</w:t>
      </w:r>
      <w:r w:rsidR="00534CDB" w:rsidRPr="008666C3">
        <w:rPr>
          <w:rFonts w:cs="Times New Roman"/>
          <w:szCs w:val="24"/>
          <w:lang w:val="en-US"/>
        </w:rPr>
        <w:t xml:space="preserve"> </w:t>
      </w:r>
      <w:proofErr w:type="spellStart"/>
      <w:r w:rsidR="00534CDB" w:rsidRPr="008666C3">
        <w:rPr>
          <w:rFonts w:cs="Times New Roman"/>
          <w:szCs w:val="24"/>
          <w:lang w:val="en-US"/>
        </w:rPr>
        <w:t>milj</w:t>
      </w:r>
      <w:proofErr w:type="spellEnd"/>
      <w:r w:rsidR="00534CDB" w:rsidRPr="008666C3">
        <w:rPr>
          <w:rFonts w:cs="Times New Roman"/>
          <w:szCs w:val="24"/>
          <w:lang w:val="en-US"/>
        </w:rPr>
        <w:t xml:space="preserve">. </w:t>
      </w:r>
      <w:proofErr w:type="gramStart"/>
      <w:r w:rsidR="00534CDB" w:rsidRPr="008666C3">
        <w:rPr>
          <w:rFonts w:cs="Times New Roman"/>
          <w:i/>
          <w:iCs/>
          <w:szCs w:val="24"/>
          <w:lang w:val="en-US"/>
        </w:rPr>
        <w:t>euro</w:t>
      </w:r>
      <w:proofErr w:type="gramEnd"/>
      <w:r w:rsidR="00534CDB" w:rsidRPr="008666C3">
        <w:rPr>
          <w:rFonts w:cs="Times New Roman"/>
          <w:szCs w:val="24"/>
          <w:lang w:val="en-US"/>
        </w:rPr>
        <w:t xml:space="preserve"> un 202</w:t>
      </w:r>
      <w:r w:rsidR="00534CDB" w:rsidRPr="008666C3">
        <w:rPr>
          <w:rFonts w:cs="Times New Roman"/>
          <w:szCs w:val="24"/>
        </w:rPr>
        <w:t>2</w:t>
      </w:r>
      <w:r w:rsidR="00534CDB" w:rsidRPr="008666C3">
        <w:rPr>
          <w:rFonts w:cs="Times New Roman"/>
          <w:szCs w:val="24"/>
          <w:lang w:val="en-US"/>
        </w:rPr>
        <w:t>.</w:t>
      </w:r>
      <w:r w:rsidR="00534CDB" w:rsidRPr="008666C3">
        <w:rPr>
          <w:rFonts w:cs="Times New Roman"/>
          <w:szCs w:val="24"/>
        </w:rPr>
        <w:t xml:space="preserve"> </w:t>
      </w:r>
      <w:proofErr w:type="spellStart"/>
      <w:proofErr w:type="gramStart"/>
      <w:r w:rsidR="00534CDB" w:rsidRPr="008666C3">
        <w:rPr>
          <w:rFonts w:cs="Times New Roman"/>
          <w:szCs w:val="24"/>
          <w:lang w:val="en-US"/>
        </w:rPr>
        <w:t>gadam</w:t>
      </w:r>
      <w:proofErr w:type="spellEnd"/>
      <w:proofErr w:type="gramEnd"/>
      <w:r w:rsidR="00534CDB" w:rsidRPr="008666C3">
        <w:rPr>
          <w:rFonts w:cs="Times New Roman"/>
          <w:szCs w:val="24"/>
          <w:lang w:val="en-US"/>
        </w:rPr>
        <w:t xml:space="preserve"> – </w:t>
      </w:r>
      <w:r w:rsidR="00534CDB" w:rsidRPr="008666C3">
        <w:rPr>
          <w:rFonts w:cs="Times New Roman"/>
          <w:szCs w:val="24"/>
        </w:rPr>
        <w:t>2 139,</w:t>
      </w:r>
      <w:r w:rsidR="00032D50">
        <w:rPr>
          <w:rFonts w:cs="Times New Roman"/>
          <w:szCs w:val="24"/>
        </w:rPr>
        <w:t>3</w:t>
      </w:r>
      <w:r w:rsidR="00534CDB" w:rsidRPr="008666C3">
        <w:rPr>
          <w:rFonts w:cs="Times New Roman"/>
          <w:szCs w:val="24"/>
          <w:lang w:val="en-US"/>
        </w:rPr>
        <w:t xml:space="preserve"> </w:t>
      </w:r>
      <w:proofErr w:type="spellStart"/>
      <w:r w:rsidR="00534CDB" w:rsidRPr="008666C3">
        <w:rPr>
          <w:rFonts w:cs="Times New Roman"/>
          <w:szCs w:val="24"/>
          <w:lang w:val="en-US"/>
        </w:rPr>
        <w:t>milj</w:t>
      </w:r>
      <w:proofErr w:type="spellEnd"/>
      <w:r w:rsidR="00534CDB" w:rsidRPr="008666C3">
        <w:rPr>
          <w:rFonts w:cs="Times New Roman"/>
          <w:szCs w:val="24"/>
          <w:lang w:val="en-US"/>
        </w:rPr>
        <w:t xml:space="preserve">. </w:t>
      </w:r>
      <w:proofErr w:type="gramStart"/>
      <w:r w:rsidR="00534CDB" w:rsidRPr="008666C3">
        <w:rPr>
          <w:rFonts w:cs="Times New Roman"/>
          <w:i/>
          <w:iCs/>
          <w:szCs w:val="24"/>
          <w:lang w:val="en-US"/>
        </w:rPr>
        <w:t>euro</w:t>
      </w:r>
      <w:proofErr w:type="gramEnd"/>
      <w:r w:rsidR="00534CDB" w:rsidRPr="008666C3">
        <w:rPr>
          <w:rFonts w:cs="Times New Roman"/>
          <w:i/>
          <w:iCs/>
          <w:szCs w:val="24"/>
        </w:rPr>
        <w:t xml:space="preserve">. </w:t>
      </w:r>
      <w:r w:rsidR="008666C3" w:rsidRPr="008666C3">
        <w:rPr>
          <w:rFonts w:cs="Times New Roman"/>
          <w:szCs w:val="24"/>
        </w:rPr>
        <w:t xml:space="preserve"> </w:t>
      </w:r>
      <w:r w:rsidR="00D657AC" w:rsidRPr="00D657AC">
        <w:rPr>
          <w:rFonts w:cs="Times New Roman"/>
          <w:szCs w:val="24"/>
        </w:rPr>
        <w:t>(</w:t>
      </w:r>
      <w:r w:rsidR="000E5F1C">
        <w:rPr>
          <w:rFonts w:cs="Times New Roman"/>
          <w:szCs w:val="24"/>
        </w:rPr>
        <w:t>Attēls Nr.1</w:t>
      </w:r>
      <w:r w:rsidR="00D657AC" w:rsidRPr="00D657AC">
        <w:rPr>
          <w:rFonts w:cs="Times New Roman"/>
          <w:szCs w:val="24"/>
        </w:rPr>
        <w:t>)</w:t>
      </w:r>
      <w:r w:rsidR="00D657AC">
        <w:rPr>
          <w:rFonts w:cs="Times New Roman"/>
          <w:szCs w:val="24"/>
        </w:rPr>
        <w:t>.</w:t>
      </w:r>
      <w:r w:rsidR="00D47840">
        <w:rPr>
          <w:rFonts w:cs="Times New Roman"/>
          <w:i/>
          <w:szCs w:val="24"/>
        </w:rPr>
        <w:t xml:space="preserve"> </w:t>
      </w:r>
      <w:r w:rsidR="00D657AC">
        <w:rPr>
          <w:rFonts w:cs="Times New Roman"/>
          <w:szCs w:val="24"/>
        </w:rPr>
        <w:t xml:space="preserve">Papildu finansējuma pieprasījumi ir </w:t>
      </w:r>
      <w:r w:rsidR="002E7B64" w:rsidRPr="001451E5">
        <w:rPr>
          <w:rFonts w:cs="Times New Roman"/>
          <w:szCs w:val="24"/>
        </w:rPr>
        <w:t>atspoguļot</w:t>
      </w:r>
      <w:r w:rsidR="00D47840">
        <w:rPr>
          <w:rFonts w:cs="Times New Roman"/>
          <w:szCs w:val="24"/>
        </w:rPr>
        <w:t>i</w:t>
      </w:r>
      <w:r w:rsidR="002E7B64" w:rsidRPr="001451E5">
        <w:rPr>
          <w:rFonts w:cs="Times New Roman"/>
          <w:szCs w:val="24"/>
        </w:rPr>
        <w:t xml:space="preserve"> sadalījumā pa </w:t>
      </w:r>
      <w:r w:rsidR="00D47840">
        <w:rPr>
          <w:rFonts w:cs="Times New Roman"/>
          <w:szCs w:val="24"/>
        </w:rPr>
        <w:t xml:space="preserve">PP </w:t>
      </w:r>
      <w:r w:rsidR="002E7B64" w:rsidRPr="001451E5">
        <w:rPr>
          <w:rFonts w:cs="Times New Roman"/>
          <w:szCs w:val="24"/>
        </w:rPr>
        <w:t>veidiem</w:t>
      </w:r>
      <w:r w:rsidR="00D47840">
        <w:rPr>
          <w:rFonts w:cs="Times New Roman"/>
          <w:szCs w:val="24"/>
        </w:rPr>
        <w:t xml:space="preserve"> – vienas ministrijas ietvaros īstenojam</w:t>
      </w:r>
      <w:r w:rsidR="00D657AC">
        <w:rPr>
          <w:rFonts w:cs="Times New Roman"/>
          <w:szCs w:val="24"/>
        </w:rPr>
        <w:t>ais</w:t>
      </w:r>
      <w:r w:rsidR="00D47840">
        <w:rPr>
          <w:rFonts w:cs="Times New Roman"/>
          <w:szCs w:val="24"/>
        </w:rPr>
        <w:t xml:space="preserve"> PP un starpnozaru PP</w:t>
      </w:r>
      <w:r w:rsidR="002E7B64" w:rsidRPr="001451E5">
        <w:rPr>
          <w:rFonts w:cs="Times New Roman"/>
          <w:szCs w:val="24"/>
        </w:rPr>
        <w:t xml:space="preserve">. </w:t>
      </w:r>
      <w:r w:rsidR="00793FB6">
        <w:rPr>
          <w:rFonts w:cs="Times New Roman"/>
          <w:szCs w:val="24"/>
        </w:rPr>
        <w:t xml:space="preserve">Starpnozaru PP vidēji </w:t>
      </w:r>
      <w:r w:rsidR="00707770">
        <w:rPr>
          <w:rFonts w:cs="Times New Roman"/>
          <w:szCs w:val="24"/>
        </w:rPr>
        <w:t>veido</w:t>
      </w:r>
      <w:r w:rsidR="000E43FB">
        <w:rPr>
          <w:rFonts w:cs="Times New Roman"/>
          <w:szCs w:val="24"/>
        </w:rPr>
        <w:t xml:space="preserve"> vienu trešdaļu</w:t>
      </w:r>
      <w:r w:rsidR="00793FB6">
        <w:rPr>
          <w:rFonts w:cs="Times New Roman"/>
          <w:szCs w:val="24"/>
        </w:rPr>
        <w:t xml:space="preserve"> no kopējā papildus pieprasītā finansējuma.</w:t>
      </w:r>
      <w:r w:rsidR="005618CD">
        <w:rPr>
          <w:rFonts w:cs="Times New Roman"/>
          <w:szCs w:val="24"/>
        </w:rPr>
        <w:t xml:space="preserve"> </w:t>
      </w:r>
    </w:p>
    <w:p w14:paraId="428459B3" w14:textId="35CEB39F" w:rsidR="00BD15A8" w:rsidRPr="00534CDB" w:rsidRDefault="00534CDB" w:rsidP="00534CDB">
      <w:pPr>
        <w:spacing w:before="120"/>
        <w:ind w:left="74" w:right="74" w:firstLine="635"/>
        <w:rPr>
          <w:rFonts w:cs="Times New Roman"/>
          <w:szCs w:val="24"/>
        </w:rPr>
      </w:pPr>
      <w:r w:rsidRPr="00534CDB">
        <w:rPr>
          <w:rFonts w:cs="Times New Roman"/>
          <w:szCs w:val="24"/>
        </w:rPr>
        <w:t>Ministrijas kopumā iesn</w:t>
      </w:r>
      <w:r>
        <w:rPr>
          <w:rFonts w:cs="Times New Roman"/>
          <w:szCs w:val="24"/>
        </w:rPr>
        <w:t>iegušas</w:t>
      </w:r>
      <w:r w:rsidRPr="00534CDB">
        <w:rPr>
          <w:rFonts w:cs="Times New Roman"/>
          <w:szCs w:val="24"/>
        </w:rPr>
        <w:t xml:space="preserve"> </w:t>
      </w:r>
      <w:r w:rsidR="00693D6D">
        <w:rPr>
          <w:rFonts w:cs="Times New Roman"/>
          <w:szCs w:val="24"/>
        </w:rPr>
        <w:t>334</w:t>
      </w:r>
      <w:r w:rsidRPr="00534CDB">
        <w:rPr>
          <w:rFonts w:cs="Times New Roman"/>
          <w:szCs w:val="24"/>
        </w:rPr>
        <w:t xml:space="preserve"> </w:t>
      </w:r>
      <w:r>
        <w:rPr>
          <w:rFonts w:cs="Times New Roman"/>
          <w:szCs w:val="24"/>
        </w:rPr>
        <w:t>pieteikumu PP 2020</w:t>
      </w:r>
      <w:r w:rsidRPr="001451E5">
        <w:rPr>
          <w:rFonts w:cs="Times New Roman"/>
          <w:szCs w:val="24"/>
        </w:rPr>
        <w:t>.</w:t>
      </w:r>
      <w:r>
        <w:rPr>
          <w:rFonts w:cs="Times New Roman"/>
          <w:szCs w:val="24"/>
        </w:rPr>
        <w:t> </w:t>
      </w:r>
      <w:r w:rsidRPr="001451E5">
        <w:rPr>
          <w:rFonts w:cs="Times New Roman"/>
          <w:szCs w:val="24"/>
        </w:rPr>
        <w:t>–</w:t>
      </w:r>
      <w:r>
        <w:rPr>
          <w:rFonts w:cs="Times New Roman"/>
          <w:szCs w:val="24"/>
        </w:rPr>
        <w:t> 2022</w:t>
      </w:r>
      <w:r w:rsidRPr="001451E5">
        <w:rPr>
          <w:rFonts w:cs="Times New Roman"/>
          <w:szCs w:val="24"/>
        </w:rPr>
        <w:t>.</w:t>
      </w:r>
      <w:r>
        <w:rPr>
          <w:rFonts w:cs="Times New Roman"/>
          <w:szCs w:val="24"/>
        </w:rPr>
        <w:t xml:space="preserve"> gadam: </w:t>
      </w:r>
      <w:r w:rsidRPr="00693D6D">
        <w:rPr>
          <w:rFonts w:cs="Times New Roman"/>
          <w:szCs w:val="24"/>
        </w:rPr>
        <w:t>29</w:t>
      </w:r>
      <w:r w:rsidR="00693D6D" w:rsidRPr="00693D6D">
        <w:rPr>
          <w:rFonts w:cs="Times New Roman"/>
          <w:szCs w:val="24"/>
        </w:rPr>
        <w:t>0</w:t>
      </w:r>
      <w:r w:rsidRPr="00534CDB">
        <w:rPr>
          <w:rFonts w:cs="Times New Roman"/>
          <w:szCs w:val="24"/>
        </w:rPr>
        <w:t xml:space="preserve"> pieteikumi ministriju pieprasījumiem PP, 44 pieteikumi ministriju pieprasījumiem starpnozaru PP</w:t>
      </w:r>
      <w:r>
        <w:rPr>
          <w:rFonts w:cs="Times New Roman"/>
          <w:szCs w:val="24"/>
        </w:rPr>
        <w:t>.</w:t>
      </w:r>
      <w:bookmarkStart w:id="0" w:name="_Ref16252628"/>
    </w:p>
    <w:p w14:paraId="1B47E5A2" w14:textId="2EB8880B" w:rsidR="00AB33B0" w:rsidRPr="00D657AC" w:rsidRDefault="00D657AC" w:rsidP="00D657AC">
      <w:pPr>
        <w:pStyle w:val="Caption"/>
      </w:pPr>
      <w:bookmarkStart w:id="1" w:name="_Ref17109039"/>
      <w:r w:rsidRPr="00D657AC">
        <w:t xml:space="preserve">Attēls Nr. </w:t>
      </w:r>
      <w:r w:rsidR="00AB5FBC">
        <w:fldChar w:fldCharType="begin"/>
      </w:r>
      <w:r w:rsidR="00AB5FBC">
        <w:instrText xml:space="preserve"> SEQ Attēls_Nr. \* ARABIC </w:instrText>
      </w:r>
      <w:r w:rsidR="00AB5FBC">
        <w:fldChar w:fldCharType="separate"/>
      </w:r>
      <w:r w:rsidR="00174124">
        <w:rPr>
          <w:noProof/>
        </w:rPr>
        <w:t>1</w:t>
      </w:r>
      <w:r w:rsidR="00AB5FBC">
        <w:rPr>
          <w:noProof/>
        </w:rPr>
        <w:fldChar w:fldCharType="end"/>
      </w:r>
      <w:bookmarkEnd w:id="0"/>
      <w:bookmarkEnd w:id="1"/>
    </w:p>
    <w:p w14:paraId="304128A2" w14:textId="0F1181C1" w:rsidR="00553BC6" w:rsidRPr="001451E5" w:rsidRDefault="00553BC6" w:rsidP="00B33183">
      <w:pPr>
        <w:ind w:left="74" w:right="74"/>
        <w:jc w:val="center"/>
        <w:rPr>
          <w:rFonts w:cs="Times New Roman"/>
          <w:szCs w:val="24"/>
        </w:rPr>
      </w:pPr>
      <w:r w:rsidRPr="001451E5">
        <w:rPr>
          <w:rFonts w:cs="Times New Roman"/>
          <w:b/>
          <w:szCs w:val="24"/>
        </w:rPr>
        <w:t>Papil</w:t>
      </w:r>
      <w:r w:rsidR="00D657AC">
        <w:rPr>
          <w:rFonts w:cs="Times New Roman"/>
          <w:b/>
          <w:szCs w:val="24"/>
        </w:rPr>
        <w:t>du finansējuma pieprasījumi 2020.–2022</w:t>
      </w:r>
      <w:r w:rsidRPr="001451E5">
        <w:rPr>
          <w:rFonts w:cs="Times New Roman"/>
          <w:b/>
          <w:szCs w:val="24"/>
        </w:rPr>
        <w:t>.</w:t>
      </w:r>
      <w:r w:rsidR="00D657AC">
        <w:rPr>
          <w:rFonts w:cs="Times New Roman"/>
          <w:b/>
          <w:szCs w:val="24"/>
        </w:rPr>
        <w:t> </w:t>
      </w:r>
      <w:r w:rsidRPr="001451E5">
        <w:rPr>
          <w:rFonts w:cs="Times New Roman"/>
          <w:b/>
          <w:szCs w:val="24"/>
        </w:rPr>
        <w:t xml:space="preserve">gadam sadalījumā pa </w:t>
      </w:r>
      <w:r w:rsidR="00D47840">
        <w:rPr>
          <w:rFonts w:cs="Times New Roman"/>
          <w:b/>
          <w:szCs w:val="24"/>
        </w:rPr>
        <w:t>PP</w:t>
      </w:r>
      <w:r w:rsidRPr="001451E5">
        <w:rPr>
          <w:rFonts w:cs="Times New Roman"/>
          <w:b/>
          <w:szCs w:val="24"/>
        </w:rPr>
        <w:t xml:space="preserve"> veidiem</w:t>
      </w:r>
      <w:r w:rsidRPr="001451E5">
        <w:rPr>
          <w:rFonts w:cs="Times New Roman"/>
          <w:szCs w:val="24"/>
        </w:rPr>
        <w:t xml:space="preserve">, milj. </w:t>
      </w:r>
      <w:r w:rsidRPr="001451E5">
        <w:rPr>
          <w:rFonts w:cs="Times New Roman"/>
          <w:i/>
          <w:szCs w:val="24"/>
        </w:rPr>
        <w:t>euro</w:t>
      </w:r>
    </w:p>
    <w:p w14:paraId="635C28C0" w14:textId="305D0F14" w:rsidR="000E43FB" w:rsidRDefault="009573EE" w:rsidP="000E43FB">
      <w:pPr>
        <w:jc w:val="center"/>
        <w:rPr>
          <w:rFonts w:cs="Times New Roman"/>
          <w:szCs w:val="24"/>
        </w:rPr>
      </w:pPr>
      <w:r>
        <w:rPr>
          <w:noProof/>
          <w:lang w:eastAsia="lv-LV"/>
        </w:rPr>
        <w:drawing>
          <wp:inline distT="0" distB="0" distL="0" distR="0" wp14:anchorId="7D18310D" wp14:editId="5E4DEDB8">
            <wp:extent cx="5828030" cy="3248025"/>
            <wp:effectExtent l="0" t="0" r="127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BC32B4" w14:textId="77777777" w:rsidR="00534CDB" w:rsidRDefault="00534CDB" w:rsidP="00B33183">
      <w:pPr>
        <w:tabs>
          <w:tab w:val="left" w:pos="2590"/>
        </w:tabs>
        <w:ind w:left="0" w:right="74" w:firstLine="783"/>
        <w:rPr>
          <w:bCs/>
          <w:szCs w:val="24"/>
        </w:rPr>
      </w:pPr>
    </w:p>
    <w:p w14:paraId="75AA4040" w14:textId="77777777" w:rsidR="00534CDB" w:rsidRDefault="00534CDB" w:rsidP="00B33183">
      <w:pPr>
        <w:tabs>
          <w:tab w:val="left" w:pos="2590"/>
        </w:tabs>
        <w:ind w:left="0" w:right="74" w:firstLine="783"/>
        <w:rPr>
          <w:bCs/>
          <w:szCs w:val="24"/>
        </w:rPr>
      </w:pPr>
    </w:p>
    <w:p w14:paraId="2DB43BE4" w14:textId="77777777" w:rsidR="00534CDB" w:rsidRDefault="00534CDB" w:rsidP="00B33183">
      <w:pPr>
        <w:tabs>
          <w:tab w:val="left" w:pos="2590"/>
        </w:tabs>
        <w:ind w:left="0" w:right="74" w:firstLine="783"/>
        <w:rPr>
          <w:bCs/>
          <w:szCs w:val="24"/>
        </w:rPr>
      </w:pPr>
    </w:p>
    <w:p w14:paraId="5C23F697" w14:textId="77777777" w:rsidR="00534CDB" w:rsidRDefault="00534CDB" w:rsidP="00B33183">
      <w:pPr>
        <w:tabs>
          <w:tab w:val="left" w:pos="2590"/>
        </w:tabs>
        <w:ind w:left="0" w:right="74" w:firstLine="783"/>
        <w:rPr>
          <w:bCs/>
          <w:szCs w:val="24"/>
        </w:rPr>
      </w:pPr>
    </w:p>
    <w:p w14:paraId="11DA1D52" w14:textId="7EAB7E2F" w:rsidR="00ED61AA" w:rsidRPr="00174124" w:rsidRDefault="00B33183" w:rsidP="00174124">
      <w:pPr>
        <w:spacing w:after="60"/>
        <w:ind w:left="74" w:right="74" w:firstLine="720"/>
        <w:rPr>
          <w:bCs/>
          <w:szCs w:val="24"/>
        </w:rPr>
      </w:pPr>
      <w:r>
        <w:rPr>
          <w:bCs/>
          <w:szCs w:val="24"/>
        </w:rPr>
        <w:lastRenderedPageBreak/>
        <w:t>Veicot salīdzinājumu un grafiski attēlojot m</w:t>
      </w:r>
      <w:r w:rsidR="00ED61AA" w:rsidRPr="001451E5">
        <w:rPr>
          <w:bCs/>
          <w:szCs w:val="24"/>
        </w:rPr>
        <w:t xml:space="preserve">inistriju </w:t>
      </w:r>
      <w:r w:rsidRPr="001451E5">
        <w:rPr>
          <w:bCs/>
          <w:szCs w:val="24"/>
        </w:rPr>
        <w:t>pieprasīt</w:t>
      </w:r>
      <w:r>
        <w:rPr>
          <w:bCs/>
          <w:szCs w:val="24"/>
        </w:rPr>
        <w:t xml:space="preserve">o </w:t>
      </w:r>
      <w:r w:rsidRPr="001451E5">
        <w:rPr>
          <w:bCs/>
          <w:szCs w:val="24"/>
        </w:rPr>
        <w:t>finansējum</w:t>
      </w:r>
      <w:r>
        <w:rPr>
          <w:bCs/>
          <w:szCs w:val="24"/>
        </w:rPr>
        <w:t>u</w:t>
      </w:r>
      <w:r w:rsidRPr="001451E5">
        <w:rPr>
          <w:bCs/>
          <w:szCs w:val="24"/>
        </w:rPr>
        <w:t xml:space="preserve"> </w:t>
      </w:r>
      <w:r>
        <w:rPr>
          <w:bCs/>
          <w:szCs w:val="24"/>
        </w:rPr>
        <w:t>PP</w:t>
      </w:r>
      <w:r w:rsidR="00ED61AA" w:rsidRPr="001451E5">
        <w:rPr>
          <w:bCs/>
          <w:szCs w:val="24"/>
        </w:rPr>
        <w:t xml:space="preserve"> īstenošanai</w:t>
      </w:r>
      <w:r w:rsidR="00174124">
        <w:rPr>
          <w:bCs/>
          <w:szCs w:val="24"/>
        </w:rPr>
        <w:t xml:space="preserve"> (Attēls Nr.2)</w:t>
      </w:r>
      <w:r w:rsidR="00ED61AA" w:rsidRPr="001451E5">
        <w:rPr>
          <w:bCs/>
          <w:szCs w:val="24"/>
        </w:rPr>
        <w:t xml:space="preserve"> </w:t>
      </w:r>
      <w:r>
        <w:rPr>
          <w:bCs/>
          <w:szCs w:val="24"/>
        </w:rPr>
        <w:t xml:space="preserve">, ir redzams, ka </w:t>
      </w:r>
      <w:r w:rsidR="00ED61AA" w:rsidRPr="001451E5">
        <w:rPr>
          <w:szCs w:val="24"/>
        </w:rPr>
        <w:t xml:space="preserve">lielāko finansējumu </w:t>
      </w:r>
      <w:r>
        <w:rPr>
          <w:szCs w:val="24"/>
        </w:rPr>
        <w:t>PP</w:t>
      </w:r>
      <w:r w:rsidR="00ED61AA" w:rsidRPr="001451E5">
        <w:rPr>
          <w:szCs w:val="24"/>
        </w:rPr>
        <w:t xml:space="preserve"> īstenošanai pieprasījusi:</w:t>
      </w:r>
    </w:p>
    <w:p w14:paraId="77A395FF" w14:textId="022F7032" w:rsidR="00ED61AA" w:rsidRDefault="00ED61AA" w:rsidP="007A43F2">
      <w:pPr>
        <w:pStyle w:val="ListParagraph"/>
        <w:numPr>
          <w:ilvl w:val="0"/>
          <w:numId w:val="15"/>
        </w:numPr>
        <w:tabs>
          <w:tab w:val="left" w:pos="2590"/>
        </w:tabs>
        <w:spacing w:after="0"/>
        <w:ind w:left="788" w:right="0" w:hanging="357"/>
        <w:contextualSpacing w:val="0"/>
        <w:rPr>
          <w:szCs w:val="24"/>
        </w:rPr>
      </w:pPr>
      <w:r w:rsidRPr="001451E5">
        <w:rPr>
          <w:i/>
          <w:szCs w:val="24"/>
        </w:rPr>
        <w:t>Veselības ministrija</w:t>
      </w:r>
      <w:r w:rsidRPr="001451E5">
        <w:rPr>
          <w:szCs w:val="24"/>
        </w:rPr>
        <w:t xml:space="preserve"> (20</w:t>
      </w:r>
      <w:r w:rsidR="00023E6D">
        <w:rPr>
          <w:szCs w:val="24"/>
        </w:rPr>
        <w:t>20</w:t>
      </w:r>
      <w:r w:rsidRPr="001451E5">
        <w:rPr>
          <w:szCs w:val="24"/>
        </w:rPr>
        <w:t>.</w:t>
      </w:r>
      <w:r w:rsidR="00023E6D">
        <w:rPr>
          <w:szCs w:val="24"/>
        </w:rPr>
        <w:t> </w:t>
      </w:r>
      <w:r w:rsidRPr="001451E5">
        <w:rPr>
          <w:szCs w:val="24"/>
        </w:rPr>
        <w:t xml:space="preserve">gadam – </w:t>
      </w:r>
      <w:r w:rsidR="00023E6D">
        <w:rPr>
          <w:szCs w:val="24"/>
        </w:rPr>
        <w:t>279,4</w:t>
      </w:r>
      <w:r w:rsidRPr="001451E5">
        <w:rPr>
          <w:szCs w:val="24"/>
        </w:rPr>
        <w:t xml:space="preserve"> milj. </w:t>
      </w:r>
      <w:r w:rsidRPr="001451E5">
        <w:rPr>
          <w:i/>
          <w:szCs w:val="24"/>
        </w:rPr>
        <w:t>euro</w:t>
      </w:r>
      <w:r w:rsidR="00023E6D">
        <w:rPr>
          <w:szCs w:val="24"/>
        </w:rPr>
        <w:t>, 2021</w:t>
      </w:r>
      <w:r w:rsidRPr="001451E5">
        <w:rPr>
          <w:szCs w:val="24"/>
        </w:rPr>
        <w:t>.</w:t>
      </w:r>
      <w:r w:rsidR="00023E6D">
        <w:rPr>
          <w:szCs w:val="24"/>
        </w:rPr>
        <w:t> </w:t>
      </w:r>
      <w:r w:rsidRPr="001451E5">
        <w:rPr>
          <w:szCs w:val="24"/>
        </w:rPr>
        <w:t xml:space="preserve">gadam – </w:t>
      </w:r>
      <w:r w:rsidR="00023E6D">
        <w:rPr>
          <w:szCs w:val="24"/>
        </w:rPr>
        <w:t>445,0</w:t>
      </w:r>
      <w:r w:rsidRPr="001451E5">
        <w:rPr>
          <w:szCs w:val="24"/>
        </w:rPr>
        <w:t xml:space="preserve"> milj. </w:t>
      </w:r>
      <w:r w:rsidRPr="001451E5">
        <w:rPr>
          <w:i/>
          <w:szCs w:val="24"/>
        </w:rPr>
        <w:t>euro</w:t>
      </w:r>
      <w:r w:rsidR="00023E6D">
        <w:rPr>
          <w:szCs w:val="24"/>
        </w:rPr>
        <w:t xml:space="preserve"> un 2022</w:t>
      </w:r>
      <w:r w:rsidRPr="001451E5">
        <w:rPr>
          <w:szCs w:val="24"/>
        </w:rPr>
        <w:t>.</w:t>
      </w:r>
      <w:r w:rsidR="00023E6D">
        <w:rPr>
          <w:szCs w:val="24"/>
        </w:rPr>
        <w:t> </w:t>
      </w:r>
      <w:r w:rsidRPr="001451E5">
        <w:rPr>
          <w:szCs w:val="24"/>
        </w:rPr>
        <w:t xml:space="preserve">gadam – </w:t>
      </w:r>
      <w:r w:rsidR="008D6590" w:rsidRPr="001451E5">
        <w:rPr>
          <w:szCs w:val="24"/>
        </w:rPr>
        <w:t>6</w:t>
      </w:r>
      <w:r w:rsidR="00023E6D">
        <w:rPr>
          <w:szCs w:val="24"/>
        </w:rPr>
        <w:t xml:space="preserve">06,8 </w:t>
      </w:r>
      <w:r w:rsidRPr="001451E5">
        <w:rPr>
          <w:szCs w:val="24"/>
        </w:rPr>
        <w:t xml:space="preserve">milj. </w:t>
      </w:r>
      <w:r w:rsidRPr="001451E5">
        <w:rPr>
          <w:i/>
          <w:szCs w:val="24"/>
        </w:rPr>
        <w:t>euro</w:t>
      </w:r>
      <w:r w:rsidR="00D343AE">
        <w:rPr>
          <w:szCs w:val="24"/>
        </w:rPr>
        <w:t>).</w:t>
      </w:r>
    </w:p>
    <w:p w14:paraId="4B69509A" w14:textId="4FB55597" w:rsidR="00D343AE" w:rsidRPr="00F979F1" w:rsidRDefault="00D343AE" w:rsidP="007A43F2">
      <w:pPr>
        <w:pStyle w:val="Footer"/>
        <w:ind w:left="0" w:right="74" w:firstLine="709"/>
        <w:rPr>
          <w:rFonts w:cs="Times New Roman"/>
          <w:szCs w:val="24"/>
        </w:rPr>
      </w:pPr>
      <w:r w:rsidRPr="004A47D4">
        <w:rPr>
          <w:rFonts w:cs="Times New Roman"/>
          <w:szCs w:val="24"/>
        </w:rPr>
        <w:t xml:space="preserve">Jāatzīmē, ka </w:t>
      </w:r>
      <w:r w:rsidR="00023E6D">
        <w:rPr>
          <w:rFonts w:cs="Times New Roman"/>
          <w:szCs w:val="24"/>
        </w:rPr>
        <w:t xml:space="preserve">ievērojama </w:t>
      </w:r>
      <w:r w:rsidRPr="004A47D4">
        <w:rPr>
          <w:rFonts w:cs="Times New Roman"/>
          <w:szCs w:val="24"/>
        </w:rPr>
        <w:t xml:space="preserve">daļa no Veselības ministrijas pieprasītā papildu finansējuma </w:t>
      </w:r>
      <w:r w:rsidR="00023E6D">
        <w:rPr>
          <w:rFonts w:cs="Times New Roman"/>
          <w:szCs w:val="24"/>
        </w:rPr>
        <w:t xml:space="preserve">ir paredzēta </w:t>
      </w:r>
      <w:r w:rsidRPr="004A47D4">
        <w:rPr>
          <w:rFonts w:cs="Times New Roman"/>
          <w:szCs w:val="24"/>
        </w:rPr>
        <w:t>veselības aprūpes darbinieku (</w:t>
      </w:r>
      <w:r w:rsidR="0058644B">
        <w:rPr>
          <w:rFonts w:cs="Times New Roman"/>
          <w:szCs w:val="24"/>
        </w:rPr>
        <w:t>aizsardzības,</w:t>
      </w:r>
      <w:r w:rsidRPr="004A47D4">
        <w:rPr>
          <w:rFonts w:cs="Times New Roman"/>
          <w:szCs w:val="24"/>
        </w:rPr>
        <w:t xml:space="preserve"> </w:t>
      </w:r>
      <w:proofErr w:type="spellStart"/>
      <w:r w:rsidR="0058644B" w:rsidRPr="004A47D4">
        <w:rPr>
          <w:rFonts w:cs="Times New Roman"/>
          <w:szCs w:val="24"/>
        </w:rPr>
        <w:t>iekšlietu</w:t>
      </w:r>
      <w:proofErr w:type="spellEnd"/>
      <w:r w:rsidR="0058644B">
        <w:rPr>
          <w:rFonts w:cs="Times New Roman"/>
          <w:szCs w:val="24"/>
        </w:rPr>
        <w:t>,</w:t>
      </w:r>
      <w:r w:rsidR="0058644B" w:rsidRPr="004A47D4">
        <w:rPr>
          <w:rFonts w:cs="Times New Roman"/>
          <w:szCs w:val="24"/>
        </w:rPr>
        <w:t xml:space="preserve"> </w:t>
      </w:r>
      <w:r w:rsidRPr="004A47D4">
        <w:rPr>
          <w:rFonts w:cs="Times New Roman"/>
          <w:szCs w:val="24"/>
        </w:rPr>
        <w:t>izglītības,</w:t>
      </w:r>
      <w:r w:rsidR="0058644B">
        <w:rPr>
          <w:rFonts w:cs="Times New Roman"/>
          <w:szCs w:val="24"/>
        </w:rPr>
        <w:t xml:space="preserve"> </w:t>
      </w:r>
      <w:r w:rsidR="0058644B" w:rsidRPr="004A47D4">
        <w:rPr>
          <w:rFonts w:cs="Times New Roman"/>
          <w:szCs w:val="24"/>
        </w:rPr>
        <w:t>tieslietu</w:t>
      </w:r>
      <w:r w:rsidR="0058644B">
        <w:rPr>
          <w:rFonts w:cs="Times New Roman"/>
          <w:szCs w:val="24"/>
        </w:rPr>
        <w:t xml:space="preserve">, </w:t>
      </w:r>
      <w:r w:rsidRPr="004A47D4">
        <w:rPr>
          <w:rFonts w:cs="Times New Roman"/>
          <w:szCs w:val="24"/>
        </w:rPr>
        <w:t xml:space="preserve">labklājības </w:t>
      </w:r>
      <w:r w:rsidR="0058644B">
        <w:rPr>
          <w:rFonts w:cs="Times New Roman"/>
          <w:szCs w:val="24"/>
        </w:rPr>
        <w:t>un veselības</w:t>
      </w:r>
      <w:r w:rsidR="0058644B" w:rsidRPr="004A47D4">
        <w:rPr>
          <w:rFonts w:cs="Times New Roman"/>
          <w:szCs w:val="24"/>
        </w:rPr>
        <w:t xml:space="preserve"> </w:t>
      </w:r>
      <w:r w:rsidRPr="004A47D4">
        <w:rPr>
          <w:rFonts w:cs="Times New Roman"/>
          <w:szCs w:val="24"/>
        </w:rPr>
        <w:t>nozares jomā strādājošiem) darba samaksas paaugstināšanai 2</w:t>
      </w:r>
      <w:r w:rsidR="004A47D4" w:rsidRPr="004A47D4">
        <w:rPr>
          <w:rFonts w:cs="Times New Roman"/>
          <w:szCs w:val="24"/>
        </w:rPr>
        <w:t>0</w:t>
      </w:r>
      <w:r w:rsidR="00023E6D">
        <w:rPr>
          <w:rFonts w:cs="Times New Roman"/>
          <w:szCs w:val="24"/>
        </w:rPr>
        <w:t>20</w:t>
      </w:r>
      <w:r w:rsidR="0058644B">
        <w:rPr>
          <w:rFonts w:cs="Times New Roman"/>
          <w:szCs w:val="24"/>
        </w:rPr>
        <w:t>.gadam 120,2 </w:t>
      </w:r>
      <w:r w:rsidR="00023E6D">
        <w:rPr>
          <w:rFonts w:cs="Times New Roman"/>
          <w:szCs w:val="24"/>
        </w:rPr>
        <w:t>milj.</w:t>
      </w:r>
      <w:r w:rsidR="0058644B">
        <w:rPr>
          <w:rFonts w:cs="Times New Roman"/>
          <w:szCs w:val="24"/>
        </w:rPr>
        <w:t> </w:t>
      </w:r>
      <w:r w:rsidR="00023E6D" w:rsidRPr="00023E6D">
        <w:rPr>
          <w:rFonts w:cs="Times New Roman"/>
          <w:i/>
          <w:szCs w:val="24"/>
        </w:rPr>
        <w:t>euro</w:t>
      </w:r>
      <w:r w:rsidR="00023E6D">
        <w:rPr>
          <w:rFonts w:cs="Times New Roman"/>
          <w:szCs w:val="24"/>
        </w:rPr>
        <w:t xml:space="preserve">, 2021. gadam – 261,3 milj. </w:t>
      </w:r>
      <w:r w:rsidR="00023E6D" w:rsidRPr="00023E6D">
        <w:rPr>
          <w:rFonts w:cs="Times New Roman"/>
          <w:i/>
          <w:szCs w:val="24"/>
        </w:rPr>
        <w:t>euro</w:t>
      </w:r>
      <w:r w:rsidR="00023E6D">
        <w:rPr>
          <w:rFonts w:cs="Times New Roman"/>
          <w:szCs w:val="24"/>
        </w:rPr>
        <w:t xml:space="preserve"> un 2022. gadam – 406,8 milj. </w:t>
      </w:r>
      <w:r w:rsidR="00023E6D" w:rsidRPr="00023E6D">
        <w:rPr>
          <w:rFonts w:cs="Times New Roman"/>
          <w:i/>
          <w:szCs w:val="24"/>
        </w:rPr>
        <w:t>euro</w:t>
      </w:r>
      <w:r w:rsidR="00023E6D">
        <w:rPr>
          <w:rFonts w:cs="Times New Roman"/>
          <w:szCs w:val="24"/>
        </w:rPr>
        <w:t xml:space="preserve"> apmērā.</w:t>
      </w:r>
      <w:r w:rsidR="004A47D4" w:rsidRPr="004A47D4">
        <w:rPr>
          <w:rFonts w:cs="Times New Roman"/>
          <w:szCs w:val="24"/>
        </w:rPr>
        <w:t xml:space="preserve"> </w:t>
      </w:r>
    </w:p>
    <w:p w14:paraId="59BE5537" w14:textId="10AA64E4" w:rsidR="00ED61AA" w:rsidRPr="001451E5" w:rsidRDefault="0058644B" w:rsidP="00D343AE">
      <w:pPr>
        <w:pStyle w:val="ListParagraph"/>
        <w:numPr>
          <w:ilvl w:val="0"/>
          <w:numId w:val="15"/>
        </w:numPr>
        <w:tabs>
          <w:tab w:val="left" w:pos="2590"/>
        </w:tabs>
        <w:spacing w:before="120"/>
        <w:ind w:left="788" w:right="0" w:hanging="357"/>
        <w:contextualSpacing w:val="0"/>
        <w:rPr>
          <w:szCs w:val="24"/>
        </w:rPr>
      </w:pPr>
      <w:r w:rsidRPr="001451E5">
        <w:rPr>
          <w:i/>
          <w:szCs w:val="24"/>
        </w:rPr>
        <w:t>Izglītības un zinātnes ministrija</w:t>
      </w:r>
      <w:r w:rsidRPr="001451E5">
        <w:rPr>
          <w:szCs w:val="24"/>
        </w:rPr>
        <w:t xml:space="preserve"> </w:t>
      </w:r>
      <w:r>
        <w:rPr>
          <w:szCs w:val="24"/>
        </w:rPr>
        <w:t>(2020</w:t>
      </w:r>
      <w:r w:rsidR="00ED61AA" w:rsidRPr="001451E5">
        <w:rPr>
          <w:szCs w:val="24"/>
        </w:rPr>
        <w:t>.</w:t>
      </w:r>
      <w:r>
        <w:rPr>
          <w:szCs w:val="24"/>
        </w:rPr>
        <w:t xml:space="preserve"> </w:t>
      </w:r>
      <w:r w:rsidR="00ED61AA" w:rsidRPr="001451E5">
        <w:rPr>
          <w:szCs w:val="24"/>
        </w:rPr>
        <w:t>gadam – 12</w:t>
      </w:r>
      <w:r>
        <w:rPr>
          <w:szCs w:val="24"/>
        </w:rPr>
        <w:t>8</w:t>
      </w:r>
      <w:r w:rsidR="00ED61AA" w:rsidRPr="001451E5">
        <w:rPr>
          <w:szCs w:val="24"/>
        </w:rPr>
        <w:t>,</w:t>
      </w:r>
      <w:r>
        <w:rPr>
          <w:szCs w:val="24"/>
        </w:rPr>
        <w:t>7</w:t>
      </w:r>
      <w:r w:rsidR="00ED61AA" w:rsidRPr="001451E5">
        <w:rPr>
          <w:szCs w:val="24"/>
        </w:rPr>
        <w:t xml:space="preserve"> milj. </w:t>
      </w:r>
      <w:r w:rsidR="00ED61AA" w:rsidRPr="001451E5">
        <w:rPr>
          <w:i/>
          <w:szCs w:val="24"/>
        </w:rPr>
        <w:t>euro</w:t>
      </w:r>
      <w:r>
        <w:rPr>
          <w:szCs w:val="24"/>
        </w:rPr>
        <w:t>, 2021</w:t>
      </w:r>
      <w:r w:rsidR="00ED61AA" w:rsidRPr="001451E5">
        <w:rPr>
          <w:szCs w:val="24"/>
        </w:rPr>
        <w:t>.</w:t>
      </w:r>
      <w:r>
        <w:rPr>
          <w:szCs w:val="24"/>
        </w:rPr>
        <w:t> </w:t>
      </w:r>
      <w:r w:rsidR="00ED61AA" w:rsidRPr="001451E5">
        <w:rPr>
          <w:szCs w:val="24"/>
        </w:rPr>
        <w:t xml:space="preserve">gadam – </w:t>
      </w:r>
      <w:r>
        <w:rPr>
          <w:szCs w:val="24"/>
        </w:rPr>
        <w:t>185,4 </w:t>
      </w:r>
      <w:r w:rsidR="00ED61AA" w:rsidRPr="001451E5">
        <w:rPr>
          <w:szCs w:val="24"/>
        </w:rPr>
        <w:t>milj.</w:t>
      </w:r>
      <w:r>
        <w:rPr>
          <w:szCs w:val="24"/>
        </w:rPr>
        <w:t> </w:t>
      </w:r>
      <w:r w:rsidR="00ED61AA" w:rsidRPr="001451E5">
        <w:rPr>
          <w:i/>
          <w:szCs w:val="24"/>
        </w:rPr>
        <w:t>euro</w:t>
      </w:r>
      <w:r>
        <w:rPr>
          <w:szCs w:val="24"/>
        </w:rPr>
        <w:t xml:space="preserve"> un 2022</w:t>
      </w:r>
      <w:r w:rsidR="00ED61AA" w:rsidRPr="001451E5">
        <w:rPr>
          <w:szCs w:val="24"/>
        </w:rPr>
        <w:t>.</w:t>
      </w:r>
      <w:r>
        <w:rPr>
          <w:szCs w:val="24"/>
        </w:rPr>
        <w:t> </w:t>
      </w:r>
      <w:r w:rsidR="00ED61AA" w:rsidRPr="001451E5">
        <w:rPr>
          <w:szCs w:val="24"/>
        </w:rPr>
        <w:t xml:space="preserve">gadam </w:t>
      </w:r>
      <w:r>
        <w:rPr>
          <w:szCs w:val="24"/>
        </w:rPr>
        <w:t>218,8</w:t>
      </w:r>
      <w:r w:rsidR="00ED61AA" w:rsidRPr="001451E5">
        <w:rPr>
          <w:szCs w:val="24"/>
        </w:rPr>
        <w:t xml:space="preserve"> milj. </w:t>
      </w:r>
      <w:r w:rsidR="00ED61AA" w:rsidRPr="001451E5">
        <w:rPr>
          <w:i/>
          <w:szCs w:val="24"/>
        </w:rPr>
        <w:t>euro</w:t>
      </w:r>
      <w:r w:rsidR="00ED61AA" w:rsidRPr="001451E5">
        <w:rPr>
          <w:szCs w:val="24"/>
        </w:rPr>
        <w:t>);</w:t>
      </w:r>
    </w:p>
    <w:p w14:paraId="75D8094D" w14:textId="6CD54DD2" w:rsidR="00B33183" w:rsidRPr="00B33183" w:rsidRDefault="0058644B" w:rsidP="00B33183">
      <w:pPr>
        <w:pStyle w:val="ListParagraph"/>
        <w:numPr>
          <w:ilvl w:val="0"/>
          <w:numId w:val="15"/>
        </w:numPr>
        <w:tabs>
          <w:tab w:val="left" w:pos="2590"/>
        </w:tabs>
        <w:ind w:right="0"/>
        <w:contextualSpacing w:val="0"/>
        <w:rPr>
          <w:szCs w:val="24"/>
        </w:rPr>
      </w:pPr>
      <w:r w:rsidRPr="001451E5">
        <w:rPr>
          <w:i/>
          <w:szCs w:val="24"/>
        </w:rPr>
        <w:t>Satiksmes</w:t>
      </w:r>
      <w:r w:rsidRPr="001451E5">
        <w:rPr>
          <w:szCs w:val="24"/>
        </w:rPr>
        <w:t xml:space="preserve"> </w:t>
      </w:r>
      <w:r w:rsidRPr="001451E5">
        <w:rPr>
          <w:i/>
          <w:szCs w:val="24"/>
        </w:rPr>
        <w:t>ministrija</w:t>
      </w:r>
      <w:r w:rsidRPr="001451E5">
        <w:rPr>
          <w:szCs w:val="24"/>
        </w:rPr>
        <w:t xml:space="preserve"> </w:t>
      </w:r>
      <w:r>
        <w:rPr>
          <w:szCs w:val="24"/>
        </w:rPr>
        <w:t>(2020</w:t>
      </w:r>
      <w:r w:rsidR="00ED61AA" w:rsidRPr="001451E5">
        <w:rPr>
          <w:szCs w:val="24"/>
        </w:rPr>
        <w:t>.</w:t>
      </w:r>
      <w:r>
        <w:rPr>
          <w:szCs w:val="24"/>
        </w:rPr>
        <w:t> </w:t>
      </w:r>
      <w:r w:rsidR="00ED61AA" w:rsidRPr="001451E5">
        <w:rPr>
          <w:szCs w:val="24"/>
        </w:rPr>
        <w:t xml:space="preserve">gadam – </w:t>
      </w:r>
      <w:r w:rsidR="008D6590" w:rsidRPr="001451E5">
        <w:rPr>
          <w:szCs w:val="24"/>
        </w:rPr>
        <w:t>1</w:t>
      </w:r>
      <w:r>
        <w:rPr>
          <w:szCs w:val="24"/>
        </w:rPr>
        <w:t>23</w:t>
      </w:r>
      <w:r w:rsidR="008D6590" w:rsidRPr="001451E5">
        <w:rPr>
          <w:szCs w:val="24"/>
        </w:rPr>
        <w:t>,</w:t>
      </w:r>
      <w:r>
        <w:rPr>
          <w:szCs w:val="24"/>
        </w:rPr>
        <w:t>2</w:t>
      </w:r>
      <w:r w:rsidR="00ED61AA" w:rsidRPr="001451E5">
        <w:rPr>
          <w:szCs w:val="24"/>
        </w:rPr>
        <w:t xml:space="preserve"> milj. </w:t>
      </w:r>
      <w:r w:rsidR="00ED61AA" w:rsidRPr="001451E5">
        <w:rPr>
          <w:i/>
          <w:szCs w:val="24"/>
        </w:rPr>
        <w:t>euro</w:t>
      </w:r>
      <w:r>
        <w:rPr>
          <w:szCs w:val="24"/>
        </w:rPr>
        <w:t>, 2021</w:t>
      </w:r>
      <w:r w:rsidR="00ED61AA" w:rsidRPr="001451E5">
        <w:rPr>
          <w:szCs w:val="24"/>
        </w:rPr>
        <w:t>.</w:t>
      </w:r>
      <w:r>
        <w:rPr>
          <w:szCs w:val="24"/>
        </w:rPr>
        <w:t> </w:t>
      </w:r>
      <w:r w:rsidR="00ED61AA" w:rsidRPr="001451E5">
        <w:rPr>
          <w:szCs w:val="24"/>
        </w:rPr>
        <w:t xml:space="preserve">gadam – </w:t>
      </w:r>
      <w:r w:rsidR="008D6590" w:rsidRPr="001451E5">
        <w:rPr>
          <w:szCs w:val="24"/>
        </w:rPr>
        <w:t>1</w:t>
      </w:r>
      <w:r>
        <w:rPr>
          <w:szCs w:val="24"/>
        </w:rPr>
        <w:t>32,8</w:t>
      </w:r>
      <w:r w:rsidR="00ED61AA" w:rsidRPr="001451E5">
        <w:rPr>
          <w:szCs w:val="24"/>
        </w:rPr>
        <w:t xml:space="preserve"> milj. </w:t>
      </w:r>
      <w:r w:rsidR="00ED61AA" w:rsidRPr="001451E5">
        <w:rPr>
          <w:i/>
          <w:szCs w:val="24"/>
        </w:rPr>
        <w:t>euro</w:t>
      </w:r>
      <w:r>
        <w:rPr>
          <w:szCs w:val="24"/>
        </w:rPr>
        <w:t xml:space="preserve"> un 2022</w:t>
      </w:r>
      <w:r w:rsidR="00ED61AA" w:rsidRPr="001451E5">
        <w:rPr>
          <w:szCs w:val="24"/>
        </w:rPr>
        <w:t>.</w:t>
      </w:r>
      <w:r>
        <w:rPr>
          <w:szCs w:val="24"/>
        </w:rPr>
        <w:t> </w:t>
      </w:r>
      <w:r w:rsidR="00ED61AA" w:rsidRPr="001451E5">
        <w:rPr>
          <w:szCs w:val="24"/>
        </w:rPr>
        <w:t xml:space="preserve">gadam – </w:t>
      </w:r>
      <w:r>
        <w:rPr>
          <w:szCs w:val="24"/>
        </w:rPr>
        <w:t>154,8</w:t>
      </w:r>
      <w:r w:rsidR="00ED61AA" w:rsidRPr="001451E5">
        <w:rPr>
          <w:szCs w:val="24"/>
        </w:rPr>
        <w:t xml:space="preserve"> milj. </w:t>
      </w:r>
      <w:r w:rsidR="00ED61AA" w:rsidRPr="001451E5">
        <w:rPr>
          <w:i/>
          <w:szCs w:val="24"/>
        </w:rPr>
        <w:t>euro</w:t>
      </w:r>
      <w:r w:rsidR="00ED61AA" w:rsidRPr="001451E5">
        <w:rPr>
          <w:szCs w:val="24"/>
        </w:rPr>
        <w:t>).</w:t>
      </w:r>
    </w:p>
    <w:p w14:paraId="20604AFB" w14:textId="4C40FB9B" w:rsidR="00D65F8A" w:rsidRPr="00534CDB" w:rsidRDefault="00B33183" w:rsidP="00534CDB">
      <w:pPr>
        <w:spacing w:after="60"/>
        <w:ind w:left="74" w:right="74" w:firstLine="720"/>
        <w:rPr>
          <w:rFonts w:cs="Times New Roman"/>
          <w:szCs w:val="24"/>
        </w:rPr>
      </w:pPr>
      <w:r w:rsidRPr="001451E5">
        <w:rPr>
          <w:rFonts w:cs="Times New Roman"/>
          <w:szCs w:val="24"/>
        </w:rPr>
        <w:t xml:space="preserve">Ministriju un citu centrālo valsts iestāžu pieprasījumi </w:t>
      </w:r>
      <w:r>
        <w:rPr>
          <w:rFonts w:cs="Times New Roman"/>
          <w:szCs w:val="24"/>
        </w:rPr>
        <w:t>PP</w:t>
      </w:r>
      <w:r w:rsidRPr="001451E5">
        <w:rPr>
          <w:rFonts w:cs="Times New Roman"/>
          <w:szCs w:val="24"/>
        </w:rPr>
        <w:t xml:space="preserve">, tai skaitā starpnozaru </w:t>
      </w:r>
      <w:r>
        <w:rPr>
          <w:rFonts w:cs="Times New Roman"/>
          <w:szCs w:val="24"/>
        </w:rPr>
        <w:t>PP</w:t>
      </w:r>
      <w:r w:rsidR="0058644B">
        <w:rPr>
          <w:rFonts w:cs="Times New Roman"/>
          <w:szCs w:val="24"/>
        </w:rPr>
        <w:t>,</w:t>
      </w:r>
      <w:r w:rsidRPr="001451E5">
        <w:rPr>
          <w:rFonts w:cs="Times New Roman"/>
          <w:szCs w:val="24"/>
        </w:rPr>
        <w:t xml:space="preserve"> apkopoti un pievienoti informatīvajam ziņojumam (skat. 1 un 2.</w:t>
      </w:r>
      <w:r w:rsidR="0058644B">
        <w:rPr>
          <w:rFonts w:cs="Times New Roman"/>
          <w:szCs w:val="24"/>
        </w:rPr>
        <w:t> </w:t>
      </w:r>
      <w:r w:rsidRPr="001451E5">
        <w:rPr>
          <w:rFonts w:cs="Times New Roman"/>
          <w:szCs w:val="24"/>
        </w:rPr>
        <w:t>pielikumu).</w:t>
      </w:r>
      <w:bookmarkStart w:id="2" w:name="_Ref16253268"/>
    </w:p>
    <w:p w14:paraId="6A39A602" w14:textId="26E571ED" w:rsidR="00243400" w:rsidRPr="001451E5" w:rsidRDefault="00FF59D5" w:rsidP="00FF59D5">
      <w:pPr>
        <w:pStyle w:val="Caption"/>
        <w:rPr>
          <w:rFonts w:cs="Times New Roman"/>
          <w:szCs w:val="24"/>
        </w:rPr>
      </w:pPr>
      <w:r>
        <w:t xml:space="preserve">Attēls Nr. </w:t>
      </w:r>
      <w:r w:rsidR="00AB5FBC">
        <w:fldChar w:fldCharType="begin"/>
      </w:r>
      <w:r w:rsidR="00AB5FBC">
        <w:instrText xml:space="preserve"> SEQ Attēls_Nr. \* ARABIC </w:instrText>
      </w:r>
      <w:r w:rsidR="00AB5FBC">
        <w:fldChar w:fldCharType="separate"/>
      </w:r>
      <w:r w:rsidR="00174124">
        <w:rPr>
          <w:noProof/>
        </w:rPr>
        <w:t>2</w:t>
      </w:r>
      <w:r w:rsidR="00AB5FBC">
        <w:rPr>
          <w:noProof/>
        </w:rPr>
        <w:fldChar w:fldCharType="end"/>
      </w:r>
      <w:bookmarkEnd w:id="2"/>
    </w:p>
    <w:p w14:paraId="5C70D44B" w14:textId="08133FD6" w:rsidR="00C20C02" w:rsidRDefault="004C6DEC" w:rsidP="00C20C02">
      <w:pPr>
        <w:tabs>
          <w:tab w:val="left" w:pos="3557"/>
        </w:tabs>
        <w:spacing w:after="60"/>
        <w:ind w:left="0" w:right="74"/>
        <w:jc w:val="center"/>
        <w:rPr>
          <w:rFonts w:cs="Times New Roman"/>
          <w:szCs w:val="24"/>
        </w:rPr>
      </w:pPr>
      <w:r w:rsidRPr="001451E5">
        <w:rPr>
          <w:rFonts w:cs="Times New Roman"/>
          <w:b/>
          <w:szCs w:val="24"/>
        </w:rPr>
        <w:t xml:space="preserve">Ministriju pieprasītais finansējums </w:t>
      </w:r>
      <w:r w:rsidR="00176864">
        <w:rPr>
          <w:rFonts w:cs="Times New Roman"/>
          <w:b/>
          <w:szCs w:val="24"/>
        </w:rPr>
        <w:t>PP</w:t>
      </w:r>
      <w:r w:rsidRPr="001451E5">
        <w:rPr>
          <w:rFonts w:cs="Times New Roman"/>
          <w:b/>
          <w:szCs w:val="24"/>
        </w:rPr>
        <w:t xml:space="preserve"> 20</w:t>
      </w:r>
      <w:r w:rsidR="00FF59D5">
        <w:rPr>
          <w:rFonts w:cs="Times New Roman"/>
          <w:b/>
          <w:szCs w:val="24"/>
        </w:rPr>
        <w:t>20</w:t>
      </w:r>
      <w:r w:rsidRPr="001451E5">
        <w:rPr>
          <w:rFonts w:cs="Times New Roman"/>
          <w:b/>
          <w:szCs w:val="24"/>
        </w:rPr>
        <w:t>.</w:t>
      </w:r>
      <w:r w:rsidR="00FF59D5">
        <w:rPr>
          <w:rFonts w:cs="Times New Roman"/>
          <w:b/>
          <w:szCs w:val="24"/>
        </w:rPr>
        <w:t xml:space="preserve"> </w:t>
      </w:r>
      <w:r w:rsidRPr="001451E5">
        <w:rPr>
          <w:rFonts w:cs="Times New Roman"/>
          <w:b/>
          <w:szCs w:val="24"/>
        </w:rPr>
        <w:t>–</w:t>
      </w:r>
      <w:r w:rsidR="00FF59D5">
        <w:rPr>
          <w:rFonts w:cs="Times New Roman"/>
          <w:b/>
          <w:szCs w:val="24"/>
        </w:rPr>
        <w:t> 2022</w:t>
      </w:r>
      <w:r w:rsidRPr="001451E5">
        <w:rPr>
          <w:rFonts w:cs="Times New Roman"/>
          <w:b/>
          <w:szCs w:val="24"/>
        </w:rPr>
        <w:t>.</w:t>
      </w:r>
      <w:r w:rsidR="00FF59D5">
        <w:rPr>
          <w:rFonts w:cs="Times New Roman"/>
          <w:b/>
          <w:szCs w:val="24"/>
        </w:rPr>
        <w:t> </w:t>
      </w:r>
      <w:r w:rsidRPr="001451E5">
        <w:rPr>
          <w:rFonts w:cs="Times New Roman"/>
          <w:b/>
          <w:szCs w:val="24"/>
        </w:rPr>
        <w:t>gadam</w:t>
      </w:r>
      <w:r w:rsidRPr="001451E5">
        <w:rPr>
          <w:rFonts w:cs="Times New Roman"/>
          <w:szCs w:val="24"/>
        </w:rPr>
        <w:t xml:space="preserve">, milj. </w:t>
      </w:r>
      <w:r w:rsidRPr="001451E5">
        <w:rPr>
          <w:rFonts w:cs="Times New Roman"/>
          <w:i/>
          <w:szCs w:val="24"/>
        </w:rPr>
        <w:t>euro</w:t>
      </w:r>
    </w:p>
    <w:p w14:paraId="4B9EBA20" w14:textId="7EB00B86" w:rsidR="00C20C02" w:rsidRPr="001451E5" w:rsidRDefault="00305280" w:rsidP="00B33183">
      <w:pPr>
        <w:tabs>
          <w:tab w:val="left" w:pos="3557"/>
        </w:tabs>
        <w:ind w:left="0" w:right="74"/>
        <w:jc w:val="center"/>
        <w:rPr>
          <w:rFonts w:cs="Times New Roman"/>
          <w:szCs w:val="24"/>
        </w:rPr>
      </w:pPr>
      <w:r w:rsidRPr="00023E6D">
        <w:rPr>
          <w:noProof/>
          <w:lang w:eastAsia="lv-LV"/>
        </w:rPr>
        <mc:AlternateContent>
          <mc:Choice Requires="wps">
            <w:drawing>
              <wp:anchor distT="0" distB="0" distL="114300" distR="114300" simplePos="0" relativeHeight="251682816" behindDoc="0" locked="0" layoutInCell="1" allowOverlap="1" wp14:anchorId="507A940D" wp14:editId="51E11AC6">
                <wp:simplePos x="0" y="0"/>
                <wp:positionH relativeFrom="column">
                  <wp:posOffset>-1270</wp:posOffset>
                </wp:positionH>
                <wp:positionV relativeFrom="paragraph">
                  <wp:posOffset>3401060</wp:posOffset>
                </wp:positionV>
                <wp:extent cx="2690812" cy="230188"/>
                <wp:effectExtent l="0" t="0" r="0" b="0"/>
                <wp:wrapNone/>
                <wp:docPr id="1741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812" cy="230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BC42" w14:textId="77777777" w:rsidR="00023E6D" w:rsidRPr="00023E6D" w:rsidRDefault="00023E6D" w:rsidP="00023E6D">
                            <w:pPr>
                              <w:pStyle w:val="NormalWeb"/>
                              <w:kinsoku w:val="0"/>
                              <w:overflowPunct w:val="0"/>
                              <w:spacing w:before="0" w:beforeAutospacing="0" w:after="0" w:afterAutospacing="0"/>
                              <w:textAlignment w:val="baseline"/>
                            </w:pPr>
                            <w:r w:rsidRPr="00023E6D">
                              <w:rPr>
                                <w:i/>
                                <w:iCs/>
                                <w:color w:val="000000" w:themeColor="text1"/>
                                <w:kern w:val="24"/>
                                <w:sz w:val="18"/>
                                <w:szCs w:val="18"/>
                              </w:rPr>
                              <w:t>*Kopā pamatbudžets un speciālais budžets</w:t>
                            </w:r>
                          </w:p>
                        </w:txbxContent>
                      </wps:txbx>
                      <wps:bodyPr wrap="none">
                        <a:spAutoFit/>
                      </wps:bodyPr>
                    </wps:wsp>
                  </a:graphicData>
                </a:graphic>
              </wp:anchor>
            </w:drawing>
          </mc:Choice>
          <mc:Fallback>
            <w:pict>
              <v:shapetype w14:anchorId="507A940D" id="_x0000_t202" coordsize="21600,21600" o:spt="202" path="m,l,21600r21600,l21600,xe">
                <v:stroke joinstyle="miter"/>
                <v:path gradientshapeok="t" o:connecttype="rect"/>
              </v:shapetype>
              <v:shape id="TextBox 1" o:spid="_x0000_s1028" type="#_x0000_t202" style="position:absolute;left:0;text-align:left;margin-left:-.1pt;margin-top:267.8pt;width:211.85pt;height:18.1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" filled="f" stroked="f">
                <v:textbox style="mso-fit-shape-to-text:t">
                  <w:txbxContent>
                    <w:p w14:paraId="0144BC42" w14:textId="77777777" w:rsidR="00023E6D" w:rsidRPr="00023E6D" w:rsidRDefault="00023E6D" w:rsidP="00023E6D">
                      <w:pPr>
                        <w:pStyle w:val="NormalWeb"/>
                        <w:kinsoku w:val="0"/>
                        <w:overflowPunct w:val="0"/>
                        <w:spacing w:before="0" w:beforeAutospacing="0" w:after="0" w:afterAutospacing="0"/>
                        <w:textAlignment w:val="baseline"/>
                      </w:pPr>
                      <w:r w:rsidRPr="00023E6D">
                        <w:rPr>
                          <w:i/>
                          <w:iCs/>
                          <w:color w:val="000000" w:themeColor="text1"/>
                          <w:kern w:val="24"/>
                          <w:sz w:val="18"/>
                          <w:szCs w:val="18"/>
                        </w:rPr>
                        <w:t>*Kopā pamatbudžets un speciālais budžets</w:t>
                      </w:r>
                    </w:p>
                  </w:txbxContent>
                </v:textbox>
              </v:shape>
            </w:pict>
          </mc:Fallback>
        </mc:AlternateContent>
      </w:r>
      <w:r w:rsidR="00693D6D">
        <w:rPr>
          <w:noProof/>
          <w:lang w:eastAsia="lv-LV"/>
        </w:rPr>
        <w:drawing>
          <wp:inline distT="0" distB="0" distL="0" distR="0" wp14:anchorId="42B71528" wp14:editId="08533ABD">
            <wp:extent cx="5819775" cy="37528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501DFD" w14:textId="77777777" w:rsidR="0060566E" w:rsidRDefault="0060566E" w:rsidP="00534CDB">
      <w:pPr>
        <w:spacing w:before="120"/>
        <w:ind w:left="74" w:right="74"/>
        <w:rPr>
          <w:i/>
        </w:rPr>
      </w:pPr>
    </w:p>
    <w:p w14:paraId="42AE5092" w14:textId="0DD5F622" w:rsidR="007374A3" w:rsidRPr="001451E5" w:rsidRDefault="007374A3" w:rsidP="00534CDB">
      <w:pPr>
        <w:spacing w:before="120"/>
        <w:ind w:left="74" w:right="74"/>
      </w:pPr>
      <w:r w:rsidRPr="001451E5">
        <w:rPr>
          <w:i/>
        </w:rPr>
        <w:t>Veselības ministrijas</w:t>
      </w:r>
      <w:r w:rsidRPr="001451E5">
        <w:t xml:space="preserve"> </w:t>
      </w:r>
      <w:r w:rsidR="00176864">
        <w:t>PP</w:t>
      </w:r>
      <w:r w:rsidRPr="001451E5">
        <w:t xml:space="preserve"> sarakstā kā svarīgākie </w:t>
      </w:r>
      <w:r w:rsidR="005530F4" w:rsidRPr="001451E5">
        <w:t xml:space="preserve">(pirmie trīs) </w:t>
      </w:r>
      <w:r w:rsidRPr="001451E5">
        <w:t>norādīti šādi pasākumi:</w:t>
      </w:r>
    </w:p>
    <w:p w14:paraId="3455BF1E" w14:textId="283B0FAA" w:rsidR="007374A3" w:rsidRPr="001451E5" w:rsidRDefault="007937AC" w:rsidP="00534CDB">
      <w:pPr>
        <w:pStyle w:val="ListParagraph"/>
        <w:numPr>
          <w:ilvl w:val="0"/>
          <w:numId w:val="17"/>
        </w:numPr>
        <w:spacing w:before="120"/>
        <w:ind w:right="0"/>
        <w:contextualSpacing w:val="0"/>
      </w:pPr>
      <w:r w:rsidRPr="007937AC">
        <w:t>Ambulatoro veselības aprūpes pakalpojumu pieejamības uzlabošana</w:t>
      </w:r>
      <w:r w:rsidR="007374A3" w:rsidRPr="001451E5">
        <w:t xml:space="preserve"> (29_01_P). Pasākumam nepieciešamais finansējums 20</w:t>
      </w:r>
      <w:r>
        <w:t>20</w:t>
      </w:r>
      <w:r w:rsidR="007374A3" w:rsidRPr="001451E5">
        <w:t>.</w:t>
      </w:r>
      <w:r w:rsidR="00DC3A00">
        <w:t>, 2021. un 2022.</w:t>
      </w:r>
      <w:r>
        <w:t xml:space="preserve"> </w:t>
      </w:r>
      <w:r w:rsidR="007374A3" w:rsidRPr="001451E5">
        <w:t xml:space="preserve">gadam </w:t>
      </w:r>
      <w:r>
        <w:t>17,2</w:t>
      </w:r>
      <w:r w:rsidR="007374A3" w:rsidRPr="001451E5">
        <w:t xml:space="preserve"> milj. </w:t>
      </w:r>
      <w:r w:rsidR="007374A3" w:rsidRPr="001451E5">
        <w:rPr>
          <w:i/>
        </w:rPr>
        <w:t>euro</w:t>
      </w:r>
      <w:r w:rsidR="00DC3A00">
        <w:t xml:space="preserve"> ik gadu</w:t>
      </w:r>
      <w:r w:rsidR="007374A3" w:rsidRPr="001451E5">
        <w:t>;</w:t>
      </w:r>
    </w:p>
    <w:p w14:paraId="58919FB7" w14:textId="4A068254" w:rsidR="000C443E" w:rsidRPr="001451E5" w:rsidRDefault="000C443E" w:rsidP="00534CDB">
      <w:pPr>
        <w:pStyle w:val="ListParagraph"/>
        <w:numPr>
          <w:ilvl w:val="0"/>
          <w:numId w:val="17"/>
        </w:numPr>
        <w:spacing w:before="120"/>
        <w:ind w:right="0"/>
        <w:contextualSpacing w:val="0"/>
      </w:pPr>
      <w:r w:rsidRPr="001451E5">
        <w:lastRenderedPageBreak/>
        <w:t>Stacionāro</w:t>
      </w:r>
      <w:r w:rsidR="00983F57">
        <w:t xml:space="preserve"> veselības aprūpes</w:t>
      </w:r>
      <w:r w:rsidRPr="001451E5">
        <w:t xml:space="preserve"> pakalpojumu pieejamības uzlabošana (29_02_P). Pasākumam</w:t>
      </w:r>
      <w:r w:rsidR="007937AC">
        <w:t xml:space="preserve"> nepieciešamais finansējums 2020</w:t>
      </w:r>
      <w:r w:rsidRPr="001451E5">
        <w:t>.</w:t>
      </w:r>
      <w:r w:rsidR="007937AC">
        <w:t>, 2021. un 2022. </w:t>
      </w:r>
      <w:r w:rsidRPr="001451E5">
        <w:t xml:space="preserve">gadam </w:t>
      </w:r>
      <w:r w:rsidR="007937AC">
        <w:t>6,0</w:t>
      </w:r>
      <w:r w:rsidRPr="001451E5">
        <w:t xml:space="preserve"> milj. </w:t>
      </w:r>
      <w:r w:rsidRPr="001451E5">
        <w:rPr>
          <w:i/>
        </w:rPr>
        <w:t>euro</w:t>
      </w:r>
      <w:r w:rsidR="007937AC">
        <w:t xml:space="preserve"> ik gadu</w:t>
      </w:r>
      <w:r w:rsidRPr="001451E5">
        <w:t>;</w:t>
      </w:r>
    </w:p>
    <w:p w14:paraId="65A903B3" w14:textId="7B32CBD9" w:rsidR="006A27A6" w:rsidRDefault="007937AC" w:rsidP="00534CDB">
      <w:pPr>
        <w:pStyle w:val="ListParagraph"/>
        <w:numPr>
          <w:ilvl w:val="0"/>
          <w:numId w:val="17"/>
        </w:numPr>
        <w:spacing w:before="120"/>
        <w:ind w:right="0"/>
        <w:contextualSpacing w:val="0"/>
      </w:pPr>
      <w:r w:rsidRPr="007937AC">
        <w:t xml:space="preserve">Pacientu iemaksu un līdzmaksājumu samazinājums </w:t>
      </w:r>
      <w:r w:rsidR="000C443E" w:rsidRPr="001451E5">
        <w:t xml:space="preserve">(29_03_P). Pasākumam nepieciešamais finansējums </w:t>
      </w:r>
      <w:r>
        <w:t>2020., 2021. un 2022</w:t>
      </w:r>
      <w:r w:rsidR="00EB2A3D" w:rsidRPr="001451E5">
        <w:t>.</w:t>
      </w:r>
      <w:r>
        <w:t> </w:t>
      </w:r>
      <w:r w:rsidR="00EB2A3D" w:rsidRPr="001451E5">
        <w:t xml:space="preserve">gadam ir </w:t>
      </w:r>
      <w:r>
        <w:t>4,1</w:t>
      </w:r>
      <w:r w:rsidR="000C443E" w:rsidRPr="001451E5">
        <w:t xml:space="preserve"> milj. </w:t>
      </w:r>
      <w:r w:rsidR="000C443E" w:rsidRPr="001451E5">
        <w:rPr>
          <w:i/>
        </w:rPr>
        <w:t>euro</w:t>
      </w:r>
      <w:r w:rsidR="000C443E" w:rsidRPr="001451E5">
        <w:t xml:space="preserve"> ik gadu. </w:t>
      </w:r>
    </w:p>
    <w:p w14:paraId="1FFFCA2A" w14:textId="1BFB6C16" w:rsidR="00391E32" w:rsidRPr="001451E5" w:rsidRDefault="007937AC" w:rsidP="00534CDB">
      <w:pPr>
        <w:spacing w:before="120"/>
        <w:ind w:left="74" w:right="74"/>
      </w:pPr>
      <w:r w:rsidRPr="001451E5">
        <w:rPr>
          <w:i/>
          <w:szCs w:val="24"/>
        </w:rPr>
        <w:t>Izglītības un zinātnes ministrija</w:t>
      </w:r>
      <w:r w:rsidRPr="001451E5">
        <w:rPr>
          <w:i/>
        </w:rPr>
        <w:t>s</w:t>
      </w:r>
      <w:r w:rsidRPr="001451E5">
        <w:t xml:space="preserve"> </w:t>
      </w:r>
      <w:r w:rsidR="00176864">
        <w:t>PP</w:t>
      </w:r>
      <w:r w:rsidR="00391E32" w:rsidRPr="001451E5">
        <w:t xml:space="preserve"> sarakstā kā svarīgākie </w:t>
      </w:r>
      <w:r w:rsidR="00113C6A" w:rsidRPr="001451E5">
        <w:t xml:space="preserve">(pirmie trīs) </w:t>
      </w:r>
      <w:r w:rsidR="00391E32" w:rsidRPr="001451E5">
        <w:t>norādīti šādi pasākumi:</w:t>
      </w:r>
    </w:p>
    <w:p w14:paraId="32FB6275" w14:textId="35038C6B" w:rsidR="00391E32" w:rsidRPr="001451E5" w:rsidRDefault="007937AC" w:rsidP="00534CDB">
      <w:pPr>
        <w:pStyle w:val="ListParagraph"/>
        <w:numPr>
          <w:ilvl w:val="0"/>
          <w:numId w:val="18"/>
        </w:numPr>
        <w:spacing w:before="120"/>
        <w:ind w:right="0"/>
        <w:contextualSpacing w:val="0"/>
      </w:pPr>
      <w:r w:rsidRPr="007937AC">
        <w:t>Zinātnes bāzes finansējuma nodrošināšana pilnā apmērā un jaunu kvalitātes kritēriju ieviešanai, ieskaitot inovāciju radīšanu un zinātnisko institūciju darbī</w:t>
      </w:r>
      <w:r>
        <w:t>bas starptautiskais novērtējums</w:t>
      </w:r>
      <w:r w:rsidR="007B0BE8" w:rsidRPr="001451E5">
        <w:t xml:space="preserve"> (1</w:t>
      </w:r>
      <w:r w:rsidR="00835D0A">
        <w:t>5</w:t>
      </w:r>
      <w:r w:rsidR="007B0BE8" w:rsidRPr="001451E5">
        <w:t xml:space="preserve">_01_P). </w:t>
      </w:r>
      <w:r w:rsidR="00391E32" w:rsidRPr="001451E5">
        <w:t>Pasākumam</w:t>
      </w:r>
      <w:r>
        <w:t xml:space="preserve"> nepieciešamais finansējums 2020. gadam 29,9 milj. </w:t>
      </w:r>
      <w:r w:rsidRPr="007937AC">
        <w:rPr>
          <w:i/>
        </w:rPr>
        <w:t>euro</w:t>
      </w:r>
      <w:r>
        <w:t>, 2021</w:t>
      </w:r>
      <w:r w:rsidR="00391E32" w:rsidRPr="001451E5">
        <w:t>.</w:t>
      </w:r>
      <w:r>
        <w:t xml:space="preserve"> gadam 31,7 milj. </w:t>
      </w:r>
      <w:r w:rsidRPr="007937AC">
        <w:rPr>
          <w:i/>
        </w:rPr>
        <w:t>euro</w:t>
      </w:r>
      <w:r>
        <w:t xml:space="preserve"> un 2022</w:t>
      </w:r>
      <w:r w:rsidR="007B0BE8" w:rsidRPr="001451E5">
        <w:t>.</w:t>
      </w:r>
      <w:r>
        <w:t> </w:t>
      </w:r>
      <w:r w:rsidR="00391E32" w:rsidRPr="001451E5">
        <w:t xml:space="preserve">gadam </w:t>
      </w:r>
      <w:r>
        <w:t>33,6</w:t>
      </w:r>
      <w:r w:rsidR="00391E32" w:rsidRPr="001451E5">
        <w:t xml:space="preserve"> milj. </w:t>
      </w:r>
      <w:r w:rsidR="00391E32" w:rsidRPr="001451E5">
        <w:rPr>
          <w:i/>
        </w:rPr>
        <w:t>euro</w:t>
      </w:r>
      <w:r w:rsidR="00391E32" w:rsidRPr="001451E5">
        <w:t>;</w:t>
      </w:r>
    </w:p>
    <w:p w14:paraId="70FCFAFE" w14:textId="46579FF6" w:rsidR="007B0BE8" w:rsidRPr="001451E5" w:rsidRDefault="007937AC" w:rsidP="00534CDB">
      <w:pPr>
        <w:pStyle w:val="ListParagraph"/>
        <w:numPr>
          <w:ilvl w:val="0"/>
          <w:numId w:val="18"/>
        </w:numPr>
        <w:spacing w:before="120"/>
        <w:ind w:right="0"/>
        <w:contextualSpacing w:val="0"/>
      </w:pPr>
      <w:r w:rsidRPr="007937AC">
        <w:t xml:space="preserve">Finansējuma pieaugums </w:t>
      </w:r>
      <w:r w:rsidR="00835D0A">
        <w:t>Fundamentā</w:t>
      </w:r>
      <w:r w:rsidRPr="007937AC">
        <w:t>lo un lietišķo pētījumu programmas projektu īstenošanai</w:t>
      </w:r>
      <w:r w:rsidR="00391E32" w:rsidRPr="001451E5">
        <w:t xml:space="preserve"> (</w:t>
      </w:r>
      <w:r w:rsidR="007B0BE8" w:rsidRPr="001451E5">
        <w:t>1</w:t>
      </w:r>
      <w:r w:rsidR="00835D0A">
        <w:t>5</w:t>
      </w:r>
      <w:r w:rsidR="007B0BE8" w:rsidRPr="00100AE6">
        <w:t>_</w:t>
      </w:r>
      <w:r w:rsidR="007B0BE8" w:rsidRPr="001451E5">
        <w:t>02</w:t>
      </w:r>
      <w:r w:rsidR="007B0BE8" w:rsidRPr="00100AE6">
        <w:t>_</w:t>
      </w:r>
      <w:r w:rsidR="007B0BE8" w:rsidRPr="001451E5">
        <w:t>P</w:t>
      </w:r>
      <w:r w:rsidR="00391E32" w:rsidRPr="001451E5">
        <w:t>).</w:t>
      </w:r>
      <w:r w:rsidR="007B0BE8" w:rsidRPr="001451E5">
        <w:t xml:space="preserve"> </w:t>
      </w:r>
      <w:r w:rsidR="00391E32" w:rsidRPr="001451E5">
        <w:t>Pasākumam nepieciešamais finansējums 2020.</w:t>
      </w:r>
      <w:r w:rsidR="00835D0A">
        <w:t> </w:t>
      </w:r>
      <w:r w:rsidR="00391E32" w:rsidRPr="001451E5">
        <w:t xml:space="preserve">gadam </w:t>
      </w:r>
      <w:r w:rsidR="00835D0A">
        <w:t>10,0 </w:t>
      </w:r>
      <w:r w:rsidR="00391E32" w:rsidRPr="001451E5">
        <w:t>milj.</w:t>
      </w:r>
      <w:r w:rsidR="00835D0A">
        <w:t> </w:t>
      </w:r>
      <w:r w:rsidR="00391E32" w:rsidRPr="001451E5">
        <w:rPr>
          <w:i/>
        </w:rPr>
        <w:t>euro</w:t>
      </w:r>
      <w:r w:rsidR="00835D0A" w:rsidRPr="00835D0A">
        <w:t>, 2020</w:t>
      </w:r>
      <w:r w:rsidR="00835D0A">
        <w:t>.</w:t>
      </w:r>
      <w:r w:rsidR="00391E32" w:rsidRPr="001451E5">
        <w:t xml:space="preserve"> un 2021.</w:t>
      </w:r>
      <w:r w:rsidR="00835D0A">
        <w:t> </w:t>
      </w:r>
      <w:r w:rsidR="00391E32" w:rsidRPr="001451E5">
        <w:t xml:space="preserve">gadam </w:t>
      </w:r>
      <w:r w:rsidR="00835D0A">
        <w:t>15,0</w:t>
      </w:r>
      <w:r w:rsidR="00391E32" w:rsidRPr="001451E5">
        <w:t xml:space="preserve"> milj. </w:t>
      </w:r>
      <w:r w:rsidR="00391E32" w:rsidRPr="001451E5">
        <w:rPr>
          <w:i/>
        </w:rPr>
        <w:t>euro</w:t>
      </w:r>
      <w:r w:rsidR="00835D0A">
        <w:rPr>
          <w:i/>
        </w:rPr>
        <w:t xml:space="preserve"> </w:t>
      </w:r>
      <w:r w:rsidR="00835D0A" w:rsidRPr="00835D0A">
        <w:t>ik gadu</w:t>
      </w:r>
      <w:r w:rsidR="00391E32" w:rsidRPr="00835D0A">
        <w:t>;</w:t>
      </w:r>
    </w:p>
    <w:p w14:paraId="3435CFF8" w14:textId="17964530" w:rsidR="00391E32" w:rsidRDefault="00835D0A" w:rsidP="00534CDB">
      <w:pPr>
        <w:pStyle w:val="ListParagraph"/>
        <w:numPr>
          <w:ilvl w:val="0"/>
          <w:numId w:val="18"/>
        </w:numPr>
        <w:spacing w:before="120"/>
        <w:ind w:right="0"/>
        <w:contextualSpacing w:val="0"/>
      </w:pPr>
      <w:r w:rsidRPr="00835D0A">
        <w:t>Jaunās studiju un studējošo kreditēšanas modeļa ieviešana un studējošo kredītu dzēšana bērnu piedzimšanas gadījumos abiem vecākiem</w:t>
      </w:r>
      <w:r w:rsidR="007B0BE8" w:rsidRPr="001451E5">
        <w:t xml:space="preserve"> (1</w:t>
      </w:r>
      <w:r>
        <w:t>5</w:t>
      </w:r>
      <w:r w:rsidR="007B0BE8" w:rsidRPr="001451E5">
        <w:t>_</w:t>
      </w:r>
      <w:r w:rsidR="00391E32" w:rsidRPr="001451E5">
        <w:t>03_P</w:t>
      </w:r>
      <w:r w:rsidR="007B0BE8" w:rsidRPr="001451E5">
        <w:t xml:space="preserve">). </w:t>
      </w:r>
      <w:r w:rsidR="00391E32" w:rsidRPr="001451E5">
        <w:t xml:space="preserve">Pasākumam nepieciešamais </w:t>
      </w:r>
      <w:r>
        <w:t>finansējums 2020</w:t>
      </w:r>
      <w:r w:rsidR="007B0BE8" w:rsidRPr="001451E5">
        <w:t>.</w:t>
      </w:r>
      <w:r>
        <w:t> gadam 0,06 milj. euro, 2021. gadam 0,3 milj. euro un 2022</w:t>
      </w:r>
      <w:r w:rsidR="007B0BE8" w:rsidRPr="001451E5">
        <w:t>.</w:t>
      </w:r>
      <w:r>
        <w:t> </w:t>
      </w:r>
      <w:r w:rsidR="00391E32" w:rsidRPr="001451E5">
        <w:t xml:space="preserve">gadam </w:t>
      </w:r>
      <w:r>
        <w:t>0,7 </w:t>
      </w:r>
      <w:r w:rsidR="00391E32" w:rsidRPr="001451E5">
        <w:t xml:space="preserve">milj. </w:t>
      </w:r>
      <w:r w:rsidR="00391E32" w:rsidRPr="001451E5">
        <w:rPr>
          <w:i/>
        </w:rPr>
        <w:t>euro</w:t>
      </w:r>
      <w:r w:rsidR="00391E32" w:rsidRPr="001451E5">
        <w:t>.</w:t>
      </w:r>
    </w:p>
    <w:p w14:paraId="0F7833F0" w14:textId="18AC89C8" w:rsidR="00113C6A" w:rsidRPr="001451E5" w:rsidRDefault="007937AC" w:rsidP="00534CDB">
      <w:pPr>
        <w:spacing w:before="120"/>
        <w:ind w:left="74" w:right="74"/>
      </w:pPr>
      <w:r w:rsidRPr="001451E5">
        <w:rPr>
          <w:i/>
        </w:rPr>
        <w:t>Satiksmes ministrijas</w:t>
      </w:r>
      <w:r w:rsidRPr="001451E5">
        <w:t xml:space="preserve"> </w:t>
      </w:r>
      <w:r w:rsidR="00176864">
        <w:t>PP</w:t>
      </w:r>
      <w:r w:rsidR="00113C6A" w:rsidRPr="001451E5">
        <w:t xml:space="preserve"> sarakstā kā svarīgākie </w:t>
      </w:r>
      <w:r w:rsidR="00096268" w:rsidRPr="001451E5">
        <w:t xml:space="preserve">(pirmie trīs) </w:t>
      </w:r>
      <w:r w:rsidR="00113C6A" w:rsidRPr="001451E5">
        <w:t>norādīti šādi pasākumi:</w:t>
      </w:r>
    </w:p>
    <w:p w14:paraId="116D45AC" w14:textId="49F64704" w:rsidR="00113C6A" w:rsidRPr="001451E5" w:rsidRDefault="00835D0A" w:rsidP="00534CDB">
      <w:pPr>
        <w:pStyle w:val="ListParagraph"/>
        <w:numPr>
          <w:ilvl w:val="0"/>
          <w:numId w:val="19"/>
        </w:numPr>
        <w:spacing w:before="120"/>
        <w:ind w:right="0"/>
        <w:contextualSpacing w:val="0"/>
      </w:pPr>
      <w:r w:rsidRPr="00835D0A">
        <w:t xml:space="preserve">Dotācija zaudējumu segšanai sabiedriskā transporta pakalpojumu sniedzējiem </w:t>
      </w:r>
      <w:r w:rsidR="00113C6A" w:rsidRPr="001451E5">
        <w:t>(1</w:t>
      </w:r>
      <w:r>
        <w:t>7</w:t>
      </w:r>
      <w:r w:rsidR="00113C6A" w:rsidRPr="00100AE6">
        <w:t>_01_</w:t>
      </w:r>
      <w:r w:rsidR="00113C6A" w:rsidRPr="001451E5">
        <w:t>P). Pasākumam</w:t>
      </w:r>
      <w:r>
        <w:t xml:space="preserve"> nepieciešamais finansējums 2020</w:t>
      </w:r>
      <w:r w:rsidR="00113C6A" w:rsidRPr="001451E5">
        <w:t>.</w:t>
      </w:r>
      <w:r>
        <w:t> </w:t>
      </w:r>
      <w:r w:rsidR="00113C6A" w:rsidRPr="001451E5">
        <w:t xml:space="preserve">gadam </w:t>
      </w:r>
      <w:r>
        <w:t>18,7</w:t>
      </w:r>
      <w:r w:rsidR="00113C6A" w:rsidRPr="001451E5">
        <w:t xml:space="preserve"> milj</w:t>
      </w:r>
      <w:r w:rsidR="00113C6A" w:rsidRPr="001451E5">
        <w:rPr>
          <w:i/>
        </w:rPr>
        <w:t>. euro</w:t>
      </w:r>
      <w:r>
        <w:t>, 2021</w:t>
      </w:r>
      <w:r w:rsidR="00113C6A" w:rsidRPr="001451E5">
        <w:t>.</w:t>
      </w:r>
      <w:r>
        <w:t xml:space="preserve"> gadam 8,5 milj. </w:t>
      </w:r>
      <w:r w:rsidRPr="00835D0A">
        <w:rPr>
          <w:i/>
        </w:rPr>
        <w:t>euro</w:t>
      </w:r>
      <w:r w:rsidR="00113C6A" w:rsidRPr="001451E5">
        <w:t xml:space="preserve"> un 202</w:t>
      </w:r>
      <w:r w:rsidR="00527EEC">
        <w:t>2</w:t>
      </w:r>
      <w:r w:rsidR="00113C6A" w:rsidRPr="001451E5">
        <w:t>.</w:t>
      </w:r>
      <w:r w:rsidR="00527EEC">
        <w:t> </w:t>
      </w:r>
      <w:r w:rsidR="00113C6A" w:rsidRPr="001451E5">
        <w:t xml:space="preserve">gadam </w:t>
      </w:r>
      <w:r w:rsidR="00527EEC">
        <w:t>5,5</w:t>
      </w:r>
      <w:r w:rsidR="00113C6A" w:rsidRPr="001451E5">
        <w:t xml:space="preserve"> milj. </w:t>
      </w:r>
      <w:r w:rsidR="00113C6A" w:rsidRPr="001451E5">
        <w:rPr>
          <w:i/>
        </w:rPr>
        <w:t>euro</w:t>
      </w:r>
      <w:r w:rsidR="00113C6A" w:rsidRPr="001451E5">
        <w:t>;</w:t>
      </w:r>
    </w:p>
    <w:p w14:paraId="281695E7" w14:textId="076A864B" w:rsidR="00A70B3E" w:rsidRPr="001451E5" w:rsidRDefault="00527EEC" w:rsidP="00534CDB">
      <w:pPr>
        <w:pStyle w:val="ListParagraph"/>
        <w:numPr>
          <w:ilvl w:val="0"/>
          <w:numId w:val="19"/>
        </w:numPr>
        <w:spacing w:before="120"/>
        <w:ind w:right="0"/>
        <w:contextualSpacing w:val="0"/>
      </w:pPr>
      <w:r w:rsidRPr="00527EEC">
        <w:t>Kompensācija par publiskās dzelzceļa infrastruktūras lietošanu</w:t>
      </w:r>
      <w:r w:rsidR="00113C6A" w:rsidRPr="001451E5">
        <w:t xml:space="preserve"> (1</w:t>
      </w:r>
      <w:r>
        <w:t>7</w:t>
      </w:r>
      <w:r w:rsidR="00113C6A" w:rsidRPr="00100AE6">
        <w:t>_02_P</w:t>
      </w:r>
      <w:r w:rsidR="00113C6A" w:rsidRPr="001451E5">
        <w:t>). Pasākumam</w:t>
      </w:r>
      <w:r>
        <w:t xml:space="preserve"> nepieciešamais finansējums 2020</w:t>
      </w:r>
      <w:r w:rsidR="00113C6A" w:rsidRPr="001451E5">
        <w:t>.</w:t>
      </w:r>
      <w:r>
        <w:t xml:space="preserve"> </w:t>
      </w:r>
      <w:r w:rsidR="00113C6A" w:rsidRPr="001451E5">
        <w:t xml:space="preserve">gadam </w:t>
      </w:r>
      <w:r>
        <w:t>15,3</w:t>
      </w:r>
      <w:r w:rsidR="00113C6A" w:rsidRPr="001451E5">
        <w:t xml:space="preserve"> milj</w:t>
      </w:r>
      <w:r w:rsidR="00113C6A" w:rsidRPr="001451E5">
        <w:rPr>
          <w:i/>
        </w:rPr>
        <w:t>. euro</w:t>
      </w:r>
      <w:r>
        <w:t>, 2021</w:t>
      </w:r>
      <w:r w:rsidR="00113C6A" w:rsidRPr="001451E5">
        <w:t>.</w:t>
      </w:r>
      <w:r>
        <w:t xml:space="preserve"> gadam 16,2 milj. </w:t>
      </w:r>
      <w:r w:rsidRPr="00527EEC">
        <w:rPr>
          <w:i/>
        </w:rPr>
        <w:t>euro</w:t>
      </w:r>
      <w:r w:rsidR="00A70B3E" w:rsidRPr="00527EEC">
        <w:rPr>
          <w:i/>
        </w:rPr>
        <w:t xml:space="preserve"> </w:t>
      </w:r>
      <w:r>
        <w:t>un 2022</w:t>
      </w:r>
      <w:r w:rsidR="00A70B3E" w:rsidRPr="001451E5">
        <w:t>.</w:t>
      </w:r>
      <w:r>
        <w:t> </w:t>
      </w:r>
      <w:r w:rsidR="00113C6A" w:rsidRPr="001451E5">
        <w:t xml:space="preserve">gadam </w:t>
      </w:r>
      <w:r>
        <w:t>17,2</w:t>
      </w:r>
      <w:r w:rsidR="00113C6A" w:rsidRPr="001451E5">
        <w:t xml:space="preserve"> milj. </w:t>
      </w:r>
      <w:r w:rsidR="00113C6A" w:rsidRPr="001451E5">
        <w:rPr>
          <w:i/>
        </w:rPr>
        <w:t>euro</w:t>
      </w:r>
      <w:r w:rsidR="00113C6A" w:rsidRPr="001451E5">
        <w:t>;</w:t>
      </w:r>
    </w:p>
    <w:p w14:paraId="05817E29" w14:textId="72F7A290" w:rsidR="00113C6A" w:rsidRPr="00CC6923" w:rsidRDefault="00527EEC" w:rsidP="00534CDB">
      <w:pPr>
        <w:pStyle w:val="ListParagraph"/>
        <w:numPr>
          <w:ilvl w:val="0"/>
          <w:numId w:val="19"/>
        </w:numPr>
        <w:spacing w:before="120"/>
        <w:ind w:right="0"/>
        <w:contextualSpacing w:val="0"/>
      </w:pPr>
      <w:r w:rsidRPr="00527EEC">
        <w:t xml:space="preserve">Autoceļu sakārtošanas programma 2014. </w:t>
      </w:r>
      <w:r>
        <w:t>–</w:t>
      </w:r>
      <w:r w:rsidRPr="00527EEC">
        <w:t xml:space="preserve"> 2023. gadam </w:t>
      </w:r>
      <w:r w:rsidR="00A70B3E" w:rsidRPr="001451E5">
        <w:t>(</w:t>
      </w:r>
      <w:r w:rsidR="004270FD" w:rsidRPr="001451E5">
        <w:t>1</w:t>
      </w:r>
      <w:r>
        <w:t>7</w:t>
      </w:r>
      <w:r w:rsidR="004270FD" w:rsidRPr="00100AE6">
        <w:t>_03_</w:t>
      </w:r>
      <w:r w:rsidR="004270FD" w:rsidRPr="001451E5">
        <w:t>P</w:t>
      </w:r>
      <w:r w:rsidR="00113C6A" w:rsidRPr="001451E5">
        <w:t>).</w:t>
      </w:r>
      <w:r w:rsidR="00A70B3E" w:rsidRPr="001451E5">
        <w:t xml:space="preserve"> </w:t>
      </w:r>
      <w:r w:rsidR="00113C6A" w:rsidRPr="001451E5">
        <w:t xml:space="preserve">Pasākumam </w:t>
      </w:r>
      <w:r>
        <w:t>nepieciešamais finansējums 2020</w:t>
      </w:r>
      <w:r w:rsidR="00113C6A" w:rsidRPr="00CC6923">
        <w:t>.</w:t>
      </w:r>
      <w:r>
        <w:t> </w:t>
      </w:r>
      <w:r w:rsidR="00113C6A" w:rsidRPr="00CC6923">
        <w:t xml:space="preserve">gadam </w:t>
      </w:r>
      <w:r>
        <w:t>70,8</w:t>
      </w:r>
      <w:r w:rsidR="00113C6A" w:rsidRPr="00CC6923">
        <w:t xml:space="preserve"> milj</w:t>
      </w:r>
      <w:r w:rsidR="00113C6A" w:rsidRPr="00CC6923">
        <w:rPr>
          <w:i/>
        </w:rPr>
        <w:t>. euro</w:t>
      </w:r>
      <w:r w:rsidRPr="00527EEC">
        <w:t xml:space="preserve">, 2021. </w:t>
      </w:r>
      <w:r>
        <w:t xml:space="preserve">gadam </w:t>
      </w:r>
      <w:r w:rsidR="004A2D0E">
        <w:t xml:space="preserve">80,1 milj. </w:t>
      </w:r>
      <w:r w:rsidR="004A2D0E" w:rsidRPr="004A2D0E">
        <w:rPr>
          <w:i/>
        </w:rPr>
        <w:t>euro</w:t>
      </w:r>
      <w:r w:rsidR="004A2D0E">
        <w:t xml:space="preserve"> un 2022. gadam 117,4 milj. </w:t>
      </w:r>
      <w:r w:rsidR="004A2D0E" w:rsidRPr="004A2D0E">
        <w:rPr>
          <w:i/>
        </w:rPr>
        <w:t>euro</w:t>
      </w:r>
      <w:r w:rsidR="00113C6A" w:rsidRPr="00527EEC">
        <w:t>.</w:t>
      </w:r>
    </w:p>
    <w:p w14:paraId="3B0F620D" w14:textId="5B360AED" w:rsidR="00A37C40" w:rsidRDefault="00847241" w:rsidP="00534CDB">
      <w:pPr>
        <w:spacing w:before="120"/>
        <w:ind w:left="0" w:right="74" w:firstLine="709"/>
      </w:pPr>
      <w:r w:rsidRPr="00CC6923">
        <w:t xml:space="preserve">Ministrijām, iesniedzot pieprasījumus </w:t>
      </w:r>
      <w:r w:rsidR="00176864" w:rsidRPr="00CC6923">
        <w:t>PP</w:t>
      </w:r>
      <w:r w:rsidRPr="00CC6923">
        <w:t xml:space="preserve">, ir jāpārskata ministriju veicamās aktivitātes un jānorāda, vai līdzfinansējumu jauniem </w:t>
      </w:r>
      <w:r w:rsidR="00176864" w:rsidRPr="00CC6923">
        <w:t>PP</w:t>
      </w:r>
      <w:r w:rsidRPr="00CC6923">
        <w:t xml:space="preserve"> nav iespējams rast no iekšējiem resursiem. </w:t>
      </w:r>
      <w:r w:rsidR="004A2D0E">
        <w:t>Deviņas</w:t>
      </w:r>
      <w:r w:rsidR="001D5715">
        <w:t xml:space="preserve"> </w:t>
      </w:r>
      <w:r w:rsidR="007801C5" w:rsidRPr="001451E5">
        <w:t>ministrijas (tai skaitā centrālās valsts iestādes</w:t>
      </w:r>
      <w:r w:rsidR="004A2D0E">
        <w:t xml:space="preserve"> un neatkarīgās institūcijas</w:t>
      </w:r>
      <w:r w:rsidR="007801C5" w:rsidRPr="001451E5">
        <w:t>) (</w:t>
      </w:r>
      <w:r w:rsidR="004A2D0E">
        <w:t>Ekonomikas ministrija, Finanšu ministrija,</w:t>
      </w:r>
      <w:r w:rsidR="004A2D0E" w:rsidRPr="004A2D0E">
        <w:t xml:space="preserve"> </w:t>
      </w:r>
      <w:proofErr w:type="spellStart"/>
      <w:r w:rsidR="004A2D0E">
        <w:t>Iekšlietu</w:t>
      </w:r>
      <w:proofErr w:type="spellEnd"/>
      <w:r w:rsidR="004A2D0E">
        <w:t xml:space="preserve"> ministrija, </w:t>
      </w:r>
      <w:r w:rsidR="001D5715">
        <w:t xml:space="preserve">Izglītības un zinātnes ministrija, </w:t>
      </w:r>
      <w:r w:rsidR="004A2D0E">
        <w:t>Labklājības ministrija</w:t>
      </w:r>
      <w:r w:rsidR="001D5715">
        <w:t xml:space="preserve">, </w:t>
      </w:r>
      <w:proofErr w:type="spellStart"/>
      <w:r w:rsidR="004A2D0E">
        <w:t>Pārresoru</w:t>
      </w:r>
      <w:proofErr w:type="spellEnd"/>
      <w:r w:rsidR="004A2D0E">
        <w:t xml:space="preserve"> koordinācijas centrs,</w:t>
      </w:r>
      <w:r w:rsidR="001D5715">
        <w:t xml:space="preserve"> Satiksmes ministrija, </w:t>
      </w:r>
      <w:r w:rsidR="004A2D0E">
        <w:t xml:space="preserve">Tieslietu ministrija un Tieslietu ministrija </w:t>
      </w:r>
      <w:r w:rsidR="004A2D0E" w:rsidRPr="004A2D0E">
        <w:t>(Zemesgrāmatu nodaļas, rajonu (p</w:t>
      </w:r>
      <w:r w:rsidR="004F7BA2">
        <w:t>ilsētu) tiesas un apgabaltiesas)</w:t>
      </w:r>
      <w:r w:rsidR="00C54BE5" w:rsidRPr="001451E5">
        <w:t>)</w:t>
      </w:r>
      <w:r w:rsidRPr="001451E5">
        <w:t xml:space="preserve"> </w:t>
      </w:r>
      <w:r w:rsidR="007801C5" w:rsidRPr="001451E5">
        <w:t>ir sniegušas priekšlikumus atsevišķu prioritāšu līdzfinansēšanai no iekšējiem resursiem</w:t>
      </w:r>
      <w:r w:rsidR="004A2D0E">
        <w:t>.</w:t>
      </w:r>
      <w:r w:rsidR="004D676D" w:rsidRPr="001451E5">
        <w:t xml:space="preserve"> </w:t>
      </w:r>
    </w:p>
    <w:p w14:paraId="6749A8AE" w14:textId="767B74DF" w:rsidR="00BC1D72" w:rsidRDefault="00797A67" w:rsidP="00534CDB">
      <w:pPr>
        <w:spacing w:before="120"/>
        <w:ind w:right="74" w:firstLine="720"/>
        <w:rPr>
          <w:rFonts w:cs="Times New Roman"/>
          <w:szCs w:val="24"/>
        </w:rPr>
      </w:pPr>
      <w:r w:rsidRPr="00797A67">
        <w:t xml:space="preserve">Vienlaikus jāņem vērā, ka </w:t>
      </w:r>
      <w:r w:rsidRPr="00797A67">
        <w:rPr>
          <w:rFonts w:cs="Times New Roman"/>
          <w:szCs w:val="24"/>
        </w:rPr>
        <w:t xml:space="preserve">Labklājības ministrijas iesniegtais prioritārais pasākums “Sociālās rehabilitācijas pakalpojumu pieejamības uzlabošana” daļēji (0,4 milj. </w:t>
      </w:r>
      <w:r w:rsidRPr="00797A67">
        <w:rPr>
          <w:rFonts w:cs="Times New Roman"/>
          <w:i/>
          <w:iCs/>
          <w:szCs w:val="24"/>
        </w:rPr>
        <w:t>euro</w:t>
      </w:r>
      <w:r w:rsidRPr="00797A67">
        <w:rPr>
          <w:rFonts w:cs="Times New Roman"/>
          <w:szCs w:val="24"/>
        </w:rPr>
        <w:t xml:space="preserve"> apmērā) iekļauts Tieslietu ministrijas starpnozaru prioritārajā pasākumā “Sociālās rehabilitācijas pakalpojumi vardarbību veikušām pilngadīgām personām”.</w:t>
      </w:r>
      <w:r>
        <w:rPr>
          <w:rFonts w:cs="Times New Roman"/>
          <w:szCs w:val="24"/>
        </w:rPr>
        <w:t xml:space="preserve"> Kā arī Veselības ministrijas iesniegtais prioritārais pasākums “Plāna “Par Narkotiku lietošanas un izplatības ierobežošanas plānu 2019.-2020.gadam” realizācija” ir iekļauts </w:t>
      </w:r>
      <w:proofErr w:type="spellStart"/>
      <w:r>
        <w:rPr>
          <w:rFonts w:cs="Times New Roman"/>
          <w:szCs w:val="24"/>
        </w:rPr>
        <w:t>Iekšlietu</w:t>
      </w:r>
      <w:proofErr w:type="spellEnd"/>
      <w:r>
        <w:rPr>
          <w:rFonts w:cs="Times New Roman"/>
          <w:szCs w:val="24"/>
        </w:rPr>
        <w:t xml:space="preserve"> ministrijas starpnozaru prioritārajā pasākumā “Narkotiku lietošanas un izplatības ierobežošanas plāna</w:t>
      </w:r>
      <w:r w:rsidR="00BC1D72">
        <w:rPr>
          <w:rFonts w:cs="Times New Roman"/>
          <w:szCs w:val="24"/>
        </w:rPr>
        <w:t xml:space="preserve"> 2019. – 2020.gadam īstenošana</w:t>
      </w:r>
      <w:r w:rsidR="00BC1D72" w:rsidRPr="00BC1D72">
        <w:rPr>
          <w:rFonts w:cs="Times New Roman"/>
          <w:szCs w:val="24"/>
        </w:rPr>
        <w:t xml:space="preserve">” (2020.gadam 1,4 milj. </w:t>
      </w:r>
      <w:r w:rsidR="00BC1D72" w:rsidRPr="00BC1D72">
        <w:rPr>
          <w:rFonts w:cs="Times New Roman"/>
          <w:i/>
          <w:iCs/>
          <w:szCs w:val="24"/>
        </w:rPr>
        <w:t>euro</w:t>
      </w:r>
      <w:r w:rsidR="00BC1D72" w:rsidRPr="00BC1D72">
        <w:rPr>
          <w:rFonts w:cs="Times New Roman"/>
          <w:szCs w:val="24"/>
        </w:rPr>
        <w:t xml:space="preserve"> apmērā un 2021.</w:t>
      </w:r>
      <w:r w:rsidR="00B84D9A">
        <w:rPr>
          <w:rFonts w:cs="Times New Roman"/>
          <w:szCs w:val="24"/>
        </w:rPr>
        <w:t>-2022. gadam</w:t>
      </w:r>
      <w:r w:rsidR="00BC1D72" w:rsidRPr="00BC1D72">
        <w:rPr>
          <w:rFonts w:cs="Times New Roman"/>
          <w:szCs w:val="24"/>
        </w:rPr>
        <w:t xml:space="preserve"> ik gadu 0,4 milj. </w:t>
      </w:r>
      <w:r w:rsidR="00BC1D72" w:rsidRPr="00BC1D72">
        <w:rPr>
          <w:rFonts w:cs="Times New Roman"/>
          <w:i/>
          <w:iCs/>
          <w:szCs w:val="24"/>
        </w:rPr>
        <w:t>euro</w:t>
      </w:r>
      <w:r w:rsidR="00BC1D72" w:rsidRPr="00BC1D72">
        <w:rPr>
          <w:rFonts w:cs="Times New Roman"/>
          <w:szCs w:val="24"/>
        </w:rPr>
        <w:t xml:space="preserve"> apmērā).</w:t>
      </w:r>
    </w:p>
    <w:p w14:paraId="2C8D153B" w14:textId="25ACC78F" w:rsidR="00904C33" w:rsidRPr="006E28BB" w:rsidRDefault="00BC1D72" w:rsidP="00534CDB">
      <w:pPr>
        <w:spacing w:before="120"/>
        <w:ind w:left="0" w:right="74" w:firstLine="720"/>
      </w:pPr>
      <w:r w:rsidRPr="00263E41">
        <w:lastRenderedPageBreak/>
        <w:t xml:space="preserve"> </w:t>
      </w:r>
      <w:r w:rsidR="006E515D" w:rsidRPr="00263E41">
        <w:t xml:space="preserve">Ministriju iesniegtajos PP ir pieprasītas arī papildu amata vietas. </w:t>
      </w:r>
      <w:r w:rsidR="006E515D" w:rsidRPr="00263E41">
        <w:rPr>
          <w:rFonts w:cs="Times New Roman"/>
          <w:szCs w:val="24"/>
        </w:rPr>
        <w:t xml:space="preserve">2020. gadam ministrijas kopumā pieprasījušas </w:t>
      </w:r>
      <w:r w:rsidR="00263E41">
        <w:rPr>
          <w:rFonts w:cs="Times New Roman"/>
          <w:szCs w:val="24"/>
        </w:rPr>
        <w:t>8</w:t>
      </w:r>
      <w:r w:rsidR="00D65F8A">
        <w:rPr>
          <w:rFonts w:cs="Times New Roman"/>
          <w:szCs w:val="24"/>
        </w:rPr>
        <w:t>06</w:t>
      </w:r>
      <w:r w:rsidR="006E515D" w:rsidRPr="00263E41">
        <w:rPr>
          <w:rFonts w:cs="Times New Roman"/>
          <w:szCs w:val="24"/>
        </w:rPr>
        <w:t xml:space="preserve"> papildu amata vietas, 2021. gadam – 1 0</w:t>
      </w:r>
      <w:r w:rsidR="00250FBD">
        <w:rPr>
          <w:rFonts w:cs="Times New Roman"/>
          <w:szCs w:val="24"/>
        </w:rPr>
        <w:t>67</w:t>
      </w:r>
      <w:r w:rsidR="006E515D" w:rsidRPr="00263E41">
        <w:rPr>
          <w:rFonts w:cs="Times New Roman"/>
          <w:szCs w:val="24"/>
        </w:rPr>
        <w:t xml:space="preserve"> amata vietas un 2022. gadam – 1 </w:t>
      </w:r>
      <w:r w:rsidR="001A25D8">
        <w:rPr>
          <w:rFonts w:cs="Times New Roman"/>
          <w:szCs w:val="24"/>
        </w:rPr>
        <w:t>1</w:t>
      </w:r>
      <w:r w:rsidR="00D65F8A">
        <w:rPr>
          <w:rFonts w:cs="Times New Roman"/>
          <w:szCs w:val="24"/>
        </w:rPr>
        <w:t>49</w:t>
      </w:r>
      <w:r w:rsidR="006E515D" w:rsidRPr="00263E41">
        <w:rPr>
          <w:rFonts w:cs="Times New Roman"/>
          <w:szCs w:val="24"/>
        </w:rPr>
        <w:t xml:space="preserve"> amata vietas</w:t>
      </w:r>
      <w:r w:rsidR="00792244" w:rsidRPr="00263E41">
        <w:rPr>
          <w:rFonts w:cs="Times New Roman"/>
          <w:szCs w:val="24"/>
        </w:rPr>
        <w:t>, iekļaujot vienas ministrijas ietvaros īstenoto PP un starpnozaru PP</w:t>
      </w:r>
      <w:r w:rsidR="00250FBD">
        <w:rPr>
          <w:rFonts w:cs="Times New Roman"/>
          <w:szCs w:val="24"/>
        </w:rPr>
        <w:t>.</w:t>
      </w:r>
    </w:p>
    <w:p w14:paraId="3759149D" w14:textId="33F3B9FC" w:rsidR="001C622E" w:rsidRDefault="00904C33" w:rsidP="00534CDB">
      <w:pPr>
        <w:tabs>
          <w:tab w:val="left" w:pos="0"/>
          <w:tab w:val="left" w:pos="567"/>
        </w:tabs>
        <w:spacing w:before="120"/>
        <w:ind w:left="0" w:right="74"/>
        <w:rPr>
          <w:rFonts w:eastAsia="Calibri" w:cs="Times New Roman"/>
          <w:szCs w:val="24"/>
        </w:rPr>
      </w:pPr>
      <w:r>
        <w:rPr>
          <w:szCs w:val="24"/>
        </w:rPr>
        <w:tab/>
      </w:r>
      <w:r w:rsidR="001C622E" w:rsidRPr="001451E5">
        <w:rPr>
          <w:szCs w:val="24"/>
        </w:rPr>
        <w:t>Pamatojoties uz MK noteikumu Nr.</w:t>
      </w:r>
      <w:r w:rsidR="001C622E">
        <w:rPr>
          <w:szCs w:val="24"/>
        </w:rPr>
        <w:t> </w:t>
      </w:r>
      <w:r w:rsidR="001C622E" w:rsidRPr="001451E5">
        <w:rPr>
          <w:szCs w:val="24"/>
        </w:rPr>
        <w:t>867 38.</w:t>
      </w:r>
      <w:r w:rsidR="001C622E">
        <w:rPr>
          <w:szCs w:val="24"/>
        </w:rPr>
        <w:t> </w:t>
      </w:r>
      <w:r w:rsidR="001C622E" w:rsidRPr="001451E5">
        <w:rPr>
          <w:szCs w:val="24"/>
        </w:rPr>
        <w:t xml:space="preserve">punktu un </w:t>
      </w:r>
      <w:r w:rsidR="001C622E">
        <w:rPr>
          <w:rFonts w:eastAsia="Calibri" w:cs="Times New Roman"/>
          <w:szCs w:val="24"/>
        </w:rPr>
        <w:t>PKC</w:t>
      </w:r>
      <w:r w:rsidR="001C622E">
        <w:rPr>
          <w:szCs w:val="24"/>
        </w:rPr>
        <w:t xml:space="preserve"> rīkojumu </w:t>
      </w:r>
      <w:r w:rsidR="001C622E" w:rsidRPr="00854F8A">
        <w:rPr>
          <w:szCs w:val="24"/>
        </w:rPr>
        <w:t>Nr.</w:t>
      </w:r>
      <w:r w:rsidR="001C622E">
        <w:rPr>
          <w:szCs w:val="24"/>
        </w:rPr>
        <w:t> </w:t>
      </w:r>
      <w:r w:rsidR="001C622E" w:rsidRPr="00854F8A">
        <w:rPr>
          <w:szCs w:val="24"/>
        </w:rPr>
        <w:t xml:space="preserve">1.1-2/2 </w:t>
      </w:r>
      <w:r w:rsidR="001C622E" w:rsidRPr="001451E5">
        <w:rPr>
          <w:szCs w:val="24"/>
        </w:rPr>
        <w:t>“Par prioritā</w:t>
      </w:r>
      <w:r w:rsidR="001C622E">
        <w:rPr>
          <w:szCs w:val="24"/>
        </w:rPr>
        <w:t>ro pasākumu vērtēšanu”, PKC 2019</w:t>
      </w:r>
      <w:r w:rsidR="001C622E" w:rsidRPr="001451E5">
        <w:rPr>
          <w:szCs w:val="24"/>
        </w:rPr>
        <w:t>.</w:t>
      </w:r>
      <w:r w:rsidR="001C622E">
        <w:rPr>
          <w:szCs w:val="24"/>
        </w:rPr>
        <w:t> </w:t>
      </w:r>
      <w:r w:rsidR="001C622E" w:rsidRPr="001451E5">
        <w:rPr>
          <w:szCs w:val="24"/>
        </w:rPr>
        <w:t>gada 31.</w:t>
      </w:r>
      <w:r w:rsidR="001C622E">
        <w:rPr>
          <w:szCs w:val="24"/>
        </w:rPr>
        <w:t> jūlijā</w:t>
      </w:r>
      <w:r w:rsidR="001C622E" w:rsidRPr="001451E5">
        <w:rPr>
          <w:szCs w:val="24"/>
        </w:rPr>
        <w:t xml:space="preserve"> ar vēstuli Nr.</w:t>
      </w:r>
      <w:r w:rsidR="001C622E">
        <w:rPr>
          <w:szCs w:val="24"/>
        </w:rPr>
        <w:t> 1.2-4/39</w:t>
      </w:r>
      <w:r w:rsidR="001C622E" w:rsidRPr="001451E5">
        <w:rPr>
          <w:szCs w:val="24"/>
        </w:rPr>
        <w:t xml:space="preserve"> ir iesniedzis </w:t>
      </w:r>
      <w:r w:rsidR="001C622E">
        <w:rPr>
          <w:szCs w:val="24"/>
        </w:rPr>
        <w:t xml:space="preserve">FM </w:t>
      </w:r>
      <w:r w:rsidR="001C622E">
        <w:t>m</w:t>
      </w:r>
      <w:r w:rsidR="001C622E" w:rsidRPr="001136BF">
        <w:t xml:space="preserve">inistriju, starpnozaru un citu centrālo valsts iestāžu </w:t>
      </w:r>
      <w:r w:rsidR="001C622E">
        <w:t xml:space="preserve">PP </w:t>
      </w:r>
      <w:proofErr w:type="spellStart"/>
      <w:r w:rsidR="001C622E">
        <w:t>izvērtējumu</w:t>
      </w:r>
      <w:proofErr w:type="spellEnd"/>
      <w:r w:rsidR="001C622E" w:rsidRPr="001451E5">
        <w:rPr>
          <w:szCs w:val="24"/>
        </w:rPr>
        <w:t xml:space="preserve">. Minētā informācija paredzēta iekšējai lietošanai un apstrādei (Ierobežotas pieejamības informācija). </w:t>
      </w:r>
      <w:r w:rsidR="001C622E">
        <w:rPr>
          <w:rFonts w:eastAsia="Calibri" w:cs="Times New Roman"/>
          <w:szCs w:val="24"/>
        </w:rPr>
        <w:t>PKC</w:t>
      </w:r>
      <w:r w:rsidR="001C622E" w:rsidRPr="001451E5">
        <w:rPr>
          <w:rFonts w:eastAsia="Calibri" w:cs="Times New Roman"/>
          <w:szCs w:val="24"/>
        </w:rPr>
        <w:t xml:space="preserve">, pamatojoties uz tiesisko regulējumu, ir veicis </w:t>
      </w:r>
      <w:r w:rsidR="001C622E">
        <w:rPr>
          <w:rFonts w:eastAsia="Calibri" w:cs="Times New Roman"/>
          <w:szCs w:val="24"/>
        </w:rPr>
        <w:t>PP</w:t>
      </w:r>
      <w:r w:rsidR="001C622E" w:rsidRPr="001451E5">
        <w:rPr>
          <w:rFonts w:eastAsia="Calibri" w:cs="Times New Roman"/>
          <w:szCs w:val="24"/>
        </w:rPr>
        <w:t xml:space="preserve"> </w:t>
      </w:r>
      <w:proofErr w:type="spellStart"/>
      <w:r w:rsidR="001C622E" w:rsidRPr="001451E5">
        <w:rPr>
          <w:rFonts w:eastAsia="Calibri" w:cs="Times New Roman"/>
          <w:szCs w:val="24"/>
        </w:rPr>
        <w:t>izvērtējumu</w:t>
      </w:r>
      <w:proofErr w:type="spellEnd"/>
      <w:r w:rsidR="001C622E" w:rsidRPr="001451E5">
        <w:rPr>
          <w:rFonts w:eastAsia="Calibri" w:cs="Times New Roman"/>
          <w:szCs w:val="24"/>
        </w:rPr>
        <w:t xml:space="preserve">, nosakot to atbilstību Nacionālajam attīstības plānam, citiem politikas plānošanas dokumentiem un Valdības rīcības plānam, izveidojot </w:t>
      </w:r>
      <w:r w:rsidR="001C622E">
        <w:rPr>
          <w:rFonts w:eastAsia="Calibri" w:cs="Times New Roman"/>
          <w:szCs w:val="24"/>
        </w:rPr>
        <w:t>PP dalījumu</w:t>
      </w:r>
      <w:r w:rsidR="001C622E" w:rsidRPr="001451E5">
        <w:rPr>
          <w:rFonts w:eastAsia="Calibri" w:cs="Times New Roman"/>
          <w:szCs w:val="24"/>
        </w:rPr>
        <w:t xml:space="preserve"> pēc atbilstības augstākminētajiem plānošanas dokumentiem.</w:t>
      </w:r>
    </w:p>
    <w:p w14:paraId="043B928E" w14:textId="77777777" w:rsidR="00563232" w:rsidRPr="00E34452" w:rsidRDefault="00563232" w:rsidP="00534CDB">
      <w:pPr>
        <w:spacing w:before="120"/>
        <w:ind w:left="0" w:right="0" w:firstLine="720"/>
      </w:pPr>
      <w:r w:rsidRPr="00E34452">
        <w:t>FM ir saņemta Ministru prezidenta 2019. gada 27. jūlija rezolūcija Nr. 7.8.5./2019-DOC-1329-1289, kurā satiksmes ministram, vides aizsardzības un reģionālās attīstības ministram un finanšu ministram dots uzdevums izvērtēt Latvijas Pašvaldību savienības 2019. gada 20. jūnija vēstulē Nr. 201906/INIC34 minēto, kopīgi sagatavot priekšlikumus problēmas risinājumam un satiksmes ministram iesniegt jautājumu izskatīšanai MK sēdē valsts budžeta projekta 2020. gadam sagatavošanas procesā. Latvijas Pašvaldību savienības vēstulē par valdības pieteikto reformu sasaisti ar ceļu infrastruktūras stāvokli pausts, ka, lai nodrošinātu izsludināto reformu sekmīgu norisi, nepieciešama ceļu karte, taču pirms tās izstrādāšanas steidzami jāveic funkcionāla valsts reģionālo un vietējo ceļu revīzija, izstrādāto projektu aktualizācija, par pamatu izvirzot reģionu vienlīdzīgas attīstības principu un rīcības plānu, nosakot prioritātes un aktualizējot Valsts autoceļu sakārtošanas programmu 2014.-2023. gadam. Līdz ar to Latvijas Pašvaldību savienība un biedrība “Latvijas ceļu būvētājs” aicina Ministru prezidentu, Vides aizsardzības un reģionālās attīstības ministriju, Finanšu ministriju un Satiksmes ministriju:</w:t>
      </w:r>
    </w:p>
    <w:p w14:paraId="7C71F1A7" w14:textId="77777777" w:rsidR="00563232" w:rsidRPr="00E34452" w:rsidRDefault="00563232" w:rsidP="00534CDB">
      <w:pPr>
        <w:pStyle w:val="ListParagraph"/>
        <w:numPr>
          <w:ilvl w:val="0"/>
          <w:numId w:val="25"/>
        </w:numPr>
        <w:spacing w:before="120"/>
        <w:ind w:right="0"/>
        <w:rPr>
          <w:sz w:val="22"/>
        </w:rPr>
      </w:pPr>
      <w:r w:rsidRPr="00E34452">
        <w:t xml:space="preserve">izveidot darba grupu reģionālo un valsts vietējo autoceļu tīkla izvērtēšanai un remontējamo autoceļu prioritāšu noteikšanai, </w:t>
      </w:r>
    </w:p>
    <w:p w14:paraId="3A5089FB" w14:textId="77777777" w:rsidR="00563232" w:rsidRPr="00523B4E" w:rsidRDefault="00563232" w:rsidP="00534CDB">
      <w:pPr>
        <w:pStyle w:val="ListParagraph"/>
        <w:numPr>
          <w:ilvl w:val="0"/>
          <w:numId w:val="25"/>
        </w:numPr>
        <w:spacing w:before="120"/>
        <w:ind w:right="0"/>
        <w:rPr>
          <w:sz w:val="22"/>
        </w:rPr>
      </w:pPr>
      <w:r>
        <w:t>vienlaikus ar administratīvi teritoriālās reformas projektu iesniegt MK:</w:t>
      </w:r>
    </w:p>
    <w:p w14:paraId="3ECA34D4" w14:textId="77777777" w:rsidR="00563232" w:rsidRPr="00523B4E" w:rsidRDefault="00563232" w:rsidP="00534CDB">
      <w:pPr>
        <w:pStyle w:val="ListParagraph"/>
        <w:numPr>
          <w:ilvl w:val="1"/>
          <w:numId w:val="25"/>
        </w:numPr>
        <w:spacing w:before="120"/>
        <w:ind w:right="0"/>
        <w:rPr>
          <w:sz w:val="22"/>
        </w:rPr>
      </w:pPr>
      <w:r>
        <w:t>apstiprināšanai rīcības plānu, aktualizējot valsts reģionālo un vietējo ceļu sakārtošanas programmu, nosakot prioritātes autoceļu sakārtošanai 2020. – 2027. gadam,</w:t>
      </w:r>
    </w:p>
    <w:p w14:paraId="6E599044" w14:textId="77777777" w:rsidR="00563232" w:rsidRPr="00523B4E" w:rsidRDefault="00563232" w:rsidP="00534CDB">
      <w:pPr>
        <w:pStyle w:val="ListParagraph"/>
        <w:numPr>
          <w:ilvl w:val="1"/>
          <w:numId w:val="25"/>
        </w:numPr>
        <w:spacing w:before="120"/>
        <w:ind w:right="0"/>
        <w:rPr>
          <w:sz w:val="22"/>
        </w:rPr>
      </w:pPr>
      <w:r>
        <w:t xml:space="preserve">konceptuālu risinājumu autoceļu valstiskajam un reģionālajam pārvaldības un finansējuma modelim, salāgojot to ar valdības reformu plānu, </w:t>
      </w:r>
    </w:p>
    <w:p w14:paraId="7D006614" w14:textId="77777777" w:rsidR="00563232" w:rsidRPr="00523B4E" w:rsidRDefault="00563232" w:rsidP="00534CDB">
      <w:pPr>
        <w:pStyle w:val="ListParagraph"/>
        <w:numPr>
          <w:ilvl w:val="0"/>
          <w:numId w:val="25"/>
        </w:numPr>
        <w:spacing w:before="120"/>
        <w:ind w:right="0"/>
        <w:rPr>
          <w:sz w:val="22"/>
        </w:rPr>
      </w:pPr>
      <w:r>
        <w:t>vienlaikus ar 2020. gada budžeta projektu:</w:t>
      </w:r>
    </w:p>
    <w:p w14:paraId="13590454" w14:textId="77777777" w:rsidR="00563232" w:rsidRPr="00523B4E" w:rsidRDefault="00563232" w:rsidP="00534CDB">
      <w:pPr>
        <w:pStyle w:val="ListParagraph"/>
        <w:numPr>
          <w:ilvl w:val="0"/>
          <w:numId w:val="26"/>
        </w:numPr>
        <w:spacing w:before="120"/>
        <w:ind w:right="0"/>
        <w:rPr>
          <w:sz w:val="22"/>
        </w:rPr>
      </w:pPr>
      <w:r>
        <w:t>iesniegt MK apstiprināšanai valsts reģionālo un vietējo ceļu sakārtošanas programmu 2020. – 2027. gadam;</w:t>
      </w:r>
    </w:p>
    <w:p w14:paraId="5907D61E" w14:textId="77777777" w:rsidR="00563232" w:rsidRPr="00523B4E" w:rsidRDefault="00563232" w:rsidP="00534CDB">
      <w:pPr>
        <w:pStyle w:val="ListParagraph"/>
        <w:numPr>
          <w:ilvl w:val="0"/>
          <w:numId w:val="26"/>
        </w:numPr>
        <w:spacing w:before="120"/>
        <w:ind w:right="0"/>
        <w:rPr>
          <w:sz w:val="22"/>
        </w:rPr>
      </w:pPr>
      <w:r>
        <w:t>sagatavot nepieciešamos grozījumus normatīvajos aktos, lai aktualizētu valsts ceļu dalījumu reģionālajos un vietējos autoceļos,</w:t>
      </w:r>
    </w:p>
    <w:p w14:paraId="1CAE214E" w14:textId="77777777" w:rsidR="00563232" w:rsidRPr="00523B4E" w:rsidRDefault="00563232" w:rsidP="00534CDB">
      <w:pPr>
        <w:pStyle w:val="ListParagraph"/>
        <w:numPr>
          <w:ilvl w:val="0"/>
          <w:numId w:val="26"/>
        </w:numPr>
        <w:spacing w:before="120"/>
        <w:ind w:right="0"/>
        <w:rPr>
          <w:sz w:val="22"/>
        </w:rPr>
      </w:pPr>
      <w:r>
        <w:t>veikt tiltu tehnisko revīziju valsts un pašvaldību segmentos,</w:t>
      </w:r>
    </w:p>
    <w:p w14:paraId="5F407018" w14:textId="77777777" w:rsidR="00563232" w:rsidRPr="00523B4E" w:rsidRDefault="00563232" w:rsidP="00534CDB">
      <w:pPr>
        <w:pStyle w:val="ListParagraph"/>
        <w:numPr>
          <w:ilvl w:val="0"/>
          <w:numId w:val="26"/>
        </w:numPr>
        <w:spacing w:before="120"/>
        <w:ind w:right="0"/>
        <w:rPr>
          <w:sz w:val="22"/>
        </w:rPr>
      </w:pPr>
      <w:r>
        <w:t>izstrādāt un iesniegt apstiprināšanai MK tiltu remontu programmu prioritārā secībā.</w:t>
      </w:r>
    </w:p>
    <w:p w14:paraId="461942DA" w14:textId="77777777" w:rsidR="00563232" w:rsidRPr="006645E4" w:rsidRDefault="00563232" w:rsidP="00534CDB">
      <w:pPr>
        <w:spacing w:before="120"/>
        <w:ind w:left="0" w:right="0" w:firstLine="720"/>
      </w:pPr>
      <w:r>
        <w:t xml:space="preserve">Informējam, ka saistībā ar Ministru prezidenta 2019. gada 27. jūlija rezolūcijā Nr. 7.8.5./2019-DOC-1329-1289 doto uzdevumu, Latvijas Pašvaldības savienības vēstulē minēto jautājumu risināšanai papildu finansējuma pieprasījums ir iekļauts budžeta resora “21.Vides aizsardzības un reģionālās attīstības ministrija” PP Nr. 21_01_P “Administratīvi teritoriālās reformas īstenošana”, kuras īstenošanai pieprasīts finansējums 2020. gadam 1,1 milj. </w:t>
      </w:r>
      <w:r>
        <w:rPr>
          <w:i/>
          <w:iCs/>
        </w:rPr>
        <w:t>euro</w:t>
      </w:r>
      <w:r>
        <w:t xml:space="preserve">, 2021. gadam 83,0 milj. </w:t>
      </w:r>
      <w:r>
        <w:rPr>
          <w:i/>
          <w:iCs/>
        </w:rPr>
        <w:t>euro</w:t>
      </w:r>
      <w:r>
        <w:t xml:space="preserve">, 2022. gadam 123,8 milj. </w:t>
      </w:r>
      <w:r>
        <w:rPr>
          <w:i/>
          <w:iCs/>
        </w:rPr>
        <w:t>euro</w:t>
      </w:r>
      <w:r>
        <w:t xml:space="preserve"> un 2023. gadam 101,4 milj. </w:t>
      </w:r>
      <w:r>
        <w:rPr>
          <w:i/>
          <w:iCs/>
        </w:rPr>
        <w:t>euro</w:t>
      </w:r>
      <w:r>
        <w:t xml:space="preserve">, tai skaitā prioritāri sakārtojamiem autoceļiem atbilstoši Vides aizsardzības un reģionālās attīstības </w:t>
      </w:r>
      <w:r>
        <w:lastRenderedPageBreak/>
        <w:t xml:space="preserve">ministrijas un  VAS "Latvijas Valsts ceļi" kritērijiem – 2021. gadā 74,8 milj. </w:t>
      </w:r>
      <w:r>
        <w:rPr>
          <w:i/>
          <w:iCs/>
        </w:rPr>
        <w:t>euro</w:t>
      </w:r>
      <w:r>
        <w:t xml:space="preserve">, 2022. gadā 123,8 milj. </w:t>
      </w:r>
      <w:r>
        <w:rPr>
          <w:i/>
          <w:iCs/>
        </w:rPr>
        <w:t>euro</w:t>
      </w:r>
      <w:r>
        <w:t xml:space="preserve"> un 2023. gadā 101,4 milj. </w:t>
      </w:r>
      <w:r>
        <w:rPr>
          <w:i/>
          <w:iCs/>
        </w:rPr>
        <w:t xml:space="preserve">euro </w:t>
      </w:r>
      <w:r w:rsidRPr="006645E4">
        <w:rPr>
          <w:iCs/>
        </w:rPr>
        <w:t>apmērā</w:t>
      </w:r>
      <w:r w:rsidRPr="006645E4">
        <w:t>.</w:t>
      </w:r>
    </w:p>
    <w:p w14:paraId="0137A41D" w14:textId="08D6BA11" w:rsidR="001C622E" w:rsidRPr="00534CDB" w:rsidRDefault="00563232" w:rsidP="00534CDB">
      <w:pPr>
        <w:spacing w:before="120"/>
        <w:ind w:left="0" w:right="0" w:firstLine="720"/>
        <w:rPr>
          <w:sz w:val="22"/>
        </w:rPr>
      </w:pPr>
      <w:r w:rsidRPr="009E3B5D">
        <w:t>Saeimas Valsts pārvaldes un pašvaldības komisija 2019.</w:t>
      </w:r>
      <w:r>
        <w:t> </w:t>
      </w:r>
      <w:r w:rsidRPr="009E3B5D">
        <w:t>gada 20.</w:t>
      </w:r>
      <w:r>
        <w:t> </w:t>
      </w:r>
      <w:r w:rsidRPr="009E3B5D">
        <w:t>jūnija vēstulē Nr.</w:t>
      </w:r>
      <w:r>
        <w:t> </w:t>
      </w:r>
      <w:r w:rsidRPr="009E3B5D">
        <w:t>142.9/7-37-13/19 aicina M</w:t>
      </w:r>
      <w:r>
        <w:t>K</w:t>
      </w:r>
      <w:r w:rsidRPr="009E3B5D">
        <w:t xml:space="preserve"> atbalstīt E</w:t>
      </w:r>
      <w:r>
        <w:t>konomikas ministrijas</w:t>
      </w:r>
      <w:r w:rsidRPr="009E3B5D">
        <w:t xml:space="preserve"> pieprasījumu valsts līdzfinansējuma dzīvojamās telpas atbrīvošanas pabalsta nodrošināšanai denacionalizēto namu īrniekiem un iekļaut to likumprojek</w:t>
      </w:r>
      <w:r w:rsidR="00556D10">
        <w:t>t</w:t>
      </w:r>
      <w:r w:rsidRPr="009E3B5D">
        <w:t>a "Par valsts budžetu 2020.</w:t>
      </w:r>
      <w:r>
        <w:t> </w:t>
      </w:r>
      <w:r w:rsidRPr="009E3B5D">
        <w:t>gadam" sagatavošanas procesā. E</w:t>
      </w:r>
      <w:r>
        <w:t>konomikas ministrija</w:t>
      </w:r>
      <w:r w:rsidRPr="009E3B5D">
        <w:t xml:space="preserve"> ar 2019. gada 15. jūlija vēstuli Nr. 5.1-2/2019/4128 ir iesniegusi prioritārā pasākuma pieteikumu 12_16_P “Valsts līdzfinansējums dzīvojamās telpas atbrīvošanas pabalsta nodrošināšanā denacionalizēto namu īrniekiem”, pieprasot finansējumu 2020.</w:t>
      </w:r>
      <w:r>
        <w:t> </w:t>
      </w:r>
      <w:r w:rsidRPr="009E3B5D">
        <w:t xml:space="preserve">gadam </w:t>
      </w:r>
      <w:r>
        <w:t>3,3 milj.</w:t>
      </w:r>
      <w:r w:rsidRPr="009E3B5D">
        <w:t xml:space="preserve"> </w:t>
      </w:r>
      <w:r w:rsidRPr="009E3B5D">
        <w:rPr>
          <w:i/>
        </w:rPr>
        <w:t>euro</w:t>
      </w:r>
      <w:r w:rsidRPr="009E3B5D">
        <w:t xml:space="preserve"> un 2021.</w:t>
      </w:r>
      <w:r>
        <w:t> </w:t>
      </w:r>
      <w:r w:rsidRPr="009E3B5D">
        <w:t>gad</w:t>
      </w:r>
      <w:r>
        <w:t>am 3,5 milj. </w:t>
      </w:r>
      <w:r w:rsidRPr="009E3B5D">
        <w:rPr>
          <w:i/>
        </w:rPr>
        <w:t>euro</w:t>
      </w:r>
      <w:r>
        <w:t xml:space="preserve"> </w:t>
      </w:r>
      <w:r w:rsidRPr="009E3B5D">
        <w:t>apmērā.</w:t>
      </w:r>
    </w:p>
    <w:p w14:paraId="64DD9F4E" w14:textId="3E8FC4CD" w:rsidR="00904C33" w:rsidRDefault="00904C33" w:rsidP="00534CDB">
      <w:pPr>
        <w:ind w:left="0"/>
        <w:rPr>
          <w:rFonts w:eastAsia="Calibri" w:cs="Times New Roman"/>
          <w:szCs w:val="24"/>
        </w:rPr>
      </w:pPr>
    </w:p>
    <w:p w14:paraId="670A1C1D" w14:textId="6663D01F" w:rsidR="00534CDB" w:rsidRDefault="00534CDB" w:rsidP="001C622E">
      <w:pPr>
        <w:rPr>
          <w:rFonts w:eastAsia="Calibri" w:cs="Times New Roman"/>
          <w:szCs w:val="24"/>
        </w:rPr>
      </w:pPr>
    </w:p>
    <w:p w14:paraId="1E342488" w14:textId="40949F25" w:rsidR="00534CDB" w:rsidRDefault="00534CDB" w:rsidP="001C622E">
      <w:pPr>
        <w:rPr>
          <w:rFonts w:eastAsia="Calibri" w:cs="Times New Roman"/>
          <w:szCs w:val="24"/>
        </w:rPr>
      </w:pPr>
    </w:p>
    <w:p w14:paraId="20AA20DD" w14:textId="0B82C147" w:rsidR="00534CDB" w:rsidRDefault="00534CDB" w:rsidP="001C622E">
      <w:pPr>
        <w:rPr>
          <w:rFonts w:eastAsia="Calibri" w:cs="Times New Roman"/>
          <w:szCs w:val="24"/>
        </w:rPr>
      </w:pPr>
      <w:bookmarkStart w:id="3" w:name="_GoBack"/>
      <w:bookmarkEnd w:id="3"/>
    </w:p>
    <w:sectPr w:rsidR="00534CDB" w:rsidSect="00CC7970">
      <w:headerReference w:type="default" r:id="rId11"/>
      <w:footerReference w:type="default" r:id="rId12"/>
      <w:headerReference w:type="first" r:id="rId13"/>
      <w:footerReference w:type="first" r:id="rId14"/>
      <w:pgSz w:w="12240" w:h="15840"/>
      <w:pgMar w:top="1418"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21730" w14:textId="77777777" w:rsidR="003921B8" w:rsidRDefault="003921B8">
      <w:r>
        <w:separator/>
      </w:r>
    </w:p>
    <w:p w14:paraId="311087B2" w14:textId="77777777" w:rsidR="003921B8" w:rsidRDefault="003921B8"/>
  </w:endnote>
  <w:endnote w:type="continuationSeparator" w:id="0">
    <w:p w14:paraId="47DCC0DB" w14:textId="77777777" w:rsidR="003921B8" w:rsidRDefault="003921B8">
      <w:r>
        <w:continuationSeparator/>
      </w:r>
    </w:p>
    <w:p w14:paraId="7ADF6D6B" w14:textId="77777777" w:rsidR="003921B8" w:rsidRDefault="00392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1DD96" w14:textId="3EB45DAE" w:rsidR="0049308C" w:rsidRPr="00E71FFF" w:rsidRDefault="0049308C" w:rsidP="00E71FFF">
    <w:pPr>
      <w:pStyle w:val="Footer"/>
      <w:ind w:left="0"/>
      <w:rPr>
        <w:rFonts w:cs="Times New Roman"/>
        <w:sz w:val="20"/>
        <w:szCs w:val="20"/>
      </w:rPr>
    </w:pPr>
    <w:r>
      <w:rPr>
        <w:rFonts w:cs="Times New Roman"/>
        <w:sz w:val="20"/>
        <w:szCs w:val="20"/>
      </w:rPr>
      <w:t>FMzin_</w:t>
    </w:r>
    <w:r w:rsidR="00904C33">
      <w:rPr>
        <w:rFonts w:cs="Times New Roman"/>
        <w:sz w:val="20"/>
        <w:szCs w:val="20"/>
      </w:rPr>
      <w:t>0309</w:t>
    </w:r>
    <w:r w:rsidR="008B4FD0">
      <w:rPr>
        <w:rFonts w:cs="Times New Roman"/>
        <w:sz w:val="20"/>
        <w:szCs w:val="20"/>
      </w:rPr>
      <w:t>19</w:t>
    </w:r>
    <w:r w:rsidRPr="00E71FFF">
      <w:rPr>
        <w:rFonts w:cs="Times New Roman"/>
        <w:sz w:val="20"/>
        <w:szCs w:val="20"/>
      </w:rPr>
      <w:t>_PP.docx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1D011" w14:textId="77777777" w:rsidR="0049308C" w:rsidRDefault="0049308C">
    <w:pPr>
      <w:pStyle w:val="Footer"/>
    </w:pPr>
  </w:p>
  <w:p w14:paraId="26A7F21F" w14:textId="77777777" w:rsidR="0049308C" w:rsidRDefault="0049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3820" w14:textId="77777777" w:rsidR="003921B8" w:rsidRDefault="003921B8">
      <w:r>
        <w:separator/>
      </w:r>
    </w:p>
    <w:p w14:paraId="308204A9" w14:textId="77777777" w:rsidR="003921B8" w:rsidRDefault="003921B8"/>
  </w:footnote>
  <w:footnote w:type="continuationSeparator" w:id="0">
    <w:p w14:paraId="2D361FD0" w14:textId="77777777" w:rsidR="003921B8" w:rsidRDefault="003921B8">
      <w:r>
        <w:continuationSeparator/>
      </w:r>
    </w:p>
    <w:p w14:paraId="106F3A65" w14:textId="77777777" w:rsidR="003921B8" w:rsidRDefault="003921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83573"/>
      <w:docPartObj>
        <w:docPartGallery w:val="Page Numbers (Top of Page)"/>
        <w:docPartUnique/>
      </w:docPartObj>
    </w:sdtPr>
    <w:sdtEndPr>
      <w:rPr>
        <w:rFonts w:cs="Times New Roman"/>
        <w:noProof/>
        <w:szCs w:val="24"/>
      </w:rPr>
    </w:sdtEndPr>
    <w:sdtContent>
      <w:p w14:paraId="6E3C1E66" w14:textId="152C1A81" w:rsidR="0049308C" w:rsidRPr="00AB33B0" w:rsidRDefault="0049308C">
        <w:pPr>
          <w:pStyle w:val="Header"/>
          <w:rPr>
            <w:rFonts w:cs="Times New Roman"/>
            <w:szCs w:val="24"/>
          </w:rPr>
        </w:pPr>
        <w:r w:rsidRPr="00AB33B0">
          <w:rPr>
            <w:rFonts w:cs="Times New Roman"/>
            <w:szCs w:val="24"/>
          </w:rPr>
          <w:fldChar w:fldCharType="begin"/>
        </w:r>
        <w:r w:rsidRPr="00AB33B0">
          <w:rPr>
            <w:rFonts w:cs="Times New Roman"/>
            <w:szCs w:val="24"/>
          </w:rPr>
          <w:instrText xml:space="preserve"> PAGE   \* MERGEFORMAT </w:instrText>
        </w:r>
        <w:r w:rsidRPr="00AB33B0">
          <w:rPr>
            <w:rFonts w:cs="Times New Roman"/>
            <w:szCs w:val="24"/>
          </w:rPr>
          <w:fldChar w:fldCharType="separate"/>
        </w:r>
        <w:r w:rsidR="003E4C39">
          <w:rPr>
            <w:rFonts w:cs="Times New Roman"/>
            <w:noProof/>
            <w:szCs w:val="24"/>
          </w:rPr>
          <w:t>5</w:t>
        </w:r>
        <w:r w:rsidRPr="00AB33B0">
          <w:rPr>
            <w:rFonts w:cs="Times New Roman"/>
            <w:noProof/>
            <w:szCs w:val="24"/>
          </w:rPr>
          <w:fldChar w:fldCharType="end"/>
        </w:r>
      </w:p>
    </w:sdtContent>
  </w:sdt>
  <w:p w14:paraId="136713D6" w14:textId="77777777" w:rsidR="0049308C" w:rsidRDefault="00493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D8BB" w14:textId="77777777" w:rsidR="0049308C" w:rsidRDefault="0049308C">
    <w:pPr>
      <w:pStyle w:val="Header"/>
    </w:pPr>
    <w:r>
      <w:rPr>
        <w:noProof/>
        <w:lang w:eastAsia="lv-LV"/>
      </w:rPr>
      <mc:AlternateContent>
        <mc:Choice Requires="wpg">
          <w:drawing>
            <wp:anchor distT="0" distB="0" distL="114300" distR="114300" simplePos="0" relativeHeight="251659264" behindDoc="1" locked="0" layoutInCell="1" allowOverlap="1" wp14:anchorId="1973DF23" wp14:editId="0D4404C7">
              <wp:simplePos x="0" y="0"/>
              <wp:positionH relativeFrom="page">
                <wp:posOffset>352425</wp:posOffset>
              </wp:positionH>
              <wp:positionV relativeFrom="page">
                <wp:posOffset>457200</wp:posOffset>
              </wp:positionV>
              <wp:extent cx="228600" cy="9144000"/>
              <wp:effectExtent l="0" t="0" r="3175" b="635"/>
              <wp:wrapNone/>
              <wp:docPr id="2" name="Group 2" descr="Decorative sidebar for cover page "/>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6" name="Rectangle 3" descr="Decorative sidebar"/>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5" descr="Decorative sidebar"/>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EF04B9C" id="Group 2" o:spid="_x0000_s1026" alt="Decorative sidebar for cover page " style="position:absolute;margin-left:27.75pt;margin-top:36pt;width:18pt;height:10in;z-index:-25165721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">
              <v:rect id="Rectangle 3" o:spid="_x0000_s1027" alt="Decorative sidebar"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" fillcolor="#dd8047 [3205]" stroked="f" strokeweight="1pt"/>
              <v:rect id="Rectangle 5" o:spid="_x0000_s1028" alt="Decorative sidebar"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" fillcolor="#94b6d2 [3204]" stroked="f" strokeweight="1pt">
                <v:path arrowok="t"/>
                <o:lock v:ext="edit" aspectratio="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A7D9D"/>
    <w:multiLevelType w:val="hybridMultilevel"/>
    <w:tmpl w:val="8B1E9700"/>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1" w15:restartNumberingAfterBreak="0">
    <w:nsid w:val="0C4E3F85"/>
    <w:multiLevelType w:val="hybridMultilevel"/>
    <w:tmpl w:val="B2444AFA"/>
    <w:lvl w:ilvl="0" w:tplc="C00ABE58">
      <w:start w:val="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0DB45A1C"/>
    <w:multiLevelType w:val="hybridMultilevel"/>
    <w:tmpl w:val="5F9A25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3" w15:restartNumberingAfterBreak="0">
    <w:nsid w:val="0FE3238C"/>
    <w:multiLevelType w:val="hybridMultilevel"/>
    <w:tmpl w:val="D9C600A6"/>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0FF56DCC"/>
    <w:multiLevelType w:val="hybridMultilevel"/>
    <w:tmpl w:val="D96EDD22"/>
    <w:lvl w:ilvl="0" w:tplc="1270B372">
      <w:start w:val="1"/>
      <w:numFmt w:val="bullet"/>
      <w:lvlText w:val="•"/>
      <w:lvlJc w:val="left"/>
      <w:pPr>
        <w:tabs>
          <w:tab w:val="num" w:pos="720"/>
        </w:tabs>
        <w:ind w:left="720" w:hanging="360"/>
      </w:pPr>
      <w:rPr>
        <w:rFonts w:ascii="Times New Roman" w:hAnsi="Times New Roman" w:hint="default"/>
      </w:rPr>
    </w:lvl>
    <w:lvl w:ilvl="1" w:tplc="C84A43EC" w:tentative="1">
      <w:start w:val="1"/>
      <w:numFmt w:val="bullet"/>
      <w:lvlText w:val="•"/>
      <w:lvlJc w:val="left"/>
      <w:pPr>
        <w:tabs>
          <w:tab w:val="num" w:pos="1440"/>
        </w:tabs>
        <w:ind w:left="1440" w:hanging="360"/>
      </w:pPr>
      <w:rPr>
        <w:rFonts w:ascii="Times New Roman" w:hAnsi="Times New Roman" w:hint="default"/>
      </w:rPr>
    </w:lvl>
    <w:lvl w:ilvl="2" w:tplc="3DE4D98A" w:tentative="1">
      <w:start w:val="1"/>
      <w:numFmt w:val="bullet"/>
      <w:lvlText w:val="•"/>
      <w:lvlJc w:val="left"/>
      <w:pPr>
        <w:tabs>
          <w:tab w:val="num" w:pos="2160"/>
        </w:tabs>
        <w:ind w:left="2160" w:hanging="360"/>
      </w:pPr>
      <w:rPr>
        <w:rFonts w:ascii="Times New Roman" w:hAnsi="Times New Roman" w:hint="default"/>
      </w:rPr>
    </w:lvl>
    <w:lvl w:ilvl="3" w:tplc="10C0DF2A" w:tentative="1">
      <w:start w:val="1"/>
      <w:numFmt w:val="bullet"/>
      <w:lvlText w:val="•"/>
      <w:lvlJc w:val="left"/>
      <w:pPr>
        <w:tabs>
          <w:tab w:val="num" w:pos="2880"/>
        </w:tabs>
        <w:ind w:left="2880" w:hanging="360"/>
      </w:pPr>
      <w:rPr>
        <w:rFonts w:ascii="Times New Roman" w:hAnsi="Times New Roman" w:hint="default"/>
      </w:rPr>
    </w:lvl>
    <w:lvl w:ilvl="4" w:tplc="071C40D6" w:tentative="1">
      <w:start w:val="1"/>
      <w:numFmt w:val="bullet"/>
      <w:lvlText w:val="•"/>
      <w:lvlJc w:val="left"/>
      <w:pPr>
        <w:tabs>
          <w:tab w:val="num" w:pos="3600"/>
        </w:tabs>
        <w:ind w:left="3600" w:hanging="360"/>
      </w:pPr>
      <w:rPr>
        <w:rFonts w:ascii="Times New Roman" w:hAnsi="Times New Roman" w:hint="default"/>
      </w:rPr>
    </w:lvl>
    <w:lvl w:ilvl="5" w:tplc="E6A854BE" w:tentative="1">
      <w:start w:val="1"/>
      <w:numFmt w:val="bullet"/>
      <w:lvlText w:val="•"/>
      <w:lvlJc w:val="left"/>
      <w:pPr>
        <w:tabs>
          <w:tab w:val="num" w:pos="4320"/>
        </w:tabs>
        <w:ind w:left="4320" w:hanging="360"/>
      </w:pPr>
      <w:rPr>
        <w:rFonts w:ascii="Times New Roman" w:hAnsi="Times New Roman" w:hint="default"/>
      </w:rPr>
    </w:lvl>
    <w:lvl w:ilvl="6" w:tplc="71DED556" w:tentative="1">
      <w:start w:val="1"/>
      <w:numFmt w:val="bullet"/>
      <w:lvlText w:val="•"/>
      <w:lvlJc w:val="left"/>
      <w:pPr>
        <w:tabs>
          <w:tab w:val="num" w:pos="5040"/>
        </w:tabs>
        <w:ind w:left="5040" w:hanging="360"/>
      </w:pPr>
      <w:rPr>
        <w:rFonts w:ascii="Times New Roman" w:hAnsi="Times New Roman" w:hint="default"/>
      </w:rPr>
    </w:lvl>
    <w:lvl w:ilvl="7" w:tplc="D27EB9BE" w:tentative="1">
      <w:start w:val="1"/>
      <w:numFmt w:val="bullet"/>
      <w:lvlText w:val="•"/>
      <w:lvlJc w:val="left"/>
      <w:pPr>
        <w:tabs>
          <w:tab w:val="num" w:pos="5760"/>
        </w:tabs>
        <w:ind w:left="5760" w:hanging="360"/>
      </w:pPr>
      <w:rPr>
        <w:rFonts w:ascii="Times New Roman" w:hAnsi="Times New Roman" w:hint="default"/>
      </w:rPr>
    </w:lvl>
    <w:lvl w:ilvl="8" w:tplc="1C36899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2534107"/>
    <w:multiLevelType w:val="hybridMultilevel"/>
    <w:tmpl w:val="D6B09B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6" w15:restartNumberingAfterBreak="0">
    <w:nsid w:val="18082084"/>
    <w:multiLevelType w:val="hybridMultilevel"/>
    <w:tmpl w:val="1CC62F4A"/>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20E4134B"/>
    <w:multiLevelType w:val="hybridMultilevel"/>
    <w:tmpl w:val="C3647DE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18" w15:restartNumberingAfterBreak="0">
    <w:nsid w:val="21AE4641"/>
    <w:multiLevelType w:val="hybridMultilevel"/>
    <w:tmpl w:val="F198F23C"/>
    <w:lvl w:ilvl="0" w:tplc="98BE217C">
      <w:start w:val="1"/>
      <w:numFmt w:val="bullet"/>
      <w:lvlText w:val="•"/>
      <w:lvlJc w:val="left"/>
      <w:pPr>
        <w:tabs>
          <w:tab w:val="num" w:pos="720"/>
        </w:tabs>
        <w:ind w:left="720" w:hanging="360"/>
      </w:pPr>
      <w:rPr>
        <w:rFonts w:ascii="Times New Roman" w:hAnsi="Times New Roman" w:hint="default"/>
      </w:rPr>
    </w:lvl>
    <w:lvl w:ilvl="1" w:tplc="DB525B56" w:tentative="1">
      <w:start w:val="1"/>
      <w:numFmt w:val="bullet"/>
      <w:lvlText w:val="•"/>
      <w:lvlJc w:val="left"/>
      <w:pPr>
        <w:tabs>
          <w:tab w:val="num" w:pos="1440"/>
        </w:tabs>
        <w:ind w:left="1440" w:hanging="360"/>
      </w:pPr>
      <w:rPr>
        <w:rFonts w:ascii="Times New Roman" w:hAnsi="Times New Roman" w:hint="default"/>
      </w:rPr>
    </w:lvl>
    <w:lvl w:ilvl="2" w:tplc="6F5A4AF6" w:tentative="1">
      <w:start w:val="1"/>
      <w:numFmt w:val="bullet"/>
      <w:lvlText w:val="•"/>
      <w:lvlJc w:val="left"/>
      <w:pPr>
        <w:tabs>
          <w:tab w:val="num" w:pos="2160"/>
        </w:tabs>
        <w:ind w:left="2160" w:hanging="360"/>
      </w:pPr>
      <w:rPr>
        <w:rFonts w:ascii="Times New Roman" w:hAnsi="Times New Roman" w:hint="default"/>
      </w:rPr>
    </w:lvl>
    <w:lvl w:ilvl="3" w:tplc="2DE40544" w:tentative="1">
      <w:start w:val="1"/>
      <w:numFmt w:val="bullet"/>
      <w:lvlText w:val="•"/>
      <w:lvlJc w:val="left"/>
      <w:pPr>
        <w:tabs>
          <w:tab w:val="num" w:pos="2880"/>
        </w:tabs>
        <w:ind w:left="2880" w:hanging="360"/>
      </w:pPr>
      <w:rPr>
        <w:rFonts w:ascii="Times New Roman" w:hAnsi="Times New Roman" w:hint="default"/>
      </w:rPr>
    </w:lvl>
    <w:lvl w:ilvl="4" w:tplc="73A299CE" w:tentative="1">
      <w:start w:val="1"/>
      <w:numFmt w:val="bullet"/>
      <w:lvlText w:val="•"/>
      <w:lvlJc w:val="left"/>
      <w:pPr>
        <w:tabs>
          <w:tab w:val="num" w:pos="3600"/>
        </w:tabs>
        <w:ind w:left="3600" w:hanging="360"/>
      </w:pPr>
      <w:rPr>
        <w:rFonts w:ascii="Times New Roman" w:hAnsi="Times New Roman" w:hint="default"/>
      </w:rPr>
    </w:lvl>
    <w:lvl w:ilvl="5" w:tplc="E430C5FC" w:tentative="1">
      <w:start w:val="1"/>
      <w:numFmt w:val="bullet"/>
      <w:lvlText w:val="•"/>
      <w:lvlJc w:val="left"/>
      <w:pPr>
        <w:tabs>
          <w:tab w:val="num" w:pos="4320"/>
        </w:tabs>
        <w:ind w:left="4320" w:hanging="360"/>
      </w:pPr>
      <w:rPr>
        <w:rFonts w:ascii="Times New Roman" w:hAnsi="Times New Roman" w:hint="default"/>
      </w:rPr>
    </w:lvl>
    <w:lvl w:ilvl="6" w:tplc="05922086" w:tentative="1">
      <w:start w:val="1"/>
      <w:numFmt w:val="bullet"/>
      <w:lvlText w:val="•"/>
      <w:lvlJc w:val="left"/>
      <w:pPr>
        <w:tabs>
          <w:tab w:val="num" w:pos="5040"/>
        </w:tabs>
        <w:ind w:left="5040" w:hanging="360"/>
      </w:pPr>
      <w:rPr>
        <w:rFonts w:ascii="Times New Roman" w:hAnsi="Times New Roman" w:hint="default"/>
      </w:rPr>
    </w:lvl>
    <w:lvl w:ilvl="7" w:tplc="0094AFC2" w:tentative="1">
      <w:start w:val="1"/>
      <w:numFmt w:val="bullet"/>
      <w:lvlText w:val="•"/>
      <w:lvlJc w:val="left"/>
      <w:pPr>
        <w:tabs>
          <w:tab w:val="num" w:pos="5760"/>
        </w:tabs>
        <w:ind w:left="5760" w:hanging="360"/>
      </w:pPr>
      <w:rPr>
        <w:rFonts w:ascii="Times New Roman" w:hAnsi="Times New Roman" w:hint="default"/>
      </w:rPr>
    </w:lvl>
    <w:lvl w:ilvl="8" w:tplc="25E2A1C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E2DE1"/>
    <w:multiLevelType w:val="hybridMultilevel"/>
    <w:tmpl w:val="76DAE638"/>
    <w:lvl w:ilvl="0" w:tplc="2E46A954">
      <w:start w:val="2"/>
      <w:numFmt w:val="bullet"/>
      <w:lvlText w:val="-"/>
      <w:lvlJc w:val="left"/>
      <w:pPr>
        <w:ind w:left="720" w:hanging="360"/>
      </w:pPr>
      <w:rPr>
        <w:rFonts w:ascii="Calibri" w:eastAsia="Calibri" w:hAnsi="Calibri" w:cs="Calibri"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3D517EA2"/>
    <w:multiLevelType w:val="hybridMultilevel"/>
    <w:tmpl w:val="6ED20354"/>
    <w:lvl w:ilvl="0" w:tplc="1C66E40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2" w15:restartNumberingAfterBreak="0">
    <w:nsid w:val="494116E3"/>
    <w:multiLevelType w:val="hybridMultilevel"/>
    <w:tmpl w:val="924027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8145AB"/>
    <w:multiLevelType w:val="hybridMultilevel"/>
    <w:tmpl w:val="E4A2AB8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F790843"/>
    <w:multiLevelType w:val="hybridMultilevel"/>
    <w:tmpl w:val="3930374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25" w15:restartNumberingAfterBreak="0">
    <w:nsid w:val="65DE5300"/>
    <w:multiLevelType w:val="hybridMultilevel"/>
    <w:tmpl w:val="E1B6BAC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111DC3"/>
    <w:multiLevelType w:val="hybridMultilevel"/>
    <w:tmpl w:val="E2A46824"/>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27" w15:restartNumberingAfterBreak="0">
    <w:nsid w:val="76877437"/>
    <w:multiLevelType w:val="hybridMultilevel"/>
    <w:tmpl w:val="7CFA0726"/>
    <w:lvl w:ilvl="0" w:tplc="0EA2AEE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abstractNumId w:val="9"/>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7"/>
  </w:num>
  <w:num w:numId="14">
    <w:abstractNumId w:val="21"/>
  </w:num>
  <w:num w:numId="15">
    <w:abstractNumId w:val="12"/>
  </w:num>
  <w:num w:numId="16">
    <w:abstractNumId w:val="11"/>
  </w:num>
  <w:num w:numId="17">
    <w:abstractNumId w:val="25"/>
  </w:num>
  <w:num w:numId="18">
    <w:abstractNumId w:val="10"/>
  </w:num>
  <w:num w:numId="19">
    <w:abstractNumId w:val="26"/>
  </w:num>
  <w:num w:numId="20">
    <w:abstractNumId w:val="15"/>
  </w:num>
  <w:num w:numId="21">
    <w:abstractNumId w:val="17"/>
  </w:num>
  <w:num w:numId="22">
    <w:abstractNumId w:val="24"/>
  </w:num>
  <w:num w:numId="23">
    <w:abstractNumId w:val="13"/>
  </w:num>
  <w:num w:numId="24">
    <w:abstractNumId w:val="16"/>
  </w:num>
  <w:num w:numId="25">
    <w:abstractNumId w:val="20"/>
  </w:num>
  <w:num w:numId="26">
    <w:abstractNumId w:val="23"/>
  </w:num>
  <w:num w:numId="27">
    <w:abstractNumId w:val="1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20"/>
    <w:rsid w:val="000000EC"/>
    <w:rsid w:val="0000640A"/>
    <w:rsid w:val="00020A3F"/>
    <w:rsid w:val="00023E6D"/>
    <w:rsid w:val="00032D50"/>
    <w:rsid w:val="000339CA"/>
    <w:rsid w:val="000357E2"/>
    <w:rsid w:val="000410E0"/>
    <w:rsid w:val="00043856"/>
    <w:rsid w:val="00060701"/>
    <w:rsid w:val="00067E02"/>
    <w:rsid w:val="00070E18"/>
    <w:rsid w:val="0007116C"/>
    <w:rsid w:val="00072FE0"/>
    <w:rsid w:val="0008286C"/>
    <w:rsid w:val="00086BAE"/>
    <w:rsid w:val="00090693"/>
    <w:rsid w:val="00096268"/>
    <w:rsid w:val="000A70CE"/>
    <w:rsid w:val="000B615F"/>
    <w:rsid w:val="000C3839"/>
    <w:rsid w:val="000C443E"/>
    <w:rsid w:val="000E43FB"/>
    <w:rsid w:val="000E54C1"/>
    <w:rsid w:val="000E5F1C"/>
    <w:rsid w:val="000F0D81"/>
    <w:rsid w:val="000F3F9F"/>
    <w:rsid w:val="00100AE6"/>
    <w:rsid w:val="00103DF3"/>
    <w:rsid w:val="00107CB6"/>
    <w:rsid w:val="001119A7"/>
    <w:rsid w:val="00113C6A"/>
    <w:rsid w:val="001225DD"/>
    <w:rsid w:val="00123290"/>
    <w:rsid w:val="001235F0"/>
    <w:rsid w:val="00132602"/>
    <w:rsid w:val="0013333F"/>
    <w:rsid w:val="001451E5"/>
    <w:rsid w:val="001531B1"/>
    <w:rsid w:val="0015369D"/>
    <w:rsid w:val="00157DAD"/>
    <w:rsid w:val="00157E28"/>
    <w:rsid w:val="00165024"/>
    <w:rsid w:val="0016546E"/>
    <w:rsid w:val="00174124"/>
    <w:rsid w:val="00174BFB"/>
    <w:rsid w:val="00176864"/>
    <w:rsid w:val="00182954"/>
    <w:rsid w:val="001912D4"/>
    <w:rsid w:val="00192677"/>
    <w:rsid w:val="00193898"/>
    <w:rsid w:val="001A25D8"/>
    <w:rsid w:val="001A296A"/>
    <w:rsid w:val="001A5775"/>
    <w:rsid w:val="001C3E1A"/>
    <w:rsid w:val="001C622E"/>
    <w:rsid w:val="001C64C4"/>
    <w:rsid w:val="001C799D"/>
    <w:rsid w:val="001D3E9B"/>
    <w:rsid w:val="001D5715"/>
    <w:rsid w:val="001E0572"/>
    <w:rsid w:val="001E21B2"/>
    <w:rsid w:val="001E5B5F"/>
    <w:rsid w:val="001E69D0"/>
    <w:rsid w:val="001F5512"/>
    <w:rsid w:val="001F77B5"/>
    <w:rsid w:val="00203A7D"/>
    <w:rsid w:val="002272ED"/>
    <w:rsid w:val="002276A0"/>
    <w:rsid w:val="00243400"/>
    <w:rsid w:val="00250B56"/>
    <w:rsid w:val="00250E05"/>
    <w:rsid w:val="00250FBD"/>
    <w:rsid w:val="00263E41"/>
    <w:rsid w:val="0027286D"/>
    <w:rsid w:val="002740A4"/>
    <w:rsid w:val="00274ED8"/>
    <w:rsid w:val="00275017"/>
    <w:rsid w:val="00276211"/>
    <w:rsid w:val="00286E5E"/>
    <w:rsid w:val="0028752A"/>
    <w:rsid w:val="002B02B6"/>
    <w:rsid w:val="002B21AE"/>
    <w:rsid w:val="002D0BE0"/>
    <w:rsid w:val="002D349F"/>
    <w:rsid w:val="002D5411"/>
    <w:rsid w:val="002D55D8"/>
    <w:rsid w:val="002E6333"/>
    <w:rsid w:val="002E7B64"/>
    <w:rsid w:val="002F0055"/>
    <w:rsid w:val="002F72C2"/>
    <w:rsid w:val="00305280"/>
    <w:rsid w:val="00312DD5"/>
    <w:rsid w:val="00320B00"/>
    <w:rsid w:val="00334E8F"/>
    <w:rsid w:val="00335774"/>
    <w:rsid w:val="0033593E"/>
    <w:rsid w:val="00336FB0"/>
    <w:rsid w:val="0035124E"/>
    <w:rsid w:val="003544BD"/>
    <w:rsid w:val="00374675"/>
    <w:rsid w:val="00381D48"/>
    <w:rsid w:val="00385E96"/>
    <w:rsid w:val="003861F1"/>
    <w:rsid w:val="00387BC9"/>
    <w:rsid w:val="00391E32"/>
    <w:rsid w:val="003921B8"/>
    <w:rsid w:val="00397C21"/>
    <w:rsid w:val="00397D91"/>
    <w:rsid w:val="003A08BB"/>
    <w:rsid w:val="003B237D"/>
    <w:rsid w:val="003B3D1F"/>
    <w:rsid w:val="003B3ED1"/>
    <w:rsid w:val="003E4C39"/>
    <w:rsid w:val="003F69E9"/>
    <w:rsid w:val="004061BE"/>
    <w:rsid w:val="00407A5A"/>
    <w:rsid w:val="00407CA0"/>
    <w:rsid w:val="004105E6"/>
    <w:rsid w:val="004129F8"/>
    <w:rsid w:val="00421C41"/>
    <w:rsid w:val="004270FD"/>
    <w:rsid w:val="00441063"/>
    <w:rsid w:val="004526A1"/>
    <w:rsid w:val="004534A5"/>
    <w:rsid w:val="004566FA"/>
    <w:rsid w:val="00456814"/>
    <w:rsid w:val="00461656"/>
    <w:rsid w:val="00480EB7"/>
    <w:rsid w:val="00484865"/>
    <w:rsid w:val="00492A99"/>
    <w:rsid w:val="0049308C"/>
    <w:rsid w:val="00493BCF"/>
    <w:rsid w:val="00495232"/>
    <w:rsid w:val="004A2D0E"/>
    <w:rsid w:val="004A47D4"/>
    <w:rsid w:val="004A4EC4"/>
    <w:rsid w:val="004B6B8A"/>
    <w:rsid w:val="004C070A"/>
    <w:rsid w:val="004C6DEC"/>
    <w:rsid w:val="004D1823"/>
    <w:rsid w:val="004D676D"/>
    <w:rsid w:val="004E362E"/>
    <w:rsid w:val="004E7A19"/>
    <w:rsid w:val="004F7BA2"/>
    <w:rsid w:val="00527EEC"/>
    <w:rsid w:val="005331CA"/>
    <w:rsid w:val="00534CDB"/>
    <w:rsid w:val="00543A28"/>
    <w:rsid w:val="0054490D"/>
    <w:rsid w:val="00544F2F"/>
    <w:rsid w:val="005504AE"/>
    <w:rsid w:val="00550D02"/>
    <w:rsid w:val="005530F4"/>
    <w:rsid w:val="00553BC6"/>
    <w:rsid w:val="00556D10"/>
    <w:rsid w:val="005618CD"/>
    <w:rsid w:val="00563232"/>
    <w:rsid w:val="00571070"/>
    <w:rsid w:val="00571A1C"/>
    <w:rsid w:val="005730E7"/>
    <w:rsid w:val="0057444E"/>
    <w:rsid w:val="00574C78"/>
    <w:rsid w:val="0058644B"/>
    <w:rsid w:val="00587289"/>
    <w:rsid w:val="00590E62"/>
    <w:rsid w:val="00596885"/>
    <w:rsid w:val="005A101D"/>
    <w:rsid w:val="005A3738"/>
    <w:rsid w:val="005B3339"/>
    <w:rsid w:val="005B4947"/>
    <w:rsid w:val="005C70E1"/>
    <w:rsid w:val="005D43B7"/>
    <w:rsid w:val="005F0867"/>
    <w:rsid w:val="005F4CC4"/>
    <w:rsid w:val="005F4CF5"/>
    <w:rsid w:val="005F50F7"/>
    <w:rsid w:val="005F64F8"/>
    <w:rsid w:val="005F7F38"/>
    <w:rsid w:val="006003DA"/>
    <w:rsid w:val="00603C46"/>
    <w:rsid w:val="0060566E"/>
    <w:rsid w:val="006070DF"/>
    <w:rsid w:val="00610BAD"/>
    <w:rsid w:val="006135B3"/>
    <w:rsid w:val="0062084D"/>
    <w:rsid w:val="006247CA"/>
    <w:rsid w:val="0063030A"/>
    <w:rsid w:val="00636C3A"/>
    <w:rsid w:val="00647D7A"/>
    <w:rsid w:val="00652CD0"/>
    <w:rsid w:val="006537E5"/>
    <w:rsid w:val="00653EB5"/>
    <w:rsid w:val="0065694F"/>
    <w:rsid w:val="00660B21"/>
    <w:rsid w:val="006616B4"/>
    <w:rsid w:val="006647CB"/>
    <w:rsid w:val="00671DB0"/>
    <w:rsid w:val="00676E52"/>
    <w:rsid w:val="00684C00"/>
    <w:rsid w:val="00690A27"/>
    <w:rsid w:val="00693D6D"/>
    <w:rsid w:val="00694336"/>
    <w:rsid w:val="006A2407"/>
    <w:rsid w:val="006A27A6"/>
    <w:rsid w:val="006B04E1"/>
    <w:rsid w:val="006B3D0F"/>
    <w:rsid w:val="006C2782"/>
    <w:rsid w:val="006D383A"/>
    <w:rsid w:val="006E28BB"/>
    <w:rsid w:val="006E515D"/>
    <w:rsid w:val="006E60F3"/>
    <w:rsid w:val="006E7FDB"/>
    <w:rsid w:val="006F1602"/>
    <w:rsid w:val="006F1719"/>
    <w:rsid w:val="00700112"/>
    <w:rsid w:val="00700717"/>
    <w:rsid w:val="00702478"/>
    <w:rsid w:val="00707770"/>
    <w:rsid w:val="00714CE5"/>
    <w:rsid w:val="0072570B"/>
    <w:rsid w:val="00726B86"/>
    <w:rsid w:val="007321A3"/>
    <w:rsid w:val="00736E05"/>
    <w:rsid w:val="007374A3"/>
    <w:rsid w:val="0073799C"/>
    <w:rsid w:val="007437E3"/>
    <w:rsid w:val="007503E0"/>
    <w:rsid w:val="00752277"/>
    <w:rsid w:val="007526F3"/>
    <w:rsid w:val="00753A32"/>
    <w:rsid w:val="007565B0"/>
    <w:rsid w:val="00765FBA"/>
    <w:rsid w:val="00765FD9"/>
    <w:rsid w:val="00773971"/>
    <w:rsid w:val="007801C5"/>
    <w:rsid w:val="00781BD8"/>
    <w:rsid w:val="00792244"/>
    <w:rsid w:val="007937AC"/>
    <w:rsid w:val="00793FB6"/>
    <w:rsid w:val="00797A67"/>
    <w:rsid w:val="007A39BD"/>
    <w:rsid w:val="007A43F2"/>
    <w:rsid w:val="007B0BE8"/>
    <w:rsid w:val="007B3984"/>
    <w:rsid w:val="007B771B"/>
    <w:rsid w:val="007B7ABD"/>
    <w:rsid w:val="007C0E0B"/>
    <w:rsid w:val="007C5C40"/>
    <w:rsid w:val="007D7486"/>
    <w:rsid w:val="007D7AC3"/>
    <w:rsid w:val="007E3C04"/>
    <w:rsid w:val="007F0642"/>
    <w:rsid w:val="0080671D"/>
    <w:rsid w:val="00811760"/>
    <w:rsid w:val="008141A3"/>
    <w:rsid w:val="00822A8D"/>
    <w:rsid w:val="0082356D"/>
    <w:rsid w:val="0082519D"/>
    <w:rsid w:val="00825831"/>
    <w:rsid w:val="00826D5C"/>
    <w:rsid w:val="00831731"/>
    <w:rsid w:val="00835D0A"/>
    <w:rsid w:val="00845B7F"/>
    <w:rsid w:val="00847241"/>
    <w:rsid w:val="00851B81"/>
    <w:rsid w:val="00852FE0"/>
    <w:rsid w:val="00854B46"/>
    <w:rsid w:val="00864623"/>
    <w:rsid w:val="008666C3"/>
    <w:rsid w:val="008722A5"/>
    <w:rsid w:val="00874542"/>
    <w:rsid w:val="0087475E"/>
    <w:rsid w:val="00877BC3"/>
    <w:rsid w:val="00882470"/>
    <w:rsid w:val="00884518"/>
    <w:rsid w:val="00892C37"/>
    <w:rsid w:val="00897FF7"/>
    <w:rsid w:val="008A63E1"/>
    <w:rsid w:val="008B0BEC"/>
    <w:rsid w:val="008B3161"/>
    <w:rsid w:val="008B446A"/>
    <w:rsid w:val="008B4FD0"/>
    <w:rsid w:val="008D0F40"/>
    <w:rsid w:val="008D6590"/>
    <w:rsid w:val="008E102D"/>
    <w:rsid w:val="008F5AF5"/>
    <w:rsid w:val="00904C33"/>
    <w:rsid w:val="00907CBB"/>
    <w:rsid w:val="00913AE4"/>
    <w:rsid w:val="0091709F"/>
    <w:rsid w:val="009222BE"/>
    <w:rsid w:val="00932EDC"/>
    <w:rsid w:val="0093388C"/>
    <w:rsid w:val="0093775B"/>
    <w:rsid w:val="00952C84"/>
    <w:rsid w:val="009573EE"/>
    <w:rsid w:val="009705F8"/>
    <w:rsid w:val="00976A9B"/>
    <w:rsid w:val="00983F57"/>
    <w:rsid w:val="009846E0"/>
    <w:rsid w:val="00986487"/>
    <w:rsid w:val="009927DA"/>
    <w:rsid w:val="00993753"/>
    <w:rsid w:val="0099384F"/>
    <w:rsid w:val="0099385A"/>
    <w:rsid w:val="00997E28"/>
    <w:rsid w:val="009A1773"/>
    <w:rsid w:val="009A32A1"/>
    <w:rsid w:val="009A47A7"/>
    <w:rsid w:val="009B235D"/>
    <w:rsid w:val="009B3A71"/>
    <w:rsid w:val="009B5F95"/>
    <w:rsid w:val="009D2873"/>
    <w:rsid w:val="009D624E"/>
    <w:rsid w:val="009F195E"/>
    <w:rsid w:val="009F2691"/>
    <w:rsid w:val="00A04BB5"/>
    <w:rsid w:val="00A11634"/>
    <w:rsid w:val="00A14364"/>
    <w:rsid w:val="00A2548A"/>
    <w:rsid w:val="00A26A30"/>
    <w:rsid w:val="00A31CAE"/>
    <w:rsid w:val="00A378C4"/>
    <w:rsid w:val="00A37C40"/>
    <w:rsid w:val="00A43F02"/>
    <w:rsid w:val="00A57539"/>
    <w:rsid w:val="00A600C5"/>
    <w:rsid w:val="00A61D18"/>
    <w:rsid w:val="00A65B77"/>
    <w:rsid w:val="00A70B3E"/>
    <w:rsid w:val="00A72CC5"/>
    <w:rsid w:val="00A76DA9"/>
    <w:rsid w:val="00A84613"/>
    <w:rsid w:val="00AA3EB6"/>
    <w:rsid w:val="00AB33B0"/>
    <w:rsid w:val="00AB5FBC"/>
    <w:rsid w:val="00AB7C5F"/>
    <w:rsid w:val="00AC6C4E"/>
    <w:rsid w:val="00AD3D56"/>
    <w:rsid w:val="00AF640D"/>
    <w:rsid w:val="00AF776D"/>
    <w:rsid w:val="00B01671"/>
    <w:rsid w:val="00B03F75"/>
    <w:rsid w:val="00B10ACC"/>
    <w:rsid w:val="00B135C3"/>
    <w:rsid w:val="00B16031"/>
    <w:rsid w:val="00B20633"/>
    <w:rsid w:val="00B20CFA"/>
    <w:rsid w:val="00B2137B"/>
    <w:rsid w:val="00B33183"/>
    <w:rsid w:val="00B42545"/>
    <w:rsid w:val="00B475C2"/>
    <w:rsid w:val="00B53621"/>
    <w:rsid w:val="00B55F12"/>
    <w:rsid w:val="00B579DE"/>
    <w:rsid w:val="00B67252"/>
    <w:rsid w:val="00B71957"/>
    <w:rsid w:val="00B74F91"/>
    <w:rsid w:val="00B800C1"/>
    <w:rsid w:val="00B83213"/>
    <w:rsid w:val="00B84D9A"/>
    <w:rsid w:val="00B85877"/>
    <w:rsid w:val="00B862E7"/>
    <w:rsid w:val="00B87079"/>
    <w:rsid w:val="00B87B4C"/>
    <w:rsid w:val="00B90B2B"/>
    <w:rsid w:val="00B91665"/>
    <w:rsid w:val="00BB1767"/>
    <w:rsid w:val="00BB5188"/>
    <w:rsid w:val="00BC1D72"/>
    <w:rsid w:val="00BC64D7"/>
    <w:rsid w:val="00BD15A8"/>
    <w:rsid w:val="00BD3DC5"/>
    <w:rsid w:val="00BF020C"/>
    <w:rsid w:val="00C033DF"/>
    <w:rsid w:val="00C07551"/>
    <w:rsid w:val="00C20051"/>
    <w:rsid w:val="00C20C02"/>
    <w:rsid w:val="00C21871"/>
    <w:rsid w:val="00C21BA8"/>
    <w:rsid w:val="00C22066"/>
    <w:rsid w:val="00C34E0D"/>
    <w:rsid w:val="00C416BE"/>
    <w:rsid w:val="00C41938"/>
    <w:rsid w:val="00C4372C"/>
    <w:rsid w:val="00C4717D"/>
    <w:rsid w:val="00C54BE5"/>
    <w:rsid w:val="00C61E9C"/>
    <w:rsid w:val="00C62564"/>
    <w:rsid w:val="00C62CE3"/>
    <w:rsid w:val="00C647F6"/>
    <w:rsid w:val="00C64B77"/>
    <w:rsid w:val="00C6525E"/>
    <w:rsid w:val="00C80D53"/>
    <w:rsid w:val="00C86623"/>
    <w:rsid w:val="00C9612D"/>
    <w:rsid w:val="00CA3DFC"/>
    <w:rsid w:val="00CB51E9"/>
    <w:rsid w:val="00CB5473"/>
    <w:rsid w:val="00CB75AA"/>
    <w:rsid w:val="00CC344E"/>
    <w:rsid w:val="00CC5AAF"/>
    <w:rsid w:val="00CC6923"/>
    <w:rsid w:val="00CC7970"/>
    <w:rsid w:val="00CD4A6E"/>
    <w:rsid w:val="00CD6F04"/>
    <w:rsid w:val="00CF0AF5"/>
    <w:rsid w:val="00CF2A52"/>
    <w:rsid w:val="00D06BFE"/>
    <w:rsid w:val="00D12F63"/>
    <w:rsid w:val="00D16BDB"/>
    <w:rsid w:val="00D3264C"/>
    <w:rsid w:val="00D343AE"/>
    <w:rsid w:val="00D405ED"/>
    <w:rsid w:val="00D44398"/>
    <w:rsid w:val="00D448FA"/>
    <w:rsid w:val="00D47840"/>
    <w:rsid w:val="00D50AB2"/>
    <w:rsid w:val="00D50F67"/>
    <w:rsid w:val="00D5390D"/>
    <w:rsid w:val="00D622FE"/>
    <w:rsid w:val="00D63FBB"/>
    <w:rsid w:val="00D657AC"/>
    <w:rsid w:val="00D65F8A"/>
    <w:rsid w:val="00D74994"/>
    <w:rsid w:val="00D835D5"/>
    <w:rsid w:val="00D915DA"/>
    <w:rsid w:val="00D9403F"/>
    <w:rsid w:val="00D95A23"/>
    <w:rsid w:val="00DA0B66"/>
    <w:rsid w:val="00DA2793"/>
    <w:rsid w:val="00DA2819"/>
    <w:rsid w:val="00DA3BC4"/>
    <w:rsid w:val="00DC2E40"/>
    <w:rsid w:val="00DC308D"/>
    <w:rsid w:val="00DC3A00"/>
    <w:rsid w:val="00DC67DF"/>
    <w:rsid w:val="00DC7220"/>
    <w:rsid w:val="00DE1DAC"/>
    <w:rsid w:val="00DE64FD"/>
    <w:rsid w:val="00DE6929"/>
    <w:rsid w:val="00DF58CC"/>
    <w:rsid w:val="00E01155"/>
    <w:rsid w:val="00E11D78"/>
    <w:rsid w:val="00E17598"/>
    <w:rsid w:val="00E236F8"/>
    <w:rsid w:val="00E2372F"/>
    <w:rsid w:val="00E279B8"/>
    <w:rsid w:val="00E309EA"/>
    <w:rsid w:val="00E30EE8"/>
    <w:rsid w:val="00E35CA0"/>
    <w:rsid w:val="00E423E0"/>
    <w:rsid w:val="00E45A28"/>
    <w:rsid w:val="00E527CB"/>
    <w:rsid w:val="00E65FA0"/>
    <w:rsid w:val="00E704EC"/>
    <w:rsid w:val="00E71FFF"/>
    <w:rsid w:val="00E756E6"/>
    <w:rsid w:val="00E80555"/>
    <w:rsid w:val="00E87A51"/>
    <w:rsid w:val="00EA05B8"/>
    <w:rsid w:val="00EA5C2E"/>
    <w:rsid w:val="00EA70A9"/>
    <w:rsid w:val="00EB203B"/>
    <w:rsid w:val="00EB2A3D"/>
    <w:rsid w:val="00EC020E"/>
    <w:rsid w:val="00EC5937"/>
    <w:rsid w:val="00ED4069"/>
    <w:rsid w:val="00ED61AA"/>
    <w:rsid w:val="00ED7C39"/>
    <w:rsid w:val="00EE1CC8"/>
    <w:rsid w:val="00EF0945"/>
    <w:rsid w:val="00F029C5"/>
    <w:rsid w:val="00F04DEC"/>
    <w:rsid w:val="00F060B0"/>
    <w:rsid w:val="00F0772A"/>
    <w:rsid w:val="00F109FB"/>
    <w:rsid w:val="00F10CFB"/>
    <w:rsid w:val="00F14EC4"/>
    <w:rsid w:val="00F17DAE"/>
    <w:rsid w:val="00F2141B"/>
    <w:rsid w:val="00F225FE"/>
    <w:rsid w:val="00F23978"/>
    <w:rsid w:val="00F248B0"/>
    <w:rsid w:val="00F2495D"/>
    <w:rsid w:val="00F2511A"/>
    <w:rsid w:val="00F32421"/>
    <w:rsid w:val="00F379B5"/>
    <w:rsid w:val="00F42A2A"/>
    <w:rsid w:val="00F518D8"/>
    <w:rsid w:val="00F562FD"/>
    <w:rsid w:val="00F639F0"/>
    <w:rsid w:val="00F6635A"/>
    <w:rsid w:val="00F70096"/>
    <w:rsid w:val="00F744BD"/>
    <w:rsid w:val="00F84010"/>
    <w:rsid w:val="00F852B6"/>
    <w:rsid w:val="00F85D42"/>
    <w:rsid w:val="00F91E50"/>
    <w:rsid w:val="00F95FEF"/>
    <w:rsid w:val="00FA443D"/>
    <w:rsid w:val="00FA7B12"/>
    <w:rsid w:val="00FB42A0"/>
    <w:rsid w:val="00FC3E92"/>
    <w:rsid w:val="00FC41E3"/>
    <w:rsid w:val="00FC5014"/>
    <w:rsid w:val="00FD46D4"/>
    <w:rsid w:val="00FD592F"/>
    <w:rsid w:val="00FE092F"/>
    <w:rsid w:val="00FF224C"/>
    <w:rsid w:val="00FF59D5"/>
    <w:rsid w:val="00FF606C"/>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6A01D67"/>
  <w15:chartTrackingRefBased/>
  <w15:docId w15:val="{FFE20EFD-891A-4C7A-8005-0E0A83B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D5"/>
    <w:pPr>
      <w:spacing w:after="120" w:line="240" w:lineRule="auto"/>
      <w:ind w:left="72" w:right="72"/>
      <w:jc w:val="both"/>
    </w:pPr>
    <w:rPr>
      <w:rFonts w:ascii="Times New Roman" w:hAnsi="Times New Roman"/>
      <w:sz w:val="24"/>
      <w:lang w:val="lv-LV"/>
    </w:r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13333F"/>
    <w:pPr>
      <w:keepNext/>
      <w:keepLines/>
      <w:spacing w:before="120"/>
      <w:outlineLvl w:val="1"/>
    </w:pPr>
    <w:rPr>
      <w:rFonts w:asciiTheme="majorHAnsi" w:eastAsiaTheme="majorEastAsia" w:hAnsiTheme="majorHAnsi" w:cstheme="majorBidi"/>
      <w:caps/>
      <w:color w:val="B85A22" w:themeColor="accent2" w:themeShade="BF"/>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13333F"/>
    <w:rPr>
      <w:rFonts w:asciiTheme="majorHAnsi" w:eastAsiaTheme="majorEastAsia" w:hAnsiTheme="majorHAnsi" w:cstheme="majorBidi"/>
      <w:caps/>
      <w:color w:val="B85A22" w:themeColor="accent2" w:themeShade="BF"/>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unhideWhenUsed/>
    <w:qFormat/>
    <w:rsid w:val="00D657AC"/>
    <w:pPr>
      <w:jc w:val="right"/>
    </w:pPr>
    <w:rPr>
      <w:bCs/>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unhideWhenUsed/>
    <w:rsid w:val="0013333F"/>
    <w:rPr>
      <w:color w:val="7C5F1D" w:themeColor="accent4" w:themeShade="80"/>
      <w:u w:val="single"/>
    </w:rPr>
  </w:style>
  <w:style w:type="character" w:customStyle="1" w:styleId="UnresolvedMention">
    <w:name w:val="Unresolved Mention"/>
    <w:basedOn w:val="DefaultParagraphFont"/>
    <w:uiPriority w:val="99"/>
    <w:semiHidden/>
    <w:unhideWhenUsed/>
    <w:rsid w:val="0013333F"/>
    <w:rPr>
      <w:color w:val="595959" w:themeColor="text1" w:themeTint="A6"/>
      <w:shd w:val="clear" w:color="auto" w:fill="E6E6E6"/>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unhideWhenUsed/>
    <w:qFormat/>
    <w:rsid w:val="00F6635A"/>
    <w:pPr>
      <w:ind w:left="720"/>
      <w:contextualSpacing/>
    </w:p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ED61AA"/>
  </w:style>
  <w:style w:type="table" w:customStyle="1" w:styleId="GridTable1Light-Accent21">
    <w:name w:val="Grid Table 1 Light - Accent 21"/>
    <w:basedOn w:val="TableNormal"/>
    <w:next w:val="GridTable1Light-Accent2"/>
    <w:uiPriority w:val="46"/>
    <w:rsid w:val="0063030A"/>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451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E5"/>
    <w:rPr>
      <w:rFonts w:ascii="Segoe UI" w:hAnsi="Segoe UI" w:cs="Segoe UI"/>
      <w:sz w:val="18"/>
      <w:szCs w:val="18"/>
    </w:rPr>
  </w:style>
  <w:style w:type="character" w:styleId="CommentReference">
    <w:name w:val="annotation reference"/>
    <w:basedOn w:val="DefaultParagraphFont"/>
    <w:uiPriority w:val="99"/>
    <w:semiHidden/>
    <w:unhideWhenUsed/>
    <w:rsid w:val="00D47840"/>
    <w:rPr>
      <w:sz w:val="16"/>
      <w:szCs w:val="16"/>
    </w:rPr>
  </w:style>
  <w:style w:type="paragraph" w:styleId="CommentText">
    <w:name w:val="annotation text"/>
    <w:basedOn w:val="Normal"/>
    <w:link w:val="CommentTextChar"/>
    <w:uiPriority w:val="99"/>
    <w:semiHidden/>
    <w:unhideWhenUsed/>
    <w:rsid w:val="00D47840"/>
    <w:rPr>
      <w:sz w:val="20"/>
      <w:szCs w:val="20"/>
    </w:rPr>
  </w:style>
  <w:style w:type="character" w:customStyle="1" w:styleId="CommentTextChar">
    <w:name w:val="Comment Text Char"/>
    <w:basedOn w:val="DefaultParagraphFont"/>
    <w:link w:val="CommentText"/>
    <w:uiPriority w:val="99"/>
    <w:semiHidden/>
    <w:rsid w:val="00D47840"/>
    <w:rPr>
      <w:sz w:val="20"/>
      <w:szCs w:val="20"/>
    </w:rPr>
  </w:style>
  <w:style w:type="paragraph" w:styleId="CommentSubject">
    <w:name w:val="annotation subject"/>
    <w:basedOn w:val="CommentText"/>
    <w:next w:val="CommentText"/>
    <w:link w:val="CommentSubjectChar"/>
    <w:uiPriority w:val="99"/>
    <w:semiHidden/>
    <w:unhideWhenUsed/>
    <w:rsid w:val="00D47840"/>
    <w:rPr>
      <w:b/>
      <w:bCs/>
    </w:rPr>
  </w:style>
  <w:style w:type="character" w:customStyle="1" w:styleId="CommentSubjectChar">
    <w:name w:val="Comment Subject Char"/>
    <w:basedOn w:val="CommentTextChar"/>
    <w:link w:val="CommentSubject"/>
    <w:uiPriority w:val="99"/>
    <w:semiHidden/>
    <w:rsid w:val="00D47840"/>
    <w:rPr>
      <w:b/>
      <w:bCs/>
      <w:sz w:val="20"/>
      <w:szCs w:val="20"/>
    </w:rPr>
  </w:style>
  <w:style w:type="paragraph" w:styleId="Revision">
    <w:name w:val="Revision"/>
    <w:hidden/>
    <w:uiPriority w:val="99"/>
    <w:semiHidden/>
    <w:rsid w:val="00793FB6"/>
    <w:pPr>
      <w:spacing w:after="0" w:line="240" w:lineRule="auto"/>
    </w:pPr>
  </w:style>
  <w:style w:type="paragraph" w:styleId="NormalWeb">
    <w:name w:val="Normal (Web)"/>
    <w:basedOn w:val="Normal"/>
    <w:uiPriority w:val="99"/>
    <w:semiHidden/>
    <w:unhideWhenUsed/>
    <w:rsid w:val="00603C46"/>
    <w:pPr>
      <w:spacing w:before="100" w:beforeAutospacing="1" w:after="100" w:afterAutospacing="1"/>
      <w:ind w:left="0" w:right="0"/>
    </w:pPr>
    <w:rPr>
      <w:rFonts w:cs="Times New Roman"/>
      <w:kern w:val="0"/>
      <w:szCs w:val="24"/>
      <w:lang w:eastAsia="lv-LV"/>
      <w14:ligatures w14:val="none"/>
    </w:rPr>
  </w:style>
  <w:style w:type="paragraph" w:styleId="FootnoteText">
    <w:name w:val="footnote text"/>
    <w:basedOn w:val="Normal"/>
    <w:link w:val="FootnoteTextChar"/>
    <w:uiPriority w:val="99"/>
    <w:semiHidden/>
    <w:unhideWhenUsed/>
    <w:rsid w:val="004C070A"/>
    <w:pPr>
      <w:spacing w:after="0"/>
    </w:pPr>
    <w:rPr>
      <w:sz w:val="20"/>
      <w:szCs w:val="20"/>
    </w:rPr>
  </w:style>
  <w:style w:type="character" w:customStyle="1" w:styleId="FootnoteTextChar">
    <w:name w:val="Footnote Text Char"/>
    <w:basedOn w:val="DefaultParagraphFont"/>
    <w:link w:val="FootnoteText"/>
    <w:uiPriority w:val="99"/>
    <w:semiHidden/>
    <w:rsid w:val="004C070A"/>
    <w:rPr>
      <w:sz w:val="20"/>
      <w:szCs w:val="20"/>
    </w:rPr>
  </w:style>
  <w:style w:type="character" w:styleId="FootnoteReference">
    <w:name w:val="footnote reference"/>
    <w:basedOn w:val="DefaultParagraphFont"/>
    <w:uiPriority w:val="99"/>
    <w:semiHidden/>
    <w:unhideWhenUsed/>
    <w:rsid w:val="004C0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7627">
      <w:bodyDiv w:val="1"/>
      <w:marLeft w:val="0"/>
      <w:marRight w:val="0"/>
      <w:marTop w:val="0"/>
      <w:marBottom w:val="0"/>
      <w:divBdr>
        <w:top w:val="none" w:sz="0" w:space="0" w:color="auto"/>
        <w:left w:val="none" w:sz="0" w:space="0" w:color="auto"/>
        <w:bottom w:val="none" w:sz="0" w:space="0" w:color="auto"/>
        <w:right w:val="none" w:sz="0" w:space="0" w:color="auto"/>
      </w:divBdr>
    </w:div>
    <w:div w:id="105852736">
      <w:bodyDiv w:val="1"/>
      <w:marLeft w:val="0"/>
      <w:marRight w:val="0"/>
      <w:marTop w:val="0"/>
      <w:marBottom w:val="0"/>
      <w:divBdr>
        <w:top w:val="none" w:sz="0" w:space="0" w:color="auto"/>
        <w:left w:val="none" w:sz="0" w:space="0" w:color="auto"/>
        <w:bottom w:val="none" w:sz="0" w:space="0" w:color="auto"/>
        <w:right w:val="none" w:sz="0" w:space="0" w:color="auto"/>
      </w:divBdr>
      <w:divsChild>
        <w:div w:id="1054306512">
          <w:marLeft w:val="547"/>
          <w:marRight w:val="0"/>
          <w:marTop w:val="0"/>
          <w:marBottom w:val="0"/>
          <w:divBdr>
            <w:top w:val="none" w:sz="0" w:space="0" w:color="auto"/>
            <w:left w:val="none" w:sz="0" w:space="0" w:color="auto"/>
            <w:bottom w:val="none" w:sz="0" w:space="0" w:color="auto"/>
            <w:right w:val="none" w:sz="0" w:space="0" w:color="auto"/>
          </w:divBdr>
        </w:div>
      </w:divsChild>
    </w:div>
    <w:div w:id="152181573">
      <w:bodyDiv w:val="1"/>
      <w:marLeft w:val="0"/>
      <w:marRight w:val="0"/>
      <w:marTop w:val="0"/>
      <w:marBottom w:val="0"/>
      <w:divBdr>
        <w:top w:val="none" w:sz="0" w:space="0" w:color="auto"/>
        <w:left w:val="none" w:sz="0" w:space="0" w:color="auto"/>
        <w:bottom w:val="none" w:sz="0" w:space="0" w:color="auto"/>
        <w:right w:val="none" w:sz="0" w:space="0" w:color="auto"/>
      </w:divBdr>
    </w:div>
    <w:div w:id="236282327">
      <w:bodyDiv w:val="1"/>
      <w:marLeft w:val="0"/>
      <w:marRight w:val="0"/>
      <w:marTop w:val="0"/>
      <w:marBottom w:val="0"/>
      <w:divBdr>
        <w:top w:val="none" w:sz="0" w:space="0" w:color="auto"/>
        <w:left w:val="none" w:sz="0" w:space="0" w:color="auto"/>
        <w:bottom w:val="none" w:sz="0" w:space="0" w:color="auto"/>
        <w:right w:val="none" w:sz="0" w:space="0" w:color="auto"/>
      </w:divBdr>
    </w:div>
    <w:div w:id="296640673">
      <w:bodyDiv w:val="1"/>
      <w:marLeft w:val="0"/>
      <w:marRight w:val="0"/>
      <w:marTop w:val="0"/>
      <w:marBottom w:val="0"/>
      <w:divBdr>
        <w:top w:val="none" w:sz="0" w:space="0" w:color="auto"/>
        <w:left w:val="none" w:sz="0" w:space="0" w:color="auto"/>
        <w:bottom w:val="none" w:sz="0" w:space="0" w:color="auto"/>
        <w:right w:val="none" w:sz="0" w:space="0" w:color="auto"/>
      </w:divBdr>
    </w:div>
    <w:div w:id="365297854">
      <w:bodyDiv w:val="1"/>
      <w:marLeft w:val="0"/>
      <w:marRight w:val="0"/>
      <w:marTop w:val="0"/>
      <w:marBottom w:val="0"/>
      <w:divBdr>
        <w:top w:val="none" w:sz="0" w:space="0" w:color="auto"/>
        <w:left w:val="none" w:sz="0" w:space="0" w:color="auto"/>
        <w:bottom w:val="none" w:sz="0" w:space="0" w:color="auto"/>
        <w:right w:val="none" w:sz="0" w:space="0" w:color="auto"/>
      </w:divBdr>
    </w:div>
    <w:div w:id="511645631">
      <w:bodyDiv w:val="1"/>
      <w:marLeft w:val="0"/>
      <w:marRight w:val="0"/>
      <w:marTop w:val="0"/>
      <w:marBottom w:val="0"/>
      <w:divBdr>
        <w:top w:val="none" w:sz="0" w:space="0" w:color="auto"/>
        <w:left w:val="none" w:sz="0" w:space="0" w:color="auto"/>
        <w:bottom w:val="none" w:sz="0" w:space="0" w:color="auto"/>
        <w:right w:val="none" w:sz="0" w:space="0" w:color="auto"/>
      </w:divBdr>
      <w:divsChild>
        <w:div w:id="325979649">
          <w:marLeft w:val="547"/>
          <w:marRight w:val="0"/>
          <w:marTop w:val="0"/>
          <w:marBottom w:val="0"/>
          <w:divBdr>
            <w:top w:val="none" w:sz="0" w:space="0" w:color="auto"/>
            <w:left w:val="none" w:sz="0" w:space="0" w:color="auto"/>
            <w:bottom w:val="none" w:sz="0" w:space="0" w:color="auto"/>
            <w:right w:val="none" w:sz="0" w:space="0" w:color="auto"/>
          </w:divBdr>
        </w:div>
        <w:div w:id="671757654">
          <w:marLeft w:val="547"/>
          <w:marRight w:val="0"/>
          <w:marTop w:val="0"/>
          <w:marBottom w:val="0"/>
          <w:divBdr>
            <w:top w:val="none" w:sz="0" w:space="0" w:color="auto"/>
            <w:left w:val="none" w:sz="0" w:space="0" w:color="auto"/>
            <w:bottom w:val="none" w:sz="0" w:space="0" w:color="auto"/>
            <w:right w:val="none" w:sz="0" w:space="0" w:color="auto"/>
          </w:divBdr>
        </w:div>
        <w:div w:id="1028528060">
          <w:marLeft w:val="547"/>
          <w:marRight w:val="0"/>
          <w:marTop w:val="0"/>
          <w:marBottom w:val="0"/>
          <w:divBdr>
            <w:top w:val="none" w:sz="0" w:space="0" w:color="auto"/>
            <w:left w:val="none" w:sz="0" w:space="0" w:color="auto"/>
            <w:bottom w:val="none" w:sz="0" w:space="0" w:color="auto"/>
            <w:right w:val="none" w:sz="0" w:space="0" w:color="auto"/>
          </w:divBdr>
        </w:div>
      </w:divsChild>
    </w:div>
    <w:div w:id="549536016">
      <w:bodyDiv w:val="1"/>
      <w:marLeft w:val="0"/>
      <w:marRight w:val="0"/>
      <w:marTop w:val="0"/>
      <w:marBottom w:val="0"/>
      <w:divBdr>
        <w:top w:val="none" w:sz="0" w:space="0" w:color="auto"/>
        <w:left w:val="none" w:sz="0" w:space="0" w:color="auto"/>
        <w:bottom w:val="none" w:sz="0" w:space="0" w:color="auto"/>
        <w:right w:val="none" w:sz="0" w:space="0" w:color="auto"/>
      </w:divBdr>
    </w:div>
    <w:div w:id="834027531">
      <w:bodyDiv w:val="1"/>
      <w:marLeft w:val="0"/>
      <w:marRight w:val="0"/>
      <w:marTop w:val="0"/>
      <w:marBottom w:val="0"/>
      <w:divBdr>
        <w:top w:val="none" w:sz="0" w:space="0" w:color="auto"/>
        <w:left w:val="none" w:sz="0" w:space="0" w:color="auto"/>
        <w:bottom w:val="none" w:sz="0" w:space="0" w:color="auto"/>
        <w:right w:val="none" w:sz="0" w:space="0" w:color="auto"/>
      </w:divBdr>
    </w:div>
    <w:div w:id="846748572">
      <w:bodyDiv w:val="1"/>
      <w:marLeft w:val="0"/>
      <w:marRight w:val="0"/>
      <w:marTop w:val="0"/>
      <w:marBottom w:val="0"/>
      <w:divBdr>
        <w:top w:val="none" w:sz="0" w:space="0" w:color="auto"/>
        <w:left w:val="none" w:sz="0" w:space="0" w:color="auto"/>
        <w:bottom w:val="none" w:sz="0" w:space="0" w:color="auto"/>
        <w:right w:val="none" w:sz="0" w:space="0" w:color="auto"/>
      </w:divBdr>
      <w:divsChild>
        <w:div w:id="1485009537">
          <w:marLeft w:val="547"/>
          <w:marRight w:val="0"/>
          <w:marTop w:val="0"/>
          <w:marBottom w:val="0"/>
          <w:divBdr>
            <w:top w:val="none" w:sz="0" w:space="0" w:color="auto"/>
            <w:left w:val="none" w:sz="0" w:space="0" w:color="auto"/>
            <w:bottom w:val="none" w:sz="0" w:space="0" w:color="auto"/>
            <w:right w:val="none" w:sz="0" w:space="0" w:color="auto"/>
          </w:divBdr>
        </w:div>
        <w:div w:id="1315991643">
          <w:marLeft w:val="547"/>
          <w:marRight w:val="0"/>
          <w:marTop w:val="0"/>
          <w:marBottom w:val="0"/>
          <w:divBdr>
            <w:top w:val="none" w:sz="0" w:space="0" w:color="auto"/>
            <w:left w:val="none" w:sz="0" w:space="0" w:color="auto"/>
            <w:bottom w:val="none" w:sz="0" w:space="0" w:color="auto"/>
            <w:right w:val="none" w:sz="0" w:space="0" w:color="auto"/>
          </w:divBdr>
        </w:div>
        <w:div w:id="1713730463">
          <w:marLeft w:val="547"/>
          <w:marRight w:val="0"/>
          <w:marTop w:val="0"/>
          <w:marBottom w:val="0"/>
          <w:divBdr>
            <w:top w:val="none" w:sz="0" w:space="0" w:color="auto"/>
            <w:left w:val="none" w:sz="0" w:space="0" w:color="auto"/>
            <w:bottom w:val="none" w:sz="0" w:space="0" w:color="auto"/>
            <w:right w:val="none" w:sz="0" w:space="0" w:color="auto"/>
          </w:divBdr>
        </w:div>
      </w:divsChild>
    </w:div>
    <w:div w:id="933367897">
      <w:bodyDiv w:val="1"/>
      <w:marLeft w:val="0"/>
      <w:marRight w:val="0"/>
      <w:marTop w:val="0"/>
      <w:marBottom w:val="0"/>
      <w:divBdr>
        <w:top w:val="none" w:sz="0" w:space="0" w:color="auto"/>
        <w:left w:val="none" w:sz="0" w:space="0" w:color="auto"/>
        <w:bottom w:val="none" w:sz="0" w:space="0" w:color="auto"/>
        <w:right w:val="none" w:sz="0" w:space="0" w:color="auto"/>
      </w:divBdr>
    </w:div>
    <w:div w:id="1314946095">
      <w:bodyDiv w:val="1"/>
      <w:marLeft w:val="0"/>
      <w:marRight w:val="0"/>
      <w:marTop w:val="0"/>
      <w:marBottom w:val="0"/>
      <w:divBdr>
        <w:top w:val="none" w:sz="0" w:space="0" w:color="auto"/>
        <w:left w:val="none" w:sz="0" w:space="0" w:color="auto"/>
        <w:bottom w:val="none" w:sz="0" w:space="0" w:color="auto"/>
        <w:right w:val="none" w:sz="0" w:space="0" w:color="auto"/>
      </w:divBdr>
    </w:div>
    <w:div w:id="1518542260">
      <w:bodyDiv w:val="1"/>
      <w:marLeft w:val="0"/>
      <w:marRight w:val="0"/>
      <w:marTop w:val="0"/>
      <w:marBottom w:val="0"/>
      <w:divBdr>
        <w:top w:val="none" w:sz="0" w:space="0" w:color="auto"/>
        <w:left w:val="none" w:sz="0" w:space="0" w:color="auto"/>
        <w:bottom w:val="none" w:sz="0" w:space="0" w:color="auto"/>
        <w:right w:val="none" w:sz="0" w:space="0" w:color="auto"/>
      </w:divBdr>
    </w:div>
    <w:div w:id="1603999982">
      <w:bodyDiv w:val="1"/>
      <w:marLeft w:val="0"/>
      <w:marRight w:val="0"/>
      <w:marTop w:val="0"/>
      <w:marBottom w:val="0"/>
      <w:divBdr>
        <w:top w:val="none" w:sz="0" w:space="0" w:color="auto"/>
        <w:left w:val="none" w:sz="0" w:space="0" w:color="auto"/>
        <w:bottom w:val="none" w:sz="0" w:space="0" w:color="auto"/>
        <w:right w:val="none" w:sz="0" w:space="0" w:color="auto"/>
      </w:divBdr>
      <w:divsChild>
        <w:div w:id="1648509625">
          <w:marLeft w:val="547"/>
          <w:marRight w:val="0"/>
          <w:marTop w:val="0"/>
          <w:marBottom w:val="0"/>
          <w:divBdr>
            <w:top w:val="none" w:sz="0" w:space="0" w:color="auto"/>
            <w:left w:val="none" w:sz="0" w:space="0" w:color="auto"/>
            <w:bottom w:val="none" w:sz="0" w:space="0" w:color="auto"/>
            <w:right w:val="none" w:sz="0" w:space="0" w:color="auto"/>
          </w:divBdr>
        </w:div>
      </w:divsChild>
    </w:div>
    <w:div w:id="1649631280">
      <w:bodyDiv w:val="1"/>
      <w:marLeft w:val="0"/>
      <w:marRight w:val="0"/>
      <w:marTop w:val="0"/>
      <w:marBottom w:val="0"/>
      <w:divBdr>
        <w:top w:val="none" w:sz="0" w:space="0" w:color="auto"/>
        <w:left w:val="none" w:sz="0" w:space="0" w:color="auto"/>
        <w:bottom w:val="none" w:sz="0" w:space="0" w:color="auto"/>
        <w:right w:val="none" w:sz="0" w:space="0" w:color="auto"/>
      </w:divBdr>
    </w:div>
    <w:div w:id="1695034468">
      <w:bodyDiv w:val="1"/>
      <w:marLeft w:val="0"/>
      <w:marRight w:val="0"/>
      <w:marTop w:val="0"/>
      <w:marBottom w:val="0"/>
      <w:divBdr>
        <w:top w:val="none" w:sz="0" w:space="0" w:color="auto"/>
        <w:left w:val="none" w:sz="0" w:space="0" w:color="auto"/>
        <w:bottom w:val="none" w:sz="0" w:space="0" w:color="auto"/>
        <w:right w:val="none" w:sz="0" w:space="0" w:color="auto"/>
      </w:divBdr>
      <w:divsChild>
        <w:div w:id="1703169741">
          <w:marLeft w:val="547"/>
          <w:marRight w:val="0"/>
          <w:marTop w:val="0"/>
          <w:marBottom w:val="0"/>
          <w:divBdr>
            <w:top w:val="none" w:sz="0" w:space="0" w:color="auto"/>
            <w:left w:val="none" w:sz="0" w:space="0" w:color="auto"/>
            <w:bottom w:val="none" w:sz="0" w:space="0" w:color="auto"/>
            <w:right w:val="none" w:sz="0" w:space="0" w:color="auto"/>
          </w:divBdr>
        </w:div>
        <w:div w:id="1494756407">
          <w:marLeft w:val="547"/>
          <w:marRight w:val="0"/>
          <w:marTop w:val="0"/>
          <w:marBottom w:val="0"/>
          <w:divBdr>
            <w:top w:val="none" w:sz="0" w:space="0" w:color="auto"/>
            <w:left w:val="none" w:sz="0" w:space="0" w:color="auto"/>
            <w:bottom w:val="none" w:sz="0" w:space="0" w:color="auto"/>
            <w:right w:val="none" w:sz="0" w:space="0" w:color="auto"/>
          </w:divBdr>
        </w:div>
        <w:div w:id="490607770">
          <w:marLeft w:val="547"/>
          <w:marRight w:val="0"/>
          <w:marTop w:val="0"/>
          <w:marBottom w:val="0"/>
          <w:divBdr>
            <w:top w:val="none" w:sz="0" w:space="0" w:color="auto"/>
            <w:left w:val="none" w:sz="0" w:space="0" w:color="auto"/>
            <w:bottom w:val="none" w:sz="0" w:space="0" w:color="auto"/>
            <w:right w:val="none" w:sz="0" w:space="0" w:color="auto"/>
          </w:divBdr>
        </w:div>
      </w:divsChild>
    </w:div>
    <w:div w:id="1826236178">
      <w:bodyDiv w:val="1"/>
      <w:marLeft w:val="0"/>
      <w:marRight w:val="0"/>
      <w:marTop w:val="0"/>
      <w:marBottom w:val="0"/>
      <w:divBdr>
        <w:top w:val="none" w:sz="0" w:space="0" w:color="auto"/>
        <w:left w:val="none" w:sz="0" w:space="0" w:color="auto"/>
        <w:bottom w:val="none" w:sz="0" w:space="0" w:color="auto"/>
        <w:right w:val="none" w:sz="0" w:space="0" w:color="auto"/>
      </w:divBdr>
    </w:div>
    <w:div w:id="1855412582">
      <w:bodyDiv w:val="1"/>
      <w:marLeft w:val="0"/>
      <w:marRight w:val="0"/>
      <w:marTop w:val="0"/>
      <w:marBottom w:val="0"/>
      <w:divBdr>
        <w:top w:val="none" w:sz="0" w:space="0" w:color="auto"/>
        <w:left w:val="none" w:sz="0" w:space="0" w:color="auto"/>
        <w:bottom w:val="none" w:sz="0" w:space="0" w:color="auto"/>
        <w:right w:val="none" w:sz="0" w:space="0" w:color="auto"/>
      </w:divBdr>
      <w:divsChild>
        <w:div w:id="1887721034">
          <w:marLeft w:val="547"/>
          <w:marRight w:val="0"/>
          <w:marTop w:val="0"/>
          <w:marBottom w:val="0"/>
          <w:divBdr>
            <w:top w:val="none" w:sz="0" w:space="0" w:color="auto"/>
            <w:left w:val="none" w:sz="0" w:space="0" w:color="auto"/>
            <w:bottom w:val="none" w:sz="0" w:space="0" w:color="auto"/>
            <w:right w:val="none" w:sz="0" w:space="0" w:color="auto"/>
          </w:divBdr>
        </w:div>
      </w:divsChild>
    </w:div>
    <w:div w:id="1887833566">
      <w:bodyDiv w:val="1"/>
      <w:marLeft w:val="0"/>
      <w:marRight w:val="0"/>
      <w:marTop w:val="0"/>
      <w:marBottom w:val="0"/>
      <w:divBdr>
        <w:top w:val="none" w:sz="0" w:space="0" w:color="auto"/>
        <w:left w:val="none" w:sz="0" w:space="0" w:color="auto"/>
        <w:bottom w:val="none" w:sz="0" w:space="0" w:color="auto"/>
        <w:right w:val="none" w:sz="0" w:space="0" w:color="auto"/>
      </w:divBdr>
    </w:div>
    <w:div w:id="1968243046">
      <w:bodyDiv w:val="1"/>
      <w:marLeft w:val="0"/>
      <w:marRight w:val="0"/>
      <w:marTop w:val="0"/>
      <w:marBottom w:val="0"/>
      <w:divBdr>
        <w:top w:val="none" w:sz="0" w:space="0" w:color="auto"/>
        <w:left w:val="none" w:sz="0" w:space="0" w:color="auto"/>
        <w:bottom w:val="none" w:sz="0" w:space="0" w:color="auto"/>
        <w:right w:val="none" w:sz="0" w:space="0" w:color="auto"/>
      </w:divBdr>
    </w:div>
    <w:div w:id="2019573796">
      <w:bodyDiv w:val="1"/>
      <w:marLeft w:val="0"/>
      <w:marRight w:val="0"/>
      <w:marTop w:val="0"/>
      <w:marBottom w:val="0"/>
      <w:divBdr>
        <w:top w:val="none" w:sz="0" w:space="0" w:color="auto"/>
        <w:left w:val="none" w:sz="0" w:space="0" w:color="auto"/>
        <w:bottom w:val="none" w:sz="0" w:space="0" w:color="auto"/>
        <w:right w:val="none" w:sz="0" w:space="0" w:color="auto"/>
      </w:divBdr>
    </w:div>
    <w:div w:id="20419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Downloads\tf03992044.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Chart%202%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252159964366324E-2"/>
          <c:y val="4.0018184354637311E-2"/>
          <c:w val="0.89039659209261268"/>
          <c:h val="0.72758816962783091"/>
        </c:manualLayout>
      </c:layout>
      <c:barChart>
        <c:barDir val="col"/>
        <c:grouping val="stacked"/>
        <c:varyColors val="0"/>
        <c:ser>
          <c:idx val="1"/>
          <c:order val="0"/>
          <c:tx>
            <c:strRef>
              <c:f>Sheet1!$H$18</c:f>
              <c:strCache>
                <c:ptCount val="1"/>
                <c:pt idx="0">
                  <c:v>Starpnozaru prioritārie pasākumi</c:v>
                </c:pt>
              </c:strCache>
            </c:strRef>
          </c:tx>
          <c:spPr>
            <a:solidFill>
              <a:schemeClr val="accent1"/>
            </a:solidFill>
            <a:ln>
              <a:noFill/>
            </a:ln>
            <a:effectLst/>
          </c:spPr>
          <c:invertIfNegative val="0"/>
          <c:dLbls>
            <c:dLbl>
              <c:idx val="0"/>
              <c:numFmt formatCode="#,##0.0" sourceLinked="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6="http://schemas.microsoft.com/office/drawing/2014/chart" uri="{C3380CC4-5D6E-409C-BE32-E72D297353CC}">
                  <c16:uniqueId val="{00000000-81E7-4AFA-BC8A-121C7F8A4307}"/>
                </c:ext>
              </c:extLst>
            </c:dLbl>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Sheet1!$I$16:$K$16</c:f>
              <c:numCache>
                <c:formatCode>General</c:formatCode>
                <c:ptCount val="3"/>
                <c:pt idx="0">
                  <c:v>2020</c:v>
                </c:pt>
                <c:pt idx="1">
                  <c:v>2021</c:v>
                </c:pt>
                <c:pt idx="2">
                  <c:v>2022</c:v>
                </c:pt>
              </c:numCache>
            </c:numRef>
          </c:cat>
          <c:val>
            <c:numRef>
              <c:f>Sheet1!$I$18:$K$18</c:f>
              <c:numCache>
                <c:formatCode>General</c:formatCode>
                <c:ptCount val="3"/>
                <c:pt idx="0" formatCode="0">
                  <c:v>304</c:v>
                </c:pt>
                <c:pt idx="1">
                  <c:v>638.20000000000005</c:v>
                </c:pt>
                <c:pt idx="2">
                  <c:v>820.5</c:v>
                </c:pt>
              </c:numCache>
            </c:numRef>
          </c:val>
          <c:extLst>
            <c:ext xmlns:c16="http://schemas.microsoft.com/office/drawing/2014/chart" uri="{C3380CC4-5D6E-409C-BE32-E72D297353CC}">
              <c16:uniqueId val="{00000000-CAD9-435B-93A0-DF7881F3E517}"/>
            </c:ext>
          </c:extLst>
        </c:ser>
        <c:ser>
          <c:idx val="0"/>
          <c:order val="1"/>
          <c:tx>
            <c:strRef>
              <c:f>Sheet1!$H$17</c:f>
              <c:strCache>
                <c:ptCount val="1"/>
                <c:pt idx="0">
                  <c:v>Vienas ministrijas ietvaros īstenots prioritārais pasākums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Sheet1!$I$16:$K$16</c:f>
              <c:numCache>
                <c:formatCode>General</c:formatCode>
                <c:ptCount val="3"/>
                <c:pt idx="0">
                  <c:v>2020</c:v>
                </c:pt>
                <c:pt idx="1">
                  <c:v>2021</c:v>
                </c:pt>
                <c:pt idx="2">
                  <c:v>2022</c:v>
                </c:pt>
              </c:numCache>
            </c:numRef>
          </c:cat>
          <c:val>
            <c:numRef>
              <c:f>Sheet1!$I$17:$K$17</c:f>
              <c:numCache>
                <c:formatCode>#\ ##0.0</c:formatCode>
                <c:ptCount val="3"/>
                <c:pt idx="0" formatCode="General">
                  <c:v>649.5</c:v>
                </c:pt>
                <c:pt idx="1">
                  <c:v>1179.2</c:v>
                </c:pt>
                <c:pt idx="2">
                  <c:v>1318.8</c:v>
                </c:pt>
              </c:numCache>
            </c:numRef>
          </c:val>
          <c:extLst>
            <c:ext xmlns:c16="http://schemas.microsoft.com/office/drawing/2014/chart" uri="{C3380CC4-5D6E-409C-BE32-E72D297353CC}">
              <c16:uniqueId val="{00000001-CAD9-435B-93A0-DF7881F3E517}"/>
            </c:ext>
          </c:extLst>
        </c:ser>
        <c:dLbls>
          <c:showLegendKey val="0"/>
          <c:showVal val="0"/>
          <c:showCatName val="0"/>
          <c:showSerName val="0"/>
          <c:showPercent val="0"/>
          <c:showBubbleSize val="0"/>
        </c:dLbls>
        <c:gapWidth val="150"/>
        <c:overlap val="100"/>
        <c:axId val="1057659711"/>
        <c:axId val="1057660543"/>
      </c:barChart>
      <c:catAx>
        <c:axId val="1057659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057660543"/>
        <c:crosses val="autoZero"/>
        <c:auto val="1"/>
        <c:lblAlgn val="ctr"/>
        <c:lblOffset val="100"/>
        <c:noMultiLvlLbl val="0"/>
      </c:catAx>
      <c:valAx>
        <c:axId val="10576605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057659711"/>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851395844301639E-2"/>
          <c:y val="1.6859850611103209E-2"/>
          <c:w val="0.93814860415569834"/>
          <c:h val="0.73091634173102871"/>
        </c:manualLayout>
      </c:layout>
      <c:barChart>
        <c:barDir val="col"/>
        <c:grouping val="clustered"/>
        <c:varyColors val="0"/>
        <c:ser>
          <c:idx val="0"/>
          <c:order val="0"/>
          <c:tx>
            <c:strRef>
              <c:f>'[Chart 2 in Microsoft Word]Sheet2'!$B$23</c:f>
              <c:strCache>
                <c:ptCount val="1"/>
                <c:pt idx="0">
                  <c:v>2020</c:v>
                </c:pt>
              </c:strCache>
            </c:strRef>
          </c:tx>
          <c:spPr>
            <a:solidFill>
              <a:schemeClr val="accent1"/>
            </a:solidFill>
            <a:ln>
              <a:noFill/>
            </a:ln>
            <a:effectLst/>
          </c:spPr>
          <c:invertIfNegative val="0"/>
          <c:dLbls>
            <c:dLbl>
              <c:idx val="1"/>
              <c:layout>
                <c:manualLayout>
                  <c:x val="-2.1265284423179162E-3"/>
                  <c:y val="3.693444136657365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997-4B62-B52A-1EF66D8A1028}"/>
                </c:ext>
              </c:extLst>
            </c:dLbl>
            <c:dLbl>
              <c:idx val="2"/>
              <c:layout>
                <c:manualLayout>
                  <c:x val="-4.2530568846358323E-3"/>
                  <c:y val="-6.7712360286422121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997-4B62-B52A-1EF66D8A1028}"/>
                </c:ext>
              </c:extLst>
            </c:dLbl>
            <c:dLbl>
              <c:idx val="3"/>
              <c:layout>
                <c:manualLayout>
                  <c:x val="-6.379585326953748E-3"/>
                  <c:y val="3.693444136657432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997-4B62-B52A-1EF66D8A1028}"/>
                </c:ext>
              </c:extLst>
            </c:dLbl>
            <c:dLbl>
              <c:idx val="7"/>
              <c:layout>
                <c:manualLayout>
                  <c:x val="-4.2530568846358323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997-4B62-B52A-1EF66D8A1028}"/>
                </c:ext>
              </c:extLst>
            </c:dLbl>
            <c:dLbl>
              <c:idx val="11"/>
              <c:layout>
                <c:manualLayout>
                  <c:x val="-6.3795853269538261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997-4B62-B52A-1EF66D8A1028}"/>
                </c:ext>
              </c:extLst>
            </c:dLbl>
            <c:dLbl>
              <c:idx val="14"/>
              <c:layout>
                <c:manualLayout>
                  <c:x val="-1.996007984031936E-3"/>
                  <c:y val="1.03359173126614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997-4B62-B52A-1EF66D8A1028}"/>
                </c:ext>
              </c:extLst>
            </c:dLbl>
            <c:dLbl>
              <c:idx val="16"/>
              <c:layout>
                <c:manualLayout>
                  <c:x val="-3.9920159680640185E-3"/>
                  <c:y val="-1.2632641893229141E-1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997-4B62-B52A-1EF66D8A1028}"/>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'[Chart 2 in Microsoft Word]Sheet2'!$A$24:$A$40</c:f>
              <c:strCache>
                <c:ptCount val="17"/>
                <c:pt idx="0">
                  <c:v>VM</c:v>
                </c:pt>
                <c:pt idx="1">
                  <c:v>IZM</c:v>
                </c:pt>
                <c:pt idx="2">
                  <c:v>SM</c:v>
                </c:pt>
                <c:pt idx="3">
                  <c:v>IeM</c:v>
                </c:pt>
                <c:pt idx="4">
                  <c:v>LM*</c:v>
                </c:pt>
                <c:pt idx="5">
                  <c:v>EM</c:v>
                </c:pt>
                <c:pt idx="6">
                  <c:v>ZM</c:v>
                </c:pt>
                <c:pt idx="7">
                  <c:v>KM</c:v>
                </c:pt>
                <c:pt idx="8">
                  <c:v>FM</c:v>
                </c:pt>
                <c:pt idx="9">
                  <c:v>PKC (DLC)</c:v>
                </c:pt>
                <c:pt idx="10">
                  <c:v>TM</c:v>
                </c:pt>
                <c:pt idx="11">
                  <c:v>ĀM</c:v>
                </c:pt>
                <c:pt idx="12">
                  <c:v>VARAM</c:v>
                </c:pt>
                <c:pt idx="13">
                  <c:v>PKC</c:v>
                </c:pt>
                <c:pt idx="14">
                  <c:v>CVK</c:v>
                </c:pt>
                <c:pt idx="15">
                  <c:v>MK</c:v>
                </c:pt>
                <c:pt idx="16">
                  <c:v>KNAB</c:v>
                </c:pt>
              </c:strCache>
            </c:strRef>
          </c:cat>
          <c:val>
            <c:numRef>
              <c:f>'[Chart 2 in Microsoft Word]Sheet2'!$B$24:$B$40</c:f>
              <c:numCache>
                <c:formatCode>General</c:formatCode>
                <c:ptCount val="17"/>
                <c:pt idx="0">
                  <c:v>279.39999999999998</c:v>
                </c:pt>
                <c:pt idx="1">
                  <c:v>128.69999999999999</c:v>
                </c:pt>
                <c:pt idx="2">
                  <c:v>123.2</c:v>
                </c:pt>
                <c:pt idx="3">
                  <c:v>94.4</c:v>
                </c:pt>
                <c:pt idx="4">
                  <c:v>68.099999999999994</c:v>
                </c:pt>
                <c:pt idx="5">
                  <c:v>55.6</c:v>
                </c:pt>
                <c:pt idx="6">
                  <c:v>51.2</c:v>
                </c:pt>
                <c:pt idx="7">
                  <c:v>41.3</c:v>
                </c:pt>
                <c:pt idx="8">
                  <c:v>31.3</c:v>
                </c:pt>
                <c:pt idx="9">
                  <c:v>25.8</c:v>
                </c:pt>
                <c:pt idx="10">
                  <c:v>16.399999999999999</c:v>
                </c:pt>
                <c:pt idx="11">
                  <c:v>15.2</c:v>
                </c:pt>
                <c:pt idx="12">
                  <c:v>15.1</c:v>
                </c:pt>
                <c:pt idx="13">
                  <c:v>4.9000000000000004</c:v>
                </c:pt>
                <c:pt idx="14">
                  <c:v>1.1000000000000001</c:v>
                </c:pt>
                <c:pt idx="15">
                  <c:v>1</c:v>
                </c:pt>
                <c:pt idx="16">
                  <c:v>0.8</c:v>
                </c:pt>
              </c:numCache>
            </c:numRef>
          </c:val>
          <c:extLst>
            <c:ext xmlns:c16="http://schemas.microsoft.com/office/drawing/2014/chart" uri="{C3380CC4-5D6E-409C-BE32-E72D297353CC}">
              <c16:uniqueId val="{00000000-3997-4B62-B52A-1EF66D8A1028}"/>
            </c:ext>
          </c:extLst>
        </c:ser>
        <c:ser>
          <c:idx val="1"/>
          <c:order val="1"/>
          <c:tx>
            <c:strRef>
              <c:f>'[Chart 2 in Microsoft Word]Sheet2'!$C$23</c:f>
              <c:strCache>
                <c:ptCount val="1"/>
                <c:pt idx="0">
                  <c:v>2021</c:v>
                </c:pt>
              </c:strCache>
            </c:strRef>
          </c:tx>
          <c:spPr>
            <a:solidFill>
              <a:schemeClr val="accent2"/>
            </a:solidFill>
            <a:ln>
              <a:noFill/>
            </a:ln>
            <a:effectLst/>
          </c:spPr>
          <c:invertIfNegative val="0"/>
          <c:dLbls>
            <c:dLbl>
              <c:idx val="14"/>
              <c:layout>
                <c:manualLayout>
                  <c:x val="-1.4637222792454124E-16"/>
                  <c:y val="-6.890611541774459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997-4B62-B52A-1EF66D8A1028}"/>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'[Chart 2 in Microsoft Word]Sheet2'!$A$24:$A$40</c:f>
              <c:strCache>
                <c:ptCount val="17"/>
                <c:pt idx="0">
                  <c:v>VM</c:v>
                </c:pt>
                <c:pt idx="1">
                  <c:v>IZM</c:v>
                </c:pt>
                <c:pt idx="2">
                  <c:v>SM</c:v>
                </c:pt>
                <c:pt idx="3">
                  <c:v>IeM</c:v>
                </c:pt>
                <c:pt idx="4">
                  <c:v>LM*</c:v>
                </c:pt>
                <c:pt idx="5">
                  <c:v>EM</c:v>
                </c:pt>
                <c:pt idx="6">
                  <c:v>ZM</c:v>
                </c:pt>
                <c:pt idx="7">
                  <c:v>KM</c:v>
                </c:pt>
                <c:pt idx="8">
                  <c:v>FM</c:v>
                </c:pt>
                <c:pt idx="9">
                  <c:v>PKC (DLC)</c:v>
                </c:pt>
                <c:pt idx="10">
                  <c:v>TM</c:v>
                </c:pt>
                <c:pt idx="11">
                  <c:v>ĀM</c:v>
                </c:pt>
                <c:pt idx="12">
                  <c:v>VARAM</c:v>
                </c:pt>
                <c:pt idx="13">
                  <c:v>PKC</c:v>
                </c:pt>
                <c:pt idx="14">
                  <c:v>CVK</c:v>
                </c:pt>
                <c:pt idx="15">
                  <c:v>MK</c:v>
                </c:pt>
                <c:pt idx="16">
                  <c:v>KNAB</c:v>
                </c:pt>
              </c:strCache>
            </c:strRef>
          </c:cat>
          <c:val>
            <c:numRef>
              <c:f>'[Chart 2 in Microsoft Word]Sheet2'!$C$24:$C$40</c:f>
              <c:numCache>
                <c:formatCode>0.0</c:formatCode>
                <c:ptCount val="17"/>
                <c:pt idx="0">
                  <c:v>444.96198399999997</c:v>
                </c:pt>
                <c:pt idx="1">
                  <c:v>185.4333826351</c:v>
                </c:pt>
                <c:pt idx="2">
                  <c:v>132.849334</c:v>
                </c:pt>
                <c:pt idx="3">
                  <c:v>99.151250000000005</c:v>
                </c:pt>
                <c:pt idx="4">
                  <c:v>145.07690700000001</c:v>
                </c:pt>
                <c:pt idx="5">
                  <c:v>253.10443900000001</c:v>
                </c:pt>
                <c:pt idx="6">
                  <c:v>159.72009299999999</c:v>
                </c:pt>
                <c:pt idx="7">
                  <c:v>53.616745999999999</c:v>
                </c:pt>
                <c:pt idx="8">
                  <c:v>33.905287999999999</c:v>
                </c:pt>
                <c:pt idx="9">
                  <c:v>115.139398</c:v>
                </c:pt>
                <c:pt idx="10">
                  <c:v>74.721446999999998</c:v>
                </c:pt>
                <c:pt idx="11">
                  <c:v>11.879495</c:v>
                </c:pt>
                <c:pt idx="12">
                  <c:v>95.316935999999998</c:v>
                </c:pt>
                <c:pt idx="13">
                  <c:v>11.44262337</c:v>
                </c:pt>
                <c:pt idx="14">
                  <c:v>0.276063</c:v>
                </c:pt>
                <c:pt idx="15">
                  <c:v>0.54894500000000002</c:v>
                </c:pt>
                <c:pt idx="16">
                  <c:v>0.27884700000000001</c:v>
                </c:pt>
              </c:numCache>
            </c:numRef>
          </c:val>
          <c:extLst>
            <c:ext xmlns:c16="http://schemas.microsoft.com/office/drawing/2014/chart" uri="{C3380CC4-5D6E-409C-BE32-E72D297353CC}">
              <c16:uniqueId val="{00000001-3997-4B62-B52A-1EF66D8A1028}"/>
            </c:ext>
          </c:extLst>
        </c:ser>
        <c:ser>
          <c:idx val="2"/>
          <c:order val="2"/>
          <c:tx>
            <c:strRef>
              <c:f>'[Chart 2 in Microsoft Word]Sheet2'!$D$23</c:f>
              <c:strCache>
                <c:ptCount val="1"/>
                <c:pt idx="0">
                  <c:v>2022</c:v>
                </c:pt>
              </c:strCache>
            </c:strRef>
          </c:tx>
          <c:spPr>
            <a:solidFill>
              <a:schemeClr val="accent3"/>
            </a:solidFill>
            <a:ln>
              <a:noFill/>
            </a:ln>
            <a:effectLst/>
          </c:spPr>
          <c:invertIfNegative val="0"/>
          <c:dLbls>
            <c:dLbl>
              <c:idx val="1"/>
              <c:layout>
                <c:manualLayout>
                  <c:x val="4.2530568846358323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997-4B62-B52A-1EF66D8A1028}"/>
                </c:ext>
              </c:extLst>
            </c:dLbl>
            <c:dLbl>
              <c:idx val="2"/>
              <c:layout>
                <c:manualLayout>
                  <c:x val="4.2530568846358323E-3"/>
                  <c:y val="-6.7712360286422121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997-4B62-B52A-1EF66D8A1028}"/>
                </c:ext>
              </c:extLst>
            </c:dLbl>
            <c:dLbl>
              <c:idx val="3"/>
              <c:layout>
                <c:manualLayout>
                  <c:x val="4.2530568846358323E-3"/>
                  <c:y val="-6.7712360286422121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997-4B62-B52A-1EF66D8A1028}"/>
                </c:ext>
              </c:extLst>
            </c:dLbl>
            <c:dLbl>
              <c:idx val="4"/>
              <c:layout>
                <c:manualLayout>
                  <c:x val="6.379585326953709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997-4B62-B52A-1EF66D8A1028}"/>
                </c:ext>
              </c:extLst>
            </c:dLbl>
            <c:dLbl>
              <c:idx val="5"/>
              <c:layout>
                <c:manualLayout>
                  <c:x val="8.5061137692716646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997-4B62-B52A-1EF66D8A1028}"/>
                </c:ext>
              </c:extLst>
            </c:dLbl>
            <c:dLbl>
              <c:idx val="6"/>
              <c:layout>
                <c:manualLayout>
                  <c:x val="6.379585326953748E-3"/>
                  <c:y val="7.386888273314865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997-4B62-B52A-1EF66D8A1028}"/>
                </c:ext>
              </c:extLst>
            </c:dLbl>
            <c:dLbl>
              <c:idx val="7"/>
              <c:layout>
                <c:manualLayout>
                  <c:x val="4.2530568846357543E-3"/>
                  <c:y val="-6.7712360286422121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997-4B62-B52A-1EF66D8A1028}"/>
                </c:ext>
              </c:extLst>
            </c:dLbl>
            <c:dLbl>
              <c:idx val="8"/>
              <c:layout>
                <c:manualLayout>
                  <c:x val="2.1265284423179162E-3"/>
                  <c:y val="7.386888273314865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997-4B62-B52A-1EF66D8A1028}"/>
                </c:ext>
              </c:extLst>
            </c:dLbl>
            <c:dLbl>
              <c:idx val="9"/>
              <c:layout>
                <c:manualLayout>
                  <c:x val="4.2530568846358323E-3"/>
                  <c:y val="7.386888273314865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997-4B62-B52A-1EF66D8A1028}"/>
                </c:ext>
              </c:extLst>
            </c:dLbl>
            <c:dLbl>
              <c:idx val="10"/>
              <c:layout>
                <c:manualLayout>
                  <c:x val="2.1265284423178381E-3"/>
                  <c:y val="1.10803324099723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997-4B62-B52A-1EF66D8A1028}"/>
                </c:ext>
              </c:extLst>
            </c:dLbl>
            <c:dLbl>
              <c:idx val="11"/>
              <c:layout>
                <c:manualLayout>
                  <c:x val="4.2530568846358323E-3"/>
                  <c:y val="7.386888273314730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997-4B62-B52A-1EF66D8A1028}"/>
                </c:ext>
              </c:extLst>
            </c:dLbl>
            <c:dLbl>
              <c:idx val="12"/>
              <c:layout>
                <c:manualLayout>
                  <c:x val="6.379585326953748E-3"/>
                  <c:y val="3.693444136657432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997-4B62-B52A-1EF66D8A1028}"/>
                </c:ext>
              </c:extLst>
            </c:dLbl>
            <c:dLbl>
              <c:idx val="13"/>
              <c:layout>
                <c:manualLayout>
                  <c:x val="2.1265284423179162E-3"/>
                  <c:y val="7.386888273314730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997-4B62-B52A-1EF66D8A1028}"/>
                </c:ext>
              </c:extLst>
            </c:dLbl>
            <c:dLbl>
              <c:idx val="14"/>
              <c:layout>
                <c:manualLayout>
                  <c:x val="2.12652844231776E-3"/>
                  <c:y val="1.10803324099722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997-4B62-B52A-1EF66D8A1028}"/>
                </c:ext>
              </c:extLst>
            </c:dLbl>
            <c:dLbl>
              <c:idx val="16"/>
              <c:layout>
                <c:manualLayout>
                  <c:x val="0"/>
                  <c:y val="1.03359173126614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3997-4B62-B52A-1EF66D8A1028}"/>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'[Chart 2 in Microsoft Word]Sheet2'!$A$24:$A$40</c:f>
              <c:strCache>
                <c:ptCount val="17"/>
                <c:pt idx="0">
                  <c:v>VM</c:v>
                </c:pt>
                <c:pt idx="1">
                  <c:v>IZM</c:v>
                </c:pt>
                <c:pt idx="2">
                  <c:v>SM</c:v>
                </c:pt>
                <c:pt idx="3">
                  <c:v>IeM</c:v>
                </c:pt>
                <c:pt idx="4">
                  <c:v>LM*</c:v>
                </c:pt>
                <c:pt idx="5">
                  <c:v>EM</c:v>
                </c:pt>
                <c:pt idx="6">
                  <c:v>ZM</c:v>
                </c:pt>
                <c:pt idx="7">
                  <c:v>KM</c:v>
                </c:pt>
                <c:pt idx="8">
                  <c:v>FM</c:v>
                </c:pt>
                <c:pt idx="9">
                  <c:v>PKC (DLC)</c:v>
                </c:pt>
                <c:pt idx="10">
                  <c:v>TM</c:v>
                </c:pt>
                <c:pt idx="11">
                  <c:v>ĀM</c:v>
                </c:pt>
                <c:pt idx="12">
                  <c:v>VARAM</c:v>
                </c:pt>
                <c:pt idx="13">
                  <c:v>PKC</c:v>
                </c:pt>
                <c:pt idx="14">
                  <c:v>CVK</c:v>
                </c:pt>
                <c:pt idx="15">
                  <c:v>MK</c:v>
                </c:pt>
                <c:pt idx="16">
                  <c:v>KNAB</c:v>
                </c:pt>
              </c:strCache>
            </c:strRef>
          </c:cat>
          <c:val>
            <c:numRef>
              <c:f>'[Chart 2 in Microsoft Word]Sheet2'!$D$24:$D$40</c:f>
              <c:numCache>
                <c:formatCode>0.0</c:formatCode>
                <c:ptCount val="17"/>
                <c:pt idx="0">
                  <c:v>606.84682899999996</c:v>
                </c:pt>
                <c:pt idx="1">
                  <c:v>218.84797863510002</c:v>
                </c:pt>
                <c:pt idx="2">
                  <c:v>154.78786600000001</c:v>
                </c:pt>
                <c:pt idx="3">
                  <c:v>115.84577400000001</c:v>
                </c:pt>
                <c:pt idx="4">
                  <c:v>179.51240899999999</c:v>
                </c:pt>
                <c:pt idx="5">
                  <c:v>249.75699399999999</c:v>
                </c:pt>
                <c:pt idx="6">
                  <c:v>160.91012699999999</c:v>
                </c:pt>
                <c:pt idx="7">
                  <c:v>60.062519999999999</c:v>
                </c:pt>
                <c:pt idx="8">
                  <c:v>36.936110999999997</c:v>
                </c:pt>
                <c:pt idx="9">
                  <c:v>117.06000299999999</c:v>
                </c:pt>
                <c:pt idx="10">
                  <c:v>78.556898000000004</c:v>
                </c:pt>
                <c:pt idx="11">
                  <c:v>9.7663469999999997</c:v>
                </c:pt>
                <c:pt idx="12">
                  <c:v>134.454654</c:v>
                </c:pt>
                <c:pt idx="13">
                  <c:v>14.957565369999999</c:v>
                </c:pt>
                <c:pt idx="14">
                  <c:v>0.203463</c:v>
                </c:pt>
                <c:pt idx="15">
                  <c:v>0.51794499999999999</c:v>
                </c:pt>
                <c:pt idx="16">
                  <c:v>0.27884700000000001</c:v>
                </c:pt>
              </c:numCache>
            </c:numRef>
          </c:val>
          <c:extLst>
            <c:ext xmlns:c16="http://schemas.microsoft.com/office/drawing/2014/chart" uri="{C3380CC4-5D6E-409C-BE32-E72D297353CC}">
              <c16:uniqueId val="{00000002-3997-4B62-B52A-1EF66D8A1028}"/>
            </c:ext>
          </c:extLst>
        </c:ser>
        <c:dLbls>
          <c:showLegendKey val="0"/>
          <c:showVal val="1"/>
          <c:showCatName val="0"/>
          <c:showSerName val="0"/>
          <c:showPercent val="0"/>
          <c:showBubbleSize val="0"/>
        </c:dLbls>
        <c:gapWidth val="75"/>
        <c:axId val="1464832143"/>
        <c:axId val="1464846703"/>
      </c:barChart>
      <c:catAx>
        <c:axId val="146483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464846703"/>
        <c:crosses val="autoZero"/>
        <c:auto val="1"/>
        <c:lblAlgn val="ctr"/>
        <c:lblOffset val="100"/>
        <c:noMultiLvlLbl val="0"/>
      </c:catAx>
      <c:valAx>
        <c:axId val="1464846703"/>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464832143"/>
        <c:crosses val="autoZero"/>
        <c:crossBetween val="between"/>
      </c:valAx>
      <c:spPr>
        <a:noFill/>
        <a:ln>
          <a:noFill/>
        </a:ln>
        <a:effectLst/>
      </c:spPr>
    </c:plotArea>
    <c:legend>
      <c:legendPos val="b"/>
      <c:layout>
        <c:manualLayout>
          <c:xMode val="edge"/>
          <c:yMode val="edge"/>
          <c:x val="0.38529195812245959"/>
          <c:y val="0.93734377385652279"/>
          <c:w val="0.22941608375508085"/>
          <c:h val="6.2656226143477212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0.14876</cdr:x>
      <cdr:y>0.36092</cdr:y>
    </cdr:from>
    <cdr:to>
      <cdr:x>0.33282</cdr:x>
      <cdr:y>0.46462</cdr:y>
    </cdr:to>
    <cdr:sp macro="" textlink="">
      <cdr:nvSpPr>
        <cdr:cNvPr id="2" name="TextBox 1"/>
        <cdr:cNvSpPr txBox="1"/>
      </cdr:nvSpPr>
      <cdr:spPr>
        <a:xfrm xmlns:a="http://schemas.openxmlformats.org/drawingml/2006/main">
          <a:off x="866992" y="1144996"/>
          <a:ext cx="1072708" cy="3289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953,5</a:t>
          </a:r>
          <a:endParaRPr lang="lv-LV" sz="1400" b="1"/>
        </a:p>
      </cdr:txBody>
    </cdr:sp>
  </cdr:relSizeAnchor>
  <cdr:relSizeAnchor xmlns:cdr="http://schemas.openxmlformats.org/drawingml/2006/chartDrawing">
    <cdr:from>
      <cdr:x>0.4243</cdr:x>
      <cdr:y>0.1202</cdr:y>
    </cdr:from>
    <cdr:to>
      <cdr:x>0.61394</cdr:x>
      <cdr:y>0.22391</cdr:y>
    </cdr:to>
    <cdr:sp macro="" textlink="">
      <cdr:nvSpPr>
        <cdr:cNvPr id="3" name="TextBox 1"/>
        <cdr:cNvSpPr txBox="1"/>
      </cdr:nvSpPr>
      <cdr:spPr>
        <a:xfrm xmlns:a="http://schemas.openxmlformats.org/drawingml/2006/main">
          <a:off x="2472856" y="381318"/>
          <a:ext cx="1105231" cy="3290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1 817,</a:t>
          </a:r>
          <a:r>
            <a:rPr lang="lv-LV" sz="1400" b="1" baseline="0">
              <a:latin typeface="Times New Roman" panose="02020603050405020304" pitchFamily="18" charset="0"/>
              <a:cs typeface="Times New Roman" panose="02020603050405020304" pitchFamily="18" charset="0"/>
            </a:rPr>
            <a:t>4</a:t>
          </a:r>
          <a:endParaRPr lang="lv-LV" sz="1400" b="1"/>
        </a:p>
      </cdr:txBody>
    </cdr:sp>
  </cdr:relSizeAnchor>
  <cdr:relSizeAnchor xmlns:cdr="http://schemas.openxmlformats.org/drawingml/2006/chartDrawing">
    <cdr:from>
      <cdr:x>0.72836</cdr:x>
      <cdr:y>0.02719</cdr:y>
    </cdr:from>
    <cdr:to>
      <cdr:x>0.91242</cdr:x>
      <cdr:y>0.14485</cdr:y>
    </cdr:to>
    <cdr:sp macro="" textlink="">
      <cdr:nvSpPr>
        <cdr:cNvPr id="4" name="TextBox 1"/>
        <cdr:cNvSpPr txBox="1"/>
      </cdr:nvSpPr>
      <cdr:spPr>
        <a:xfrm xmlns:a="http://schemas.openxmlformats.org/drawingml/2006/main">
          <a:off x="4244908" y="86245"/>
          <a:ext cx="1072707" cy="3732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a:t>
          </a:r>
          <a:r>
            <a:rPr lang="lv-LV" sz="1400" b="1" baseline="0">
              <a:latin typeface="Times New Roman" panose="02020603050405020304" pitchFamily="18" charset="0"/>
              <a:cs typeface="Times New Roman" panose="02020603050405020304" pitchFamily="18" charset="0"/>
            </a:rPr>
            <a:t> 139,3</a:t>
          </a:r>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F705-1C71-47A5-8831-F00DDC5F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tf03992044.dotx</Template>
  <TotalTime>485</TotalTime>
  <Pages>6</Pages>
  <Words>6837</Words>
  <Characters>3898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Informatīvais ziņojums par ministriju un citu centrālo valsts iestāžu prioritārajiem pasākumiem 2020., 2021. un 2022. gadam</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ministriju un citu centrālo valsts iestāžu prioritārajiem pasākumiem 2020., 2021. un 2022. gadam</dc:title>
  <dc:creator/>
  <cp:keywords/>
  <dc:description/>
  <cp:lastModifiedBy>Krista Belija</cp:lastModifiedBy>
  <cp:revision>61</cp:revision>
  <cp:lastPrinted>2019-08-30T07:41:00Z</cp:lastPrinted>
  <dcterms:created xsi:type="dcterms:W3CDTF">2019-08-19T07:05:00Z</dcterms:created>
  <dcterms:modified xsi:type="dcterms:W3CDTF">2019-09-06T06:55:00Z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