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2"/>
      </w:tblGrid>
      <w:tr w:rsidR="0076656C" w:rsidRPr="00DA31E5" w14:paraId="0BD25D25" w14:textId="77777777" w:rsidTr="00693281">
        <w:trPr>
          <w:trHeight w:val="715"/>
        </w:trPr>
        <w:tc>
          <w:tcPr>
            <w:tcW w:w="10382" w:type="dxa"/>
          </w:tcPr>
          <w:tbl>
            <w:tblPr>
              <w:tblStyle w:val="TableGrid"/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1881"/>
              <w:gridCol w:w="176"/>
              <w:gridCol w:w="2405"/>
              <w:gridCol w:w="1564"/>
              <w:gridCol w:w="846"/>
              <w:gridCol w:w="3119"/>
            </w:tblGrid>
            <w:tr w:rsidR="00E65C7A" w14:paraId="4449B004" w14:textId="77777777" w:rsidTr="00B540E9">
              <w:tc>
                <w:tcPr>
                  <w:tcW w:w="2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B61B8" w14:textId="22B8770B" w:rsidR="00E65C7A" w:rsidRDefault="00B540E9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F5A27">
                    <w:rPr>
                      <w:noProof/>
                    </w:rPr>
                    <w:drawing>
                      <wp:inline distT="0" distB="0" distL="0" distR="0" wp14:anchorId="19BBB43E" wp14:editId="50FE80CB">
                        <wp:extent cx="1289050" cy="1047750"/>
                        <wp:effectExtent l="0" t="0" r="635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90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0C8A1" w14:textId="77777777" w:rsidR="00E65C7A" w:rsidRDefault="00E65C7A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125D9AD6" w14:textId="77777777" w:rsidR="00E65C7A" w:rsidRDefault="00E65C7A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2C09CF1F" w14:textId="77777777" w:rsidR="00C1299F" w:rsidRDefault="00C1299F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5D67B9EB" w14:textId="77777777" w:rsidR="00B540E9" w:rsidRDefault="00B540E9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1160BCE9" w14:textId="77777777" w:rsidR="00B540E9" w:rsidRDefault="00B540E9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610473C2" w14:textId="77777777" w:rsidR="00B540E9" w:rsidRDefault="00B540E9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0F5BA7C4" w14:textId="45092DA0" w:rsidR="00E65C7A" w:rsidRPr="00E65C7A" w:rsidRDefault="00B540E9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</w:t>
                  </w:r>
                  <w:r w:rsidR="00E65C7A" w:rsidRPr="00E65C7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AMATA APRAKSTS</w:t>
                  </w:r>
                </w:p>
              </w:tc>
              <w:tc>
                <w:tcPr>
                  <w:tcW w:w="3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7B9BF" w14:textId="77777777" w:rsidR="00B540E9" w:rsidRPr="005320DA" w:rsidRDefault="00B540E9" w:rsidP="00B540E9">
                  <w:pPr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320DA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APSTIPRINU</w:t>
                  </w:r>
                </w:p>
                <w:p w14:paraId="72BDC753" w14:textId="77777777" w:rsidR="00B540E9" w:rsidRPr="005320DA" w:rsidRDefault="00B540E9" w:rsidP="00B540E9">
                  <w:pPr>
                    <w:jc w:val="right"/>
                    <w:rPr>
                      <w:rFonts w:ascii="Times New Roman" w:eastAsia="Calibri" w:hAnsi="Times New Roman" w:cs="Times New Roman"/>
                      <w:lang w:eastAsia="lv-LV"/>
                    </w:rPr>
                  </w:pPr>
                  <w:r w:rsidRPr="005320DA">
                    <w:rPr>
                      <w:rFonts w:ascii="Times New Roman" w:eastAsia="Calibri" w:hAnsi="Times New Roman" w:cs="Times New Roman"/>
                      <w:lang w:eastAsia="lv-LV"/>
                    </w:rPr>
                    <w:t>Finanšu ministrijas</w:t>
                  </w:r>
                </w:p>
                <w:p w14:paraId="7594AD6A" w14:textId="6211EF0D" w:rsidR="00B540E9" w:rsidRPr="005320DA" w:rsidRDefault="00B540E9" w:rsidP="00B540E9">
                  <w:pPr>
                    <w:jc w:val="right"/>
                    <w:rPr>
                      <w:rFonts w:ascii="Times New Roman" w:eastAsia="Calibri" w:hAnsi="Times New Roman" w:cs="Times New Roman"/>
                      <w:lang w:eastAsia="lv-LV"/>
                    </w:rPr>
                  </w:pPr>
                  <w:r w:rsidRPr="005320DA">
                    <w:rPr>
                      <w:rFonts w:ascii="Times New Roman" w:eastAsia="Calibri" w:hAnsi="Times New Roman" w:cs="Times New Roman"/>
                      <w:lang w:eastAsia="lv-LV"/>
                    </w:rPr>
                    <w:t>Valsts sekretāre</w:t>
                  </w:r>
                </w:p>
                <w:p w14:paraId="63CDBBDC" w14:textId="1FE4EEE3" w:rsidR="00B540E9" w:rsidRPr="005320DA" w:rsidRDefault="00F744BE" w:rsidP="00B540E9">
                  <w:pPr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lv-LV"/>
                    </w:rPr>
                    <w:t>B. Bāne</w:t>
                  </w:r>
                </w:p>
                <w:p w14:paraId="66ACC69A" w14:textId="77777777" w:rsidR="00B540E9" w:rsidRPr="005320DA" w:rsidRDefault="00B540E9" w:rsidP="00B540E9">
                  <w:pPr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320DA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Dokuments apstiprināts ar elektronisko parakstu</w:t>
                  </w:r>
                </w:p>
                <w:p w14:paraId="0D4C006D" w14:textId="77777777" w:rsidR="00B540E9" w:rsidRPr="005320DA" w:rsidRDefault="00B540E9" w:rsidP="00B540E9">
                  <w:pPr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320DA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Datums skatāms laika zīmogā</w:t>
                  </w:r>
                </w:p>
                <w:p w14:paraId="37B92074" w14:textId="77777777" w:rsidR="00B540E9" w:rsidRPr="005320DA" w:rsidRDefault="00B540E9" w:rsidP="00B540E9">
                  <w:pPr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lang w:eastAsia="lv-LV"/>
                    </w:rPr>
                  </w:pPr>
                  <w:r w:rsidRPr="005320DA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 xml:space="preserve">Reģistrācijas numurs skatāms reģistrācijas informācijā </w:t>
                  </w:r>
                </w:p>
                <w:p w14:paraId="2C6B1073" w14:textId="53D96F82" w:rsidR="00E65C7A" w:rsidRPr="00E65C7A" w:rsidRDefault="00E65C7A" w:rsidP="00E65C7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262D31C" w14:textId="77777777" w:rsidR="00E65C7A" w:rsidRDefault="00E65C7A" w:rsidP="00E65C7A">
                  <w:pPr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  <w:tr w:rsidR="004A074A" w14:paraId="541C6E99" w14:textId="77777777" w:rsidTr="004A074A">
              <w:tc>
                <w:tcPr>
                  <w:tcW w:w="1881" w:type="dxa"/>
                </w:tcPr>
                <w:p w14:paraId="59F250EF" w14:textId="77777777" w:rsidR="004A074A" w:rsidRPr="004A074A" w:rsidRDefault="004A074A" w:rsidP="00E65C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2.AMATA NOSAUKUMS</w:t>
                  </w:r>
                </w:p>
              </w:tc>
              <w:tc>
                <w:tcPr>
                  <w:tcW w:w="2581" w:type="dxa"/>
                  <w:gridSpan w:val="2"/>
                </w:tcPr>
                <w:p w14:paraId="4017C59A" w14:textId="77777777" w:rsidR="004A074A" w:rsidRPr="00B540E9" w:rsidRDefault="008443DF" w:rsidP="006175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540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Juriskonsults</w:t>
                  </w:r>
                </w:p>
              </w:tc>
              <w:tc>
                <w:tcPr>
                  <w:tcW w:w="2410" w:type="dxa"/>
                  <w:gridSpan w:val="2"/>
                </w:tcPr>
                <w:p w14:paraId="6B048A8C" w14:textId="77777777" w:rsidR="004A074A" w:rsidRPr="004A074A" w:rsidRDefault="004A074A" w:rsidP="00E65C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2.1.AMATA STATUSS</w:t>
                  </w:r>
                </w:p>
              </w:tc>
              <w:tc>
                <w:tcPr>
                  <w:tcW w:w="3119" w:type="dxa"/>
                </w:tcPr>
                <w:p w14:paraId="28440264" w14:textId="77777777" w:rsidR="004A074A" w:rsidRPr="004A074A" w:rsidRDefault="008443DF" w:rsidP="006175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Ierēdnis</w:t>
                  </w:r>
                </w:p>
              </w:tc>
            </w:tr>
            <w:tr w:rsidR="004A074A" w14:paraId="6AF1EABA" w14:textId="77777777" w:rsidTr="004A074A">
              <w:tc>
                <w:tcPr>
                  <w:tcW w:w="4462" w:type="dxa"/>
                  <w:gridSpan w:val="3"/>
                </w:tcPr>
                <w:p w14:paraId="61CBCD3B" w14:textId="77777777" w:rsidR="004A074A" w:rsidRPr="004A074A" w:rsidRDefault="004A074A" w:rsidP="004A074A">
                  <w:pPr>
                    <w:rPr>
                      <w:rFonts w:ascii="Times New Roman" w:hAnsi="Times New Roman" w:cs="Times New Roman"/>
                    </w:rPr>
                  </w:pPr>
                  <w:r w:rsidRPr="004A074A">
                    <w:rPr>
                      <w:rFonts w:ascii="Times New Roman" w:hAnsi="Times New Roman" w:cs="Times New Roman"/>
                    </w:rPr>
                    <w:t>3.STRUKTŪRVIENĪBA</w:t>
                  </w:r>
                </w:p>
                <w:p w14:paraId="628D2E9E" w14:textId="77777777" w:rsidR="004A074A" w:rsidRPr="004A074A" w:rsidRDefault="004A074A" w:rsidP="00E65C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9" w:type="dxa"/>
                  <w:gridSpan w:val="3"/>
                </w:tcPr>
                <w:p w14:paraId="5D424999" w14:textId="77777777" w:rsidR="008443DF" w:rsidRPr="008443DF" w:rsidRDefault="008443DF" w:rsidP="008443D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43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Eiropas Savienības fondu </w:t>
                  </w:r>
                  <w:r w:rsidR="00DF2A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sistēmas vadības</w:t>
                  </w:r>
                  <w:r w:rsidRPr="008443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departaments</w:t>
                  </w:r>
                </w:p>
                <w:p w14:paraId="530E697E" w14:textId="77777777" w:rsidR="004A074A" w:rsidRPr="00B540E9" w:rsidRDefault="008443DF" w:rsidP="008443D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540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Eiropas Savienības fondu tiesiskā nodrošinājuma nodaļa</w:t>
                  </w:r>
                </w:p>
              </w:tc>
            </w:tr>
            <w:tr w:rsidR="004A074A" w:rsidRPr="004A074A" w14:paraId="6014B3CC" w14:textId="77777777" w:rsidTr="004A074A">
              <w:tc>
                <w:tcPr>
                  <w:tcW w:w="1881" w:type="dxa"/>
                </w:tcPr>
                <w:p w14:paraId="5DC6C73F" w14:textId="77777777" w:rsidR="004A074A" w:rsidRPr="004A074A" w:rsidRDefault="004A074A" w:rsidP="004A074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4.PROFESIJAS KODS</w:t>
                  </w:r>
                </w:p>
              </w:tc>
              <w:tc>
                <w:tcPr>
                  <w:tcW w:w="2581" w:type="dxa"/>
                  <w:gridSpan w:val="2"/>
                </w:tcPr>
                <w:p w14:paraId="2DD6A876" w14:textId="77777777" w:rsidR="004A074A" w:rsidRPr="004A074A" w:rsidRDefault="008443DF" w:rsidP="004A074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2619  01</w:t>
                  </w:r>
                </w:p>
              </w:tc>
              <w:tc>
                <w:tcPr>
                  <w:tcW w:w="2410" w:type="dxa"/>
                  <w:gridSpan w:val="2"/>
                </w:tcPr>
                <w:p w14:paraId="1F0971EA" w14:textId="77777777" w:rsidR="004A074A" w:rsidRPr="004A074A" w:rsidRDefault="004A074A" w:rsidP="004A07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5.AMATA SAIME UN LĪMENIS</w:t>
                  </w:r>
                </w:p>
              </w:tc>
              <w:tc>
                <w:tcPr>
                  <w:tcW w:w="3119" w:type="dxa"/>
                </w:tcPr>
                <w:p w14:paraId="392BCAED" w14:textId="6E9896C5" w:rsidR="004A074A" w:rsidRPr="004A074A" w:rsidRDefault="00B540E9" w:rsidP="005E466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37.  IIA</w:t>
                  </w:r>
                  <w:r w:rsidR="00844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A074A" w:rsidRPr="004A074A" w14:paraId="21EF8F5A" w14:textId="77777777" w:rsidTr="00B21CE1">
              <w:tc>
                <w:tcPr>
                  <w:tcW w:w="1881" w:type="dxa"/>
                </w:tcPr>
                <w:p w14:paraId="154280D0" w14:textId="77777777" w:rsidR="004A074A" w:rsidRPr="004A074A" w:rsidRDefault="004A074A" w:rsidP="004A074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6.TIEŠAIS VADĪTĀJS</w:t>
                  </w:r>
                </w:p>
              </w:tc>
              <w:tc>
                <w:tcPr>
                  <w:tcW w:w="2581" w:type="dxa"/>
                  <w:gridSpan w:val="2"/>
                </w:tcPr>
                <w:p w14:paraId="33546E06" w14:textId="77777777" w:rsidR="004A074A" w:rsidRPr="004A074A" w:rsidRDefault="008443DF" w:rsidP="004A074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Nodaļas vadītājs</w:t>
                  </w:r>
                </w:p>
              </w:tc>
              <w:tc>
                <w:tcPr>
                  <w:tcW w:w="2410" w:type="dxa"/>
                  <w:gridSpan w:val="2"/>
                  <w:shd w:val="clear" w:color="auto" w:fill="auto"/>
                </w:tcPr>
                <w:p w14:paraId="490DBA70" w14:textId="77777777" w:rsidR="004A074A" w:rsidRPr="004A074A" w:rsidRDefault="004A074A" w:rsidP="004A07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7.F</w:t>
                  </w: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UNKCIONĀLAIS VADĪTĀJS</w:t>
                  </w:r>
                </w:p>
              </w:tc>
              <w:tc>
                <w:tcPr>
                  <w:tcW w:w="3119" w:type="dxa"/>
                </w:tcPr>
                <w:p w14:paraId="2EB647DC" w14:textId="77777777" w:rsidR="004A074A" w:rsidRPr="004A074A" w:rsidRDefault="00B21CE1" w:rsidP="004A074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Nodaļas vadītājs</w:t>
                  </w:r>
                </w:p>
              </w:tc>
            </w:tr>
            <w:tr w:rsidR="004A074A" w:rsidRPr="004A074A" w14:paraId="77FD0C0B" w14:textId="77777777" w:rsidTr="00537910">
              <w:tc>
                <w:tcPr>
                  <w:tcW w:w="1881" w:type="dxa"/>
                  <w:shd w:val="clear" w:color="auto" w:fill="auto"/>
                </w:tcPr>
                <w:p w14:paraId="7E5B2DA8" w14:textId="77777777" w:rsidR="004A074A" w:rsidRPr="004A074A" w:rsidRDefault="004A074A" w:rsidP="004A074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8.IEKŠĒJĀ SADARBĪBA</w:t>
                  </w:r>
                </w:p>
              </w:tc>
              <w:tc>
                <w:tcPr>
                  <w:tcW w:w="2581" w:type="dxa"/>
                  <w:gridSpan w:val="2"/>
                </w:tcPr>
                <w:p w14:paraId="0AF38E8E" w14:textId="65485B53" w:rsidR="004A074A" w:rsidRPr="004A074A" w:rsidRDefault="00BA5B4A" w:rsidP="00B861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EB0D67" w:rsidRPr="00EB0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adarboties ar citiem Finanšu ministrijas departamentiem</w:t>
                  </w:r>
                  <w:r w:rsidR="00EB0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10" w:type="dxa"/>
                  <w:gridSpan w:val="2"/>
                  <w:shd w:val="clear" w:color="auto" w:fill="auto"/>
                </w:tcPr>
                <w:p w14:paraId="3CB08F44" w14:textId="77777777" w:rsidR="004A074A" w:rsidRPr="004A074A" w:rsidRDefault="004A074A" w:rsidP="004A074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9.ĀRĒJĀ SADARBĪBA</w:t>
                  </w:r>
                </w:p>
              </w:tc>
              <w:tc>
                <w:tcPr>
                  <w:tcW w:w="3119" w:type="dxa"/>
                </w:tcPr>
                <w:p w14:paraId="5C74E796" w14:textId="768441EC" w:rsidR="004A074A" w:rsidRDefault="00537910" w:rsidP="00B861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9.1. </w:t>
                  </w:r>
                  <w:r w:rsidR="00BA5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EB0D67" w:rsidRPr="00EB0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adarboties ar ES fondu vadībā iesaistītajām institūcijām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0BE55510" w14:textId="77777777" w:rsidR="00537910" w:rsidRPr="004A074A" w:rsidRDefault="00537910" w:rsidP="00B861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9.2. </w:t>
                  </w:r>
                  <w:r w:rsidR="00EB0D67" w:rsidRPr="00EB0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Atbilstoši kompetencei sadarboties ar Eiropas Komisijas, nozaru ministriju</w:t>
                  </w:r>
                  <w:r w:rsidR="00EB0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 privātā sektora pārstāvjiem</w:t>
                  </w:r>
                  <w:r w:rsidR="00A84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1C3FBE8" w14:textId="77777777" w:rsidR="00E65C7A" w:rsidRPr="004A074A" w:rsidRDefault="00E65C7A" w:rsidP="00E65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1984"/>
              <w:gridCol w:w="5529"/>
              <w:gridCol w:w="1706"/>
            </w:tblGrid>
            <w:tr w:rsidR="004A074A" w:rsidRPr="004A074A" w14:paraId="4DFE3774" w14:textId="77777777" w:rsidTr="00FA5808">
              <w:tc>
                <w:tcPr>
                  <w:tcW w:w="2756" w:type="dxa"/>
                  <w:gridSpan w:val="2"/>
                </w:tcPr>
                <w:p w14:paraId="16A3BB24" w14:textId="77777777" w:rsidR="004A074A" w:rsidRPr="004A074A" w:rsidRDefault="004A074A" w:rsidP="004A07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Pr="004A074A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AMATA MĒRĶIS</w:t>
                  </w:r>
                </w:p>
              </w:tc>
              <w:tc>
                <w:tcPr>
                  <w:tcW w:w="7235" w:type="dxa"/>
                  <w:gridSpan w:val="2"/>
                </w:tcPr>
                <w:p w14:paraId="224F0EF9" w14:textId="009D1B95" w:rsidR="004A074A" w:rsidRPr="004A074A" w:rsidRDefault="008443DF" w:rsidP="004A074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Nodrošināt ar Eiropas Savienības </w:t>
                  </w:r>
                  <w:r w:rsidR="0031313C" w:rsidRPr="0031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Eiropas Reģionālās attīstības fonda, Eiropas Sociālā fonda, Eiropas Sociālā fonda Plus, Taisnīgas pārkārtošanās fonda</w:t>
                  </w:r>
                  <w:r w:rsidRPr="00844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 Kohēzijas fonda (turpmāk – ES fondi) </w:t>
                  </w:r>
                  <w:r w:rsidR="00DF2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īstenošanu</w:t>
                  </w:r>
                  <w:r w:rsidRPr="00844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saistīto normatīvo aktu izstrādi un sniegt konsultācijas par normatīvo aktu piemērošanu ES fondu </w:t>
                  </w:r>
                  <w:r w:rsidR="00DF2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īstenošanā</w:t>
                  </w:r>
                  <w:r w:rsidRPr="00844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A5808" w14:paraId="682C5572" w14:textId="77777777" w:rsidTr="00FA5808">
              <w:tc>
                <w:tcPr>
                  <w:tcW w:w="9991" w:type="dxa"/>
                  <w:gridSpan w:val="4"/>
                </w:tcPr>
                <w:p w14:paraId="2CA2448B" w14:textId="77777777" w:rsidR="00FA5808" w:rsidRPr="00FA5808" w:rsidRDefault="00FA5808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11.AMATA PIENĀKUMI</w:t>
                  </w:r>
                </w:p>
              </w:tc>
            </w:tr>
            <w:tr w:rsidR="00FA5808" w:rsidRPr="00FA5808" w14:paraId="19D07D72" w14:textId="77777777" w:rsidTr="00FA5808">
              <w:tc>
                <w:tcPr>
                  <w:tcW w:w="772" w:type="dxa"/>
                </w:tcPr>
                <w:p w14:paraId="07D6E529" w14:textId="77777777" w:rsidR="00FA5808" w:rsidRPr="00FA5808" w:rsidRDefault="00FA5808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gridSpan w:val="2"/>
                </w:tcPr>
                <w:p w14:paraId="5A221B34" w14:textId="77777777" w:rsidR="00FA5808" w:rsidRPr="00FA5808" w:rsidRDefault="00FA5808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PIENĀKUMS</w:t>
                  </w:r>
                </w:p>
              </w:tc>
              <w:tc>
                <w:tcPr>
                  <w:tcW w:w="1706" w:type="dxa"/>
                </w:tcPr>
                <w:p w14:paraId="697A7467" w14:textId="77777777" w:rsidR="00FA5808" w:rsidRPr="00FA5808" w:rsidRDefault="00FA5808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NOZĪMĪBA %</w:t>
                  </w:r>
                </w:p>
              </w:tc>
            </w:tr>
            <w:tr w:rsidR="00FA5808" w:rsidRPr="00FA5808" w14:paraId="206BA728" w14:textId="77777777" w:rsidTr="00FA5808">
              <w:tc>
                <w:tcPr>
                  <w:tcW w:w="772" w:type="dxa"/>
                </w:tcPr>
                <w:p w14:paraId="6E6932B6" w14:textId="77777777" w:rsidR="00FA5808" w:rsidRPr="00FA5808" w:rsidRDefault="00FA5808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11.1.</w:t>
                  </w:r>
                </w:p>
              </w:tc>
              <w:tc>
                <w:tcPr>
                  <w:tcW w:w="7513" w:type="dxa"/>
                  <w:gridSpan w:val="2"/>
                </w:tcPr>
                <w:p w14:paraId="66D088CD" w14:textId="77777777" w:rsidR="00FA5808" w:rsidRDefault="00D77D4C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11.1.1. </w:t>
                  </w:r>
                  <w:r w:rsidR="00A806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8443DF" w:rsidRPr="00844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zstrādāt ES fondu vadošās iestādes kompetencē </w:t>
                  </w:r>
                  <w:r w:rsidR="00A806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esošos normatīvo aktu projektus</w:t>
                  </w:r>
                  <w:r w:rsidR="00B21C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kā arī </w:t>
                  </w:r>
                  <w:r w:rsidR="00B21CE1" w:rsidRPr="00844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politikas plānošanas dokumentu</w:t>
                  </w:r>
                  <w:r w:rsidR="00B21C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B21CE1" w:rsidRPr="00844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 informatīvo</w:t>
                  </w:r>
                  <w:r w:rsidR="00825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B21CE1" w:rsidRPr="00844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ziņoju</w:t>
                  </w:r>
                  <w:r w:rsidR="00B21C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mus savas kompetences jautājumos</w:t>
                  </w:r>
                  <w:r w:rsidR="00A806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4CB6814" w14:textId="06B561EB" w:rsidR="00D77D4C" w:rsidRPr="00FA5808" w:rsidRDefault="00D77D4C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11.1.2. A</w:t>
                  </w:r>
                  <w:r w:rsidRPr="00003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tbilstoši nodaļas kompetencei piedalīties vadošās iestādes ziņojuma par ES fondu apguvi sagatavošanā Ministru kabinetam, ziņojumu sagatavošanā Saeimas komisijām, gadskārtējo, noslēgum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un citu ziņojumu, kā arī  </w:t>
                  </w:r>
                  <w:r w:rsidRPr="00003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 fondu vadības un kontr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oles sistēmas apraksta sagatavošanā.</w:t>
                  </w:r>
                </w:p>
              </w:tc>
              <w:tc>
                <w:tcPr>
                  <w:tcW w:w="1706" w:type="dxa"/>
                </w:tcPr>
                <w:p w14:paraId="1A6499C4" w14:textId="29554DD1" w:rsidR="00FA5808" w:rsidRPr="00FA5808" w:rsidRDefault="00D77D4C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E87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FA5808" w:rsidRPr="00FA5808" w14:paraId="5709522B" w14:textId="77777777" w:rsidTr="00FA5808">
              <w:tc>
                <w:tcPr>
                  <w:tcW w:w="772" w:type="dxa"/>
                </w:tcPr>
                <w:p w14:paraId="5CF870C9" w14:textId="77777777" w:rsidR="00FA5808" w:rsidRPr="00FA5808" w:rsidRDefault="00B06A9C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</w:t>
                  </w:r>
                  <w:r w:rsidR="00844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513" w:type="dxa"/>
                  <w:gridSpan w:val="2"/>
                </w:tcPr>
                <w:p w14:paraId="50FF7E86" w14:textId="77777777" w:rsidR="00FA5808" w:rsidRDefault="00D77D4C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11.2.1. </w:t>
                  </w:r>
                  <w:r w:rsidR="00A806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8443DF" w:rsidRPr="00844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eikt analīzi par </w:t>
                  </w:r>
                  <w:r w:rsidR="00AE6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ES fondu </w:t>
                  </w:r>
                  <w:r w:rsidR="008443DF" w:rsidRPr="00844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vadošās iestādes izstrādāto normatīvo</w:t>
                  </w:r>
                  <w:r w:rsidR="00A806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aktu piemērošanas efektivitāti.</w:t>
                  </w:r>
                </w:p>
                <w:p w14:paraId="420BC542" w14:textId="1EDC6CEB" w:rsidR="00D77D4C" w:rsidRPr="00FA5808" w:rsidRDefault="00D77D4C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11.2.2. I</w:t>
                  </w:r>
                  <w:r w:rsidRPr="00844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zskatīt Eiropas Savienības tiesā iesniegto lietu materiālus par ES fondu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īstenošanu</w:t>
                  </w:r>
                  <w:r w:rsidRPr="00844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 sniegt priekšlikumus turpmākai rīcībai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589B4094" w14:textId="4897109C" w:rsidR="00FA5808" w:rsidRPr="00FA5808" w:rsidRDefault="00D77D4C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E87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8443DF" w:rsidRPr="00FA5808" w14:paraId="14592667" w14:textId="77777777" w:rsidTr="00FA5808">
              <w:tc>
                <w:tcPr>
                  <w:tcW w:w="772" w:type="dxa"/>
                </w:tcPr>
                <w:p w14:paraId="2835ED50" w14:textId="59F2E493" w:rsidR="008443DF" w:rsidRDefault="00B06A9C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  <w:r w:rsidR="00740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44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513" w:type="dxa"/>
                  <w:gridSpan w:val="2"/>
                </w:tcPr>
                <w:p w14:paraId="37DDCC29" w14:textId="3274A0C7" w:rsidR="008443DF" w:rsidRPr="008443DF" w:rsidRDefault="00EB0D67" w:rsidP="00B21C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003141" w:rsidRPr="00003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zvērtēt un sniegt atzinumus atbilstoši savai kompetencei par ministrijai saskaņošanai iesniegtajiem un ministrijas struktūrvienību izstrādātajiem politikas plānošanas dokumentu, informatīvo ziņojumu</w:t>
                  </w:r>
                  <w:r w:rsidR="00B21C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03141" w:rsidRPr="00003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tiesību aktu </w:t>
                  </w:r>
                  <w:r w:rsidR="00B21C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 līgumu</w:t>
                  </w:r>
                  <w:r w:rsidR="00D16B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vai vienošanos</w:t>
                  </w:r>
                  <w:r w:rsidR="00B21C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03141" w:rsidRPr="00003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projektiem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ja tie saistīti ar ES fondiem.</w:t>
                  </w:r>
                </w:p>
              </w:tc>
              <w:tc>
                <w:tcPr>
                  <w:tcW w:w="1706" w:type="dxa"/>
                </w:tcPr>
                <w:p w14:paraId="52EE2047" w14:textId="77777777" w:rsidR="008443DF" w:rsidRPr="00FA5808" w:rsidRDefault="00E8712E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</w:tr>
            <w:tr w:rsidR="00003141" w:rsidRPr="00FA5808" w14:paraId="54C41C21" w14:textId="77777777" w:rsidTr="00FA5808">
              <w:tc>
                <w:tcPr>
                  <w:tcW w:w="772" w:type="dxa"/>
                </w:tcPr>
                <w:p w14:paraId="3B22F265" w14:textId="33674F3B" w:rsidR="00003141" w:rsidRDefault="00B06A9C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11.</w:t>
                  </w:r>
                  <w:r w:rsidR="00740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003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513" w:type="dxa"/>
                  <w:gridSpan w:val="2"/>
                </w:tcPr>
                <w:p w14:paraId="46B9D047" w14:textId="1701E075" w:rsidR="00003141" w:rsidRPr="00003141" w:rsidRDefault="00EB0D67" w:rsidP="00855AC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r w:rsidR="00003141" w:rsidRPr="00003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onsultēt Eiropas Savienības fondu stratēģijas departamenta, Eiropas Savienības fondu </w:t>
                  </w:r>
                  <w:r w:rsidR="00DF2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sistēmas vadības</w:t>
                  </w:r>
                  <w:r w:rsidR="00003141" w:rsidRPr="00003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departamenta un Eiropas Savienības fondu </w:t>
                  </w:r>
                  <w:r w:rsidR="00DF2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investīciju pārvaldības</w:t>
                  </w:r>
                  <w:r w:rsidR="00003141" w:rsidRPr="00003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departamenta un citu Finanšu ministrijas struktūrvienību, kā arī ES fondu vadībā iesaistīto institūciju </w:t>
                  </w:r>
                  <w:r w:rsidR="00C73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nodarbinātos</w:t>
                  </w:r>
                  <w:r w:rsidR="00C7387B" w:rsidRPr="00003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03141" w:rsidRPr="00003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par ES fondu ieviešanu regulējošo normatīvo aktu piemērošanu, </w:t>
                  </w:r>
                  <w:r w:rsidR="00B21C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kā arī</w:t>
                  </w:r>
                  <w:r w:rsidR="00E87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</w:t>
                  </w:r>
                  <w:r w:rsidR="00E8712E" w:rsidRPr="00003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agatavot atbilžu projektus uz iestāžu, fizisko un juridisko personu iesniegumiem, sūdzībām un priekšlikumiem</w:t>
                  </w:r>
                  <w:r w:rsidR="00E87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ja tie saistīti ar ES fondiem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6178077C" w14:textId="77777777" w:rsidR="00003141" w:rsidRPr="00FA5808" w:rsidRDefault="00E8712E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</w:tr>
            <w:tr w:rsidR="00003141" w:rsidRPr="00FA5808" w14:paraId="4255A7BA" w14:textId="77777777" w:rsidTr="00FA5808">
              <w:tc>
                <w:tcPr>
                  <w:tcW w:w="772" w:type="dxa"/>
                </w:tcPr>
                <w:p w14:paraId="7F96E8B2" w14:textId="39280BB6" w:rsidR="00003141" w:rsidRDefault="00B06A9C" w:rsidP="002C726F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  <w:r w:rsidR="00740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003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513" w:type="dxa"/>
                  <w:gridSpan w:val="2"/>
                </w:tcPr>
                <w:p w14:paraId="28EC0D42" w14:textId="1150814D" w:rsidR="00003141" w:rsidRDefault="00D77D4C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  <w:r w:rsidR="00740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.1. </w:t>
                  </w:r>
                  <w:r w:rsidR="00EB0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="00003141" w:rsidRPr="00003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tbilstoši savai kompetencei pārstāvēt Finanšu ministriju citās valsts un pašvaldību iestādēs, kā arī attiecībās ar fiziskām un juridiskām </w:t>
                  </w:r>
                  <w:r w:rsidR="00EB0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personām.</w:t>
                  </w:r>
                </w:p>
                <w:p w14:paraId="5B69E295" w14:textId="550D2130" w:rsidR="00D77D4C" w:rsidRPr="00003141" w:rsidRDefault="00D77D4C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  <w:r w:rsidR="00740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 P</w:t>
                  </w:r>
                  <w:r w:rsidRPr="00003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ildīt citus pienākumus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atbilstoši nodaļas kompetencei</w:t>
                  </w:r>
                  <w:r w:rsidRPr="00003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</w:tcPr>
                <w:p w14:paraId="082659F4" w14:textId="3E0CA0A0" w:rsidR="00003141" w:rsidRPr="00FA5808" w:rsidRDefault="0036206D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E87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79589467" w14:textId="77777777" w:rsidR="0076656C" w:rsidRPr="00FA5808" w:rsidRDefault="0076656C" w:rsidP="0069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9214"/>
            </w:tblGrid>
            <w:tr w:rsidR="00FA5808" w14:paraId="42730726" w14:textId="77777777" w:rsidTr="00FA5808">
              <w:tc>
                <w:tcPr>
                  <w:tcW w:w="9986" w:type="dxa"/>
                  <w:gridSpan w:val="2"/>
                </w:tcPr>
                <w:p w14:paraId="5642242F" w14:textId="77777777" w:rsidR="00FA5808" w:rsidRDefault="00FA5808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12.KOMPETENCES</w:t>
                  </w:r>
                </w:p>
              </w:tc>
            </w:tr>
            <w:tr w:rsidR="00FA5808" w14:paraId="08646EB3" w14:textId="77777777" w:rsidTr="00FA5808">
              <w:tc>
                <w:tcPr>
                  <w:tcW w:w="772" w:type="dxa"/>
                </w:tcPr>
                <w:p w14:paraId="51E6221B" w14:textId="77777777" w:rsidR="00FA5808" w:rsidRDefault="00FA5808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12.1.</w:t>
                  </w:r>
                </w:p>
              </w:tc>
              <w:tc>
                <w:tcPr>
                  <w:tcW w:w="9214" w:type="dxa"/>
                </w:tcPr>
                <w:p w14:paraId="04B755D5" w14:textId="7D9759FA" w:rsidR="00FA5808" w:rsidRDefault="00B540E9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2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Analītiskā domāšana</w:t>
                  </w:r>
                </w:p>
              </w:tc>
            </w:tr>
            <w:tr w:rsidR="00FA5808" w14:paraId="36441472" w14:textId="77777777" w:rsidTr="00FA5808">
              <w:tc>
                <w:tcPr>
                  <w:tcW w:w="772" w:type="dxa"/>
                </w:tcPr>
                <w:p w14:paraId="0FF783D9" w14:textId="77777777" w:rsidR="00FA5808" w:rsidRDefault="00FA5808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12.2.</w:t>
                  </w:r>
                </w:p>
              </w:tc>
              <w:tc>
                <w:tcPr>
                  <w:tcW w:w="9214" w:type="dxa"/>
                </w:tcPr>
                <w:p w14:paraId="2589E5DD" w14:textId="77777777" w:rsidR="00FA5808" w:rsidRDefault="002C726F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2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Konceptuāla domāšana</w:t>
                  </w:r>
                </w:p>
              </w:tc>
            </w:tr>
            <w:tr w:rsidR="00FA5808" w14:paraId="7CBC9155" w14:textId="77777777" w:rsidTr="00FA5808">
              <w:tc>
                <w:tcPr>
                  <w:tcW w:w="772" w:type="dxa"/>
                </w:tcPr>
                <w:p w14:paraId="6CD125FD" w14:textId="77777777" w:rsidR="00FA5808" w:rsidRDefault="002C726F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12.3.</w:t>
                  </w:r>
                </w:p>
              </w:tc>
              <w:tc>
                <w:tcPr>
                  <w:tcW w:w="9214" w:type="dxa"/>
                </w:tcPr>
                <w:p w14:paraId="2EAB4D2D" w14:textId="0058C79D" w:rsidR="00FA5808" w:rsidRDefault="00B540E9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Patstāvība</w:t>
                  </w:r>
                </w:p>
              </w:tc>
            </w:tr>
            <w:tr w:rsidR="002C726F" w14:paraId="252D5211" w14:textId="77777777" w:rsidTr="00FA5808">
              <w:tc>
                <w:tcPr>
                  <w:tcW w:w="772" w:type="dxa"/>
                </w:tcPr>
                <w:p w14:paraId="24554031" w14:textId="2361EECC" w:rsidR="002C726F" w:rsidRDefault="002C726F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  <w:r w:rsidR="00B540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214" w:type="dxa"/>
                </w:tcPr>
                <w:p w14:paraId="758C5F34" w14:textId="77777777" w:rsidR="002C726F" w:rsidRPr="002C726F" w:rsidRDefault="002C726F" w:rsidP="006932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2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Ētiskums</w:t>
                  </w:r>
                </w:p>
              </w:tc>
            </w:tr>
          </w:tbl>
          <w:p w14:paraId="56B21989" w14:textId="77777777" w:rsidR="00693281" w:rsidRDefault="00693281" w:rsidP="0069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7230"/>
            </w:tblGrid>
            <w:tr w:rsidR="00FA5808" w14:paraId="21A71CD1" w14:textId="77777777" w:rsidTr="001B1F78">
              <w:tc>
                <w:tcPr>
                  <w:tcW w:w="9986" w:type="dxa"/>
                  <w:gridSpan w:val="2"/>
                </w:tcPr>
                <w:p w14:paraId="098A81ED" w14:textId="77777777" w:rsidR="00FA5808" w:rsidRDefault="00FA5808" w:rsidP="00FA580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13.PROFESIONĀLĀ KVALIFIKĀCIJA</w:t>
                  </w:r>
                </w:p>
              </w:tc>
            </w:tr>
            <w:tr w:rsidR="00FA5808" w14:paraId="4A76F0C6" w14:textId="77777777" w:rsidTr="00FA5808">
              <w:tc>
                <w:tcPr>
                  <w:tcW w:w="2756" w:type="dxa"/>
                </w:tcPr>
                <w:p w14:paraId="23094EDA" w14:textId="77777777" w:rsidR="00FA5808" w:rsidRDefault="00FA5808" w:rsidP="00FA580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13.1.IZGLĪTĪBA</w:t>
                  </w:r>
                </w:p>
              </w:tc>
              <w:tc>
                <w:tcPr>
                  <w:tcW w:w="7230" w:type="dxa"/>
                </w:tcPr>
                <w:p w14:paraId="3722BB44" w14:textId="77777777" w:rsidR="00FA5808" w:rsidRDefault="002C726F" w:rsidP="00FA580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2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Augstākā akadēmiskā vai augstākā profesionālā izglītība tiesību zinātnē.</w:t>
                  </w:r>
                </w:p>
              </w:tc>
            </w:tr>
            <w:tr w:rsidR="00FA5808" w14:paraId="413A8802" w14:textId="77777777" w:rsidTr="00FA5808">
              <w:tc>
                <w:tcPr>
                  <w:tcW w:w="2756" w:type="dxa"/>
                </w:tcPr>
                <w:p w14:paraId="4FFFCA4C" w14:textId="77777777" w:rsidR="00FA5808" w:rsidRDefault="00FA5808" w:rsidP="00FA580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13.2.PROFESIONĀLĀ PIEREDZE</w:t>
                  </w:r>
                </w:p>
              </w:tc>
              <w:tc>
                <w:tcPr>
                  <w:tcW w:w="7230" w:type="dxa"/>
                </w:tcPr>
                <w:p w14:paraId="2300B4CE" w14:textId="77777777" w:rsidR="002C726F" w:rsidRPr="002C726F" w:rsidRDefault="002C726F" w:rsidP="002C72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13.2.1. </w:t>
                  </w:r>
                  <w:r w:rsidR="005E46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Vismaz 1 gada darba p</w:t>
                  </w:r>
                  <w:r w:rsidRPr="002C72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ieredze tiesību zinātņu s</w:t>
                  </w:r>
                  <w:r w:rsidR="00A84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pecialitātei atbilstošos amatos;</w:t>
                  </w:r>
                </w:p>
                <w:p w14:paraId="6D250B97" w14:textId="7B268C2F" w:rsidR="00FA5808" w:rsidRDefault="002C726F" w:rsidP="005E466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13.2.2. </w:t>
                  </w:r>
                  <w:r w:rsidRPr="002C72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Pieredze darbā valsts pārvaldē </w:t>
                  </w:r>
                  <w:r w:rsidR="00B540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vismaz </w:t>
                  </w:r>
                  <w:r w:rsidR="001E19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540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gadi</w:t>
                  </w:r>
                  <w:r w:rsidR="00B540E9" w:rsidRPr="002C72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46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pēdējo 5 gadu laikā</w:t>
                  </w:r>
                  <w:r w:rsidR="00B540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5E46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A5808" w14:paraId="1FE756A5" w14:textId="77777777" w:rsidTr="00FA5808">
              <w:tc>
                <w:tcPr>
                  <w:tcW w:w="2756" w:type="dxa"/>
                </w:tcPr>
                <w:p w14:paraId="7D807AC8" w14:textId="77777777" w:rsidR="00FA5808" w:rsidRDefault="00FA5808" w:rsidP="00FA58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13.3.PROFESIONĀLĀS ZINĀŠANAS UN PRASMES</w:t>
                  </w:r>
                </w:p>
              </w:tc>
              <w:tc>
                <w:tcPr>
                  <w:tcW w:w="7230" w:type="dxa"/>
                </w:tcPr>
                <w:p w14:paraId="44F3447D" w14:textId="7F12CFF6" w:rsidR="002C726F" w:rsidRDefault="002C726F" w:rsidP="00BF6F6E">
                  <w:pPr>
                    <w:tabs>
                      <w:tab w:val="left" w:pos="885"/>
                    </w:tabs>
                    <w:ind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13.3.1. </w:t>
                  </w:r>
                  <w:r w:rsidR="00BF6F6E" w:rsidRPr="002C72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Zināšanas par ES institūcijām, darbības princip</w:t>
                  </w:r>
                  <w:r w:rsidR="00A84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iem, lēmumu pieņemšanas procesu;</w:t>
                  </w:r>
                </w:p>
                <w:p w14:paraId="0FC117FE" w14:textId="33336871" w:rsidR="00B540E9" w:rsidRPr="002C726F" w:rsidRDefault="00B540E9" w:rsidP="00BF6F6E">
                  <w:pPr>
                    <w:tabs>
                      <w:tab w:val="left" w:pos="885"/>
                    </w:tabs>
                    <w:ind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13.3.2. I</w:t>
                  </w:r>
                  <w:r w:rsidRPr="002C72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zpratne par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valsts pārvaldes</w:t>
                  </w:r>
                  <w:r w:rsidRPr="002C72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darbības principiem.</w:t>
                  </w:r>
                </w:p>
                <w:p w14:paraId="439756BD" w14:textId="448E2FCC" w:rsidR="00FA5808" w:rsidRDefault="002C726F" w:rsidP="005E4664">
                  <w:pPr>
                    <w:tabs>
                      <w:tab w:val="left" w:pos="885"/>
                    </w:tabs>
                    <w:ind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13.3.</w:t>
                  </w:r>
                  <w:r w:rsidR="00B540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="005E46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BF6F6E" w:rsidRPr="002C72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askarsm</w:t>
                  </w:r>
                  <w:r w:rsidR="005E46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</w:t>
                  </w:r>
                  <w:r w:rsidR="00BF6F6E" w:rsidRPr="002C72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pārliecināšanas un argumentācijas prasmes, </w:t>
                  </w:r>
                  <w:r w:rsidR="005E46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analītiskās </w:t>
                  </w:r>
                  <w:r w:rsidR="00BF6F6E" w:rsidRPr="002C72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prasme</w:t>
                  </w:r>
                  <w:r w:rsidR="005E46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A84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A5808" w14:paraId="7B9CD069" w14:textId="77777777" w:rsidTr="00BF6F6E">
              <w:tc>
                <w:tcPr>
                  <w:tcW w:w="2756" w:type="dxa"/>
                  <w:shd w:val="clear" w:color="auto" w:fill="auto"/>
                </w:tcPr>
                <w:p w14:paraId="08F3C472" w14:textId="77777777" w:rsidR="00FA5808" w:rsidRDefault="00FA5808" w:rsidP="00FA58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13.4.VISPĀRĒJĀS ZINĀŠANAS UN PRASMES</w:t>
                  </w:r>
                </w:p>
              </w:tc>
              <w:tc>
                <w:tcPr>
                  <w:tcW w:w="7230" w:type="dxa"/>
                </w:tcPr>
                <w:p w14:paraId="0AC40E5A" w14:textId="77777777" w:rsidR="00BF6F6E" w:rsidRPr="002C726F" w:rsidRDefault="00BF6F6E" w:rsidP="00BF6F6E">
                  <w:pPr>
                    <w:tabs>
                      <w:tab w:val="left" w:pos="885"/>
                    </w:tabs>
                    <w:ind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13.4.1. </w:t>
                  </w:r>
                  <w:r w:rsidRPr="002C72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Prasm</w:t>
                  </w:r>
                  <w:r w:rsidR="00A84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 strādāt ar datoru (MS Office);</w:t>
                  </w:r>
                </w:p>
                <w:p w14:paraId="1E674A5F" w14:textId="77777777" w:rsidR="00FA5808" w:rsidRDefault="00BF6F6E" w:rsidP="00BF6F6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13.4.2. </w:t>
                  </w:r>
                  <w:r w:rsidRPr="002C72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Spēja strādāt ar dokumentiem angļu valodā un līdzdarboties sanāksmēs, kas notiek angļu valodā.</w:t>
                  </w:r>
                </w:p>
              </w:tc>
            </w:tr>
          </w:tbl>
          <w:p w14:paraId="49F44B4C" w14:textId="77777777" w:rsidR="00FA5808" w:rsidRPr="00FA5808" w:rsidRDefault="00FA5808" w:rsidP="0069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7230"/>
            </w:tblGrid>
            <w:tr w:rsidR="00FA5808" w14:paraId="019EFB79" w14:textId="77777777" w:rsidTr="001B1F78">
              <w:tc>
                <w:tcPr>
                  <w:tcW w:w="2756" w:type="dxa"/>
                </w:tcPr>
                <w:p w14:paraId="3BF985E4" w14:textId="77777777" w:rsidR="00FA5808" w:rsidRDefault="00FA5808" w:rsidP="00FA580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14.AMATA ATBILDĪBA</w:t>
                  </w:r>
                </w:p>
              </w:tc>
              <w:tc>
                <w:tcPr>
                  <w:tcW w:w="7230" w:type="dxa"/>
                </w:tcPr>
                <w:p w14:paraId="6E924927" w14:textId="77777777" w:rsidR="00BF6F6E" w:rsidRPr="00BF6F6E" w:rsidRDefault="00BF6F6E" w:rsidP="00BF6F6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14.1. </w:t>
                  </w:r>
                  <w:r w:rsidRPr="00BF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Atbild par savu pienākumu profesionālu, kvalitatīvu un savlai</w:t>
                  </w:r>
                  <w:r w:rsidR="00A84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cīgu izpildi;</w:t>
                  </w:r>
                </w:p>
                <w:p w14:paraId="7D0D4863" w14:textId="77777777" w:rsidR="00FA5808" w:rsidRDefault="00BF6F6E" w:rsidP="00BF6F6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14.2. </w:t>
                  </w:r>
                  <w:r w:rsidRPr="00BF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Atbild par uzdevumu veikšanu saskaņā ar normatīvajiem aktiem un citiem darbību reglamentējošiem dokumentiem.</w:t>
                  </w:r>
                </w:p>
              </w:tc>
            </w:tr>
            <w:tr w:rsidR="00FA5808" w14:paraId="0CC94E91" w14:textId="77777777" w:rsidTr="001B1F78">
              <w:tc>
                <w:tcPr>
                  <w:tcW w:w="2756" w:type="dxa"/>
                </w:tcPr>
                <w:p w14:paraId="4B220E06" w14:textId="77777777" w:rsidR="00FA5808" w:rsidRDefault="00FA5808" w:rsidP="00FA58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15.AMATA TIESĪBAS</w:t>
                  </w:r>
                </w:p>
              </w:tc>
              <w:tc>
                <w:tcPr>
                  <w:tcW w:w="7230" w:type="dxa"/>
                </w:tcPr>
                <w:p w14:paraId="7480D771" w14:textId="2D2AD5FD" w:rsidR="00BF6F6E" w:rsidRPr="00BF6F6E" w:rsidRDefault="00BF6F6E" w:rsidP="00BF6F6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BF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</w:t>
                  </w:r>
                  <w:r w:rsidRPr="00BF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Savlaicīgi saņemt amata pienākumiem nepieciešamo informāciju no nodaļas vadītāja;</w:t>
                  </w:r>
                </w:p>
                <w:p w14:paraId="0DD5F880" w14:textId="2E361DD2" w:rsidR="00BF6F6E" w:rsidRPr="00BF6F6E" w:rsidRDefault="00BF6F6E" w:rsidP="00BF6F6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7C0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</w:t>
                  </w:r>
                  <w:r w:rsidR="007C0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S</w:t>
                  </w:r>
                  <w:r w:rsidRPr="00BF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niegt ierosinājumus un priekšlikumus nodaļas vadītājam darba kvalitātes un efektivitātes uzlabošanai;</w:t>
                  </w:r>
                </w:p>
                <w:p w14:paraId="64AAF015" w14:textId="77777777" w:rsidR="00FA5808" w:rsidRDefault="00BF6F6E" w:rsidP="00BF6F6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7C0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.3.</w:t>
                  </w:r>
                  <w:r w:rsidR="007C0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P</w:t>
                  </w:r>
                  <w:r w:rsidRPr="00BF6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ieprasīt informāciju no Finanšu ministrijas struktūrvienībām, citām ministrijām un institūcijām amata pienākumu veikšanai.</w:t>
                  </w:r>
                </w:p>
              </w:tc>
            </w:tr>
            <w:tr w:rsidR="00B540E9" w14:paraId="5BCEED17" w14:textId="77777777" w:rsidTr="001B1F78">
              <w:tc>
                <w:tcPr>
                  <w:tcW w:w="2756" w:type="dxa"/>
                </w:tcPr>
                <w:p w14:paraId="21D7CA99" w14:textId="77777777" w:rsidR="00B540E9" w:rsidRDefault="00B540E9" w:rsidP="00B540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16.CITA INFORMĀCIJA</w:t>
                  </w:r>
                </w:p>
              </w:tc>
              <w:tc>
                <w:tcPr>
                  <w:tcW w:w="7230" w:type="dxa"/>
                </w:tcPr>
                <w:p w14:paraId="6E8412B7" w14:textId="100B4BDA" w:rsidR="00B540E9" w:rsidRDefault="00B540E9" w:rsidP="00B540E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79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Darbs regulāri prasa jaunus risinājumus. Dažreiz ir pieejami </w:t>
                  </w:r>
                  <w:proofErr w:type="spellStart"/>
                  <w:r w:rsidRPr="006A79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paraugrisinājumi</w:t>
                  </w:r>
                  <w:proofErr w:type="spellEnd"/>
                  <w:r w:rsidRPr="006A79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Liela apjoma dažāda veida nepārskatāmas informācijas un sazarotu loģisko atzinumu ķēžu analīze,  ekspertu sniegtā novērtējuma izvērtēšana, labāko risinājumu izvēle lēmumu pieņemšanai. </w:t>
                  </w:r>
                  <w:r w:rsidRPr="006A790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I</w:t>
                  </w:r>
                  <w:r w:rsidRPr="006A79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ntelektuāls darbs, kas ir saistīts ar plašas informācijas uztveri un analīzi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2C6A79E0" w14:textId="77777777" w:rsidR="00693281" w:rsidRPr="0076656C" w:rsidRDefault="00693281" w:rsidP="0069328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204C14F5" w14:textId="77777777" w:rsidR="00877F7B" w:rsidRPr="00877F7B" w:rsidRDefault="00877F7B" w:rsidP="00877F7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2681"/>
        <w:gridCol w:w="1938"/>
        <w:gridCol w:w="3603"/>
        <w:gridCol w:w="1701"/>
      </w:tblGrid>
      <w:tr w:rsidR="00B540E9" w:rsidRPr="00416325" w14:paraId="2A415D2D" w14:textId="77777777" w:rsidTr="00B2248C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8D759" w14:textId="77777777" w:rsidR="00B540E9" w:rsidRPr="00416325" w:rsidRDefault="00B540E9" w:rsidP="00B2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5">
              <w:rPr>
                <w:rFonts w:ascii="Times New Roman" w:hAnsi="Times New Roman" w:cs="Times New Roman"/>
                <w:sz w:val="24"/>
                <w:szCs w:val="24"/>
              </w:rPr>
              <w:t xml:space="preserve">STRUKTŪRVIENĪBAS 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3BAA48D9" w14:textId="77777777" w:rsidR="00B540E9" w:rsidRPr="00416325" w:rsidRDefault="00B540E9" w:rsidP="00B2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5">
              <w:rPr>
                <w:rFonts w:ascii="Times New Roman" w:hAnsi="Times New Roman" w:cs="Times New Roman"/>
                <w:sz w:val="24"/>
                <w:szCs w:val="24"/>
              </w:rPr>
              <w:t>Saskaņots ALS</w:t>
            </w:r>
          </w:p>
        </w:tc>
        <w:tc>
          <w:tcPr>
            <w:tcW w:w="3603" w:type="dxa"/>
          </w:tcPr>
          <w:p w14:paraId="0EB98CAB" w14:textId="559ADA8C" w:rsidR="00B540E9" w:rsidRPr="00416325" w:rsidRDefault="00B540E9" w:rsidP="00B2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563BCE" w14:textId="77777777" w:rsidR="00B540E9" w:rsidRPr="00416325" w:rsidRDefault="00B540E9" w:rsidP="00B2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E9" w:rsidRPr="00416325" w14:paraId="2D3E2EBC" w14:textId="77777777" w:rsidTr="00B2248C">
        <w:tc>
          <w:tcPr>
            <w:tcW w:w="2681" w:type="dxa"/>
            <w:tcBorders>
              <w:top w:val="nil"/>
              <w:bottom w:val="single" w:sz="4" w:space="0" w:color="auto"/>
            </w:tcBorders>
          </w:tcPr>
          <w:p w14:paraId="28A04D42" w14:textId="77777777" w:rsidR="00B540E9" w:rsidRPr="00416325" w:rsidRDefault="00B540E9" w:rsidP="00B2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5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938" w:type="dxa"/>
          </w:tcPr>
          <w:p w14:paraId="28C0A283" w14:textId="54EF4392" w:rsidR="00B540E9" w:rsidRPr="00416325" w:rsidRDefault="000B11C6" w:rsidP="00B224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(paraksts)*</w:t>
            </w:r>
          </w:p>
        </w:tc>
        <w:tc>
          <w:tcPr>
            <w:tcW w:w="3603" w:type="dxa"/>
          </w:tcPr>
          <w:p w14:paraId="012744A6" w14:textId="77777777" w:rsidR="00B540E9" w:rsidRPr="00416325" w:rsidRDefault="00B540E9" w:rsidP="00B224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63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vārds, uzvārds</w:t>
            </w:r>
          </w:p>
        </w:tc>
        <w:tc>
          <w:tcPr>
            <w:tcW w:w="1701" w:type="dxa"/>
          </w:tcPr>
          <w:p w14:paraId="5A814B9A" w14:textId="77777777" w:rsidR="00B540E9" w:rsidRPr="00416325" w:rsidRDefault="00B540E9" w:rsidP="00B224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25">
              <w:rPr>
                <w:rFonts w:ascii="Times New Roman" w:hAnsi="Times New Roman" w:cs="Times New Roman"/>
                <w:sz w:val="24"/>
                <w:szCs w:val="24"/>
              </w:rPr>
              <w:t xml:space="preserve">  datums</w:t>
            </w:r>
          </w:p>
        </w:tc>
      </w:tr>
      <w:tr w:rsidR="00B540E9" w:rsidRPr="00416325" w14:paraId="32F08A1D" w14:textId="77777777" w:rsidTr="00B2248C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3B4CB" w14:textId="77777777" w:rsidR="00B540E9" w:rsidRPr="00416325" w:rsidRDefault="00B540E9" w:rsidP="00B2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5">
              <w:rPr>
                <w:rFonts w:ascii="Times New Roman" w:hAnsi="Times New Roman" w:cs="Times New Roman"/>
                <w:sz w:val="24"/>
                <w:szCs w:val="24"/>
              </w:rPr>
              <w:t>DARBINIEKS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4E8BA90F" w14:textId="77777777" w:rsidR="00B540E9" w:rsidRPr="00416325" w:rsidRDefault="00B540E9" w:rsidP="00B224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63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(paraksts)*</w:t>
            </w:r>
          </w:p>
        </w:tc>
        <w:tc>
          <w:tcPr>
            <w:tcW w:w="3603" w:type="dxa"/>
          </w:tcPr>
          <w:p w14:paraId="5EE19211" w14:textId="77777777" w:rsidR="00B540E9" w:rsidRPr="00416325" w:rsidRDefault="00B540E9" w:rsidP="00B2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AD8C6A" w14:textId="77777777" w:rsidR="00B540E9" w:rsidRPr="00416325" w:rsidRDefault="00B540E9" w:rsidP="00B2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E9" w:rsidRPr="00416325" w14:paraId="1F92B32D" w14:textId="77777777" w:rsidTr="00B2248C">
        <w:tc>
          <w:tcPr>
            <w:tcW w:w="2681" w:type="dxa"/>
            <w:tcBorders>
              <w:top w:val="nil"/>
            </w:tcBorders>
          </w:tcPr>
          <w:p w14:paraId="50EF3893" w14:textId="77777777" w:rsidR="00B540E9" w:rsidRPr="00416325" w:rsidRDefault="00B540E9" w:rsidP="00B2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45A4888" w14:textId="77777777" w:rsidR="00B540E9" w:rsidRPr="00416325" w:rsidRDefault="00B540E9" w:rsidP="00B2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603" w:type="dxa"/>
          </w:tcPr>
          <w:p w14:paraId="169D36D1" w14:textId="77777777" w:rsidR="00B540E9" w:rsidRPr="00416325" w:rsidRDefault="00B540E9" w:rsidP="00B224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632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163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vārds, uzvārds</w:t>
            </w:r>
          </w:p>
        </w:tc>
        <w:tc>
          <w:tcPr>
            <w:tcW w:w="1701" w:type="dxa"/>
          </w:tcPr>
          <w:p w14:paraId="284CA640" w14:textId="77777777" w:rsidR="00B540E9" w:rsidRPr="00416325" w:rsidRDefault="00B540E9" w:rsidP="00B224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9F09B97" w14:textId="77777777" w:rsidR="00B540E9" w:rsidRPr="00877F7B" w:rsidRDefault="00B540E9" w:rsidP="00B540E9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*Dokuments parakstīts ar drošu elektronisko parakstu un satur laika zīmogu.</w:t>
      </w:r>
    </w:p>
    <w:p w14:paraId="2DB84B21" w14:textId="77777777" w:rsidR="00877F7B" w:rsidRPr="00877F7B" w:rsidRDefault="00877F7B" w:rsidP="00877F7B">
      <w:pPr>
        <w:rPr>
          <w:rFonts w:ascii="Times New Roman" w:hAnsi="Times New Roman" w:cs="Times New Roman"/>
          <w:sz w:val="24"/>
          <w:szCs w:val="24"/>
        </w:rPr>
      </w:pPr>
    </w:p>
    <w:sectPr w:rsidR="00877F7B" w:rsidRPr="00877F7B" w:rsidSect="000B11C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461DB" w14:textId="77777777" w:rsidR="00B540E9" w:rsidRDefault="00B540E9" w:rsidP="00B540E9">
      <w:pPr>
        <w:spacing w:after="0" w:line="240" w:lineRule="auto"/>
      </w:pPr>
      <w:r>
        <w:separator/>
      </w:r>
    </w:p>
  </w:endnote>
  <w:endnote w:type="continuationSeparator" w:id="0">
    <w:p w14:paraId="5B2F0066" w14:textId="77777777" w:rsidR="00B540E9" w:rsidRDefault="00B540E9" w:rsidP="00B540E9">
      <w:pPr>
        <w:spacing w:after="0" w:line="240" w:lineRule="auto"/>
      </w:pPr>
      <w:r>
        <w:continuationSeparator/>
      </w:r>
    </w:p>
  </w:endnote>
  <w:endnote w:type="continuationNotice" w:id="1">
    <w:p w14:paraId="091E2A46" w14:textId="77777777" w:rsidR="00AE6B3B" w:rsidRDefault="00AE6B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3682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CD79C" w14:textId="1DB7ACD3" w:rsidR="00B540E9" w:rsidRDefault="00B540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4668A6" w14:textId="77777777" w:rsidR="00B540E9" w:rsidRDefault="00B54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54C14" w14:textId="77777777" w:rsidR="00B540E9" w:rsidRDefault="00B540E9" w:rsidP="00B540E9">
      <w:pPr>
        <w:spacing w:after="0" w:line="240" w:lineRule="auto"/>
      </w:pPr>
      <w:r>
        <w:separator/>
      </w:r>
    </w:p>
  </w:footnote>
  <w:footnote w:type="continuationSeparator" w:id="0">
    <w:p w14:paraId="55D5249E" w14:textId="77777777" w:rsidR="00B540E9" w:rsidRDefault="00B540E9" w:rsidP="00B540E9">
      <w:pPr>
        <w:spacing w:after="0" w:line="240" w:lineRule="auto"/>
      </w:pPr>
      <w:r>
        <w:continuationSeparator/>
      </w:r>
    </w:p>
  </w:footnote>
  <w:footnote w:type="continuationNotice" w:id="1">
    <w:p w14:paraId="542553A2" w14:textId="77777777" w:rsidR="00AE6B3B" w:rsidRDefault="00AE6B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B55C4"/>
    <w:multiLevelType w:val="multilevel"/>
    <w:tmpl w:val="52005B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0"/>
      </w:rPr>
    </w:lvl>
  </w:abstractNum>
  <w:abstractNum w:abstractNumId="1" w15:restartNumberingAfterBreak="0">
    <w:nsid w:val="4A0E4CF8"/>
    <w:multiLevelType w:val="multilevel"/>
    <w:tmpl w:val="090A15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BE375FA"/>
    <w:multiLevelType w:val="multilevel"/>
    <w:tmpl w:val="F02EB648"/>
    <w:lvl w:ilvl="0">
      <w:start w:val="1"/>
      <w:numFmt w:val="decimal"/>
      <w:lvlText w:val="5.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783963741">
    <w:abstractNumId w:val="2"/>
  </w:num>
  <w:num w:numId="2" w16cid:durableId="1694913696">
    <w:abstractNumId w:val="0"/>
    <w:lvlOverride w:ilvl="0">
      <w:startOverride w:val="1"/>
    </w:lvlOverride>
  </w:num>
  <w:num w:numId="3" w16cid:durableId="1377242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FD"/>
    <w:rsid w:val="00003141"/>
    <w:rsid w:val="00036B3B"/>
    <w:rsid w:val="000552D2"/>
    <w:rsid w:val="00061D3B"/>
    <w:rsid w:val="00063876"/>
    <w:rsid w:val="000B11C6"/>
    <w:rsid w:val="000F5CF7"/>
    <w:rsid w:val="001035AB"/>
    <w:rsid w:val="00106EC6"/>
    <w:rsid w:val="00134228"/>
    <w:rsid w:val="001368AA"/>
    <w:rsid w:val="001E193F"/>
    <w:rsid w:val="00213B30"/>
    <w:rsid w:val="00257620"/>
    <w:rsid w:val="00271752"/>
    <w:rsid w:val="00290985"/>
    <w:rsid w:val="002C3C29"/>
    <w:rsid w:val="002C726F"/>
    <w:rsid w:val="0031313C"/>
    <w:rsid w:val="00334913"/>
    <w:rsid w:val="003365AF"/>
    <w:rsid w:val="00343FB8"/>
    <w:rsid w:val="0036206D"/>
    <w:rsid w:val="003A14D9"/>
    <w:rsid w:val="003E3856"/>
    <w:rsid w:val="00485FFD"/>
    <w:rsid w:val="004A045F"/>
    <w:rsid w:val="004A074A"/>
    <w:rsid w:val="004E09EB"/>
    <w:rsid w:val="004E610C"/>
    <w:rsid w:val="004F3E39"/>
    <w:rsid w:val="00501341"/>
    <w:rsid w:val="00512D0C"/>
    <w:rsid w:val="00537910"/>
    <w:rsid w:val="00540FC8"/>
    <w:rsid w:val="00541DF6"/>
    <w:rsid w:val="00574CA5"/>
    <w:rsid w:val="005C098F"/>
    <w:rsid w:val="005C253B"/>
    <w:rsid w:val="005C2988"/>
    <w:rsid w:val="005E4664"/>
    <w:rsid w:val="005E5CA1"/>
    <w:rsid w:val="005F18F8"/>
    <w:rsid w:val="006175FF"/>
    <w:rsid w:val="006533B2"/>
    <w:rsid w:val="00693281"/>
    <w:rsid w:val="006C0896"/>
    <w:rsid w:val="00711B1E"/>
    <w:rsid w:val="0072632C"/>
    <w:rsid w:val="0073422C"/>
    <w:rsid w:val="00740244"/>
    <w:rsid w:val="007635D6"/>
    <w:rsid w:val="0076656C"/>
    <w:rsid w:val="007C0934"/>
    <w:rsid w:val="007E2CAE"/>
    <w:rsid w:val="007E36F2"/>
    <w:rsid w:val="00815C47"/>
    <w:rsid w:val="00825925"/>
    <w:rsid w:val="00830659"/>
    <w:rsid w:val="008443DF"/>
    <w:rsid w:val="00851BA6"/>
    <w:rsid w:val="00855AC8"/>
    <w:rsid w:val="00877F7B"/>
    <w:rsid w:val="008843C2"/>
    <w:rsid w:val="00885370"/>
    <w:rsid w:val="0089582A"/>
    <w:rsid w:val="00896C82"/>
    <w:rsid w:val="008C2D04"/>
    <w:rsid w:val="008D1829"/>
    <w:rsid w:val="008D60E2"/>
    <w:rsid w:val="008E0567"/>
    <w:rsid w:val="008E221E"/>
    <w:rsid w:val="008E73B2"/>
    <w:rsid w:val="00915E91"/>
    <w:rsid w:val="009414C2"/>
    <w:rsid w:val="00973C16"/>
    <w:rsid w:val="009A736D"/>
    <w:rsid w:val="009B3077"/>
    <w:rsid w:val="009B35A4"/>
    <w:rsid w:val="009C4503"/>
    <w:rsid w:val="009F3DEB"/>
    <w:rsid w:val="00A048C2"/>
    <w:rsid w:val="00A2468D"/>
    <w:rsid w:val="00A41E38"/>
    <w:rsid w:val="00A47653"/>
    <w:rsid w:val="00A80379"/>
    <w:rsid w:val="00A806C8"/>
    <w:rsid w:val="00A84E98"/>
    <w:rsid w:val="00A91E21"/>
    <w:rsid w:val="00AB59F5"/>
    <w:rsid w:val="00AB6EE7"/>
    <w:rsid w:val="00AC2AB5"/>
    <w:rsid w:val="00AD1A9E"/>
    <w:rsid w:val="00AE6B3B"/>
    <w:rsid w:val="00B06A9C"/>
    <w:rsid w:val="00B21CE1"/>
    <w:rsid w:val="00B26DB6"/>
    <w:rsid w:val="00B4659B"/>
    <w:rsid w:val="00B540E9"/>
    <w:rsid w:val="00B82EDE"/>
    <w:rsid w:val="00B8617B"/>
    <w:rsid w:val="00BA5B4A"/>
    <w:rsid w:val="00BB3033"/>
    <w:rsid w:val="00BD67F6"/>
    <w:rsid w:val="00BD6DEE"/>
    <w:rsid w:val="00BF6F6E"/>
    <w:rsid w:val="00C1299F"/>
    <w:rsid w:val="00C14E85"/>
    <w:rsid w:val="00C40CB5"/>
    <w:rsid w:val="00C531DC"/>
    <w:rsid w:val="00C63155"/>
    <w:rsid w:val="00C7387B"/>
    <w:rsid w:val="00C77703"/>
    <w:rsid w:val="00C9377D"/>
    <w:rsid w:val="00CB3A37"/>
    <w:rsid w:val="00CE7ED7"/>
    <w:rsid w:val="00CF4098"/>
    <w:rsid w:val="00D16BD2"/>
    <w:rsid w:val="00D77D4C"/>
    <w:rsid w:val="00D800B8"/>
    <w:rsid w:val="00DA31E5"/>
    <w:rsid w:val="00DB4083"/>
    <w:rsid w:val="00DF2A9B"/>
    <w:rsid w:val="00E22383"/>
    <w:rsid w:val="00E52072"/>
    <w:rsid w:val="00E572EB"/>
    <w:rsid w:val="00E65C7A"/>
    <w:rsid w:val="00E8712E"/>
    <w:rsid w:val="00EB0D67"/>
    <w:rsid w:val="00F14A08"/>
    <w:rsid w:val="00F30DBC"/>
    <w:rsid w:val="00F32DB6"/>
    <w:rsid w:val="00F43854"/>
    <w:rsid w:val="00F744BE"/>
    <w:rsid w:val="00FA02A1"/>
    <w:rsid w:val="00FA5808"/>
    <w:rsid w:val="00FF3B3C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91C8"/>
  <w15:docId w15:val="{BF0217AE-222E-40B8-901F-FD0A3A3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D3B"/>
  </w:style>
  <w:style w:type="paragraph" w:styleId="Heading1">
    <w:name w:val="heading 1"/>
    <w:basedOn w:val="Normal"/>
    <w:next w:val="Normal"/>
    <w:link w:val="Heading1Char"/>
    <w:uiPriority w:val="99"/>
    <w:qFormat/>
    <w:rsid w:val="00061D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D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D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D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D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D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D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D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D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D3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D3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D3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D3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D3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D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D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D3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D3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61D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61D3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D3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D3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061D3B"/>
    <w:rPr>
      <w:b/>
      <w:bCs/>
    </w:rPr>
  </w:style>
  <w:style w:type="character" w:styleId="Emphasis">
    <w:name w:val="Emphasis"/>
    <w:uiPriority w:val="20"/>
    <w:qFormat/>
    <w:rsid w:val="00061D3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061D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D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1D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1D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D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D3B"/>
    <w:rPr>
      <w:i/>
      <w:iCs/>
    </w:rPr>
  </w:style>
  <w:style w:type="character" w:styleId="SubtleEmphasis">
    <w:name w:val="Subtle Emphasis"/>
    <w:uiPriority w:val="19"/>
    <w:qFormat/>
    <w:rsid w:val="00061D3B"/>
    <w:rPr>
      <w:i/>
      <w:iCs/>
    </w:rPr>
  </w:style>
  <w:style w:type="character" w:styleId="IntenseEmphasis">
    <w:name w:val="Intense Emphasis"/>
    <w:uiPriority w:val="21"/>
    <w:qFormat/>
    <w:rsid w:val="00061D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1D3B"/>
    <w:rPr>
      <w:smallCaps/>
    </w:rPr>
  </w:style>
  <w:style w:type="character" w:styleId="IntenseReference">
    <w:name w:val="Intense Reference"/>
    <w:uiPriority w:val="32"/>
    <w:qFormat/>
    <w:rsid w:val="00061D3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061D3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D3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E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4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E9"/>
  </w:style>
  <w:style w:type="paragraph" w:styleId="Footer">
    <w:name w:val="footer"/>
    <w:basedOn w:val="Normal"/>
    <w:link w:val="FooterChar"/>
    <w:uiPriority w:val="99"/>
    <w:unhideWhenUsed/>
    <w:rsid w:val="00B54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E9"/>
  </w:style>
  <w:style w:type="paragraph" w:styleId="Revision">
    <w:name w:val="Revision"/>
    <w:hidden/>
    <w:uiPriority w:val="99"/>
    <w:semiHidden/>
    <w:rsid w:val="00D16B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0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9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3187</Words>
  <Characters>1817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Finanšu ministrija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pn-krisa</dc:creator>
  <cp:keywords/>
  <dc:description/>
  <cp:lastModifiedBy>Santa Roziņa</cp:lastModifiedBy>
  <cp:revision>3</cp:revision>
  <cp:lastPrinted>2018-09-21T10:39:00Z</cp:lastPrinted>
  <dcterms:created xsi:type="dcterms:W3CDTF">2025-03-21T06:47:00Z</dcterms:created>
  <dcterms:modified xsi:type="dcterms:W3CDTF">2025-03-21T06:47:00Z</dcterms:modified>
</cp:coreProperties>
</file>