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82"/>
      </w:tblGrid>
      <w:tr w:rsidR="00A72B37" w:rsidRPr="00B83C68" w14:paraId="1E437966" w14:textId="77777777" w:rsidTr="00BB5239">
        <w:trPr>
          <w:trHeight w:val="715"/>
        </w:trPr>
        <w:tc>
          <w:tcPr>
            <w:tcW w:w="10382" w:type="dxa"/>
          </w:tcPr>
          <w:tbl>
            <w:tblPr>
              <w:tblStyle w:val="TableGrid"/>
              <w:tblW w:w="9991" w:type="dxa"/>
              <w:tblLayout w:type="fixed"/>
              <w:tblLook w:val="04A0" w:firstRow="1" w:lastRow="0" w:firstColumn="1" w:lastColumn="0" w:noHBand="0" w:noVBand="1"/>
            </w:tblPr>
            <w:tblGrid>
              <w:gridCol w:w="1881"/>
              <w:gridCol w:w="176"/>
              <w:gridCol w:w="2405"/>
              <w:gridCol w:w="1705"/>
              <w:gridCol w:w="705"/>
              <w:gridCol w:w="3119"/>
            </w:tblGrid>
            <w:tr w:rsidR="00A72B37" w:rsidRPr="00B83C68" w14:paraId="0B5A8836" w14:textId="77777777" w:rsidTr="00E63531">
              <w:tc>
                <w:tcPr>
                  <w:tcW w:w="2057" w:type="dxa"/>
                  <w:gridSpan w:val="2"/>
                  <w:tcBorders>
                    <w:top w:val="nil"/>
                    <w:left w:val="nil"/>
                    <w:bottom w:val="nil"/>
                    <w:right w:val="nil"/>
                  </w:tcBorders>
                </w:tcPr>
                <w:p w14:paraId="3AED4B9C" w14:textId="4B9203C8" w:rsidR="00A72B37" w:rsidRPr="00B83C68" w:rsidRDefault="00E63531" w:rsidP="00BB5239">
                  <w:pPr>
                    <w:jc w:val="both"/>
                    <w:rPr>
                      <w:rFonts w:ascii="Times New Roman" w:hAnsi="Times New Roman" w:cs="Times New Roman"/>
                      <w:b/>
                      <w:sz w:val="36"/>
                      <w:szCs w:val="36"/>
                    </w:rPr>
                  </w:pPr>
                  <w:r>
                    <w:rPr>
                      <w:noProof/>
                    </w:rPr>
                    <w:drawing>
                      <wp:inline distT="0" distB="0" distL="0" distR="0" wp14:anchorId="3BA7FA94" wp14:editId="3644E153">
                        <wp:extent cx="1288111" cy="1045180"/>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5022" cy="1058902"/>
                                </a:xfrm>
                                <a:prstGeom prst="rect">
                                  <a:avLst/>
                                </a:prstGeom>
                                <a:noFill/>
                                <a:ln>
                                  <a:noFill/>
                                </a:ln>
                              </pic:spPr>
                            </pic:pic>
                          </a:graphicData>
                        </a:graphic>
                      </wp:inline>
                    </w:drawing>
                  </w:r>
                </w:p>
              </w:tc>
              <w:tc>
                <w:tcPr>
                  <w:tcW w:w="4110" w:type="dxa"/>
                  <w:gridSpan w:val="2"/>
                  <w:tcBorders>
                    <w:top w:val="nil"/>
                    <w:left w:val="nil"/>
                    <w:bottom w:val="nil"/>
                    <w:right w:val="nil"/>
                  </w:tcBorders>
                </w:tcPr>
                <w:p w14:paraId="3C7A770A" w14:textId="77777777" w:rsidR="00A72B37" w:rsidRPr="00B83C68" w:rsidRDefault="00A72B37" w:rsidP="00BB5239">
                  <w:pPr>
                    <w:jc w:val="both"/>
                    <w:rPr>
                      <w:rFonts w:ascii="Times New Roman" w:hAnsi="Times New Roman" w:cs="Times New Roman"/>
                      <w:b/>
                      <w:sz w:val="32"/>
                      <w:szCs w:val="32"/>
                    </w:rPr>
                  </w:pPr>
                </w:p>
                <w:p w14:paraId="41358C88" w14:textId="77777777" w:rsidR="00A72B37" w:rsidRPr="00B83C68" w:rsidRDefault="00A72B37" w:rsidP="00BB5239">
                  <w:pPr>
                    <w:jc w:val="both"/>
                    <w:rPr>
                      <w:rFonts w:ascii="Times New Roman" w:hAnsi="Times New Roman" w:cs="Times New Roman"/>
                      <w:b/>
                      <w:sz w:val="32"/>
                      <w:szCs w:val="32"/>
                    </w:rPr>
                  </w:pPr>
                </w:p>
                <w:p w14:paraId="3E5D0556" w14:textId="77777777" w:rsidR="00A72B37" w:rsidRPr="00B83C68" w:rsidRDefault="00A72B37" w:rsidP="00BB5239">
                  <w:pPr>
                    <w:jc w:val="both"/>
                    <w:rPr>
                      <w:rFonts w:ascii="Times New Roman" w:hAnsi="Times New Roman" w:cs="Times New Roman"/>
                      <w:b/>
                      <w:sz w:val="32"/>
                      <w:szCs w:val="32"/>
                    </w:rPr>
                  </w:pPr>
                </w:p>
                <w:p w14:paraId="749CFC90" w14:textId="77777777" w:rsidR="00E63531" w:rsidRDefault="00E63531" w:rsidP="00BB5239">
                  <w:pPr>
                    <w:jc w:val="both"/>
                    <w:rPr>
                      <w:rFonts w:ascii="Times New Roman" w:hAnsi="Times New Roman" w:cs="Times New Roman"/>
                      <w:b/>
                      <w:sz w:val="32"/>
                      <w:szCs w:val="32"/>
                    </w:rPr>
                  </w:pPr>
                </w:p>
                <w:p w14:paraId="0F279A09" w14:textId="77777777" w:rsidR="00E63531" w:rsidRDefault="00E63531" w:rsidP="00BB5239">
                  <w:pPr>
                    <w:jc w:val="both"/>
                    <w:rPr>
                      <w:rFonts w:ascii="Times New Roman" w:hAnsi="Times New Roman" w:cs="Times New Roman"/>
                      <w:b/>
                      <w:sz w:val="32"/>
                      <w:szCs w:val="32"/>
                    </w:rPr>
                  </w:pPr>
                </w:p>
                <w:p w14:paraId="0DFB1561" w14:textId="77777777" w:rsidR="00E63531" w:rsidRDefault="00E63531" w:rsidP="00BB5239">
                  <w:pPr>
                    <w:jc w:val="both"/>
                    <w:rPr>
                      <w:rFonts w:ascii="Times New Roman" w:hAnsi="Times New Roman" w:cs="Times New Roman"/>
                      <w:b/>
                      <w:sz w:val="32"/>
                      <w:szCs w:val="32"/>
                    </w:rPr>
                  </w:pPr>
                </w:p>
                <w:p w14:paraId="11A29C78" w14:textId="654197C0" w:rsidR="00A72B37" w:rsidRPr="00B83C68" w:rsidRDefault="00E63531" w:rsidP="00E63531">
                  <w:pPr>
                    <w:spacing w:after="240"/>
                    <w:jc w:val="both"/>
                    <w:rPr>
                      <w:rFonts w:ascii="Times New Roman" w:hAnsi="Times New Roman" w:cs="Times New Roman"/>
                      <w:b/>
                      <w:sz w:val="32"/>
                      <w:szCs w:val="32"/>
                    </w:rPr>
                  </w:pPr>
                  <w:r>
                    <w:rPr>
                      <w:rFonts w:ascii="Times New Roman" w:hAnsi="Times New Roman" w:cs="Times New Roman"/>
                      <w:b/>
                      <w:sz w:val="32"/>
                      <w:szCs w:val="32"/>
                    </w:rPr>
                    <w:t xml:space="preserve">           </w:t>
                  </w:r>
                  <w:r w:rsidR="00A72B37" w:rsidRPr="00B83C68">
                    <w:rPr>
                      <w:rFonts w:ascii="Times New Roman" w:hAnsi="Times New Roman" w:cs="Times New Roman"/>
                      <w:b/>
                      <w:sz w:val="32"/>
                      <w:szCs w:val="32"/>
                    </w:rPr>
                    <w:t>AMATA APRAKSTS</w:t>
                  </w:r>
                </w:p>
              </w:tc>
              <w:tc>
                <w:tcPr>
                  <w:tcW w:w="3824" w:type="dxa"/>
                  <w:gridSpan w:val="2"/>
                  <w:tcBorders>
                    <w:top w:val="nil"/>
                    <w:left w:val="nil"/>
                    <w:bottom w:val="nil"/>
                    <w:right w:val="nil"/>
                  </w:tcBorders>
                </w:tcPr>
                <w:p w14:paraId="557D5FB0" w14:textId="77777777" w:rsidR="00E63531" w:rsidRDefault="00E63531" w:rsidP="00E63531">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APSTIPRINU</w:t>
                  </w:r>
                </w:p>
                <w:p w14:paraId="45CCCA57" w14:textId="77777777" w:rsidR="00E63531" w:rsidRPr="005320DA" w:rsidRDefault="00E63531" w:rsidP="00E63531">
                  <w:pPr>
                    <w:jc w:val="right"/>
                    <w:rPr>
                      <w:rFonts w:ascii="Times New Roman" w:eastAsia="Calibri" w:hAnsi="Times New Roman" w:cs="Times New Roman"/>
                      <w:lang w:eastAsia="lv-LV"/>
                    </w:rPr>
                  </w:pPr>
                  <w:r w:rsidRPr="005320DA">
                    <w:rPr>
                      <w:rFonts w:ascii="Times New Roman" w:eastAsia="Calibri" w:hAnsi="Times New Roman" w:cs="Times New Roman"/>
                      <w:lang w:eastAsia="lv-LV"/>
                    </w:rPr>
                    <w:t>Finanšu ministrijas</w:t>
                  </w:r>
                </w:p>
                <w:p w14:paraId="5C7B388E" w14:textId="77777777" w:rsidR="00E63531" w:rsidRPr="005320DA" w:rsidRDefault="00E63531" w:rsidP="00E63531">
                  <w:pPr>
                    <w:jc w:val="right"/>
                    <w:rPr>
                      <w:rFonts w:ascii="Times New Roman" w:eastAsia="Calibri" w:hAnsi="Times New Roman" w:cs="Times New Roman"/>
                      <w:lang w:eastAsia="lv-LV"/>
                    </w:rPr>
                  </w:pPr>
                  <w:r>
                    <w:rPr>
                      <w:rFonts w:ascii="Times New Roman" w:eastAsia="Calibri" w:hAnsi="Times New Roman" w:cs="Times New Roman"/>
                      <w:lang w:eastAsia="lv-LV"/>
                    </w:rPr>
                    <w:t>v</w:t>
                  </w:r>
                  <w:r w:rsidRPr="005320DA">
                    <w:rPr>
                      <w:rFonts w:ascii="Times New Roman" w:eastAsia="Calibri" w:hAnsi="Times New Roman" w:cs="Times New Roman"/>
                      <w:lang w:eastAsia="lv-LV"/>
                    </w:rPr>
                    <w:t>alsts sekretāre</w:t>
                  </w:r>
                </w:p>
                <w:p w14:paraId="7E358E54" w14:textId="77777777" w:rsidR="00E63531" w:rsidRPr="005320DA" w:rsidRDefault="00E63531" w:rsidP="00E63531">
                  <w:pPr>
                    <w:jc w:val="right"/>
                    <w:rPr>
                      <w:rFonts w:ascii="Times New Roman" w:eastAsia="Calibri" w:hAnsi="Times New Roman" w:cs="Times New Roman"/>
                      <w:b/>
                      <w:bCs/>
                      <w:i/>
                      <w:iCs/>
                    </w:rPr>
                  </w:pPr>
                  <w:r w:rsidRPr="005320DA">
                    <w:rPr>
                      <w:rFonts w:ascii="Times New Roman" w:eastAsia="Calibri" w:hAnsi="Times New Roman" w:cs="Times New Roman"/>
                      <w:lang w:eastAsia="lv-LV"/>
                    </w:rPr>
                    <w:t>B.</w:t>
                  </w:r>
                  <w:r>
                    <w:rPr>
                      <w:rFonts w:ascii="Times New Roman" w:eastAsia="Calibri" w:hAnsi="Times New Roman" w:cs="Times New Roman"/>
                      <w:lang w:eastAsia="lv-LV"/>
                    </w:rPr>
                    <w:t xml:space="preserve"> </w:t>
                  </w:r>
                  <w:r w:rsidRPr="005320DA">
                    <w:rPr>
                      <w:rFonts w:ascii="Times New Roman" w:eastAsia="Calibri" w:hAnsi="Times New Roman" w:cs="Times New Roman"/>
                      <w:lang w:eastAsia="lv-LV"/>
                    </w:rPr>
                    <w:t>Bāne</w:t>
                  </w:r>
                </w:p>
                <w:p w14:paraId="67A2182F" w14:textId="77777777" w:rsidR="00E63531" w:rsidRPr="005320DA" w:rsidRDefault="00E63531" w:rsidP="00E63531">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Dokuments apstiprināts ar elektronisko parakstu</w:t>
                  </w:r>
                </w:p>
                <w:p w14:paraId="5086C406" w14:textId="77777777" w:rsidR="00E63531" w:rsidRPr="005320DA" w:rsidRDefault="00E63531" w:rsidP="00E63531">
                  <w:pPr>
                    <w:jc w:val="right"/>
                    <w:rPr>
                      <w:rFonts w:ascii="Times New Roman" w:eastAsia="Calibri" w:hAnsi="Times New Roman" w:cs="Times New Roman"/>
                      <w:b/>
                      <w:bCs/>
                      <w:lang w:eastAsia="lv-LV"/>
                    </w:rPr>
                  </w:pPr>
                  <w:r w:rsidRPr="005320DA">
                    <w:rPr>
                      <w:rFonts w:ascii="Times New Roman" w:eastAsia="Calibri" w:hAnsi="Times New Roman" w:cs="Times New Roman"/>
                      <w:b/>
                      <w:bCs/>
                      <w:lang w:eastAsia="lv-LV"/>
                    </w:rPr>
                    <w:t>Datums skatāms laika zīmogā</w:t>
                  </w:r>
                </w:p>
                <w:p w14:paraId="5D1B0B2C" w14:textId="77777777" w:rsidR="00E63531" w:rsidRDefault="00E63531" w:rsidP="00E63531">
                  <w:pPr>
                    <w:jc w:val="right"/>
                    <w:rPr>
                      <w:rFonts w:ascii="Times New Roman" w:hAnsi="Times New Roman" w:cs="Times New Roman"/>
                      <w:b/>
                      <w:sz w:val="36"/>
                      <w:szCs w:val="36"/>
                    </w:rPr>
                  </w:pPr>
                  <w:r w:rsidRPr="005320DA">
                    <w:rPr>
                      <w:rFonts w:ascii="Times New Roman" w:eastAsia="Calibri" w:hAnsi="Times New Roman" w:cs="Times New Roman"/>
                      <w:b/>
                      <w:bCs/>
                      <w:lang w:eastAsia="lv-LV"/>
                    </w:rPr>
                    <w:t>Reģistrācijas numurs skatāms reģistrācijas informācijā</w:t>
                  </w:r>
                  <w:r>
                    <w:rPr>
                      <w:rFonts w:ascii="Times New Roman" w:hAnsi="Times New Roman" w:cs="Times New Roman"/>
                      <w:b/>
                      <w:sz w:val="36"/>
                      <w:szCs w:val="36"/>
                    </w:rPr>
                    <w:t xml:space="preserve"> </w:t>
                  </w:r>
                </w:p>
                <w:p w14:paraId="632130D0" w14:textId="77777777" w:rsidR="00A72B37" w:rsidRPr="00B83C68" w:rsidRDefault="00A72B37" w:rsidP="00BB5239">
                  <w:pPr>
                    <w:jc w:val="both"/>
                    <w:rPr>
                      <w:rFonts w:ascii="Times New Roman" w:hAnsi="Times New Roman" w:cs="Times New Roman"/>
                      <w:b/>
                      <w:sz w:val="36"/>
                      <w:szCs w:val="36"/>
                    </w:rPr>
                  </w:pPr>
                </w:p>
              </w:tc>
            </w:tr>
            <w:tr w:rsidR="00A72B37" w:rsidRPr="00B83C68" w14:paraId="3D97E2E1" w14:textId="77777777" w:rsidTr="00BB5239">
              <w:tc>
                <w:tcPr>
                  <w:tcW w:w="1881" w:type="dxa"/>
                </w:tcPr>
                <w:p w14:paraId="2B2841A1"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2.AMATA NOSAUKUMS</w:t>
                  </w:r>
                </w:p>
              </w:tc>
              <w:tc>
                <w:tcPr>
                  <w:tcW w:w="2581" w:type="dxa"/>
                  <w:gridSpan w:val="2"/>
                </w:tcPr>
                <w:p w14:paraId="426A984D" w14:textId="5531D6C0" w:rsidR="00A72B37" w:rsidRPr="00E63531" w:rsidRDefault="00EE5BBB" w:rsidP="006E6BEC">
                  <w:pPr>
                    <w:jc w:val="both"/>
                    <w:rPr>
                      <w:rFonts w:ascii="Times New Roman" w:hAnsi="Times New Roman" w:cs="Times New Roman"/>
                      <w:b/>
                      <w:bCs/>
                      <w:sz w:val="24"/>
                      <w:szCs w:val="24"/>
                    </w:rPr>
                  </w:pPr>
                  <w:r w:rsidRPr="00E63531">
                    <w:rPr>
                      <w:rFonts w:ascii="Times New Roman" w:hAnsi="Times New Roman" w:cs="Times New Roman"/>
                      <w:b/>
                      <w:bCs/>
                      <w:sz w:val="24"/>
                      <w:szCs w:val="24"/>
                    </w:rPr>
                    <w:t xml:space="preserve">Vecākais </w:t>
                  </w:r>
                  <w:r w:rsidR="006E6BEC" w:rsidRPr="00E63531">
                    <w:rPr>
                      <w:rFonts w:ascii="Times New Roman" w:hAnsi="Times New Roman" w:cs="Times New Roman"/>
                      <w:b/>
                      <w:bCs/>
                      <w:sz w:val="24"/>
                      <w:szCs w:val="24"/>
                    </w:rPr>
                    <w:t>eksperts</w:t>
                  </w:r>
                </w:p>
              </w:tc>
              <w:tc>
                <w:tcPr>
                  <w:tcW w:w="2410" w:type="dxa"/>
                  <w:gridSpan w:val="2"/>
                </w:tcPr>
                <w:p w14:paraId="0E61A182"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2.1.AMATA STATUSS</w:t>
                  </w:r>
                </w:p>
              </w:tc>
              <w:tc>
                <w:tcPr>
                  <w:tcW w:w="3119" w:type="dxa"/>
                </w:tcPr>
                <w:p w14:paraId="527DC268" w14:textId="20AC1129" w:rsidR="00A72B37" w:rsidRPr="00B83C68" w:rsidRDefault="00B54826" w:rsidP="00BB5239">
                  <w:pPr>
                    <w:jc w:val="both"/>
                    <w:rPr>
                      <w:rFonts w:ascii="Times New Roman" w:hAnsi="Times New Roman" w:cs="Times New Roman"/>
                      <w:sz w:val="24"/>
                      <w:szCs w:val="24"/>
                    </w:rPr>
                  </w:pPr>
                  <w:r w:rsidRPr="00B83C68">
                    <w:rPr>
                      <w:rFonts w:ascii="Times New Roman" w:hAnsi="Times New Roman" w:cs="Times New Roman"/>
                      <w:sz w:val="24"/>
                      <w:szCs w:val="24"/>
                    </w:rPr>
                    <w:t>I</w:t>
                  </w:r>
                  <w:r w:rsidR="00586207" w:rsidRPr="00B83C68">
                    <w:rPr>
                      <w:rFonts w:ascii="Times New Roman" w:hAnsi="Times New Roman" w:cs="Times New Roman"/>
                      <w:sz w:val="24"/>
                      <w:szCs w:val="24"/>
                    </w:rPr>
                    <w:t>erēdnis</w:t>
                  </w:r>
                </w:p>
              </w:tc>
            </w:tr>
            <w:tr w:rsidR="00A72B37" w:rsidRPr="00B83C68" w14:paraId="1F2D4B73" w14:textId="77777777" w:rsidTr="00BB5239">
              <w:tc>
                <w:tcPr>
                  <w:tcW w:w="4462" w:type="dxa"/>
                  <w:gridSpan w:val="3"/>
                </w:tcPr>
                <w:p w14:paraId="06E79614"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3.STRUKTŪRVIENĪBA</w:t>
                  </w:r>
                </w:p>
                <w:p w14:paraId="7D75238D" w14:textId="77777777" w:rsidR="00A72B37" w:rsidRPr="00B83C68" w:rsidRDefault="00A72B37" w:rsidP="00BB5239">
                  <w:pPr>
                    <w:jc w:val="both"/>
                    <w:rPr>
                      <w:rFonts w:ascii="Times New Roman" w:hAnsi="Times New Roman" w:cs="Times New Roman"/>
                      <w:sz w:val="24"/>
                      <w:szCs w:val="24"/>
                    </w:rPr>
                  </w:pPr>
                </w:p>
              </w:tc>
              <w:tc>
                <w:tcPr>
                  <w:tcW w:w="5529" w:type="dxa"/>
                  <w:gridSpan w:val="3"/>
                </w:tcPr>
                <w:p w14:paraId="5CD1A7A2" w14:textId="77777777" w:rsidR="00A72B37" w:rsidRPr="00E63531" w:rsidRDefault="00EE5BBB" w:rsidP="00BB5239">
                  <w:pPr>
                    <w:jc w:val="both"/>
                    <w:rPr>
                      <w:rFonts w:ascii="Times New Roman" w:hAnsi="Times New Roman" w:cs="Times New Roman"/>
                      <w:b/>
                      <w:bCs/>
                      <w:sz w:val="24"/>
                      <w:szCs w:val="24"/>
                    </w:rPr>
                  </w:pPr>
                  <w:r w:rsidRPr="00E63531">
                    <w:rPr>
                      <w:rFonts w:ascii="Times New Roman" w:hAnsi="Times New Roman" w:cs="Times New Roman"/>
                      <w:b/>
                      <w:bCs/>
                      <w:sz w:val="24"/>
                      <w:szCs w:val="24"/>
                    </w:rPr>
                    <w:t>Budžeta departaments</w:t>
                  </w:r>
                </w:p>
                <w:p w14:paraId="11E1D176" w14:textId="1C198EB1" w:rsidR="00EE5BBB" w:rsidRPr="00B83C68" w:rsidRDefault="00EE5BBB" w:rsidP="00BB5239">
                  <w:pPr>
                    <w:jc w:val="both"/>
                    <w:rPr>
                      <w:rFonts w:ascii="Times New Roman" w:hAnsi="Times New Roman" w:cs="Times New Roman"/>
                      <w:sz w:val="24"/>
                      <w:szCs w:val="24"/>
                    </w:rPr>
                  </w:pPr>
                  <w:r w:rsidRPr="00E63531">
                    <w:rPr>
                      <w:rFonts w:ascii="Times New Roman" w:hAnsi="Times New Roman" w:cs="Times New Roman"/>
                      <w:b/>
                      <w:bCs/>
                      <w:sz w:val="24"/>
                      <w:szCs w:val="24"/>
                    </w:rPr>
                    <w:t>Aizsardzības un tiesībsargājošo iestāžu finansēšanas nodaļa</w:t>
                  </w:r>
                </w:p>
              </w:tc>
            </w:tr>
            <w:tr w:rsidR="00A72B37" w:rsidRPr="00B83C68" w14:paraId="119D7257" w14:textId="77777777" w:rsidTr="00BB5239">
              <w:tc>
                <w:tcPr>
                  <w:tcW w:w="1881" w:type="dxa"/>
                </w:tcPr>
                <w:p w14:paraId="27B43B5E"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4.PROFESIJAS KODS</w:t>
                  </w:r>
                </w:p>
              </w:tc>
              <w:tc>
                <w:tcPr>
                  <w:tcW w:w="2581" w:type="dxa"/>
                  <w:gridSpan w:val="2"/>
                </w:tcPr>
                <w:p w14:paraId="48564EA7" w14:textId="73C12F3C" w:rsidR="00A72B37" w:rsidRPr="00B83C68" w:rsidRDefault="001A25A9" w:rsidP="00BB5239">
                  <w:pPr>
                    <w:jc w:val="both"/>
                    <w:rPr>
                      <w:rFonts w:ascii="Times New Roman" w:hAnsi="Times New Roman" w:cs="Times New Roman"/>
                      <w:sz w:val="24"/>
                      <w:szCs w:val="24"/>
                    </w:rPr>
                  </w:pPr>
                  <w:r w:rsidRPr="00B83C68">
                    <w:rPr>
                      <w:rFonts w:ascii="Times New Roman" w:hAnsi="Times New Roman" w:cs="Times New Roman"/>
                      <w:sz w:val="24"/>
                      <w:szCs w:val="24"/>
                    </w:rPr>
                    <w:t>2422 09</w:t>
                  </w:r>
                </w:p>
              </w:tc>
              <w:tc>
                <w:tcPr>
                  <w:tcW w:w="2410" w:type="dxa"/>
                  <w:gridSpan w:val="2"/>
                </w:tcPr>
                <w:p w14:paraId="32143DC7"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5.AMATA SAIME UN LĪMENIS</w:t>
                  </w:r>
                </w:p>
              </w:tc>
              <w:tc>
                <w:tcPr>
                  <w:tcW w:w="3119" w:type="dxa"/>
                </w:tcPr>
                <w:p w14:paraId="4D92BE5A" w14:textId="13737E2C" w:rsidR="00EE5BBB" w:rsidRPr="00B83C68" w:rsidRDefault="00E63531" w:rsidP="006E6BEC">
                  <w:pPr>
                    <w:jc w:val="both"/>
                    <w:rPr>
                      <w:rFonts w:ascii="Times New Roman" w:hAnsi="Times New Roman" w:cs="Times New Roman"/>
                      <w:sz w:val="24"/>
                      <w:szCs w:val="24"/>
                    </w:rPr>
                  </w:pPr>
                  <w:r>
                    <w:rPr>
                      <w:rFonts w:ascii="Times New Roman" w:hAnsi="Times New Roman" w:cs="Times New Roman"/>
                      <w:sz w:val="24"/>
                      <w:szCs w:val="24"/>
                    </w:rPr>
                    <w:t>37.  IIA</w:t>
                  </w:r>
                </w:p>
              </w:tc>
            </w:tr>
            <w:tr w:rsidR="00A72B37" w:rsidRPr="00B83C68" w14:paraId="365B499D" w14:textId="77777777" w:rsidTr="00BB5239">
              <w:tc>
                <w:tcPr>
                  <w:tcW w:w="1881" w:type="dxa"/>
                </w:tcPr>
                <w:p w14:paraId="60383FCE" w14:textId="0F02A903"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6.TIEŠAIS VADĪTĀJS</w:t>
                  </w:r>
                </w:p>
              </w:tc>
              <w:tc>
                <w:tcPr>
                  <w:tcW w:w="2581" w:type="dxa"/>
                  <w:gridSpan w:val="2"/>
                </w:tcPr>
                <w:p w14:paraId="68F4B79F" w14:textId="74BFCBA0" w:rsidR="00A72B37" w:rsidRPr="00B83C68" w:rsidRDefault="00EE5BBB" w:rsidP="00BB5239">
                  <w:pPr>
                    <w:jc w:val="both"/>
                    <w:rPr>
                      <w:rFonts w:ascii="Times New Roman" w:hAnsi="Times New Roman" w:cs="Times New Roman"/>
                      <w:sz w:val="24"/>
                      <w:szCs w:val="24"/>
                    </w:rPr>
                  </w:pPr>
                  <w:r w:rsidRPr="00B83C68">
                    <w:rPr>
                      <w:rFonts w:ascii="Times New Roman" w:hAnsi="Times New Roman" w:cs="Times New Roman"/>
                      <w:sz w:val="24"/>
                      <w:szCs w:val="24"/>
                    </w:rPr>
                    <w:t>Nodaļas vadītājs</w:t>
                  </w:r>
                </w:p>
              </w:tc>
              <w:tc>
                <w:tcPr>
                  <w:tcW w:w="2410" w:type="dxa"/>
                  <w:gridSpan w:val="2"/>
                </w:tcPr>
                <w:p w14:paraId="0F353D49"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7.FUNKCIONĀLAIS VADĪTĀJS</w:t>
                  </w:r>
                </w:p>
              </w:tc>
              <w:tc>
                <w:tcPr>
                  <w:tcW w:w="3119" w:type="dxa"/>
                </w:tcPr>
                <w:p w14:paraId="087CC9ED" w14:textId="4A8E0839" w:rsidR="00A72B37" w:rsidRPr="00B83C68" w:rsidRDefault="00586207" w:rsidP="00BB5239">
                  <w:pPr>
                    <w:jc w:val="both"/>
                    <w:rPr>
                      <w:rFonts w:ascii="Times New Roman" w:hAnsi="Times New Roman" w:cs="Times New Roman"/>
                      <w:sz w:val="24"/>
                      <w:szCs w:val="24"/>
                    </w:rPr>
                  </w:pPr>
                  <w:r w:rsidRPr="00B83C68">
                    <w:rPr>
                      <w:rFonts w:ascii="Times New Roman" w:hAnsi="Times New Roman" w:cs="Times New Roman"/>
                      <w:sz w:val="24"/>
                      <w:szCs w:val="24"/>
                    </w:rPr>
                    <w:t>Nodaļas vadītājs</w:t>
                  </w:r>
                </w:p>
              </w:tc>
            </w:tr>
            <w:tr w:rsidR="00A72B37" w:rsidRPr="00B83C68" w14:paraId="64BA76D0" w14:textId="77777777" w:rsidTr="00BB5239">
              <w:tc>
                <w:tcPr>
                  <w:tcW w:w="1881" w:type="dxa"/>
                </w:tcPr>
                <w:p w14:paraId="6723CE92"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8.IEKŠĒJĀ SADARBĪBA</w:t>
                  </w:r>
                </w:p>
              </w:tc>
              <w:tc>
                <w:tcPr>
                  <w:tcW w:w="2581" w:type="dxa"/>
                  <w:gridSpan w:val="2"/>
                </w:tcPr>
                <w:p w14:paraId="63B89C44" w14:textId="70BFCFE0" w:rsidR="00A72B37" w:rsidRPr="00B83C68" w:rsidRDefault="00280E12" w:rsidP="006567BA">
                  <w:pPr>
                    <w:rPr>
                      <w:rFonts w:ascii="Times New Roman" w:hAnsi="Times New Roman" w:cs="Times New Roman"/>
                      <w:sz w:val="24"/>
                      <w:szCs w:val="24"/>
                    </w:rPr>
                  </w:pPr>
                  <w:r w:rsidRPr="00B83C68">
                    <w:rPr>
                      <w:rFonts w:ascii="Times New Roman" w:hAnsi="Times New Roman" w:cs="Times New Roman"/>
                      <w:sz w:val="24"/>
                      <w:szCs w:val="24"/>
                    </w:rPr>
                    <w:t>Ar Finanšu ministrijas darbi</w:t>
                  </w:r>
                  <w:r w:rsidR="00B14284" w:rsidRPr="00B83C68">
                    <w:rPr>
                      <w:rFonts w:ascii="Times New Roman" w:hAnsi="Times New Roman" w:cs="Times New Roman"/>
                      <w:sz w:val="24"/>
                      <w:szCs w:val="24"/>
                    </w:rPr>
                    <w:t>niekiem un amatpersonām</w:t>
                  </w:r>
                </w:p>
              </w:tc>
              <w:tc>
                <w:tcPr>
                  <w:tcW w:w="2410" w:type="dxa"/>
                  <w:gridSpan w:val="2"/>
                </w:tcPr>
                <w:p w14:paraId="3C4FC5C1"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9.ĀRĒJĀ SADARBĪBA</w:t>
                  </w:r>
                </w:p>
              </w:tc>
              <w:tc>
                <w:tcPr>
                  <w:tcW w:w="3119" w:type="dxa"/>
                </w:tcPr>
                <w:p w14:paraId="5B6249EA" w14:textId="7817327A" w:rsidR="00A72B37" w:rsidRPr="00B83C68" w:rsidRDefault="00280E12" w:rsidP="0049255F">
                  <w:pPr>
                    <w:rPr>
                      <w:rFonts w:ascii="Times New Roman" w:hAnsi="Times New Roman" w:cs="Times New Roman"/>
                      <w:sz w:val="24"/>
                      <w:szCs w:val="24"/>
                    </w:rPr>
                  </w:pPr>
                  <w:r w:rsidRPr="00B83C68">
                    <w:rPr>
                      <w:rFonts w:ascii="Times New Roman" w:hAnsi="Times New Roman" w:cs="Times New Roman"/>
                      <w:sz w:val="24"/>
                      <w:szCs w:val="24"/>
                    </w:rPr>
                    <w:t>Ar citu institūci</w:t>
                  </w:r>
                  <w:r w:rsidR="00B14284" w:rsidRPr="00B83C68">
                    <w:rPr>
                      <w:rFonts w:ascii="Times New Roman" w:hAnsi="Times New Roman" w:cs="Times New Roman"/>
                      <w:sz w:val="24"/>
                      <w:szCs w:val="24"/>
                    </w:rPr>
                    <w:t>ju darbiniekiem un amatpersonām</w:t>
                  </w:r>
                </w:p>
              </w:tc>
            </w:tr>
          </w:tbl>
          <w:p w14:paraId="606CFD7A" w14:textId="77777777" w:rsidR="00A72B37" w:rsidRPr="00B83C68" w:rsidRDefault="00A72B37" w:rsidP="00BB5239">
            <w:pPr>
              <w:jc w:val="both"/>
              <w:rPr>
                <w:rFonts w:ascii="Times New Roman" w:hAnsi="Times New Roman" w:cs="Times New Roman"/>
                <w:b/>
                <w:sz w:val="24"/>
                <w:szCs w:val="24"/>
              </w:rPr>
            </w:pPr>
          </w:p>
          <w:tbl>
            <w:tblPr>
              <w:tblStyle w:val="TableGrid"/>
              <w:tblW w:w="9991" w:type="dxa"/>
              <w:tblLayout w:type="fixed"/>
              <w:tblLook w:val="04A0" w:firstRow="1" w:lastRow="0" w:firstColumn="1" w:lastColumn="0" w:noHBand="0" w:noVBand="1"/>
            </w:tblPr>
            <w:tblGrid>
              <w:gridCol w:w="1197"/>
              <w:gridCol w:w="1559"/>
              <w:gridCol w:w="5529"/>
              <w:gridCol w:w="1706"/>
            </w:tblGrid>
            <w:tr w:rsidR="00A72B37" w:rsidRPr="00B83C68" w14:paraId="07982B2E" w14:textId="77777777" w:rsidTr="00BB5239">
              <w:tc>
                <w:tcPr>
                  <w:tcW w:w="2756" w:type="dxa"/>
                  <w:gridSpan w:val="2"/>
                </w:tcPr>
                <w:p w14:paraId="50450B15"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10.AMATA MĒRĶIS</w:t>
                  </w:r>
                </w:p>
              </w:tc>
              <w:tc>
                <w:tcPr>
                  <w:tcW w:w="7235" w:type="dxa"/>
                  <w:gridSpan w:val="2"/>
                </w:tcPr>
                <w:p w14:paraId="03C715B3" w14:textId="0971F1D9" w:rsidR="00C60E4A" w:rsidRPr="00B83C68" w:rsidRDefault="00586207" w:rsidP="00B24165">
                  <w:pPr>
                    <w:jc w:val="both"/>
                    <w:rPr>
                      <w:rFonts w:ascii="Times New Roman" w:hAnsi="Times New Roman" w:cs="Times New Roman"/>
                      <w:sz w:val="24"/>
                      <w:szCs w:val="24"/>
                    </w:rPr>
                  </w:pPr>
                  <w:r w:rsidRPr="00B83C68">
                    <w:rPr>
                      <w:rFonts w:ascii="Times New Roman" w:hAnsi="Times New Roman" w:cs="Times New Roman"/>
                      <w:sz w:val="24"/>
                      <w:szCs w:val="24"/>
                    </w:rPr>
                    <w:t>Sa</w:t>
                  </w:r>
                  <w:r w:rsidR="00E36687" w:rsidRPr="00B83C68">
                    <w:rPr>
                      <w:rFonts w:ascii="Times New Roman" w:hAnsi="Times New Roman" w:cs="Times New Roman"/>
                      <w:sz w:val="24"/>
                      <w:szCs w:val="24"/>
                    </w:rPr>
                    <w:t>i</w:t>
                  </w:r>
                  <w:r w:rsidR="00344A25" w:rsidRPr="00B83C68">
                    <w:rPr>
                      <w:rFonts w:ascii="Times New Roman" w:hAnsi="Times New Roman" w:cs="Times New Roman"/>
                      <w:sz w:val="24"/>
                      <w:szCs w:val="24"/>
                    </w:rPr>
                    <w:t xml:space="preserve">stībā ar </w:t>
                  </w:r>
                  <w:r w:rsidR="00B24165">
                    <w:rPr>
                      <w:rFonts w:ascii="Times New Roman" w:hAnsi="Times New Roman" w:cs="Times New Roman"/>
                      <w:sz w:val="24"/>
                      <w:szCs w:val="24"/>
                    </w:rPr>
                    <w:t>Iekšlietu</w:t>
                  </w:r>
                  <w:r w:rsidR="00344A2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pamatbudžeta pārraudzību atbilstoši kompetencei: piedalīties vidēja termiņa budžeta ietv</w:t>
                  </w:r>
                  <w:r w:rsidR="005E0FC3" w:rsidRPr="00B83C68">
                    <w:rPr>
                      <w:rFonts w:ascii="Times New Roman" w:hAnsi="Times New Roman" w:cs="Times New Roman"/>
                      <w:sz w:val="24"/>
                      <w:szCs w:val="24"/>
                    </w:rPr>
                    <w:t xml:space="preserve">ara likumprojekta sagatavošanā, </w:t>
                  </w:r>
                  <w:r w:rsidRPr="00B83C68">
                    <w:rPr>
                      <w:rFonts w:ascii="Times New Roman" w:hAnsi="Times New Roman" w:cs="Times New Roman"/>
                      <w:sz w:val="24"/>
                      <w:szCs w:val="24"/>
                    </w:rPr>
                    <w:t>nodrošināt gadskārtējā valsts budžeta likumprojekta un paskaidrojumu un gadskārtējā valsts budžeta likuma grozījumu un tā paskaidrojumu sagatavošanu, nodrošināt ar gadskārtējā valsts budžeta likuma un Likuma par budžetu un finanšu vadību izpildi saistītu jautājumu risināšanu.</w:t>
                  </w:r>
                </w:p>
              </w:tc>
            </w:tr>
            <w:tr w:rsidR="00A72B37" w:rsidRPr="00B83C68" w14:paraId="3B2F12CD" w14:textId="77777777" w:rsidTr="00BB5239">
              <w:tc>
                <w:tcPr>
                  <w:tcW w:w="9991" w:type="dxa"/>
                  <w:gridSpan w:val="4"/>
                </w:tcPr>
                <w:p w14:paraId="73BD2B32" w14:textId="3E9B90D1"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11.AMATA PIENĀKUMI</w:t>
                  </w:r>
                  <w:r w:rsidR="00586207" w:rsidRPr="00B83C68">
                    <w:rPr>
                      <w:rFonts w:ascii="Times New Roman" w:hAnsi="Times New Roman" w:cs="Times New Roman"/>
                      <w:sz w:val="24"/>
                      <w:szCs w:val="24"/>
                    </w:rPr>
                    <w:t xml:space="preserve"> </w:t>
                  </w:r>
                </w:p>
              </w:tc>
            </w:tr>
            <w:tr w:rsidR="00A72B37" w:rsidRPr="00B83C68" w14:paraId="715E1BD1" w14:textId="77777777" w:rsidTr="005E0FC3">
              <w:tc>
                <w:tcPr>
                  <w:tcW w:w="1197" w:type="dxa"/>
                </w:tcPr>
                <w:p w14:paraId="17F12335" w14:textId="77777777" w:rsidR="00A72B37" w:rsidRPr="00B83C68" w:rsidRDefault="00A72B37" w:rsidP="00BB5239">
                  <w:pPr>
                    <w:jc w:val="both"/>
                    <w:rPr>
                      <w:rFonts w:ascii="Times New Roman" w:hAnsi="Times New Roman" w:cs="Times New Roman"/>
                      <w:sz w:val="24"/>
                      <w:szCs w:val="24"/>
                    </w:rPr>
                  </w:pPr>
                </w:p>
              </w:tc>
              <w:tc>
                <w:tcPr>
                  <w:tcW w:w="7088" w:type="dxa"/>
                  <w:gridSpan w:val="2"/>
                </w:tcPr>
                <w:p w14:paraId="18E06ED7" w14:textId="77B42681" w:rsidR="00A72B37" w:rsidRPr="00B83C68" w:rsidRDefault="00586207" w:rsidP="00B24165">
                  <w:pPr>
                    <w:jc w:val="both"/>
                    <w:rPr>
                      <w:rFonts w:ascii="Times New Roman" w:hAnsi="Times New Roman" w:cs="Times New Roman"/>
                      <w:b/>
                      <w:sz w:val="24"/>
                      <w:szCs w:val="24"/>
                    </w:rPr>
                  </w:pPr>
                  <w:r w:rsidRPr="00B83C68">
                    <w:rPr>
                      <w:rFonts w:ascii="Times New Roman" w:hAnsi="Times New Roman" w:cs="Times New Roman"/>
                      <w:sz w:val="24"/>
                      <w:szCs w:val="24"/>
                    </w:rPr>
                    <w:t xml:space="preserve">Vecākā </w:t>
                  </w:r>
                  <w:r w:rsidR="007807EE" w:rsidRPr="00B83C68">
                    <w:rPr>
                      <w:rFonts w:ascii="Times New Roman" w:hAnsi="Times New Roman" w:cs="Times New Roman"/>
                      <w:sz w:val="24"/>
                      <w:szCs w:val="24"/>
                    </w:rPr>
                    <w:t>eksperta</w:t>
                  </w:r>
                  <w:r w:rsidRPr="00B83C68">
                    <w:rPr>
                      <w:rFonts w:ascii="Times New Roman" w:hAnsi="Times New Roman" w:cs="Times New Roman"/>
                      <w:sz w:val="24"/>
                      <w:szCs w:val="24"/>
                    </w:rPr>
                    <w:t xml:space="preserve"> amata pienākumi saistīti ar </w:t>
                  </w:r>
                  <w:r w:rsidR="00D62C5E">
                    <w:rPr>
                      <w:rFonts w:ascii="Times New Roman" w:hAnsi="Times New Roman" w:cs="Times New Roman"/>
                      <w:b/>
                      <w:sz w:val="24"/>
                      <w:szCs w:val="24"/>
                    </w:rPr>
                    <w:t>Ie</w:t>
                  </w:r>
                  <w:r w:rsidR="00795A81">
                    <w:rPr>
                      <w:rFonts w:ascii="Times New Roman" w:hAnsi="Times New Roman" w:cs="Times New Roman"/>
                      <w:b/>
                      <w:sz w:val="24"/>
                      <w:szCs w:val="24"/>
                    </w:rPr>
                    <w:t>kš</w:t>
                  </w:r>
                  <w:r w:rsidR="00D62C5E">
                    <w:rPr>
                      <w:rFonts w:ascii="Times New Roman" w:hAnsi="Times New Roman" w:cs="Times New Roman"/>
                      <w:b/>
                      <w:sz w:val="24"/>
                      <w:szCs w:val="24"/>
                    </w:rPr>
                    <w:t>lietu</w:t>
                  </w:r>
                  <w:r w:rsidR="00B24165">
                    <w:rPr>
                      <w:rFonts w:ascii="Times New Roman" w:hAnsi="Times New Roman" w:cs="Times New Roman"/>
                      <w:b/>
                      <w:sz w:val="24"/>
                      <w:szCs w:val="24"/>
                    </w:rPr>
                    <w:t xml:space="preserve"> ministrijas </w:t>
                  </w:r>
                  <w:r w:rsidRPr="00B83C68">
                    <w:rPr>
                      <w:rFonts w:ascii="Times New Roman" w:hAnsi="Times New Roman" w:cs="Times New Roman"/>
                      <w:b/>
                      <w:sz w:val="24"/>
                      <w:szCs w:val="24"/>
                    </w:rPr>
                    <w:t>pamatbudžeta</w:t>
                  </w:r>
                  <w:r w:rsidRPr="00B83C68">
                    <w:rPr>
                      <w:rFonts w:ascii="Times New Roman" w:hAnsi="Times New Roman" w:cs="Times New Roman"/>
                      <w:sz w:val="24"/>
                      <w:szCs w:val="24"/>
                    </w:rPr>
                    <w:t xml:space="preserve"> pārraudzību:</w:t>
                  </w:r>
                </w:p>
              </w:tc>
              <w:tc>
                <w:tcPr>
                  <w:tcW w:w="1706" w:type="dxa"/>
                </w:tcPr>
                <w:p w14:paraId="7508E5A0"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NOZĪMĪBA %</w:t>
                  </w:r>
                </w:p>
              </w:tc>
            </w:tr>
            <w:tr w:rsidR="00A72B37" w:rsidRPr="00B83C68" w14:paraId="185CBECA" w14:textId="77777777" w:rsidTr="005E0FC3">
              <w:tc>
                <w:tcPr>
                  <w:tcW w:w="1197" w:type="dxa"/>
                </w:tcPr>
                <w:p w14:paraId="425E01F5"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11.1.</w:t>
                  </w:r>
                </w:p>
              </w:tc>
              <w:tc>
                <w:tcPr>
                  <w:tcW w:w="7088" w:type="dxa"/>
                  <w:gridSpan w:val="2"/>
                </w:tcPr>
                <w:p w14:paraId="2B7DF689" w14:textId="12ECBE74" w:rsidR="00A72B37" w:rsidRPr="00B83C68" w:rsidRDefault="00586207" w:rsidP="005E0FC3">
                  <w:pPr>
                    <w:rPr>
                      <w:rFonts w:ascii="Times New Roman" w:hAnsi="Times New Roman" w:cs="Times New Roman"/>
                      <w:sz w:val="24"/>
                      <w:szCs w:val="24"/>
                    </w:rPr>
                  </w:pPr>
                  <w:r w:rsidRPr="00B83C68">
                    <w:rPr>
                      <w:rFonts w:ascii="Times New Roman" w:hAnsi="Times New Roman" w:cs="Times New Roman"/>
                      <w:sz w:val="24"/>
                      <w:szCs w:val="24"/>
                    </w:rPr>
                    <w:t>lai nodrošinātu vidēja termiņa budžeta ietvara likumprojekta sagatavošanu:</w:t>
                  </w:r>
                </w:p>
              </w:tc>
              <w:tc>
                <w:tcPr>
                  <w:tcW w:w="1706" w:type="dxa"/>
                </w:tcPr>
                <w:p w14:paraId="1A67BA24" w14:textId="53CD5F3F" w:rsidR="00A72B37" w:rsidRPr="00B83C68" w:rsidRDefault="005A4D43" w:rsidP="00BB5239">
                  <w:pPr>
                    <w:jc w:val="both"/>
                    <w:rPr>
                      <w:rFonts w:ascii="Times New Roman" w:hAnsi="Times New Roman" w:cs="Times New Roman"/>
                      <w:sz w:val="24"/>
                      <w:szCs w:val="24"/>
                    </w:rPr>
                  </w:pPr>
                  <w:r w:rsidRPr="00B83C68">
                    <w:rPr>
                      <w:rFonts w:ascii="Times New Roman" w:hAnsi="Times New Roman" w:cs="Times New Roman"/>
                      <w:sz w:val="24"/>
                      <w:szCs w:val="24"/>
                    </w:rPr>
                    <w:t>15</w:t>
                  </w:r>
                </w:p>
              </w:tc>
            </w:tr>
            <w:tr w:rsidR="00A72B37" w:rsidRPr="00B83C68" w14:paraId="32FDD442" w14:textId="77777777" w:rsidTr="005E0FC3">
              <w:tc>
                <w:tcPr>
                  <w:tcW w:w="1197" w:type="dxa"/>
                </w:tcPr>
                <w:p w14:paraId="390FF857" w14:textId="23CB7230" w:rsidR="00A72B3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11.1.1.</w:t>
                  </w:r>
                </w:p>
              </w:tc>
              <w:tc>
                <w:tcPr>
                  <w:tcW w:w="7088" w:type="dxa"/>
                  <w:gridSpan w:val="2"/>
                </w:tcPr>
                <w:p w14:paraId="34B6FAD9" w14:textId="3BDFC238" w:rsidR="00A72B37" w:rsidRPr="00B83C68" w:rsidRDefault="00586207" w:rsidP="00344A25">
                  <w:pPr>
                    <w:jc w:val="both"/>
                    <w:rPr>
                      <w:rFonts w:ascii="Times New Roman" w:hAnsi="Times New Roman" w:cs="Times New Roman"/>
                      <w:sz w:val="24"/>
                      <w:szCs w:val="24"/>
                    </w:rPr>
                  </w:pPr>
                  <w:r w:rsidRPr="00B83C68">
                    <w:rPr>
                      <w:rFonts w:ascii="Times New Roman" w:hAnsi="Times New Roman" w:cs="Times New Roman"/>
                      <w:sz w:val="24"/>
                      <w:szCs w:val="24"/>
                    </w:rPr>
                    <w:t xml:space="preserve">sagatavot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pamatbudžeta vidēja termiņa bāzes izdevumu aprēķinus;</w:t>
                  </w:r>
                </w:p>
              </w:tc>
              <w:tc>
                <w:tcPr>
                  <w:tcW w:w="1706" w:type="dxa"/>
                </w:tcPr>
                <w:p w14:paraId="6AC2171E" w14:textId="77777777" w:rsidR="00A72B37" w:rsidRPr="00B83C68" w:rsidRDefault="00A72B37" w:rsidP="00BB5239">
                  <w:pPr>
                    <w:jc w:val="both"/>
                    <w:rPr>
                      <w:rFonts w:ascii="Times New Roman" w:hAnsi="Times New Roman" w:cs="Times New Roman"/>
                      <w:sz w:val="24"/>
                      <w:szCs w:val="24"/>
                    </w:rPr>
                  </w:pPr>
                </w:p>
              </w:tc>
            </w:tr>
            <w:tr w:rsidR="00A72B37" w:rsidRPr="00B83C68" w14:paraId="1F92354B" w14:textId="77777777" w:rsidTr="005E0FC3">
              <w:tc>
                <w:tcPr>
                  <w:tcW w:w="1197" w:type="dxa"/>
                </w:tcPr>
                <w:p w14:paraId="4EC4B334" w14:textId="44F7478E" w:rsidR="00A72B3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11.1.2.</w:t>
                  </w:r>
                </w:p>
              </w:tc>
              <w:tc>
                <w:tcPr>
                  <w:tcW w:w="7088" w:type="dxa"/>
                  <w:gridSpan w:val="2"/>
                </w:tcPr>
                <w:p w14:paraId="6B1BB9D0" w14:textId="0D4764F9" w:rsidR="00A72B37" w:rsidRPr="00B83C68" w:rsidRDefault="00586207">
                  <w:pPr>
                    <w:jc w:val="both"/>
                    <w:rPr>
                      <w:rFonts w:ascii="Times New Roman" w:hAnsi="Times New Roman" w:cs="Times New Roman"/>
                      <w:sz w:val="24"/>
                      <w:szCs w:val="24"/>
                    </w:rPr>
                  </w:pPr>
                  <w:r w:rsidRPr="00B83C68">
                    <w:rPr>
                      <w:rFonts w:ascii="Times New Roman" w:hAnsi="Times New Roman" w:cs="Times New Roman"/>
                      <w:sz w:val="24"/>
                      <w:szCs w:val="24"/>
                    </w:rPr>
                    <w:t>izvērtēt u</w:t>
                  </w:r>
                  <w:r w:rsidR="00E36687" w:rsidRPr="00B83C68">
                    <w:rPr>
                      <w:rFonts w:ascii="Times New Roman" w:hAnsi="Times New Roman" w:cs="Times New Roman"/>
                      <w:sz w:val="24"/>
                      <w:szCs w:val="24"/>
                    </w:rPr>
                    <w:t xml:space="preserve">n apkopot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00E36687" w:rsidRPr="00B83C68">
                    <w:rPr>
                      <w:rFonts w:ascii="Times New Roman" w:hAnsi="Times New Roman" w:cs="Times New Roman"/>
                      <w:sz w:val="24"/>
                      <w:szCs w:val="24"/>
                    </w:rPr>
                    <w:t>s</w:t>
                  </w:r>
                  <w:r w:rsidRPr="00B83C68">
                    <w:rPr>
                      <w:rFonts w:ascii="Times New Roman" w:hAnsi="Times New Roman" w:cs="Times New Roman"/>
                      <w:sz w:val="24"/>
                      <w:szCs w:val="24"/>
                    </w:rPr>
                    <w:t>agatavot</w:t>
                  </w:r>
                  <w:r w:rsidR="006E6BEC" w:rsidRPr="00B83C68">
                    <w:rPr>
                      <w:rFonts w:ascii="Times New Roman" w:hAnsi="Times New Roman" w:cs="Times New Roman"/>
                      <w:sz w:val="24"/>
                      <w:szCs w:val="24"/>
                    </w:rPr>
                    <w:t>os</w:t>
                  </w:r>
                  <w:r w:rsidRPr="00B83C68">
                    <w:rPr>
                      <w:rFonts w:ascii="Times New Roman" w:hAnsi="Times New Roman" w:cs="Times New Roman"/>
                      <w:sz w:val="24"/>
                      <w:szCs w:val="24"/>
                    </w:rPr>
                    <w:t xml:space="preserve"> </w:t>
                  </w:r>
                  <w:r w:rsidR="006E6BEC" w:rsidRPr="00B83C68">
                    <w:rPr>
                      <w:rFonts w:ascii="Times New Roman" w:hAnsi="Times New Roman" w:cs="Times New Roman"/>
                      <w:sz w:val="24"/>
                      <w:szCs w:val="24"/>
                    </w:rPr>
                    <w:t>prioritāro pasākumu pieteikumus</w:t>
                  </w:r>
                  <w:r w:rsidRPr="00B83C68">
                    <w:rPr>
                      <w:rFonts w:ascii="Times New Roman" w:hAnsi="Times New Roman" w:cs="Times New Roman"/>
                      <w:sz w:val="24"/>
                      <w:szCs w:val="24"/>
                    </w:rPr>
                    <w:t>;</w:t>
                  </w:r>
                </w:p>
              </w:tc>
              <w:tc>
                <w:tcPr>
                  <w:tcW w:w="1706" w:type="dxa"/>
                </w:tcPr>
                <w:p w14:paraId="21B45E4B" w14:textId="77777777" w:rsidR="00A72B37" w:rsidRPr="00B83C68" w:rsidRDefault="00A72B37" w:rsidP="00BB5239">
                  <w:pPr>
                    <w:jc w:val="both"/>
                    <w:rPr>
                      <w:rFonts w:ascii="Times New Roman" w:hAnsi="Times New Roman" w:cs="Times New Roman"/>
                      <w:sz w:val="24"/>
                      <w:szCs w:val="24"/>
                    </w:rPr>
                  </w:pPr>
                </w:p>
              </w:tc>
            </w:tr>
            <w:tr w:rsidR="00586207" w:rsidRPr="00B83C68" w14:paraId="6BDE439D" w14:textId="77777777" w:rsidTr="005E0FC3">
              <w:tc>
                <w:tcPr>
                  <w:tcW w:w="1197" w:type="dxa"/>
                </w:tcPr>
                <w:p w14:paraId="78B23CFE" w14:textId="10D7CC50" w:rsidR="0058620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11.1.3.</w:t>
                  </w:r>
                </w:p>
              </w:tc>
              <w:tc>
                <w:tcPr>
                  <w:tcW w:w="7088" w:type="dxa"/>
                  <w:gridSpan w:val="2"/>
                </w:tcPr>
                <w:p w14:paraId="68DAC564" w14:textId="2602C542" w:rsidR="00586207" w:rsidRPr="00B83C68" w:rsidRDefault="00586207" w:rsidP="00E36687">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sagatavot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maksimāli pieļaujamo pamatbudžeta izdevumu apjomu vidējam termiņam;</w:t>
                  </w:r>
                </w:p>
              </w:tc>
              <w:tc>
                <w:tcPr>
                  <w:tcW w:w="1706" w:type="dxa"/>
                </w:tcPr>
                <w:p w14:paraId="2BD37FE5" w14:textId="77777777" w:rsidR="00586207" w:rsidRPr="00B83C68" w:rsidRDefault="00586207" w:rsidP="00BB5239">
                  <w:pPr>
                    <w:jc w:val="both"/>
                    <w:rPr>
                      <w:rFonts w:ascii="Times New Roman" w:hAnsi="Times New Roman" w:cs="Times New Roman"/>
                      <w:sz w:val="24"/>
                      <w:szCs w:val="24"/>
                    </w:rPr>
                  </w:pPr>
                </w:p>
              </w:tc>
            </w:tr>
            <w:tr w:rsidR="00586207" w:rsidRPr="00B83C68" w14:paraId="796ADF5B" w14:textId="77777777" w:rsidTr="005E0FC3">
              <w:tc>
                <w:tcPr>
                  <w:tcW w:w="1197" w:type="dxa"/>
                </w:tcPr>
                <w:p w14:paraId="33ECCB3C" w14:textId="0CD50F34" w:rsidR="0058620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11.1.4.</w:t>
                  </w:r>
                </w:p>
              </w:tc>
              <w:tc>
                <w:tcPr>
                  <w:tcW w:w="7088" w:type="dxa"/>
                  <w:gridSpan w:val="2"/>
                </w:tcPr>
                <w:p w14:paraId="1E3D9DD5" w14:textId="2DD8DF1B" w:rsidR="00586207" w:rsidRPr="00B83C68" w:rsidRDefault="00586207" w:rsidP="00E36687">
                  <w:pPr>
                    <w:jc w:val="both"/>
                    <w:rPr>
                      <w:rFonts w:ascii="Times New Roman" w:hAnsi="Times New Roman" w:cs="Times New Roman"/>
                      <w:sz w:val="24"/>
                      <w:szCs w:val="24"/>
                    </w:rPr>
                  </w:pPr>
                  <w:r w:rsidRPr="00B83C68">
                    <w:rPr>
                      <w:rFonts w:ascii="Times New Roman" w:hAnsi="Times New Roman" w:cs="Times New Roman"/>
                      <w:sz w:val="24"/>
                      <w:szCs w:val="24"/>
                    </w:rPr>
                    <w:t>sagatavot analītiskos aprēķinus un informācijas kopsavil</w:t>
                  </w:r>
                  <w:r w:rsidR="00E36687" w:rsidRPr="00B83C68">
                    <w:rPr>
                      <w:rFonts w:ascii="Times New Roman" w:hAnsi="Times New Roman" w:cs="Times New Roman"/>
                      <w:sz w:val="24"/>
                      <w:szCs w:val="24"/>
                    </w:rPr>
                    <w:t xml:space="preserve">kumus par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pamatbudžetu, lai nodrošinātu ar vidēja termiņa budžeta ietvara likumprojekta izstrādi saistītu lēmumu pieņemšanu;</w:t>
                  </w:r>
                </w:p>
              </w:tc>
              <w:tc>
                <w:tcPr>
                  <w:tcW w:w="1706" w:type="dxa"/>
                </w:tcPr>
                <w:p w14:paraId="3CDCB079" w14:textId="77777777" w:rsidR="00586207" w:rsidRPr="00B83C68" w:rsidRDefault="00586207" w:rsidP="00BB5239">
                  <w:pPr>
                    <w:jc w:val="both"/>
                    <w:rPr>
                      <w:rFonts w:ascii="Times New Roman" w:hAnsi="Times New Roman" w:cs="Times New Roman"/>
                      <w:sz w:val="24"/>
                      <w:szCs w:val="24"/>
                    </w:rPr>
                  </w:pPr>
                </w:p>
              </w:tc>
            </w:tr>
            <w:tr w:rsidR="00586207" w:rsidRPr="00B83C68" w14:paraId="36D4B3A5" w14:textId="77777777" w:rsidTr="005E0FC3">
              <w:tc>
                <w:tcPr>
                  <w:tcW w:w="1197" w:type="dxa"/>
                </w:tcPr>
                <w:p w14:paraId="5DFA723E" w14:textId="0AC6BDD6" w:rsidR="0058620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11.1.5.</w:t>
                  </w:r>
                </w:p>
              </w:tc>
              <w:tc>
                <w:tcPr>
                  <w:tcW w:w="7088" w:type="dxa"/>
                  <w:gridSpan w:val="2"/>
                </w:tcPr>
                <w:p w14:paraId="6BFD9361" w14:textId="0E5C748F" w:rsidR="00586207" w:rsidRPr="00B83C68" w:rsidRDefault="00586207" w:rsidP="00586207">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atbilstoši kompetencei piedalīties vidēja termiņa budžeta ietvara likumprojekta paskaidrojumu sagatavošanā;</w:t>
                  </w:r>
                </w:p>
              </w:tc>
              <w:tc>
                <w:tcPr>
                  <w:tcW w:w="1706" w:type="dxa"/>
                </w:tcPr>
                <w:p w14:paraId="7A0BEECA" w14:textId="77777777" w:rsidR="00586207" w:rsidRPr="00B83C68" w:rsidRDefault="00586207" w:rsidP="00BB5239">
                  <w:pPr>
                    <w:jc w:val="both"/>
                    <w:rPr>
                      <w:rFonts w:ascii="Times New Roman" w:hAnsi="Times New Roman" w:cs="Times New Roman"/>
                      <w:sz w:val="24"/>
                      <w:szCs w:val="24"/>
                    </w:rPr>
                  </w:pPr>
                </w:p>
              </w:tc>
            </w:tr>
            <w:tr w:rsidR="00586207" w:rsidRPr="00B83C68" w14:paraId="395D1A55" w14:textId="77777777" w:rsidTr="005E0FC3">
              <w:tc>
                <w:tcPr>
                  <w:tcW w:w="1197" w:type="dxa"/>
                </w:tcPr>
                <w:p w14:paraId="2E03F88D" w14:textId="0BF0510B" w:rsidR="0058620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11.1.6.</w:t>
                  </w:r>
                </w:p>
              </w:tc>
              <w:tc>
                <w:tcPr>
                  <w:tcW w:w="7088" w:type="dxa"/>
                  <w:gridSpan w:val="2"/>
                </w:tcPr>
                <w:p w14:paraId="6962FBD5" w14:textId="6A4032E1" w:rsidR="00586207" w:rsidRPr="00B83C68" w:rsidRDefault="00586207" w:rsidP="00F92F45">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un </w:t>
                  </w:r>
                  <w:r w:rsidR="00E36687" w:rsidRPr="00B83C68">
                    <w:rPr>
                      <w:rFonts w:ascii="Times New Roman" w:hAnsi="Times New Roman" w:cs="Times New Roman"/>
                      <w:sz w:val="24"/>
                      <w:szCs w:val="24"/>
                    </w:rPr>
                    <w:t xml:space="preserve">apkopot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iesniegtos priekšlikumus vidēja termiņa budžeta ietvara likumprojekta 2.lasījumam;</w:t>
                  </w:r>
                </w:p>
              </w:tc>
              <w:tc>
                <w:tcPr>
                  <w:tcW w:w="1706" w:type="dxa"/>
                </w:tcPr>
                <w:p w14:paraId="15640694" w14:textId="77777777" w:rsidR="00586207" w:rsidRPr="00B83C68" w:rsidRDefault="00586207" w:rsidP="00BB5239">
                  <w:pPr>
                    <w:jc w:val="both"/>
                    <w:rPr>
                      <w:rFonts w:ascii="Times New Roman" w:hAnsi="Times New Roman" w:cs="Times New Roman"/>
                      <w:sz w:val="24"/>
                      <w:szCs w:val="24"/>
                    </w:rPr>
                  </w:pPr>
                </w:p>
              </w:tc>
            </w:tr>
            <w:tr w:rsidR="00586207" w:rsidRPr="00B83C68" w14:paraId="222C6A91" w14:textId="77777777" w:rsidTr="005E0FC3">
              <w:tc>
                <w:tcPr>
                  <w:tcW w:w="1197" w:type="dxa"/>
                </w:tcPr>
                <w:p w14:paraId="4C5092B8" w14:textId="2AEE3DE2" w:rsidR="00586207" w:rsidRPr="00B83C68" w:rsidRDefault="00586207" w:rsidP="00BB5239">
                  <w:pPr>
                    <w:jc w:val="both"/>
                    <w:rPr>
                      <w:rFonts w:ascii="Times New Roman" w:hAnsi="Times New Roman" w:cs="Times New Roman"/>
                      <w:sz w:val="24"/>
                      <w:szCs w:val="24"/>
                    </w:rPr>
                  </w:pPr>
                  <w:r w:rsidRPr="00B83C68">
                    <w:rPr>
                      <w:rFonts w:ascii="Times New Roman" w:hAnsi="Times New Roman" w:cs="Times New Roman"/>
                      <w:sz w:val="24"/>
                      <w:szCs w:val="24"/>
                    </w:rPr>
                    <w:t>11.2.</w:t>
                  </w:r>
                </w:p>
              </w:tc>
              <w:tc>
                <w:tcPr>
                  <w:tcW w:w="7088" w:type="dxa"/>
                  <w:gridSpan w:val="2"/>
                </w:tcPr>
                <w:p w14:paraId="4A19879E" w14:textId="342CD797" w:rsidR="00586207" w:rsidRPr="00B83C68" w:rsidRDefault="00586207" w:rsidP="00586207">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lai nodrošinātu gadskārtējā valsts budžeta likumprojekta un tā paskaidrojumu izstrādāšanu: </w:t>
                  </w:r>
                </w:p>
              </w:tc>
              <w:tc>
                <w:tcPr>
                  <w:tcW w:w="1706" w:type="dxa"/>
                </w:tcPr>
                <w:p w14:paraId="50748C05" w14:textId="29E3AEBF" w:rsidR="00586207" w:rsidRPr="00B83C68" w:rsidRDefault="00A572A3" w:rsidP="00BB5239">
                  <w:pPr>
                    <w:jc w:val="both"/>
                    <w:rPr>
                      <w:rFonts w:ascii="Times New Roman" w:hAnsi="Times New Roman" w:cs="Times New Roman"/>
                      <w:sz w:val="24"/>
                      <w:szCs w:val="24"/>
                    </w:rPr>
                  </w:pPr>
                  <w:r w:rsidRPr="00B83C68">
                    <w:rPr>
                      <w:rFonts w:ascii="Times New Roman" w:hAnsi="Times New Roman" w:cs="Times New Roman"/>
                      <w:sz w:val="24"/>
                      <w:szCs w:val="24"/>
                    </w:rPr>
                    <w:t>10</w:t>
                  </w:r>
                </w:p>
              </w:tc>
            </w:tr>
            <w:tr w:rsidR="00586207" w:rsidRPr="00B83C68" w14:paraId="102C2D68" w14:textId="77777777" w:rsidTr="005E0FC3">
              <w:tc>
                <w:tcPr>
                  <w:tcW w:w="1197" w:type="dxa"/>
                </w:tcPr>
                <w:p w14:paraId="569F0E3A" w14:textId="375797CB" w:rsidR="0058620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lastRenderedPageBreak/>
                    <w:t>11.2.1.</w:t>
                  </w:r>
                </w:p>
              </w:tc>
              <w:tc>
                <w:tcPr>
                  <w:tcW w:w="7088" w:type="dxa"/>
                  <w:gridSpan w:val="2"/>
                </w:tcPr>
                <w:p w14:paraId="2EF1B511" w14:textId="05605D5F" w:rsidR="00586207" w:rsidRPr="00B83C68" w:rsidRDefault="00586207" w:rsidP="00E36687">
                  <w:pPr>
                    <w:jc w:val="both"/>
                    <w:rPr>
                      <w:rFonts w:ascii="Times New Roman" w:hAnsi="Times New Roman" w:cs="Times New Roman"/>
                      <w:sz w:val="24"/>
                      <w:szCs w:val="24"/>
                    </w:rPr>
                  </w:pPr>
                  <w:r w:rsidRPr="00B83C68">
                    <w:rPr>
                      <w:rFonts w:ascii="Times New Roman" w:hAnsi="Times New Roman" w:cs="Times New Roman"/>
                      <w:sz w:val="24"/>
                      <w:szCs w:val="24"/>
                    </w:rPr>
                    <w:t>sagatavot analītiskos aprēķinus un informācijas kopsavil</w:t>
                  </w:r>
                  <w:r w:rsidR="00E36687" w:rsidRPr="00B83C68">
                    <w:rPr>
                      <w:rFonts w:ascii="Times New Roman" w:hAnsi="Times New Roman" w:cs="Times New Roman"/>
                      <w:sz w:val="24"/>
                      <w:szCs w:val="24"/>
                    </w:rPr>
                    <w:t xml:space="preserve">kumus par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pamatbudžetu, lai nodrošinātu ar budžeta likumprojekta izstrādi saistītu lēmumu pieņemšanu;</w:t>
                  </w:r>
                </w:p>
              </w:tc>
              <w:tc>
                <w:tcPr>
                  <w:tcW w:w="1706" w:type="dxa"/>
                </w:tcPr>
                <w:p w14:paraId="09BC1988" w14:textId="77777777" w:rsidR="00586207" w:rsidRPr="00B83C68" w:rsidRDefault="00586207" w:rsidP="00BB5239">
                  <w:pPr>
                    <w:jc w:val="both"/>
                    <w:rPr>
                      <w:rFonts w:ascii="Times New Roman" w:hAnsi="Times New Roman" w:cs="Times New Roman"/>
                      <w:sz w:val="24"/>
                      <w:szCs w:val="24"/>
                    </w:rPr>
                  </w:pPr>
                </w:p>
              </w:tc>
            </w:tr>
            <w:tr w:rsidR="00586207" w:rsidRPr="00B83C68" w14:paraId="760F6EF7" w14:textId="77777777" w:rsidTr="005E0FC3">
              <w:tc>
                <w:tcPr>
                  <w:tcW w:w="1197" w:type="dxa"/>
                </w:tcPr>
                <w:p w14:paraId="5030BF47" w14:textId="6DE4FDC0" w:rsidR="00586207" w:rsidRPr="00B83C68" w:rsidRDefault="00586207" w:rsidP="005E0FC3">
                  <w:pPr>
                    <w:jc w:val="right"/>
                    <w:rPr>
                      <w:rFonts w:ascii="Times New Roman" w:hAnsi="Times New Roman" w:cs="Times New Roman"/>
                      <w:sz w:val="24"/>
                      <w:szCs w:val="24"/>
                    </w:rPr>
                  </w:pPr>
                  <w:r w:rsidRPr="00B83C68">
                    <w:rPr>
                      <w:rFonts w:ascii="Times New Roman" w:hAnsi="Times New Roman" w:cs="Times New Roman"/>
                      <w:sz w:val="24"/>
                      <w:szCs w:val="24"/>
                    </w:rPr>
                    <w:t>11.2.2.</w:t>
                  </w:r>
                </w:p>
              </w:tc>
              <w:tc>
                <w:tcPr>
                  <w:tcW w:w="7088" w:type="dxa"/>
                  <w:gridSpan w:val="2"/>
                </w:tcPr>
                <w:p w14:paraId="7926DAA2" w14:textId="6A4EB6BE" w:rsidR="00586207" w:rsidRPr="00B83C68" w:rsidRDefault="00586207" w:rsidP="00586207">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atbilstoši kompetencei sagatavot gadskārtējā valsts budžeta likumprojekta paskaidrojumus;</w:t>
                  </w:r>
                </w:p>
              </w:tc>
              <w:tc>
                <w:tcPr>
                  <w:tcW w:w="1706" w:type="dxa"/>
                </w:tcPr>
                <w:p w14:paraId="629E82DE" w14:textId="77777777" w:rsidR="00586207" w:rsidRPr="00B83C68" w:rsidRDefault="00586207" w:rsidP="00BB5239">
                  <w:pPr>
                    <w:jc w:val="both"/>
                    <w:rPr>
                      <w:rFonts w:ascii="Times New Roman" w:hAnsi="Times New Roman" w:cs="Times New Roman"/>
                      <w:sz w:val="24"/>
                      <w:szCs w:val="24"/>
                    </w:rPr>
                  </w:pPr>
                </w:p>
              </w:tc>
            </w:tr>
            <w:tr w:rsidR="0005798E" w:rsidRPr="00B83C68" w14:paraId="54AB84C1" w14:textId="77777777" w:rsidTr="005E0FC3">
              <w:tc>
                <w:tcPr>
                  <w:tcW w:w="1197" w:type="dxa"/>
                </w:tcPr>
                <w:p w14:paraId="681597AE" w14:textId="47668D06" w:rsidR="0005798E" w:rsidRPr="00B83C68" w:rsidRDefault="0005798E" w:rsidP="005E0FC3">
                  <w:pPr>
                    <w:jc w:val="right"/>
                    <w:rPr>
                      <w:rFonts w:ascii="Times New Roman" w:hAnsi="Times New Roman" w:cs="Times New Roman"/>
                      <w:sz w:val="24"/>
                      <w:szCs w:val="24"/>
                    </w:rPr>
                  </w:pPr>
                  <w:r w:rsidRPr="00B83C68">
                    <w:rPr>
                      <w:rFonts w:ascii="Times New Roman" w:hAnsi="Times New Roman" w:cs="Times New Roman"/>
                      <w:sz w:val="24"/>
                      <w:szCs w:val="24"/>
                    </w:rPr>
                    <w:t>11.2.3.</w:t>
                  </w:r>
                </w:p>
              </w:tc>
              <w:tc>
                <w:tcPr>
                  <w:tcW w:w="7088" w:type="dxa"/>
                  <w:gridSpan w:val="2"/>
                </w:tcPr>
                <w:p w14:paraId="1F68EDF7" w14:textId="5310D274" w:rsidR="0005798E" w:rsidRPr="00B83C68" w:rsidRDefault="0005798E" w:rsidP="00586207">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piedalīties gadskārtējā valsts budžeta likumprojekta slepeno izdevumu izklāsta un paskaidrojumu sagatavošanā;</w:t>
                  </w:r>
                </w:p>
              </w:tc>
              <w:tc>
                <w:tcPr>
                  <w:tcW w:w="1706" w:type="dxa"/>
                </w:tcPr>
                <w:p w14:paraId="177DEAF5" w14:textId="77777777" w:rsidR="0005798E" w:rsidRPr="00B83C68" w:rsidRDefault="0005798E" w:rsidP="00BB5239">
                  <w:pPr>
                    <w:jc w:val="both"/>
                    <w:rPr>
                      <w:rFonts w:ascii="Times New Roman" w:hAnsi="Times New Roman" w:cs="Times New Roman"/>
                      <w:sz w:val="24"/>
                      <w:szCs w:val="24"/>
                    </w:rPr>
                  </w:pPr>
                </w:p>
              </w:tc>
            </w:tr>
            <w:tr w:rsidR="00586207" w:rsidRPr="00B83C68" w14:paraId="36DE0104" w14:textId="77777777" w:rsidTr="005E0FC3">
              <w:tc>
                <w:tcPr>
                  <w:tcW w:w="1197" w:type="dxa"/>
                </w:tcPr>
                <w:p w14:paraId="0DEDF140" w14:textId="715DEFAB" w:rsidR="00586207" w:rsidRPr="00B83C68" w:rsidRDefault="0005798E" w:rsidP="005E0FC3">
                  <w:pPr>
                    <w:jc w:val="right"/>
                    <w:rPr>
                      <w:rFonts w:ascii="Times New Roman" w:hAnsi="Times New Roman" w:cs="Times New Roman"/>
                      <w:sz w:val="24"/>
                      <w:szCs w:val="24"/>
                    </w:rPr>
                  </w:pPr>
                  <w:r w:rsidRPr="00B83C68">
                    <w:rPr>
                      <w:rFonts w:ascii="Times New Roman" w:hAnsi="Times New Roman" w:cs="Times New Roman"/>
                      <w:sz w:val="24"/>
                      <w:szCs w:val="24"/>
                    </w:rPr>
                    <w:t>11.2.4</w:t>
                  </w:r>
                  <w:r w:rsidR="00586207" w:rsidRPr="00B83C68">
                    <w:rPr>
                      <w:rFonts w:ascii="Times New Roman" w:hAnsi="Times New Roman" w:cs="Times New Roman"/>
                      <w:sz w:val="24"/>
                      <w:szCs w:val="24"/>
                    </w:rPr>
                    <w:t>.</w:t>
                  </w:r>
                </w:p>
              </w:tc>
              <w:tc>
                <w:tcPr>
                  <w:tcW w:w="7088" w:type="dxa"/>
                  <w:gridSpan w:val="2"/>
                </w:tcPr>
                <w:p w14:paraId="7C4CEA28" w14:textId="32ADE042" w:rsidR="00586207" w:rsidRPr="00B83C68" w:rsidRDefault="00586207" w:rsidP="00F92F45">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un apkopot </w:t>
                  </w:r>
                  <w:r w:rsidR="00B24165">
                    <w:rPr>
                      <w:rFonts w:ascii="Times New Roman" w:hAnsi="Times New Roman" w:cs="Times New Roman"/>
                      <w:sz w:val="24"/>
                      <w:szCs w:val="24"/>
                    </w:rPr>
                    <w:t>Iekšlietu</w:t>
                  </w:r>
                  <w:r w:rsidR="00B24165" w:rsidRPr="00B83C68">
                    <w:rPr>
                      <w:rFonts w:ascii="Times New Roman" w:hAnsi="Times New Roman" w:cs="Times New Roman"/>
                      <w:sz w:val="24"/>
                      <w:szCs w:val="24"/>
                    </w:rPr>
                    <w:t xml:space="preserve"> ministrijas </w:t>
                  </w:r>
                  <w:r w:rsidRPr="00B83C68">
                    <w:rPr>
                      <w:rFonts w:ascii="Times New Roman" w:hAnsi="Times New Roman" w:cs="Times New Roman"/>
                      <w:sz w:val="24"/>
                      <w:szCs w:val="24"/>
                    </w:rPr>
                    <w:t>iesniegtos priekšlikumus gadskārtējā valsts budžeta likumprojekta 2.lasījumam;</w:t>
                  </w:r>
                </w:p>
              </w:tc>
              <w:tc>
                <w:tcPr>
                  <w:tcW w:w="1706" w:type="dxa"/>
                </w:tcPr>
                <w:p w14:paraId="2DBFEC6E" w14:textId="77777777" w:rsidR="00586207" w:rsidRPr="00B83C68" w:rsidRDefault="00586207" w:rsidP="00BB5239">
                  <w:pPr>
                    <w:jc w:val="both"/>
                    <w:rPr>
                      <w:rFonts w:ascii="Times New Roman" w:hAnsi="Times New Roman" w:cs="Times New Roman"/>
                      <w:sz w:val="24"/>
                      <w:szCs w:val="24"/>
                    </w:rPr>
                  </w:pPr>
                </w:p>
              </w:tc>
            </w:tr>
            <w:tr w:rsidR="00586207" w:rsidRPr="00B83C68" w14:paraId="0F66A8B6" w14:textId="77777777" w:rsidTr="005E0FC3">
              <w:tc>
                <w:tcPr>
                  <w:tcW w:w="1197" w:type="dxa"/>
                </w:tcPr>
                <w:p w14:paraId="613CB849" w14:textId="5EDEC273" w:rsidR="00586207" w:rsidRPr="00B83C68" w:rsidRDefault="0005798E" w:rsidP="005E0FC3">
                  <w:pPr>
                    <w:jc w:val="right"/>
                    <w:rPr>
                      <w:rFonts w:ascii="Times New Roman" w:hAnsi="Times New Roman" w:cs="Times New Roman"/>
                      <w:sz w:val="24"/>
                      <w:szCs w:val="24"/>
                    </w:rPr>
                  </w:pPr>
                  <w:r w:rsidRPr="00B83C68">
                    <w:rPr>
                      <w:rFonts w:ascii="Times New Roman" w:hAnsi="Times New Roman" w:cs="Times New Roman"/>
                      <w:sz w:val="24"/>
                      <w:szCs w:val="24"/>
                    </w:rPr>
                    <w:t>11.2.5</w:t>
                  </w:r>
                  <w:r w:rsidR="00586207" w:rsidRPr="00B83C68">
                    <w:rPr>
                      <w:rFonts w:ascii="Times New Roman" w:hAnsi="Times New Roman" w:cs="Times New Roman"/>
                      <w:sz w:val="24"/>
                      <w:szCs w:val="24"/>
                    </w:rPr>
                    <w:t>.</w:t>
                  </w:r>
                </w:p>
              </w:tc>
              <w:tc>
                <w:tcPr>
                  <w:tcW w:w="7088" w:type="dxa"/>
                  <w:gridSpan w:val="2"/>
                </w:tcPr>
                <w:p w14:paraId="7176BA08" w14:textId="6DE4CCD7" w:rsidR="00586207" w:rsidRPr="00B83C68" w:rsidRDefault="00586207" w:rsidP="00E41B8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pēc gadskārtējā valsts budžeta likuma pieņemšanas atbilstoši kompetencei nodrošināt valsts budžeta paskaidrojumu aktualizēšanu;</w:t>
                  </w:r>
                </w:p>
              </w:tc>
              <w:tc>
                <w:tcPr>
                  <w:tcW w:w="1706" w:type="dxa"/>
                </w:tcPr>
                <w:p w14:paraId="72CBCC39" w14:textId="77777777" w:rsidR="00586207" w:rsidRPr="00B83C68" w:rsidRDefault="00586207" w:rsidP="00BB5239">
                  <w:pPr>
                    <w:jc w:val="both"/>
                    <w:rPr>
                      <w:rFonts w:ascii="Times New Roman" w:hAnsi="Times New Roman" w:cs="Times New Roman"/>
                      <w:sz w:val="24"/>
                      <w:szCs w:val="24"/>
                    </w:rPr>
                  </w:pPr>
                </w:p>
              </w:tc>
            </w:tr>
            <w:tr w:rsidR="00440B40" w:rsidRPr="00B83C68" w14:paraId="489154E4" w14:textId="1302C129" w:rsidTr="009F2820">
              <w:tc>
                <w:tcPr>
                  <w:tcW w:w="1197" w:type="dxa"/>
                </w:tcPr>
                <w:p w14:paraId="205A944E" w14:textId="5647BB56" w:rsidR="00440B40" w:rsidRPr="00B83C68" w:rsidRDefault="00440B40" w:rsidP="00817D0F">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2.6</w:t>
                  </w:r>
                  <w:r w:rsidRPr="00B83C68">
                    <w:rPr>
                      <w:rFonts w:ascii="Times New Roman" w:hAnsi="Times New Roman" w:cs="Times New Roman"/>
                      <w:sz w:val="24"/>
                      <w:szCs w:val="24"/>
                    </w:rPr>
                    <w:t>.</w:t>
                  </w:r>
                </w:p>
              </w:tc>
              <w:tc>
                <w:tcPr>
                  <w:tcW w:w="7088" w:type="dxa"/>
                  <w:gridSpan w:val="2"/>
                </w:tcPr>
                <w:p w14:paraId="4DF8458F" w14:textId="77777777"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lai nodrošinātu gadskārtējā valsts budžeta likuma grozījumu sagatavošanu:</w:t>
                  </w:r>
                </w:p>
              </w:tc>
              <w:tc>
                <w:tcPr>
                  <w:tcW w:w="1706" w:type="dxa"/>
                </w:tcPr>
                <w:p w14:paraId="6BB8F405" w14:textId="77C4865E" w:rsidR="00440B40" w:rsidRPr="00B83C68" w:rsidRDefault="00440B40" w:rsidP="00440B40">
                  <w:pPr>
                    <w:rPr>
                      <w:rFonts w:ascii="Times New Roman" w:hAnsi="Times New Roman" w:cs="Times New Roman"/>
                      <w:sz w:val="24"/>
                      <w:szCs w:val="24"/>
                    </w:rPr>
                  </w:pPr>
                </w:p>
              </w:tc>
            </w:tr>
            <w:tr w:rsidR="00440B40" w:rsidRPr="00B83C68" w14:paraId="495F7D00" w14:textId="2321E56F" w:rsidTr="009F2820">
              <w:tc>
                <w:tcPr>
                  <w:tcW w:w="1197" w:type="dxa"/>
                </w:tcPr>
                <w:p w14:paraId="0A7295C8" w14:textId="01F483F9"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2.</w:t>
                  </w:r>
                  <w:r w:rsidRPr="00B83C68">
                    <w:rPr>
                      <w:rFonts w:ascii="Times New Roman" w:hAnsi="Times New Roman" w:cs="Times New Roman"/>
                      <w:sz w:val="24"/>
                      <w:szCs w:val="24"/>
                    </w:rPr>
                    <w:t>6.1.</w:t>
                  </w:r>
                </w:p>
              </w:tc>
              <w:tc>
                <w:tcPr>
                  <w:tcW w:w="7088" w:type="dxa"/>
                  <w:gridSpan w:val="2"/>
                </w:tcPr>
                <w:p w14:paraId="68E8E329" w14:textId="7777777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sagatavot analītiskos aprēķinus un informācijas kopsavilkumus par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pamatbudžetu, lai nodrošinātu ar grozījumu gadskārtējā budžeta likumā saistītu lēmumu pieņemšanu;</w:t>
                  </w:r>
                </w:p>
              </w:tc>
              <w:tc>
                <w:tcPr>
                  <w:tcW w:w="1706" w:type="dxa"/>
                </w:tcPr>
                <w:p w14:paraId="666B9ACE" w14:textId="4963C600" w:rsidR="00440B40" w:rsidRPr="00B83C68" w:rsidRDefault="00440B40" w:rsidP="00440B40">
                  <w:pPr>
                    <w:rPr>
                      <w:rFonts w:ascii="Times New Roman" w:hAnsi="Times New Roman" w:cs="Times New Roman"/>
                      <w:sz w:val="24"/>
                      <w:szCs w:val="24"/>
                    </w:rPr>
                  </w:pPr>
                </w:p>
              </w:tc>
            </w:tr>
            <w:tr w:rsidR="00440B40" w:rsidRPr="00B83C68" w14:paraId="72E3CC16" w14:textId="3A2A2DA3" w:rsidTr="009F2820">
              <w:tc>
                <w:tcPr>
                  <w:tcW w:w="1197" w:type="dxa"/>
                </w:tcPr>
                <w:p w14:paraId="6F4B526C" w14:textId="319CAA3A"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2.</w:t>
                  </w:r>
                  <w:r w:rsidRPr="00B83C68">
                    <w:rPr>
                      <w:rFonts w:ascii="Times New Roman" w:hAnsi="Times New Roman" w:cs="Times New Roman"/>
                      <w:sz w:val="24"/>
                      <w:szCs w:val="24"/>
                    </w:rPr>
                    <w:t>6.2.</w:t>
                  </w:r>
                </w:p>
              </w:tc>
              <w:tc>
                <w:tcPr>
                  <w:tcW w:w="7088" w:type="dxa"/>
                  <w:gridSpan w:val="2"/>
                </w:tcPr>
                <w:p w14:paraId="37A5E8E1" w14:textId="5A9640F9"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atbilstoši kompetencei sagatavot attiecīgās sadaļas </w:t>
                  </w:r>
                  <w:r>
                    <w:rPr>
                      <w:rFonts w:ascii="Times New Roman" w:hAnsi="Times New Roman" w:cs="Times New Roman"/>
                      <w:sz w:val="24"/>
                      <w:szCs w:val="24"/>
                    </w:rPr>
                    <w:t xml:space="preserve">un paskaidrojumus </w:t>
                  </w:r>
                  <w:r w:rsidRPr="00B83C68">
                    <w:rPr>
                      <w:rFonts w:ascii="Times New Roman" w:hAnsi="Times New Roman" w:cs="Times New Roman"/>
                      <w:sz w:val="24"/>
                      <w:szCs w:val="24"/>
                    </w:rPr>
                    <w:t xml:space="preserve">gadskārtējā valsts budžeta likuma grozījumu likumprojektam; </w:t>
                  </w:r>
                </w:p>
              </w:tc>
              <w:tc>
                <w:tcPr>
                  <w:tcW w:w="1706" w:type="dxa"/>
                </w:tcPr>
                <w:p w14:paraId="7F25ABBD" w14:textId="13AFBF9A" w:rsidR="00440B40" w:rsidRPr="00B83C68" w:rsidRDefault="00440B40" w:rsidP="00440B40">
                  <w:pPr>
                    <w:rPr>
                      <w:rFonts w:ascii="Times New Roman" w:hAnsi="Times New Roman" w:cs="Times New Roman"/>
                      <w:sz w:val="24"/>
                      <w:szCs w:val="24"/>
                    </w:rPr>
                  </w:pPr>
                </w:p>
              </w:tc>
            </w:tr>
            <w:tr w:rsidR="00440B40" w:rsidRPr="00B83C68" w14:paraId="09F576BD" w14:textId="54E414F5" w:rsidTr="009F2820">
              <w:tc>
                <w:tcPr>
                  <w:tcW w:w="1197" w:type="dxa"/>
                </w:tcPr>
                <w:p w14:paraId="28196BB8" w14:textId="67686535"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2.</w:t>
                  </w:r>
                  <w:r w:rsidRPr="00B83C68">
                    <w:rPr>
                      <w:rFonts w:ascii="Times New Roman" w:hAnsi="Times New Roman" w:cs="Times New Roman"/>
                      <w:sz w:val="24"/>
                      <w:szCs w:val="24"/>
                    </w:rPr>
                    <w:t>6.</w:t>
                  </w:r>
                  <w:r>
                    <w:rPr>
                      <w:rFonts w:ascii="Times New Roman" w:hAnsi="Times New Roman" w:cs="Times New Roman"/>
                      <w:sz w:val="24"/>
                      <w:szCs w:val="24"/>
                    </w:rPr>
                    <w:t>3</w:t>
                  </w:r>
                  <w:r w:rsidRPr="00B83C68">
                    <w:rPr>
                      <w:rFonts w:ascii="Times New Roman" w:hAnsi="Times New Roman" w:cs="Times New Roman"/>
                      <w:sz w:val="24"/>
                      <w:szCs w:val="24"/>
                    </w:rPr>
                    <w:t>.</w:t>
                  </w:r>
                </w:p>
              </w:tc>
              <w:tc>
                <w:tcPr>
                  <w:tcW w:w="7088" w:type="dxa"/>
                  <w:gridSpan w:val="2"/>
                </w:tcPr>
                <w:p w14:paraId="724631E8" w14:textId="7777777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un apkopot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priekšlikumus gadskārtējā valsts budžeta likuma grozījumu likumprojekta 2.lasījumam;</w:t>
                  </w:r>
                </w:p>
              </w:tc>
              <w:tc>
                <w:tcPr>
                  <w:tcW w:w="1706" w:type="dxa"/>
                </w:tcPr>
                <w:p w14:paraId="4D04EB3F" w14:textId="58562301" w:rsidR="00440B40" w:rsidRPr="00B83C68" w:rsidRDefault="00440B40" w:rsidP="00440B40">
                  <w:pPr>
                    <w:rPr>
                      <w:rFonts w:ascii="Times New Roman" w:hAnsi="Times New Roman" w:cs="Times New Roman"/>
                      <w:sz w:val="24"/>
                      <w:szCs w:val="24"/>
                    </w:rPr>
                  </w:pPr>
                </w:p>
              </w:tc>
            </w:tr>
            <w:tr w:rsidR="00440B40" w:rsidRPr="00B83C68" w14:paraId="5DF6EE6A" w14:textId="3128CFC7" w:rsidTr="009F2820">
              <w:tc>
                <w:tcPr>
                  <w:tcW w:w="1197" w:type="dxa"/>
                </w:tcPr>
                <w:p w14:paraId="28D8E20A" w14:textId="269612E7"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2.</w:t>
                  </w:r>
                  <w:r w:rsidRPr="00B83C68">
                    <w:rPr>
                      <w:rFonts w:ascii="Times New Roman" w:hAnsi="Times New Roman" w:cs="Times New Roman"/>
                      <w:sz w:val="24"/>
                      <w:szCs w:val="24"/>
                    </w:rPr>
                    <w:t>6.</w:t>
                  </w:r>
                  <w:r>
                    <w:rPr>
                      <w:rFonts w:ascii="Times New Roman" w:hAnsi="Times New Roman" w:cs="Times New Roman"/>
                      <w:sz w:val="24"/>
                      <w:szCs w:val="24"/>
                    </w:rPr>
                    <w:t>4</w:t>
                  </w:r>
                  <w:r w:rsidRPr="00B83C68">
                    <w:rPr>
                      <w:rFonts w:ascii="Times New Roman" w:hAnsi="Times New Roman" w:cs="Times New Roman"/>
                      <w:sz w:val="24"/>
                      <w:szCs w:val="24"/>
                    </w:rPr>
                    <w:t>.</w:t>
                  </w:r>
                </w:p>
              </w:tc>
              <w:tc>
                <w:tcPr>
                  <w:tcW w:w="7088" w:type="dxa"/>
                  <w:gridSpan w:val="2"/>
                </w:tcPr>
                <w:p w14:paraId="23646803" w14:textId="7777777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pēc grozījumu pieņemšanas gadskārtējā valsts budžeta likumā atbilstoši kompetencei nodrošināt paskaidrojumu precizēšanu.</w:t>
                  </w:r>
                </w:p>
              </w:tc>
              <w:tc>
                <w:tcPr>
                  <w:tcW w:w="1706" w:type="dxa"/>
                </w:tcPr>
                <w:p w14:paraId="05B7D073" w14:textId="77777777" w:rsidR="00440B40" w:rsidRPr="00B83C68" w:rsidRDefault="00440B40" w:rsidP="00440B40">
                  <w:pPr>
                    <w:rPr>
                      <w:rFonts w:ascii="Times New Roman" w:hAnsi="Times New Roman" w:cs="Times New Roman"/>
                      <w:sz w:val="24"/>
                      <w:szCs w:val="24"/>
                    </w:rPr>
                  </w:pPr>
                </w:p>
              </w:tc>
            </w:tr>
            <w:tr w:rsidR="00440B40" w:rsidRPr="00B83C68" w14:paraId="6AC6955F" w14:textId="77777777" w:rsidTr="005E0FC3">
              <w:tc>
                <w:tcPr>
                  <w:tcW w:w="1197" w:type="dxa"/>
                </w:tcPr>
                <w:p w14:paraId="43B5DC1D" w14:textId="7B7563A0"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11.3.</w:t>
                  </w:r>
                </w:p>
              </w:tc>
              <w:tc>
                <w:tcPr>
                  <w:tcW w:w="7088" w:type="dxa"/>
                  <w:gridSpan w:val="2"/>
                </w:tcPr>
                <w:p w14:paraId="32CA1EFA" w14:textId="4DF03062"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lai nodrošinātu gadskārtējā valsts budžeta likuma un Likuma par budžetu un finanšu vadību izpildi:</w:t>
                  </w:r>
                </w:p>
              </w:tc>
              <w:tc>
                <w:tcPr>
                  <w:tcW w:w="1706" w:type="dxa"/>
                </w:tcPr>
                <w:p w14:paraId="0F131984" w14:textId="3E39244B" w:rsidR="00440B40" w:rsidRPr="00B83C68" w:rsidRDefault="00440B40" w:rsidP="00440B40">
                  <w:pPr>
                    <w:jc w:val="both"/>
                    <w:rPr>
                      <w:rFonts w:ascii="Times New Roman" w:hAnsi="Times New Roman" w:cs="Times New Roman"/>
                      <w:sz w:val="24"/>
                      <w:szCs w:val="24"/>
                    </w:rPr>
                  </w:pPr>
                  <w:r>
                    <w:rPr>
                      <w:rFonts w:ascii="Times New Roman" w:hAnsi="Times New Roman" w:cs="Times New Roman"/>
                      <w:sz w:val="24"/>
                      <w:szCs w:val="24"/>
                    </w:rPr>
                    <w:t>20</w:t>
                  </w:r>
                </w:p>
              </w:tc>
            </w:tr>
            <w:tr w:rsidR="00440B40" w:rsidRPr="00B83C68" w14:paraId="31101F8A" w14:textId="77777777" w:rsidTr="005E0FC3">
              <w:tc>
                <w:tcPr>
                  <w:tcW w:w="1197" w:type="dxa"/>
                </w:tcPr>
                <w:p w14:paraId="737A7443" w14:textId="4FC3C6E2"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11.3.1.</w:t>
                  </w:r>
                </w:p>
              </w:tc>
              <w:tc>
                <w:tcPr>
                  <w:tcW w:w="7088" w:type="dxa"/>
                  <w:gridSpan w:val="2"/>
                </w:tcPr>
                <w:p w14:paraId="3BCB1C2F" w14:textId="1898CCAC"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pieprasījumus par apropriācijas pārdali starp ministrijām, programmām, apakšprogrammām un budžeta izdevumu kodiem atbilstoši ekonomiskajām kategorijām;</w:t>
                  </w:r>
                </w:p>
              </w:tc>
              <w:tc>
                <w:tcPr>
                  <w:tcW w:w="1706" w:type="dxa"/>
                </w:tcPr>
                <w:p w14:paraId="7A051C00" w14:textId="77777777" w:rsidR="00440B40" w:rsidRPr="00B83C68" w:rsidRDefault="00440B40" w:rsidP="00440B40">
                  <w:pPr>
                    <w:jc w:val="both"/>
                    <w:rPr>
                      <w:rFonts w:ascii="Times New Roman" w:hAnsi="Times New Roman" w:cs="Times New Roman"/>
                      <w:sz w:val="24"/>
                      <w:szCs w:val="24"/>
                    </w:rPr>
                  </w:pPr>
                </w:p>
              </w:tc>
            </w:tr>
            <w:tr w:rsidR="00440B40" w:rsidRPr="00B83C68" w14:paraId="327DE8E1" w14:textId="77777777" w:rsidTr="005E0FC3">
              <w:tc>
                <w:tcPr>
                  <w:tcW w:w="1197" w:type="dxa"/>
                </w:tcPr>
                <w:p w14:paraId="7BCC9A14" w14:textId="24B1A904"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11.3.2.</w:t>
                  </w:r>
                </w:p>
              </w:tc>
              <w:tc>
                <w:tcPr>
                  <w:tcW w:w="7088" w:type="dxa"/>
                  <w:gridSpan w:val="2"/>
                </w:tcPr>
                <w:p w14:paraId="733FE5ED" w14:textId="04536666"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pieprasījumus par gadskārtējā valsts budžeta likumā noteiktās apropriācijas izmaiņām Likumā par budžetu un finanšu vadību noteiktajos gadījumos;</w:t>
                  </w:r>
                </w:p>
              </w:tc>
              <w:tc>
                <w:tcPr>
                  <w:tcW w:w="1706" w:type="dxa"/>
                </w:tcPr>
                <w:p w14:paraId="7564AE41" w14:textId="77777777" w:rsidR="00440B40" w:rsidRPr="00B83C68" w:rsidRDefault="00440B40" w:rsidP="00440B40">
                  <w:pPr>
                    <w:jc w:val="both"/>
                    <w:rPr>
                      <w:rFonts w:ascii="Times New Roman" w:hAnsi="Times New Roman" w:cs="Times New Roman"/>
                      <w:sz w:val="24"/>
                      <w:szCs w:val="24"/>
                    </w:rPr>
                  </w:pPr>
                </w:p>
              </w:tc>
            </w:tr>
            <w:tr w:rsidR="00440B40" w:rsidRPr="00B83C68" w14:paraId="11D68D5B" w14:textId="77777777" w:rsidTr="005E0FC3">
              <w:tc>
                <w:tcPr>
                  <w:tcW w:w="1197" w:type="dxa"/>
                </w:tcPr>
                <w:p w14:paraId="7AC400DA" w14:textId="4EADBAEB"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11.3.3.</w:t>
                  </w:r>
                </w:p>
              </w:tc>
              <w:tc>
                <w:tcPr>
                  <w:tcW w:w="7088" w:type="dxa"/>
                  <w:gridSpan w:val="2"/>
                </w:tcPr>
                <w:p w14:paraId="4C61B2AA" w14:textId="2FC73AB2"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pieprasījumus Eiropas Savienības politiku instrumentu un pārējās ārvalstu finanšu palīdzības līdzfinansēto projektu līdzekļu pārdalei;</w:t>
                  </w:r>
                </w:p>
              </w:tc>
              <w:tc>
                <w:tcPr>
                  <w:tcW w:w="1706" w:type="dxa"/>
                </w:tcPr>
                <w:p w14:paraId="5B100D2E" w14:textId="77777777" w:rsidR="00440B40" w:rsidRPr="00B83C68" w:rsidRDefault="00440B40" w:rsidP="00440B40">
                  <w:pPr>
                    <w:jc w:val="both"/>
                    <w:rPr>
                      <w:rFonts w:ascii="Times New Roman" w:hAnsi="Times New Roman" w:cs="Times New Roman"/>
                      <w:sz w:val="24"/>
                      <w:szCs w:val="24"/>
                    </w:rPr>
                  </w:pPr>
                </w:p>
              </w:tc>
            </w:tr>
            <w:tr w:rsidR="00440B40" w:rsidRPr="00B83C68" w14:paraId="6A26CDEE" w14:textId="77777777" w:rsidTr="005E0FC3">
              <w:tc>
                <w:tcPr>
                  <w:tcW w:w="1197" w:type="dxa"/>
                </w:tcPr>
                <w:p w14:paraId="3C72EFA8" w14:textId="79E8B99C"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11.3.4.</w:t>
                  </w:r>
                </w:p>
              </w:tc>
              <w:tc>
                <w:tcPr>
                  <w:tcW w:w="7088" w:type="dxa"/>
                  <w:gridSpan w:val="2"/>
                </w:tcPr>
                <w:p w14:paraId="2060D886" w14:textId="360B999F"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 xml:space="preserve">izvērtēt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pieprasījumus par gadskārtējā valsts budžeta likuma programmā "Apropriācijas rezerve" apstiprinātās apropriācijas pārdali;</w:t>
                  </w:r>
                </w:p>
              </w:tc>
              <w:tc>
                <w:tcPr>
                  <w:tcW w:w="1706" w:type="dxa"/>
                </w:tcPr>
                <w:p w14:paraId="3E5F5403" w14:textId="77777777" w:rsidR="00440B40" w:rsidRPr="00B83C68" w:rsidRDefault="00440B40" w:rsidP="00440B40">
                  <w:pPr>
                    <w:jc w:val="both"/>
                    <w:rPr>
                      <w:rFonts w:ascii="Times New Roman" w:hAnsi="Times New Roman" w:cs="Times New Roman"/>
                      <w:sz w:val="24"/>
                      <w:szCs w:val="24"/>
                    </w:rPr>
                  </w:pPr>
                </w:p>
              </w:tc>
            </w:tr>
            <w:tr w:rsidR="00440B40" w:rsidRPr="00B83C68" w14:paraId="20246AA9" w14:textId="77777777" w:rsidTr="005E0FC3">
              <w:tc>
                <w:tcPr>
                  <w:tcW w:w="1197" w:type="dxa"/>
                </w:tcPr>
                <w:p w14:paraId="7C28B4D3" w14:textId="7025999E"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11.3.5.</w:t>
                  </w:r>
                </w:p>
              </w:tc>
              <w:tc>
                <w:tcPr>
                  <w:tcW w:w="7088" w:type="dxa"/>
                  <w:gridSpan w:val="2"/>
                </w:tcPr>
                <w:p w14:paraId="40AE0E9E" w14:textId="6B127AD9"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izskatīt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pieprasījumus par finansējuma piešķiršanu no līdzekļiem neparedzētiem gadījumiem;</w:t>
                  </w:r>
                </w:p>
              </w:tc>
              <w:tc>
                <w:tcPr>
                  <w:tcW w:w="1706" w:type="dxa"/>
                </w:tcPr>
                <w:p w14:paraId="7073A8EC" w14:textId="77777777" w:rsidR="00440B40" w:rsidRPr="00B83C68" w:rsidRDefault="00440B40" w:rsidP="00440B40">
                  <w:pPr>
                    <w:jc w:val="both"/>
                    <w:rPr>
                      <w:rFonts w:ascii="Times New Roman" w:hAnsi="Times New Roman" w:cs="Times New Roman"/>
                      <w:sz w:val="24"/>
                      <w:szCs w:val="24"/>
                    </w:rPr>
                  </w:pPr>
                </w:p>
              </w:tc>
            </w:tr>
            <w:tr w:rsidR="00440B40" w:rsidRPr="00B83C68" w14:paraId="2E427C3B" w14:textId="77777777" w:rsidTr="005E0FC3">
              <w:tc>
                <w:tcPr>
                  <w:tcW w:w="1197" w:type="dxa"/>
                </w:tcPr>
                <w:p w14:paraId="37FFD953" w14:textId="6D833DA7"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11.3.6.</w:t>
                  </w:r>
                </w:p>
              </w:tc>
              <w:tc>
                <w:tcPr>
                  <w:tcW w:w="7088" w:type="dxa"/>
                  <w:gridSpan w:val="2"/>
                </w:tcPr>
                <w:p w14:paraId="6D410A89" w14:textId="0D8FED75"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izskatīt atbilstoši 11.3.1.-11.3.</w:t>
                  </w:r>
                  <w:r>
                    <w:rPr>
                      <w:rFonts w:ascii="Times New Roman" w:hAnsi="Times New Roman" w:cs="Times New Roman"/>
                      <w:sz w:val="24"/>
                      <w:szCs w:val="24"/>
                    </w:rPr>
                    <w:t>5</w:t>
                  </w:r>
                  <w:r w:rsidRPr="00B83C68">
                    <w:rPr>
                      <w:rFonts w:ascii="Times New Roman" w:hAnsi="Times New Roman" w:cs="Times New Roman"/>
                      <w:sz w:val="24"/>
                      <w:szCs w:val="24"/>
                    </w:rPr>
                    <w:t xml:space="preserve">.apakšpunktos noteiktajiem gadījumiem Valsts budžeta kopsavilkuma nodaļas sagatavotos finanšu ministra rīkojumu projektus attiecībā uz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pamatbudžetu un nepieciešamības gadījumā sniegt priekšlikumus precizējumiem;</w:t>
                  </w:r>
                </w:p>
              </w:tc>
              <w:tc>
                <w:tcPr>
                  <w:tcW w:w="1706" w:type="dxa"/>
                </w:tcPr>
                <w:p w14:paraId="733E0B40" w14:textId="77777777" w:rsidR="00440B40" w:rsidRPr="00B83C68" w:rsidRDefault="00440B40" w:rsidP="00440B40">
                  <w:pPr>
                    <w:jc w:val="both"/>
                    <w:rPr>
                      <w:rFonts w:ascii="Times New Roman" w:hAnsi="Times New Roman" w:cs="Times New Roman"/>
                      <w:sz w:val="24"/>
                      <w:szCs w:val="24"/>
                    </w:rPr>
                  </w:pPr>
                </w:p>
              </w:tc>
            </w:tr>
            <w:tr w:rsidR="00440B40" w:rsidRPr="00B83C68" w14:paraId="20D0CC9C" w14:textId="77777777" w:rsidTr="005E0FC3">
              <w:tc>
                <w:tcPr>
                  <w:tcW w:w="1197" w:type="dxa"/>
                </w:tcPr>
                <w:p w14:paraId="0D525BAB" w14:textId="7ED11CF2"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11.3.7.</w:t>
                  </w:r>
                </w:p>
              </w:tc>
              <w:tc>
                <w:tcPr>
                  <w:tcW w:w="7088" w:type="dxa"/>
                  <w:gridSpan w:val="2"/>
                </w:tcPr>
                <w:p w14:paraId="2B935B55" w14:textId="2A57CA79"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veikt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pamatbudžeta datu pārbaudi, ja pēc gadskārtējā valsts budžeta likuma pieņemšanas normatīvajos aktos paredzētajos gadījumos ir veikta līdzekļu pārdale starp ministrijām, programmām, apakšprogrammām un budžeta izdevumu kodiem vai ir veiktas apropriācijas izmaiņas;</w:t>
                  </w:r>
                </w:p>
              </w:tc>
              <w:tc>
                <w:tcPr>
                  <w:tcW w:w="1706" w:type="dxa"/>
                </w:tcPr>
                <w:p w14:paraId="4F2385CC" w14:textId="77777777" w:rsidR="00440B40" w:rsidRPr="00B83C68" w:rsidRDefault="00440B40" w:rsidP="00440B40">
                  <w:pPr>
                    <w:jc w:val="both"/>
                    <w:rPr>
                      <w:rFonts w:ascii="Times New Roman" w:hAnsi="Times New Roman" w:cs="Times New Roman"/>
                      <w:sz w:val="24"/>
                      <w:szCs w:val="24"/>
                    </w:rPr>
                  </w:pPr>
                </w:p>
              </w:tc>
            </w:tr>
            <w:tr w:rsidR="00440B40" w:rsidRPr="00B83C68" w14:paraId="4DA6FC08" w14:textId="77777777" w:rsidTr="005E0FC3">
              <w:tc>
                <w:tcPr>
                  <w:tcW w:w="1197" w:type="dxa"/>
                </w:tcPr>
                <w:p w14:paraId="408F973C" w14:textId="6F53E30D" w:rsidR="00440B40" w:rsidRPr="00B83C68" w:rsidRDefault="00440B40" w:rsidP="00440B40">
                  <w:pPr>
                    <w:jc w:val="right"/>
                    <w:rPr>
                      <w:rFonts w:ascii="Times New Roman" w:hAnsi="Times New Roman" w:cs="Times New Roman"/>
                      <w:sz w:val="24"/>
                      <w:szCs w:val="24"/>
                    </w:rPr>
                  </w:pPr>
                  <w:r>
                    <w:rPr>
                      <w:rFonts w:ascii="Times New Roman" w:hAnsi="Times New Roman" w:cs="Times New Roman"/>
                      <w:sz w:val="24"/>
                      <w:szCs w:val="24"/>
                    </w:rPr>
                    <w:t>11.3.8.</w:t>
                  </w:r>
                </w:p>
              </w:tc>
              <w:tc>
                <w:tcPr>
                  <w:tcW w:w="7088" w:type="dxa"/>
                  <w:gridSpan w:val="2"/>
                </w:tcPr>
                <w:p w14:paraId="5FA99DF4" w14:textId="588EE26B"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sniegt konsultatīvu un metodoloģisku palīdzību </w:t>
                  </w:r>
                  <w:r>
                    <w:rPr>
                      <w:rFonts w:ascii="Times New Roman" w:hAnsi="Times New Roman" w:cs="Times New Roman"/>
                      <w:sz w:val="24"/>
                      <w:szCs w:val="24"/>
                    </w:rPr>
                    <w:t>Iekšlietu ministrijai</w:t>
                  </w:r>
                  <w:r w:rsidRPr="00B83C68">
                    <w:rPr>
                      <w:rFonts w:ascii="Times New Roman" w:hAnsi="Times New Roman" w:cs="Times New Roman"/>
                      <w:sz w:val="24"/>
                      <w:szCs w:val="24"/>
                    </w:rPr>
                    <w:t xml:space="preserve"> pamatbudžeta projekta sagatavošanas, izpildes nodrošināšanas un valsts budžeta izdevumu politikas realizācijas jautājumos;</w:t>
                  </w:r>
                </w:p>
              </w:tc>
              <w:tc>
                <w:tcPr>
                  <w:tcW w:w="1706" w:type="dxa"/>
                </w:tcPr>
                <w:p w14:paraId="091D8C96" w14:textId="77777777" w:rsidR="00440B40" w:rsidRPr="00B83C68" w:rsidRDefault="00440B40" w:rsidP="00440B40">
                  <w:pPr>
                    <w:jc w:val="both"/>
                    <w:rPr>
                      <w:rFonts w:ascii="Times New Roman" w:hAnsi="Times New Roman" w:cs="Times New Roman"/>
                      <w:sz w:val="24"/>
                      <w:szCs w:val="24"/>
                    </w:rPr>
                  </w:pPr>
                </w:p>
              </w:tc>
            </w:tr>
            <w:tr w:rsidR="00440B40" w:rsidRPr="00B83C68" w14:paraId="24F72779" w14:textId="77777777" w:rsidTr="005E0FC3">
              <w:tc>
                <w:tcPr>
                  <w:tcW w:w="1197" w:type="dxa"/>
                </w:tcPr>
                <w:p w14:paraId="2FF42A48" w14:textId="5AF0A036"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lastRenderedPageBreak/>
                    <w:t>11.4.</w:t>
                  </w:r>
                </w:p>
              </w:tc>
              <w:tc>
                <w:tcPr>
                  <w:tcW w:w="7088" w:type="dxa"/>
                  <w:gridSpan w:val="2"/>
                </w:tcPr>
                <w:p w14:paraId="4506D549" w14:textId="55F5ECB8"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nodrošināt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ievadīto pamatbudžeta datu SAP plānošanas blokā pārbaudi un kontroli, sagatavojot 11.1.-11.2.apakšpunktā minētos likumprojektus;</w:t>
                  </w:r>
                </w:p>
              </w:tc>
              <w:tc>
                <w:tcPr>
                  <w:tcW w:w="1706" w:type="dxa"/>
                </w:tcPr>
                <w:p w14:paraId="32313626" w14:textId="0AB45EE8" w:rsidR="00440B40" w:rsidRPr="00B83C68" w:rsidRDefault="00817D0F" w:rsidP="00440B40">
                  <w:pPr>
                    <w:jc w:val="both"/>
                    <w:rPr>
                      <w:rFonts w:ascii="Times New Roman" w:hAnsi="Times New Roman" w:cs="Times New Roman"/>
                      <w:sz w:val="24"/>
                      <w:szCs w:val="24"/>
                    </w:rPr>
                  </w:pPr>
                  <w:r>
                    <w:rPr>
                      <w:rFonts w:ascii="Times New Roman" w:hAnsi="Times New Roman" w:cs="Times New Roman"/>
                      <w:sz w:val="24"/>
                      <w:szCs w:val="24"/>
                    </w:rPr>
                    <w:t>5</w:t>
                  </w:r>
                </w:p>
              </w:tc>
            </w:tr>
            <w:tr w:rsidR="00440B40" w:rsidRPr="00B83C68" w14:paraId="656F294C" w14:textId="77777777" w:rsidTr="005E0FC3">
              <w:tc>
                <w:tcPr>
                  <w:tcW w:w="1197" w:type="dxa"/>
                </w:tcPr>
                <w:p w14:paraId="7C95A328" w14:textId="1CD414DB"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5</w:t>
                  </w:r>
                  <w:r w:rsidRPr="00B83C68">
                    <w:rPr>
                      <w:rFonts w:ascii="Times New Roman" w:hAnsi="Times New Roman" w:cs="Times New Roman"/>
                      <w:sz w:val="24"/>
                      <w:szCs w:val="24"/>
                    </w:rPr>
                    <w:t>.</w:t>
                  </w:r>
                </w:p>
              </w:tc>
              <w:tc>
                <w:tcPr>
                  <w:tcW w:w="7088" w:type="dxa"/>
                  <w:gridSpan w:val="2"/>
                </w:tcPr>
                <w:p w14:paraId="13A11FCC" w14:textId="38E1FB9A"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sagatavot atzinumus par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iesniegtajiem attīstības plānošanas dokumentu un tiesību aktu projektiem, izvērtējot to finansiālo ietekmi uz valsts budžetu, atbilstību pieejamajiem resursiem un valstī realizētajai valsts budžeta izdevumu politikai; </w:t>
                  </w:r>
                </w:p>
              </w:tc>
              <w:tc>
                <w:tcPr>
                  <w:tcW w:w="1706" w:type="dxa"/>
                </w:tcPr>
                <w:p w14:paraId="274D8EE2" w14:textId="375074FD"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25</w:t>
                  </w:r>
                </w:p>
              </w:tc>
            </w:tr>
            <w:tr w:rsidR="00440B40" w:rsidRPr="00B83C68" w14:paraId="1B75F3E1" w14:textId="77777777" w:rsidTr="005E0FC3">
              <w:tc>
                <w:tcPr>
                  <w:tcW w:w="1197" w:type="dxa"/>
                </w:tcPr>
                <w:p w14:paraId="1FBE5B2B" w14:textId="61E45EAB"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6</w:t>
                  </w:r>
                  <w:r w:rsidRPr="00B83C68">
                    <w:rPr>
                      <w:rFonts w:ascii="Times New Roman" w:hAnsi="Times New Roman" w:cs="Times New Roman"/>
                      <w:sz w:val="24"/>
                      <w:szCs w:val="24"/>
                    </w:rPr>
                    <w:t>.</w:t>
                  </w:r>
                </w:p>
              </w:tc>
              <w:tc>
                <w:tcPr>
                  <w:tcW w:w="7088" w:type="dxa"/>
                  <w:gridSpan w:val="2"/>
                </w:tcPr>
                <w:p w14:paraId="64BC51FE" w14:textId="37B2982D"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piedalīties valsts budžeta izdevumu pārskatīšanā atbilstoši Likumā par budžetu un finanšu vadību noteiktajam;</w:t>
                  </w:r>
                </w:p>
              </w:tc>
              <w:tc>
                <w:tcPr>
                  <w:tcW w:w="1706" w:type="dxa"/>
                </w:tcPr>
                <w:p w14:paraId="27A26128" w14:textId="00D393AA"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15</w:t>
                  </w:r>
                </w:p>
              </w:tc>
            </w:tr>
            <w:tr w:rsidR="00440B40" w:rsidRPr="00B83C68" w14:paraId="7EC985C7" w14:textId="77777777" w:rsidTr="005E0FC3">
              <w:tc>
                <w:tcPr>
                  <w:tcW w:w="1197" w:type="dxa"/>
                </w:tcPr>
                <w:p w14:paraId="5633C310" w14:textId="462E8E08"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7</w:t>
                  </w:r>
                  <w:r w:rsidRPr="00B83C68">
                    <w:rPr>
                      <w:rFonts w:ascii="Times New Roman" w:hAnsi="Times New Roman" w:cs="Times New Roman"/>
                      <w:sz w:val="24"/>
                      <w:szCs w:val="24"/>
                    </w:rPr>
                    <w:t>.</w:t>
                  </w:r>
                </w:p>
              </w:tc>
              <w:tc>
                <w:tcPr>
                  <w:tcW w:w="7088" w:type="dxa"/>
                  <w:gridSpan w:val="2"/>
                </w:tcPr>
                <w:p w14:paraId="1ACF338A" w14:textId="0D602805"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sagatavot analītiskos un prezentācijas materiālus un informāciju par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pamatbudžeta plānošanu, izpildi un valstī realizēto budžeta izdevumu politiku, tai skaitā veikt ministrijas pamatbudžeta izpildes periodisko analīzi, veidot budžeta ieņēmumu un izdevumu datu bāzi, nodrošināt informācijas regulāru aktualizēšanu;</w:t>
                  </w:r>
                </w:p>
              </w:tc>
              <w:tc>
                <w:tcPr>
                  <w:tcW w:w="1706" w:type="dxa"/>
                </w:tcPr>
                <w:p w14:paraId="19F8F486" w14:textId="4FD47E5B"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5</w:t>
                  </w:r>
                </w:p>
              </w:tc>
            </w:tr>
            <w:tr w:rsidR="00440B40" w:rsidRPr="00B83C68" w14:paraId="14C2BF9D" w14:textId="77777777" w:rsidTr="005E0FC3">
              <w:tc>
                <w:tcPr>
                  <w:tcW w:w="1197" w:type="dxa"/>
                </w:tcPr>
                <w:p w14:paraId="2898AA9E" w14:textId="167CF4FA"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w:t>
                  </w:r>
                </w:p>
              </w:tc>
              <w:tc>
                <w:tcPr>
                  <w:tcW w:w="7088" w:type="dxa"/>
                  <w:gridSpan w:val="2"/>
                </w:tcPr>
                <w:p w14:paraId="03D62666" w14:textId="55A1253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citi pienākumi:</w:t>
                  </w:r>
                </w:p>
              </w:tc>
              <w:tc>
                <w:tcPr>
                  <w:tcW w:w="1706" w:type="dxa"/>
                </w:tcPr>
                <w:p w14:paraId="498BD6F8" w14:textId="221D89DF"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5</w:t>
                  </w:r>
                </w:p>
              </w:tc>
            </w:tr>
            <w:tr w:rsidR="00440B40" w:rsidRPr="00B83C68" w14:paraId="46E338DB" w14:textId="77777777" w:rsidTr="005E0FC3">
              <w:tc>
                <w:tcPr>
                  <w:tcW w:w="1197" w:type="dxa"/>
                </w:tcPr>
                <w:p w14:paraId="7BDE92C2" w14:textId="06478D88"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w:t>
                  </w:r>
                </w:p>
              </w:tc>
              <w:tc>
                <w:tcPr>
                  <w:tcW w:w="7088" w:type="dxa"/>
                  <w:gridSpan w:val="2"/>
                </w:tcPr>
                <w:p w14:paraId="24B110B1" w14:textId="3B2747A8"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atbilstoši kompetencei piedalīties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w:t>
                  </w:r>
                  <w:r>
                    <w:rPr>
                      <w:rFonts w:ascii="Times New Roman" w:hAnsi="Times New Roman" w:cs="Times New Roman"/>
                      <w:sz w:val="24"/>
                      <w:szCs w:val="24"/>
                    </w:rPr>
                    <w:t xml:space="preserve"> </w:t>
                  </w:r>
                  <w:r w:rsidRPr="00B83C68">
                    <w:rPr>
                      <w:rFonts w:ascii="Times New Roman" w:hAnsi="Times New Roman" w:cs="Times New Roman"/>
                      <w:sz w:val="24"/>
                      <w:szCs w:val="24"/>
                    </w:rPr>
                    <w:t>budžeta programmu (apakšprogrammu) darbības rezultātu un to rezultatīvo rādītāju informācijas uzkrāšanā un izvērtēšanā;</w:t>
                  </w:r>
                </w:p>
              </w:tc>
              <w:tc>
                <w:tcPr>
                  <w:tcW w:w="1706" w:type="dxa"/>
                </w:tcPr>
                <w:p w14:paraId="37DA25A7" w14:textId="5727C909" w:rsidR="00440B40" w:rsidRPr="00B83C68" w:rsidRDefault="00440B40" w:rsidP="00440B40">
                  <w:pPr>
                    <w:jc w:val="both"/>
                    <w:rPr>
                      <w:rFonts w:ascii="Times New Roman" w:hAnsi="Times New Roman" w:cs="Times New Roman"/>
                      <w:sz w:val="24"/>
                      <w:szCs w:val="24"/>
                    </w:rPr>
                  </w:pPr>
                </w:p>
              </w:tc>
            </w:tr>
            <w:tr w:rsidR="00440B40" w:rsidRPr="00B83C68" w14:paraId="390B5852" w14:textId="77777777" w:rsidTr="005E0FC3">
              <w:tc>
                <w:tcPr>
                  <w:tcW w:w="1197" w:type="dxa"/>
                </w:tcPr>
                <w:p w14:paraId="68F94A43" w14:textId="529BAF1C"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.2.</w:t>
                  </w:r>
                </w:p>
              </w:tc>
              <w:tc>
                <w:tcPr>
                  <w:tcW w:w="7088" w:type="dxa"/>
                  <w:gridSpan w:val="2"/>
                </w:tcPr>
                <w:p w14:paraId="3EA2CAC0" w14:textId="048C2790"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izvērtēt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iesniegtos budžeta nefinansēto iestāžu nākamā gada budžeta projektus un kārtējā gada budžeta grozījumu projektus un sagatavot atzinumus par tiem;</w:t>
                  </w:r>
                </w:p>
              </w:tc>
              <w:tc>
                <w:tcPr>
                  <w:tcW w:w="1706" w:type="dxa"/>
                </w:tcPr>
                <w:p w14:paraId="0648FC7F" w14:textId="2C584DB0" w:rsidR="00440B40" w:rsidRPr="00B83C68" w:rsidRDefault="00440B40" w:rsidP="00440B40">
                  <w:pPr>
                    <w:jc w:val="both"/>
                    <w:rPr>
                      <w:rFonts w:ascii="Times New Roman" w:hAnsi="Times New Roman" w:cs="Times New Roman"/>
                      <w:sz w:val="24"/>
                      <w:szCs w:val="24"/>
                    </w:rPr>
                  </w:pPr>
                </w:p>
              </w:tc>
            </w:tr>
            <w:tr w:rsidR="00440B40" w:rsidRPr="00B83C68" w14:paraId="121F6A26" w14:textId="77777777" w:rsidTr="005E0FC3">
              <w:tc>
                <w:tcPr>
                  <w:tcW w:w="1197" w:type="dxa"/>
                </w:tcPr>
                <w:p w14:paraId="3B39F161" w14:textId="689EB599"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.3.</w:t>
                  </w:r>
                </w:p>
              </w:tc>
              <w:tc>
                <w:tcPr>
                  <w:tcW w:w="7088" w:type="dxa"/>
                  <w:gridSpan w:val="2"/>
                </w:tcPr>
                <w:p w14:paraId="38EDF9F8" w14:textId="11A70F7F"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atbilstoši kompetencei izstrādāt ārējos normatīvos aktus (attīstības plānošanas dokumentus, informatīvos ziņojumus, kā arī Ministru kabineta noteikumus, instrukcijas, rīkojumus un citus tiesību aktus);</w:t>
                  </w:r>
                </w:p>
              </w:tc>
              <w:tc>
                <w:tcPr>
                  <w:tcW w:w="1706" w:type="dxa"/>
                </w:tcPr>
                <w:p w14:paraId="1C9B6FDE" w14:textId="52A93699" w:rsidR="00440B40" w:rsidRPr="00B83C68" w:rsidRDefault="00440B40" w:rsidP="00440B40">
                  <w:pPr>
                    <w:jc w:val="both"/>
                    <w:rPr>
                      <w:rFonts w:ascii="Times New Roman" w:hAnsi="Times New Roman" w:cs="Times New Roman"/>
                      <w:sz w:val="24"/>
                      <w:szCs w:val="24"/>
                    </w:rPr>
                  </w:pPr>
                </w:p>
              </w:tc>
            </w:tr>
            <w:tr w:rsidR="00440B40" w:rsidRPr="00B83C68" w14:paraId="6696BBC1" w14:textId="77777777" w:rsidTr="005E0FC3">
              <w:tc>
                <w:tcPr>
                  <w:tcW w:w="1197" w:type="dxa"/>
                </w:tcPr>
                <w:p w14:paraId="27E125D3" w14:textId="7CA5326D"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.4.</w:t>
                  </w:r>
                </w:p>
              </w:tc>
              <w:tc>
                <w:tcPr>
                  <w:tcW w:w="7088" w:type="dxa"/>
                  <w:gridSpan w:val="2"/>
                </w:tcPr>
                <w:p w14:paraId="0374E779" w14:textId="31B6F52F"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veikt nodaļas izstrādāto attīstības plānošanas dokumentu, informatīvo ziņojumu, Ministru kabineta rīkojumu un citu tiesību aktu projektu juridisko pamatpārbaudi, pārliecinoties par to atbilstību juridiskās tehnikas prasībām (t.sk. projekts nav pretrunā ar citiem normatīvajiem aktiem šajā jomā, ja nepieciešams, deleģējums Ministru kabineta noteikumu izdošanai, kas ir nepārprotams un precīzs, projektā ir paredzētas sankcijas par normatīvā akta pārkāpšanu, adekvāts pārejas periods);</w:t>
                  </w:r>
                </w:p>
              </w:tc>
              <w:tc>
                <w:tcPr>
                  <w:tcW w:w="1706" w:type="dxa"/>
                </w:tcPr>
                <w:p w14:paraId="36E0BBF0" w14:textId="40A0675F" w:rsidR="00440B40" w:rsidRPr="00B83C68" w:rsidRDefault="00440B40" w:rsidP="00440B40">
                  <w:pPr>
                    <w:jc w:val="both"/>
                    <w:rPr>
                      <w:rFonts w:ascii="Times New Roman" w:hAnsi="Times New Roman" w:cs="Times New Roman"/>
                      <w:sz w:val="24"/>
                      <w:szCs w:val="24"/>
                    </w:rPr>
                  </w:pPr>
                </w:p>
              </w:tc>
            </w:tr>
            <w:tr w:rsidR="00440B40" w:rsidRPr="00B83C68" w14:paraId="02A25EDA" w14:textId="77777777" w:rsidTr="005E0FC3">
              <w:tc>
                <w:tcPr>
                  <w:tcW w:w="1197" w:type="dxa"/>
                </w:tcPr>
                <w:p w14:paraId="42262F7E" w14:textId="35349086"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.5.</w:t>
                  </w:r>
                </w:p>
              </w:tc>
              <w:tc>
                <w:tcPr>
                  <w:tcW w:w="7088" w:type="dxa"/>
                  <w:gridSpan w:val="2"/>
                </w:tcPr>
                <w:p w14:paraId="4DF8D02F" w14:textId="1F017A31" w:rsidR="00440B40" w:rsidRPr="00B83C68" w:rsidRDefault="00440B40" w:rsidP="00440B40">
                  <w:pPr>
                    <w:autoSpaceDE w:val="0"/>
                    <w:autoSpaceDN w:val="0"/>
                    <w:adjustRightInd w:val="0"/>
                    <w:rPr>
                      <w:rFonts w:ascii="Times New Roman" w:hAnsi="Times New Roman" w:cs="Times New Roman"/>
                      <w:sz w:val="24"/>
                      <w:szCs w:val="24"/>
                    </w:rPr>
                  </w:pPr>
                  <w:r w:rsidRPr="00B83C68">
                    <w:rPr>
                      <w:rFonts w:ascii="Times New Roman" w:hAnsi="Times New Roman" w:cs="Times New Roman"/>
                      <w:sz w:val="24"/>
                      <w:szCs w:val="24"/>
                    </w:rPr>
                    <w:t>publiskās un privātās partnerības jomā:</w:t>
                  </w:r>
                </w:p>
              </w:tc>
              <w:tc>
                <w:tcPr>
                  <w:tcW w:w="1706" w:type="dxa"/>
                </w:tcPr>
                <w:p w14:paraId="5D578BFD" w14:textId="64AA6E8B" w:rsidR="00440B40" w:rsidRPr="00B83C68" w:rsidRDefault="00440B40" w:rsidP="00440B40">
                  <w:pPr>
                    <w:jc w:val="both"/>
                    <w:rPr>
                      <w:rFonts w:ascii="Times New Roman" w:hAnsi="Times New Roman" w:cs="Times New Roman"/>
                      <w:sz w:val="24"/>
                      <w:szCs w:val="24"/>
                    </w:rPr>
                  </w:pPr>
                </w:p>
              </w:tc>
            </w:tr>
            <w:tr w:rsidR="00440B40" w:rsidRPr="00B83C68" w14:paraId="1E159786" w14:textId="77777777" w:rsidTr="005E0FC3">
              <w:tc>
                <w:tcPr>
                  <w:tcW w:w="1197" w:type="dxa"/>
                </w:tcPr>
                <w:p w14:paraId="2D0BB0BB" w14:textId="0CBB808C"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.5.1.</w:t>
                  </w:r>
                </w:p>
              </w:tc>
              <w:tc>
                <w:tcPr>
                  <w:tcW w:w="7088" w:type="dxa"/>
                  <w:gridSpan w:val="2"/>
                </w:tcPr>
                <w:p w14:paraId="3487CE46" w14:textId="2FDF0DFD"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izskatīt un piedalīties atzinumu sagatavošanā par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sagatavotajiem attīstības plānošanas dokumentu un tiesību aktu projektiem;</w:t>
                  </w:r>
                </w:p>
              </w:tc>
              <w:tc>
                <w:tcPr>
                  <w:tcW w:w="1706" w:type="dxa"/>
                </w:tcPr>
                <w:p w14:paraId="59013330" w14:textId="77777777" w:rsidR="00440B40" w:rsidRPr="00B83C68" w:rsidRDefault="00440B40" w:rsidP="00440B40">
                  <w:pPr>
                    <w:jc w:val="both"/>
                    <w:rPr>
                      <w:rFonts w:ascii="Times New Roman" w:hAnsi="Times New Roman" w:cs="Times New Roman"/>
                      <w:sz w:val="24"/>
                      <w:szCs w:val="24"/>
                    </w:rPr>
                  </w:pPr>
                </w:p>
              </w:tc>
            </w:tr>
            <w:tr w:rsidR="00440B40" w:rsidRPr="00B83C68" w14:paraId="1209DD33" w14:textId="77777777" w:rsidTr="005E0FC3">
              <w:tc>
                <w:tcPr>
                  <w:tcW w:w="1197" w:type="dxa"/>
                </w:tcPr>
                <w:p w14:paraId="2F36CE97" w14:textId="17CD3C9D" w:rsidR="00440B40" w:rsidRPr="00B83C68" w:rsidRDefault="00440B40" w:rsidP="00440B40">
                  <w:pPr>
                    <w:jc w:val="right"/>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.5.2.</w:t>
                  </w:r>
                </w:p>
              </w:tc>
              <w:tc>
                <w:tcPr>
                  <w:tcW w:w="7088" w:type="dxa"/>
                  <w:gridSpan w:val="2"/>
                </w:tcPr>
                <w:p w14:paraId="64A034E5" w14:textId="60F43630"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piedalīties atzinumu sagatavošanā par potenciālo publiskās un privātās partnerības projektu finanšu un ekonomiskajiem aprēķiniem, tajos iekļautajiem pieņēmumiem un aprēķinos minēto nosacījumu paredzamo ietekmi uz valsts budžeta ilgtermiņa saistību apjomu;</w:t>
                  </w:r>
                </w:p>
              </w:tc>
              <w:tc>
                <w:tcPr>
                  <w:tcW w:w="1706" w:type="dxa"/>
                </w:tcPr>
                <w:p w14:paraId="711A1E50" w14:textId="77777777" w:rsidR="00440B40" w:rsidRPr="00B83C68" w:rsidRDefault="00440B40" w:rsidP="00440B40">
                  <w:pPr>
                    <w:jc w:val="both"/>
                    <w:rPr>
                      <w:rFonts w:ascii="Times New Roman" w:hAnsi="Times New Roman" w:cs="Times New Roman"/>
                      <w:sz w:val="24"/>
                      <w:szCs w:val="24"/>
                    </w:rPr>
                  </w:pPr>
                </w:p>
              </w:tc>
            </w:tr>
            <w:tr w:rsidR="00440B40" w:rsidRPr="00B83C68" w14:paraId="2174EAC7" w14:textId="77777777" w:rsidTr="005E0FC3">
              <w:tc>
                <w:tcPr>
                  <w:tcW w:w="1197" w:type="dxa"/>
                </w:tcPr>
                <w:p w14:paraId="0A3F0FF0" w14:textId="39573DB3"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.6.</w:t>
                  </w:r>
                </w:p>
              </w:tc>
              <w:tc>
                <w:tcPr>
                  <w:tcW w:w="7088" w:type="dxa"/>
                  <w:gridSpan w:val="2"/>
                </w:tcPr>
                <w:p w14:paraId="30532648" w14:textId="65013164"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atbilstoši kompetencei izvērtēt un sagatavot informāciju par Valsts kontroles iesniegtajiem revīzijas rezultātiem un ieteikumu ieviešanu;</w:t>
                  </w:r>
                </w:p>
              </w:tc>
              <w:tc>
                <w:tcPr>
                  <w:tcW w:w="1706" w:type="dxa"/>
                </w:tcPr>
                <w:p w14:paraId="00F06590" w14:textId="795FABD3" w:rsidR="00440B40" w:rsidRPr="00B83C68" w:rsidRDefault="00440B40" w:rsidP="00440B40">
                  <w:pPr>
                    <w:jc w:val="both"/>
                    <w:rPr>
                      <w:rFonts w:ascii="Times New Roman" w:hAnsi="Times New Roman" w:cs="Times New Roman"/>
                      <w:sz w:val="24"/>
                      <w:szCs w:val="24"/>
                    </w:rPr>
                  </w:pPr>
                </w:p>
              </w:tc>
            </w:tr>
            <w:tr w:rsidR="00440B40" w:rsidRPr="00B83C68" w14:paraId="38659BD7" w14:textId="77777777" w:rsidTr="005E0FC3">
              <w:tc>
                <w:tcPr>
                  <w:tcW w:w="1197" w:type="dxa"/>
                </w:tcPr>
                <w:p w14:paraId="36E7DDF1" w14:textId="4D935D02"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.7.</w:t>
                  </w:r>
                </w:p>
              </w:tc>
              <w:tc>
                <w:tcPr>
                  <w:tcW w:w="7088" w:type="dxa"/>
                  <w:gridSpan w:val="2"/>
                </w:tcPr>
                <w:p w14:paraId="783A2783" w14:textId="79B9F544"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izskatīt </w:t>
                  </w:r>
                  <w:r>
                    <w:rPr>
                      <w:rFonts w:ascii="Times New Roman" w:hAnsi="Times New Roman" w:cs="Times New Roman"/>
                      <w:sz w:val="24"/>
                      <w:szCs w:val="24"/>
                    </w:rPr>
                    <w:t>Iekšlietu</w:t>
                  </w:r>
                  <w:r w:rsidRPr="00B83C68">
                    <w:rPr>
                      <w:rFonts w:ascii="Times New Roman" w:hAnsi="Times New Roman" w:cs="Times New Roman"/>
                      <w:sz w:val="24"/>
                      <w:szCs w:val="24"/>
                    </w:rPr>
                    <w:t xml:space="preserve"> ministrijas sagatavotās Latvijas nacionālās pozīcijas un instrukcijas, izvērtējot ietekmi uz valsts budžetu un valstī realizēto budžeta politiku;</w:t>
                  </w:r>
                </w:p>
              </w:tc>
              <w:tc>
                <w:tcPr>
                  <w:tcW w:w="1706" w:type="dxa"/>
                </w:tcPr>
                <w:p w14:paraId="6A0AB8EF" w14:textId="1BEB6F9E" w:rsidR="00440B40" w:rsidRPr="00B83C68" w:rsidRDefault="00440B40" w:rsidP="00440B40">
                  <w:pPr>
                    <w:jc w:val="both"/>
                    <w:rPr>
                      <w:rFonts w:ascii="Times New Roman" w:hAnsi="Times New Roman" w:cs="Times New Roman"/>
                      <w:sz w:val="24"/>
                      <w:szCs w:val="24"/>
                    </w:rPr>
                  </w:pPr>
                </w:p>
              </w:tc>
            </w:tr>
            <w:tr w:rsidR="00440B40" w:rsidRPr="00B83C68" w14:paraId="35350D70" w14:textId="77777777" w:rsidTr="005E0FC3">
              <w:tc>
                <w:tcPr>
                  <w:tcW w:w="1197" w:type="dxa"/>
                </w:tcPr>
                <w:p w14:paraId="2BA8B08A" w14:textId="17A3F88A"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.8.</w:t>
                  </w:r>
                </w:p>
              </w:tc>
              <w:tc>
                <w:tcPr>
                  <w:tcW w:w="7088" w:type="dxa"/>
                  <w:gridSpan w:val="2"/>
                </w:tcPr>
                <w:p w14:paraId="01896C4A" w14:textId="1AB322A8"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izvērtēt iesniegtos dokumentus un informāciju finanšu ministra atļaujas saņemšanai dāvinājumu (ziedojumu) un ieķīlāšanas darījumu veikšanai un atļaujas saņemšanai no valsts kapitāla daļu turētāja aizdevumu, galvojumu un garantiju izsniegšanas darījumu veikšanai;</w:t>
                  </w:r>
                </w:p>
              </w:tc>
              <w:tc>
                <w:tcPr>
                  <w:tcW w:w="1706" w:type="dxa"/>
                </w:tcPr>
                <w:p w14:paraId="100BF14F" w14:textId="3225B54D" w:rsidR="00440B40" w:rsidRPr="00B83C68" w:rsidRDefault="00440B40" w:rsidP="00440B40">
                  <w:pPr>
                    <w:jc w:val="both"/>
                    <w:rPr>
                      <w:rFonts w:ascii="Times New Roman" w:hAnsi="Times New Roman" w:cs="Times New Roman"/>
                      <w:sz w:val="24"/>
                      <w:szCs w:val="24"/>
                    </w:rPr>
                  </w:pPr>
                </w:p>
              </w:tc>
            </w:tr>
            <w:tr w:rsidR="00440B40" w:rsidRPr="00B83C68" w14:paraId="7C32698C" w14:textId="77777777" w:rsidTr="005E0FC3">
              <w:tc>
                <w:tcPr>
                  <w:tcW w:w="1197" w:type="dxa"/>
                </w:tcPr>
                <w:p w14:paraId="5EC33F9E" w14:textId="77D3E8B0"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lastRenderedPageBreak/>
                    <w:t>11.</w:t>
                  </w:r>
                  <w:r>
                    <w:rPr>
                      <w:rFonts w:ascii="Times New Roman" w:hAnsi="Times New Roman" w:cs="Times New Roman"/>
                      <w:sz w:val="24"/>
                      <w:szCs w:val="24"/>
                    </w:rPr>
                    <w:t>8</w:t>
                  </w:r>
                  <w:r w:rsidRPr="00B83C68">
                    <w:rPr>
                      <w:rFonts w:ascii="Times New Roman" w:hAnsi="Times New Roman" w:cs="Times New Roman"/>
                      <w:sz w:val="24"/>
                      <w:szCs w:val="24"/>
                    </w:rPr>
                    <w:t>.9.</w:t>
                  </w:r>
                </w:p>
              </w:tc>
              <w:tc>
                <w:tcPr>
                  <w:tcW w:w="7088" w:type="dxa"/>
                  <w:gridSpan w:val="2"/>
                </w:tcPr>
                <w:p w14:paraId="036C8B49" w14:textId="78BBB655"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sniegt rīcībā esošo informāciju, kas nepieciešama citām ministrijām, institūcijām un Finanšu ministrijas struktūrvienībām to funkciju veikšanai;</w:t>
                  </w:r>
                </w:p>
              </w:tc>
              <w:tc>
                <w:tcPr>
                  <w:tcW w:w="1706" w:type="dxa"/>
                </w:tcPr>
                <w:p w14:paraId="76281ECC" w14:textId="6BA90796" w:rsidR="00440B40" w:rsidRPr="00B83C68" w:rsidRDefault="00440B40" w:rsidP="00440B40">
                  <w:pPr>
                    <w:jc w:val="both"/>
                    <w:rPr>
                      <w:rFonts w:ascii="Times New Roman" w:hAnsi="Times New Roman" w:cs="Times New Roman"/>
                      <w:sz w:val="24"/>
                      <w:szCs w:val="24"/>
                    </w:rPr>
                  </w:pPr>
                </w:p>
              </w:tc>
            </w:tr>
            <w:tr w:rsidR="00440B40" w:rsidRPr="00B83C68" w14:paraId="4C2E6DEF" w14:textId="77777777" w:rsidTr="005E0FC3">
              <w:tc>
                <w:tcPr>
                  <w:tcW w:w="1197" w:type="dxa"/>
                </w:tcPr>
                <w:p w14:paraId="7A3B2C17" w14:textId="2D6EA59B"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.10.</w:t>
                  </w:r>
                </w:p>
              </w:tc>
              <w:tc>
                <w:tcPr>
                  <w:tcW w:w="7088" w:type="dxa"/>
                  <w:gridSpan w:val="2"/>
                </w:tcPr>
                <w:p w14:paraId="4B176232" w14:textId="67F6DA5E"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saskaņā ar Finanšu ministrijas vadības norādījumiem piedalīties likumdošanas iniciatīvu un attīstības plānošanas dokumentu izstrādes darba grupās un dažādās sanāksmēs par kompetencē ietilpstošajiem jautājumiem;</w:t>
                  </w:r>
                </w:p>
              </w:tc>
              <w:tc>
                <w:tcPr>
                  <w:tcW w:w="1706" w:type="dxa"/>
                </w:tcPr>
                <w:p w14:paraId="5B1EEB1C" w14:textId="4E9503AC" w:rsidR="00440B40" w:rsidRPr="00B83C68" w:rsidRDefault="00440B40" w:rsidP="00440B40">
                  <w:pPr>
                    <w:jc w:val="both"/>
                    <w:rPr>
                      <w:rFonts w:ascii="Times New Roman" w:hAnsi="Times New Roman" w:cs="Times New Roman"/>
                      <w:sz w:val="24"/>
                      <w:szCs w:val="24"/>
                    </w:rPr>
                  </w:pPr>
                </w:p>
              </w:tc>
            </w:tr>
            <w:tr w:rsidR="00440B40" w:rsidRPr="00B83C68" w14:paraId="7A4A9550" w14:textId="77777777" w:rsidTr="005E0FC3">
              <w:tc>
                <w:tcPr>
                  <w:tcW w:w="1197" w:type="dxa"/>
                </w:tcPr>
                <w:p w14:paraId="716BA985" w14:textId="75EDEBA1"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.11.</w:t>
                  </w:r>
                </w:p>
              </w:tc>
              <w:tc>
                <w:tcPr>
                  <w:tcW w:w="7088" w:type="dxa"/>
                  <w:gridSpan w:val="2"/>
                </w:tcPr>
                <w:p w14:paraId="4A533D7D" w14:textId="20997F0E" w:rsidR="00440B40" w:rsidRPr="00B83C68" w:rsidRDefault="00440B40" w:rsidP="00440B40">
                  <w:pPr>
                    <w:autoSpaceDE w:val="0"/>
                    <w:autoSpaceDN w:val="0"/>
                    <w:adjustRightInd w:val="0"/>
                    <w:rPr>
                      <w:rFonts w:ascii="Times New Roman" w:hAnsi="Times New Roman" w:cs="Times New Roman"/>
                      <w:sz w:val="24"/>
                      <w:szCs w:val="24"/>
                    </w:rPr>
                  </w:pPr>
                  <w:r w:rsidRPr="00B83C68">
                    <w:rPr>
                      <w:rFonts w:ascii="Times New Roman" w:hAnsi="Times New Roman" w:cs="Times New Roman"/>
                      <w:sz w:val="24"/>
                      <w:szCs w:val="24"/>
                    </w:rPr>
                    <w:t>nepieciešamības gadījumā pārstāvēt Finanšu ministriju citu institūciju nozaru padomēs;</w:t>
                  </w:r>
                </w:p>
              </w:tc>
              <w:tc>
                <w:tcPr>
                  <w:tcW w:w="1706" w:type="dxa"/>
                </w:tcPr>
                <w:p w14:paraId="766ACD15" w14:textId="45BAB2D4" w:rsidR="00440B40" w:rsidRPr="00B83C68" w:rsidRDefault="00440B40" w:rsidP="00440B40">
                  <w:pPr>
                    <w:jc w:val="both"/>
                    <w:rPr>
                      <w:rFonts w:ascii="Times New Roman" w:hAnsi="Times New Roman" w:cs="Times New Roman"/>
                      <w:sz w:val="24"/>
                      <w:szCs w:val="24"/>
                    </w:rPr>
                  </w:pPr>
                </w:p>
              </w:tc>
            </w:tr>
            <w:tr w:rsidR="00440B40" w:rsidRPr="00B83C68" w14:paraId="7EFAD738" w14:textId="77777777" w:rsidTr="005E0FC3">
              <w:tc>
                <w:tcPr>
                  <w:tcW w:w="1197" w:type="dxa"/>
                </w:tcPr>
                <w:p w14:paraId="610A069D" w14:textId="1B7ADC7B"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.12.</w:t>
                  </w:r>
                </w:p>
              </w:tc>
              <w:tc>
                <w:tcPr>
                  <w:tcW w:w="7088" w:type="dxa"/>
                  <w:gridSpan w:val="2"/>
                </w:tcPr>
                <w:p w14:paraId="58AC9983" w14:textId="6DBDA158"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nepieciešamības gadījumā nodrošināt normatīvajos aktos noteikto komiteju un padomju sekretariāta funkciju izpildi;</w:t>
                  </w:r>
                </w:p>
              </w:tc>
              <w:tc>
                <w:tcPr>
                  <w:tcW w:w="1706" w:type="dxa"/>
                </w:tcPr>
                <w:p w14:paraId="708A26AE" w14:textId="266B4496" w:rsidR="00440B40" w:rsidRPr="00B83C68" w:rsidRDefault="00440B40" w:rsidP="00440B40">
                  <w:pPr>
                    <w:jc w:val="both"/>
                    <w:rPr>
                      <w:rFonts w:ascii="Times New Roman" w:hAnsi="Times New Roman" w:cs="Times New Roman"/>
                      <w:sz w:val="24"/>
                      <w:szCs w:val="24"/>
                    </w:rPr>
                  </w:pPr>
                </w:p>
              </w:tc>
            </w:tr>
            <w:tr w:rsidR="00440B40" w:rsidRPr="00B83C68" w14:paraId="3E626B7E" w14:textId="77777777" w:rsidTr="005E0FC3">
              <w:trPr>
                <w:trHeight w:val="771"/>
              </w:trPr>
              <w:tc>
                <w:tcPr>
                  <w:tcW w:w="1197" w:type="dxa"/>
                </w:tcPr>
                <w:p w14:paraId="6174265D" w14:textId="4B870E3C"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.13.</w:t>
                  </w:r>
                </w:p>
              </w:tc>
              <w:tc>
                <w:tcPr>
                  <w:tcW w:w="7088" w:type="dxa"/>
                  <w:gridSpan w:val="2"/>
                </w:tcPr>
                <w:p w14:paraId="3FF0A556" w14:textId="12879CE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atbilstoši kompetencei izskatīt fizisko un juridisko personu iesniegumus un ierosinājumus un sniegt atbildes par jautājumiem, kas saistīti ar valsts budžeta izdevumu politiku un budžeta jautājumus reglamentējošo normatīvo aktu piemērošanu;</w:t>
                  </w:r>
                </w:p>
              </w:tc>
              <w:tc>
                <w:tcPr>
                  <w:tcW w:w="1706" w:type="dxa"/>
                </w:tcPr>
                <w:p w14:paraId="0E03AF22" w14:textId="7C32F299" w:rsidR="00440B40" w:rsidRPr="00B83C68" w:rsidRDefault="00440B40" w:rsidP="00440B40">
                  <w:pPr>
                    <w:jc w:val="both"/>
                    <w:rPr>
                      <w:rFonts w:ascii="Times New Roman" w:hAnsi="Times New Roman" w:cs="Times New Roman"/>
                      <w:sz w:val="24"/>
                      <w:szCs w:val="24"/>
                    </w:rPr>
                  </w:pPr>
                </w:p>
              </w:tc>
            </w:tr>
            <w:tr w:rsidR="00440B40" w:rsidRPr="00B83C68" w14:paraId="5B3FF622" w14:textId="77777777" w:rsidTr="005E0FC3">
              <w:tc>
                <w:tcPr>
                  <w:tcW w:w="1197" w:type="dxa"/>
                </w:tcPr>
                <w:p w14:paraId="18C8F8EB" w14:textId="1F189A98"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.14.</w:t>
                  </w:r>
                </w:p>
              </w:tc>
              <w:tc>
                <w:tcPr>
                  <w:tcW w:w="7088" w:type="dxa"/>
                  <w:gridSpan w:val="2"/>
                </w:tcPr>
                <w:p w14:paraId="7102120E" w14:textId="372A042F"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nepieciešamības gadījumā pārstāvēt valsts intereses Eiropas Savienības organizācijās un citās institūcijās;</w:t>
                  </w:r>
                </w:p>
              </w:tc>
              <w:tc>
                <w:tcPr>
                  <w:tcW w:w="1706" w:type="dxa"/>
                </w:tcPr>
                <w:p w14:paraId="777B963F" w14:textId="4991DC0E" w:rsidR="00440B40" w:rsidRPr="00B83C68" w:rsidRDefault="00440B40" w:rsidP="00440B40">
                  <w:pPr>
                    <w:jc w:val="both"/>
                    <w:rPr>
                      <w:rFonts w:ascii="Times New Roman" w:hAnsi="Times New Roman" w:cs="Times New Roman"/>
                      <w:sz w:val="24"/>
                      <w:szCs w:val="24"/>
                    </w:rPr>
                  </w:pPr>
                </w:p>
              </w:tc>
            </w:tr>
            <w:tr w:rsidR="00440B40" w:rsidRPr="00B83C68" w14:paraId="3E9E88F4" w14:textId="77777777" w:rsidTr="005E0FC3">
              <w:tc>
                <w:tcPr>
                  <w:tcW w:w="1197" w:type="dxa"/>
                </w:tcPr>
                <w:p w14:paraId="27793323" w14:textId="57DEDA42"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11.</w:t>
                  </w:r>
                  <w:r>
                    <w:rPr>
                      <w:rFonts w:ascii="Times New Roman" w:hAnsi="Times New Roman" w:cs="Times New Roman"/>
                      <w:sz w:val="24"/>
                      <w:szCs w:val="24"/>
                    </w:rPr>
                    <w:t>8</w:t>
                  </w:r>
                  <w:r w:rsidRPr="00B83C68">
                    <w:rPr>
                      <w:rFonts w:ascii="Times New Roman" w:hAnsi="Times New Roman" w:cs="Times New Roman"/>
                      <w:sz w:val="24"/>
                      <w:szCs w:val="24"/>
                    </w:rPr>
                    <w:t>.15.</w:t>
                  </w:r>
                </w:p>
              </w:tc>
              <w:tc>
                <w:tcPr>
                  <w:tcW w:w="7088" w:type="dxa"/>
                  <w:gridSpan w:val="2"/>
                </w:tcPr>
                <w:p w14:paraId="6FAB9A75" w14:textId="1553A38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kārtot saņemto un nosūtīto korespondenci atbilstoši lietu nomenklatūrai, lietvedības kārtībai, kā arī saskaņā ar normatīvajiem aktiem nodot dokumentāciju glabāšanai lietvedībā;</w:t>
                  </w:r>
                </w:p>
              </w:tc>
              <w:tc>
                <w:tcPr>
                  <w:tcW w:w="1706" w:type="dxa"/>
                </w:tcPr>
                <w:p w14:paraId="2551650E" w14:textId="7BB3E451" w:rsidR="00440B40" w:rsidRPr="00B83C68" w:rsidRDefault="00440B40" w:rsidP="00440B40">
                  <w:pPr>
                    <w:jc w:val="both"/>
                    <w:rPr>
                      <w:rFonts w:ascii="Times New Roman" w:hAnsi="Times New Roman" w:cs="Times New Roman"/>
                      <w:sz w:val="24"/>
                      <w:szCs w:val="24"/>
                    </w:rPr>
                  </w:pPr>
                </w:p>
              </w:tc>
            </w:tr>
            <w:tr w:rsidR="00440B40" w:rsidRPr="00B83C68" w14:paraId="3703BFE1" w14:textId="77777777" w:rsidTr="005E0FC3">
              <w:tc>
                <w:tcPr>
                  <w:tcW w:w="1197" w:type="dxa"/>
                </w:tcPr>
                <w:p w14:paraId="075ADD6F" w14:textId="7ACCC20C" w:rsidR="00440B40" w:rsidRPr="00B83C68" w:rsidRDefault="00440B40" w:rsidP="00440B40">
                  <w:pPr>
                    <w:jc w:val="both"/>
                    <w:rPr>
                      <w:rFonts w:ascii="Times New Roman" w:hAnsi="Times New Roman" w:cs="Times New Roman"/>
                      <w:sz w:val="24"/>
                      <w:szCs w:val="24"/>
                    </w:rPr>
                  </w:pPr>
                  <w:r>
                    <w:rPr>
                      <w:rFonts w:ascii="Times New Roman" w:hAnsi="Times New Roman" w:cs="Times New Roman"/>
                      <w:sz w:val="24"/>
                      <w:szCs w:val="24"/>
                    </w:rPr>
                    <w:t>11.8.16</w:t>
                  </w:r>
                  <w:r w:rsidRPr="00B83C68">
                    <w:rPr>
                      <w:rFonts w:ascii="Times New Roman" w:hAnsi="Times New Roman" w:cs="Times New Roman"/>
                      <w:sz w:val="24"/>
                      <w:szCs w:val="24"/>
                    </w:rPr>
                    <w:t>.</w:t>
                  </w:r>
                </w:p>
              </w:tc>
              <w:tc>
                <w:tcPr>
                  <w:tcW w:w="7088" w:type="dxa"/>
                  <w:gridSpan w:val="2"/>
                </w:tcPr>
                <w:p w14:paraId="43EDA0D3" w14:textId="54EBAC8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 xml:space="preserve">nodaļas vadītāja uzdevumā izskatīt citus jautājumus atbilstoši savai kompetencei, izvērtējot to ietekmi un sasaisti ar citu nozaru jautājumiem budžeta un finanšu jomā; </w:t>
                  </w:r>
                </w:p>
              </w:tc>
              <w:tc>
                <w:tcPr>
                  <w:tcW w:w="1706" w:type="dxa"/>
                </w:tcPr>
                <w:p w14:paraId="0E3F8CA8" w14:textId="77777777" w:rsidR="00440B40" w:rsidRPr="00B83C68" w:rsidRDefault="00440B40" w:rsidP="00440B40">
                  <w:pPr>
                    <w:jc w:val="both"/>
                    <w:rPr>
                      <w:rFonts w:ascii="Times New Roman" w:hAnsi="Times New Roman" w:cs="Times New Roman"/>
                      <w:sz w:val="24"/>
                      <w:szCs w:val="24"/>
                    </w:rPr>
                  </w:pPr>
                </w:p>
              </w:tc>
            </w:tr>
            <w:tr w:rsidR="00440B40" w:rsidRPr="00B83C68" w14:paraId="5D9A81D5" w14:textId="77777777" w:rsidTr="005E0FC3">
              <w:tc>
                <w:tcPr>
                  <w:tcW w:w="1197" w:type="dxa"/>
                </w:tcPr>
                <w:p w14:paraId="55B7D773" w14:textId="3849EBF0" w:rsidR="00440B40" w:rsidRPr="00B83C68" w:rsidRDefault="00440B40" w:rsidP="00440B40">
                  <w:pPr>
                    <w:jc w:val="both"/>
                    <w:rPr>
                      <w:rFonts w:ascii="Times New Roman" w:hAnsi="Times New Roman" w:cs="Times New Roman"/>
                      <w:sz w:val="24"/>
                      <w:szCs w:val="24"/>
                    </w:rPr>
                  </w:pPr>
                  <w:r>
                    <w:rPr>
                      <w:rFonts w:ascii="Times New Roman" w:hAnsi="Times New Roman" w:cs="Times New Roman"/>
                      <w:sz w:val="24"/>
                      <w:szCs w:val="24"/>
                    </w:rPr>
                    <w:t>11.8.17</w:t>
                  </w:r>
                  <w:r w:rsidRPr="00B83C68">
                    <w:rPr>
                      <w:rFonts w:ascii="Times New Roman" w:hAnsi="Times New Roman" w:cs="Times New Roman"/>
                      <w:sz w:val="24"/>
                      <w:szCs w:val="24"/>
                    </w:rPr>
                    <w:t>.</w:t>
                  </w:r>
                </w:p>
              </w:tc>
              <w:tc>
                <w:tcPr>
                  <w:tcW w:w="7088" w:type="dxa"/>
                  <w:gridSpan w:val="2"/>
                </w:tcPr>
                <w:p w14:paraId="08D1315F" w14:textId="34121CD7"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departamenta direktora vai nodaļas vadītāja uzdevumā pildīt citus līdzīga rakstura un kvalifikācijas uzdevumus sadarbībā ar pārējām departamenta nodaļām;</w:t>
                  </w:r>
                </w:p>
              </w:tc>
              <w:tc>
                <w:tcPr>
                  <w:tcW w:w="1706" w:type="dxa"/>
                </w:tcPr>
                <w:p w14:paraId="5C5FADC7" w14:textId="3F4AF275" w:rsidR="00440B40" w:rsidRPr="00B83C68" w:rsidRDefault="00440B40" w:rsidP="00440B40">
                  <w:pPr>
                    <w:jc w:val="both"/>
                    <w:rPr>
                      <w:rFonts w:ascii="Times New Roman" w:hAnsi="Times New Roman" w:cs="Times New Roman"/>
                      <w:sz w:val="24"/>
                      <w:szCs w:val="24"/>
                    </w:rPr>
                  </w:pPr>
                </w:p>
              </w:tc>
            </w:tr>
            <w:tr w:rsidR="00440B40" w:rsidRPr="00B83C68" w14:paraId="53069E52" w14:textId="77777777" w:rsidTr="005E0FC3">
              <w:tc>
                <w:tcPr>
                  <w:tcW w:w="1197" w:type="dxa"/>
                </w:tcPr>
                <w:p w14:paraId="78A6A937" w14:textId="47B884BB" w:rsidR="00440B40" w:rsidRPr="00B83C68" w:rsidRDefault="00440B40" w:rsidP="00440B40">
                  <w:pPr>
                    <w:jc w:val="both"/>
                    <w:rPr>
                      <w:rFonts w:ascii="Times New Roman" w:hAnsi="Times New Roman" w:cs="Times New Roman"/>
                      <w:sz w:val="24"/>
                      <w:szCs w:val="24"/>
                    </w:rPr>
                  </w:pPr>
                  <w:r>
                    <w:rPr>
                      <w:rFonts w:ascii="Times New Roman" w:hAnsi="Times New Roman" w:cs="Times New Roman"/>
                      <w:sz w:val="24"/>
                      <w:szCs w:val="24"/>
                    </w:rPr>
                    <w:t>11.8.18</w:t>
                  </w:r>
                  <w:r w:rsidRPr="00B83C68">
                    <w:rPr>
                      <w:rFonts w:ascii="Times New Roman" w:hAnsi="Times New Roman" w:cs="Times New Roman"/>
                      <w:sz w:val="24"/>
                      <w:szCs w:val="24"/>
                    </w:rPr>
                    <w:t>.</w:t>
                  </w:r>
                </w:p>
              </w:tc>
              <w:tc>
                <w:tcPr>
                  <w:tcW w:w="7088" w:type="dxa"/>
                  <w:gridSpan w:val="2"/>
                </w:tcPr>
                <w:p w14:paraId="2CB6AD99" w14:textId="4C88E9C5" w:rsidR="00440B40" w:rsidRPr="00B83C68" w:rsidRDefault="00440B40" w:rsidP="00440B40">
                  <w:pPr>
                    <w:jc w:val="both"/>
                    <w:rPr>
                      <w:rFonts w:ascii="Times New Roman" w:hAnsi="Times New Roman" w:cs="Times New Roman"/>
                      <w:sz w:val="24"/>
                      <w:szCs w:val="24"/>
                    </w:rPr>
                  </w:pPr>
                  <w:r w:rsidRPr="00B83C68">
                    <w:rPr>
                      <w:rFonts w:ascii="Times New Roman" w:hAnsi="Times New Roman" w:cs="Times New Roman"/>
                      <w:sz w:val="24"/>
                      <w:szCs w:val="24"/>
                    </w:rPr>
                    <w:t>informēt nodaļas vadītāju par uzticēto darba pienākumu izpildes gaitu un problēmām;</w:t>
                  </w:r>
                </w:p>
              </w:tc>
              <w:tc>
                <w:tcPr>
                  <w:tcW w:w="1706" w:type="dxa"/>
                </w:tcPr>
                <w:p w14:paraId="772EA1EB" w14:textId="3944563C" w:rsidR="00440B40" w:rsidRPr="00B83C68" w:rsidRDefault="00440B40" w:rsidP="00440B40">
                  <w:pPr>
                    <w:jc w:val="both"/>
                    <w:rPr>
                      <w:rFonts w:ascii="Times New Roman" w:hAnsi="Times New Roman" w:cs="Times New Roman"/>
                      <w:sz w:val="24"/>
                      <w:szCs w:val="24"/>
                    </w:rPr>
                  </w:pPr>
                </w:p>
              </w:tc>
            </w:tr>
            <w:tr w:rsidR="00440B40" w:rsidRPr="00B83C68" w14:paraId="3674B02C" w14:textId="77777777" w:rsidTr="005E0FC3">
              <w:tc>
                <w:tcPr>
                  <w:tcW w:w="1197" w:type="dxa"/>
                </w:tcPr>
                <w:p w14:paraId="6D10FF3F" w14:textId="122A792B" w:rsidR="00440B40" w:rsidRPr="00B83C68" w:rsidRDefault="00440B40" w:rsidP="00440B40">
                  <w:pPr>
                    <w:jc w:val="both"/>
                    <w:rPr>
                      <w:rFonts w:ascii="Times New Roman" w:hAnsi="Times New Roman" w:cs="Times New Roman"/>
                      <w:sz w:val="24"/>
                      <w:szCs w:val="24"/>
                    </w:rPr>
                  </w:pPr>
                  <w:r>
                    <w:rPr>
                      <w:rFonts w:ascii="Times New Roman" w:hAnsi="Times New Roman" w:cs="Times New Roman"/>
                      <w:sz w:val="24"/>
                      <w:szCs w:val="24"/>
                    </w:rPr>
                    <w:t>11.8.19</w:t>
                  </w:r>
                  <w:r w:rsidRPr="00B83C68">
                    <w:rPr>
                      <w:rFonts w:ascii="Times New Roman" w:hAnsi="Times New Roman" w:cs="Times New Roman"/>
                      <w:sz w:val="24"/>
                      <w:szCs w:val="24"/>
                    </w:rPr>
                    <w:t>.</w:t>
                  </w:r>
                </w:p>
              </w:tc>
              <w:tc>
                <w:tcPr>
                  <w:tcW w:w="7088" w:type="dxa"/>
                  <w:gridSpan w:val="2"/>
                </w:tcPr>
                <w:p w14:paraId="401D0780" w14:textId="2BDA296A" w:rsidR="00440B40" w:rsidRPr="00B83C68" w:rsidRDefault="00440B40" w:rsidP="00440B40">
                  <w:pPr>
                    <w:autoSpaceDE w:val="0"/>
                    <w:autoSpaceDN w:val="0"/>
                    <w:adjustRightInd w:val="0"/>
                    <w:jc w:val="both"/>
                    <w:rPr>
                      <w:rFonts w:ascii="Times New Roman" w:hAnsi="Times New Roman" w:cs="Times New Roman"/>
                      <w:sz w:val="24"/>
                      <w:szCs w:val="24"/>
                    </w:rPr>
                  </w:pPr>
                  <w:r w:rsidRPr="00B83C68">
                    <w:rPr>
                      <w:rFonts w:ascii="Times New Roman" w:hAnsi="Times New Roman" w:cs="Times New Roman"/>
                      <w:sz w:val="24"/>
                      <w:szCs w:val="24"/>
                    </w:rPr>
                    <w:t>kompetences jomā pārzināt un sistemātiski sekot līdzi likumdošanas un citu normatīvo aktu izmaiņām.</w:t>
                  </w:r>
                </w:p>
              </w:tc>
              <w:tc>
                <w:tcPr>
                  <w:tcW w:w="1706" w:type="dxa"/>
                </w:tcPr>
                <w:p w14:paraId="34B59DD4" w14:textId="0DAD0C93" w:rsidR="00440B40" w:rsidRPr="00B83C68" w:rsidRDefault="00440B40" w:rsidP="00440B40">
                  <w:pPr>
                    <w:jc w:val="both"/>
                    <w:rPr>
                      <w:rFonts w:ascii="Times New Roman" w:hAnsi="Times New Roman" w:cs="Times New Roman"/>
                      <w:sz w:val="24"/>
                      <w:szCs w:val="24"/>
                    </w:rPr>
                  </w:pPr>
                </w:p>
              </w:tc>
            </w:tr>
          </w:tbl>
          <w:p w14:paraId="4713541D" w14:textId="77777777" w:rsidR="00A72B37" w:rsidRPr="00B83C68" w:rsidRDefault="00A72B37" w:rsidP="00BB5239">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772"/>
              <w:gridCol w:w="9214"/>
            </w:tblGrid>
            <w:tr w:rsidR="00E63531" w14:paraId="40034A49" w14:textId="77777777" w:rsidTr="00755348">
              <w:tc>
                <w:tcPr>
                  <w:tcW w:w="9986" w:type="dxa"/>
                  <w:gridSpan w:val="2"/>
                </w:tcPr>
                <w:p w14:paraId="3ABEAD18" w14:textId="77777777" w:rsidR="00E63531" w:rsidRDefault="00E63531" w:rsidP="00E63531">
                  <w:pPr>
                    <w:jc w:val="both"/>
                    <w:rPr>
                      <w:rFonts w:ascii="Times New Roman" w:hAnsi="Times New Roman" w:cs="Times New Roman"/>
                      <w:sz w:val="24"/>
                      <w:szCs w:val="24"/>
                    </w:rPr>
                  </w:pPr>
                  <w:r>
                    <w:rPr>
                      <w:rFonts w:ascii="Times New Roman" w:hAnsi="Times New Roman" w:cs="Times New Roman"/>
                      <w:sz w:val="24"/>
                      <w:szCs w:val="24"/>
                    </w:rPr>
                    <w:t>12.KOMPETENCES</w:t>
                  </w:r>
                </w:p>
              </w:tc>
            </w:tr>
            <w:tr w:rsidR="00E63531" w:rsidRPr="00FC268B" w14:paraId="6C1119F2" w14:textId="77777777" w:rsidTr="00755348">
              <w:tc>
                <w:tcPr>
                  <w:tcW w:w="772" w:type="dxa"/>
                </w:tcPr>
                <w:p w14:paraId="5945A0D2" w14:textId="77777777" w:rsidR="00E63531" w:rsidRDefault="00E63531" w:rsidP="00E63531">
                  <w:pPr>
                    <w:jc w:val="both"/>
                    <w:rPr>
                      <w:rFonts w:ascii="Times New Roman" w:hAnsi="Times New Roman" w:cs="Times New Roman"/>
                      <w:sz w:val="24"/>
                      <w:szCs w:val="24"/>
                    </w:rPr>
                  </w:pPr>
                  <w:r>
                    <w:rPr>
                      <w:rFonts w:ascii="Times New Roman" w:hAnsi="Times New Roman" w:cs="Times New Roman"/>
                      <w:sz w:val="24"/>
                      <w:szCs w:val="24"/>
                    </w:rPr>
                    <w:t>12.1.</w:t>
                  </w:r>
                </w:p>
              </w:tc>
              <w:tc>
                <w:tcPr>
                  <w:tcW w:w="9214" w:type="dxa"/>
                </w:tcPr>
                <w:p w14:paraId="5F376B02" w14:textId="77777777" w:rsidR="00E63531" w:rsidRPr="00FC268B" w:rsidRDefault="00E63531" w:rsidP="00E63531">
                  <w:pPr>
                    <w:jc w:val="both"/>
                    <w:rPr>
                      <w:rFonts w:ascii="Times New Roman" w:hAnsi="Times New Roman" w:cs="Times New Roman"/>
                      <w:sz w:val="24"/>
                      <w:szCs w:val="24"/>
                    </w:rPr>
                  </w:pPr>
                  <w:r>
                    <w:rPr>
                      <w:rFonts w:ascii="Times New Roman" w:hAnsi="Times New Roman" w:cs="Times New Roman"/>
                      <w:sz w:val="24"/>
                      <w:szCs w:val="24"/>
                    </w:rPr>
                    <w:t>Analītiska</w:t>
                  </w:r>
                  <w:r w:rsidRPr="00FC268B">
                    <w:rPr>
                      <w:rFonts w:ascii="Times New Roman" w:hAnsi="Times New Roman" w:cs="Times New Roman"/>
                      <w:sz w:val="24"/>
                      <w:szCs w:val="24"/>
                    </w:rPr>
                    <w:t xml:space="preserve"> domāšana</w:t>
                  </w:r>
                </w:p>
              </w:tc>
            </w:tr>
            <w:tr w:rsidR="00E63531" w:rsidRPr="00FC268B" w14:paraId="22799654" w14:textId="77777777" w:rsidTr="00755348">
              <w:tc>
                <w:tcPr>
                  <w:tcW w:w="772" w:type="dxa"/>
                </w:tcPr>
                <w:p w14:paraId="671D3A2B" w14:textId="77777777" w:rsidR="00E63531" w:rsidRDefault="00E63531" w:rsidP="00E63531">
                  <w:pPr>
                    <w:jc w:val="both"/>
                    <w:rPr>
                      <w:rFonts w:ascii="Times New Roman" w:hAnsi="Times New Roman" w:cs="Times New Roman"/>
                      <w:sz w:val="24"/>
                      <w:szCs w:val="24"/>
                    </w:rPr>
                  </w:pPr>
                  <w:r>
                    <w:rPr>
                      <w:rFonts w:ascii="Times New Roman" w:hAnsi="Times New Roman" w:cs="Times New Roman"/>
                      <w:sz w:val="24"/>
                      <w:szCs w:val="24"/>
                    </w:rPr>
                    <w:t>12.2.</w:t>
                  </w:r>
                </w:p>
              </w:tc>
              <w:tc>
                <w:tcPr>
                  <w:tcW w:w="9214" w:type="dxa"/>
                </w:tcPr>
                <w:p w14:paraId="674D7B21" w14:textId="77777777" w:rsidR="00E63531" w:rsidRPr="00FC268B" w:rsidRDefault="00E63531" w:rsidP="00E63531">
                  <w:pPr>
                    <w:jc w:val="both"/>
                    <w:rPr>
                      <w:rFonts w:ascii="Times New Roman" w:hAnsi="Times New Roman" w:cs="Times New Roman"/>
                      <w:sz w:val="24"/>
                      <w:szCs w:val="24"/>
                    </w:rPr>
                  </w:pPr>
                  <w:r>
                    <w:rPr>
                      <w:rFonts w:ascii="Times New Roman" w:hAnsi="Times New Roman" w:cs="Times New Roman"/>
                      <w:sz w:val="24"/>
                      <w:szCs w:val="24"/>
                    </w:rPr>
                    <w:t>I</w:t>
                  </w:r>
                  <w:r w:rsidRPr="00FC268B">
                    <w:rPr>
                      <w:rFonts w:ascii="Times New Roman" w:hAnsi="Times New Roman" w:cs="Times New Roman"/>
                      <w:sz w:val="24"/>
                      <w:szCs w:val="24"/>
                    </w:rPr>
                    <w:t>niciatīva</w:t>
                  </w:r>
                </w:p>
              </w:tc>
            </w:tr>
            <w:tr w:rsidR="00E63531" w:rsidRPr="00FC268B" w14:paraId="51A53C28" w14:textId="77777777" w:rsidTr="00755348">
              <w:tc>
                <w:tcPr>
                  <w:tcW w:w="772" w:type="dxa"/>
                </w:tcPr>
                <w:p w14:paraId="2D88D93A" w14:textId="77777777" w:rsidR="00E63531" w:rsidRDefault="00E63531" w:rsidP="00E63531">
                  <w:pPr>
                    <w:jc w:val="both"/>
                    <w:rPr>
                      <w:rFonts w:ascii="Times New Roman" w:hAnsi="Times New Roman" w:cs="Times New Roman"/>
                      <w:sz w:val="24"/>
                      <w:szCs w:val="24"/>
                    </w:rPr>
                  </w:pPr>
                  <w:r>
                    <w:rPr>
                      <w:rFonts w:ascii="Times New Roman" w:hAnsi="Times New Roman" w:cs="Times New Roman"/>
                      <w:sz w:val="24"/>
                      <w:szCs w:val="24"/>
                    </w:rPr>
                    <w:t>12.3.</w:t>
                  </w:r>
                </w:p>
              </w:tc>
              <w:tc>
                <w:tcPr>
                  <w:tcW w:w="9214" w:type="dxa"/>
                </w:tcPr>
                <w:p w14:paraId="76024F33" w14:textId="77777777" w:rsidR="00E63531" w:rsidRPr="00FC268B" w:rsidRDefault="00E63531" w:rsidP="00E63531">
                  <w:pPr>
                    <w:jc w:val="both"/>
                    <w:rPr>
                      <w:rFonts w:ascii="Times New Roman" w:hAnsi="Times New Roman" w:cs="Times New Roman"/>
                      <w:sz w:val="24"/>
                      <w:szCs w:val="24"/>
                    </w:rPr>
                  </w:pPr>
                  <w:r>
                    <w:rPr>
                      <w:rFonts w:ascii="Times New Roman" w:hAnsi="Times New Roman" w:cs="Times New Roman"/>
                      <w:sz w:val="24"/>
                      <w:szCs w:val="24"/>
                    </w:rPr>
                    <w:t>Plānošana un organizēšana</w:t>
                  </w:r>
                </w:p>
              </w:tc>
            </w:tr>
            <w:tr w:rsidR="00E63531" w:rsidRPr="00FC268B" w14:paraId="5EA62986" w14:textId="77777777" w:rsidTr="00755348">
              <w:tc>
                <w:tcPr>
                  <w:tcW w:w="772" w:type="dxa"/>
                </w:tcPr>
                <w:p w14:paraId="4B01A246" w14:textId="77777777" w:rsidR="00E63531" w:rsidRDefault="00E63531" w:rsidP="00E63531">
                  <w:pPr>
                    <w:jc w:val="both"/>
                    <w:rPr>
                      <w:rFonts w:ascii="Times New Roman" w:hAnsi="Times New Roman" w:cs="Times New Roman"/>
                      <w:sz w:val="24"/>
                      <w:szCs w:val="24"/>
                    </w:rPr>
                  </w:pPr>
                  <w:r>
                    <w:rPr>
                      <w:rFonts w:ascii="Times New Roman" w:hAnsi="Times New Roman" w:cs="Times New Roman"/>
                      <w:sz w:val="24"/>
                      <w:szCs w:val="24"/>
                    </w:rPr>
                    <w:t>12.6.</w:t>
                  </w:r>
                </w:p>
              </w:tc>
              <w:tc>
                <w:tcPr>
                  <w:tcW w:w="9214" w:type="dxa"/>
                </w:tcPr>
                <w:p w14:paraId="18BB25CF" w14:textId="77777777" w:rsidR="00E63531" w:rsidRPr="00FC268B" w:rsidRDefault="00E63531" w:rsidP="00E63531">
                  <w:pPr>
                    <w:jc w:val="both"/>
                    <w:rPr>
                      <w:rFonts w:ascii="Times New Roman" w:hAnsi="Times New Roman" w:cs="Times New Roman"/>
                      <w:sz w:val="24"/>
                      <w:szCs w:val="24"/>
                    </w:rPr>
                  </w:pPr>
                  <w:r>
                    <w:rPr>
                      <w:rFonts w:ascii="Times New Roman" w:hAnsi="Times New Roman" w:cs="Times New Roman"/>
                      <w:sz w:val="24"/>
                      <w:szCs w:val="24"/>
                    </w:rPr>
                    <w:t>Ē</w:t>
                  </w:r>
                  <w:r w:rsidRPr="00FC268B">
                    <w:rPr>
                      <w:rFonts w:ascii="Times New Roman" w:hAnsi="Times New Roman" w:cs="Times New Roman"/>
                      <w:sz w:val="24"/>
                      <w:szCs w:val="24"/>
                    </w:rPr>
                    <w:t>tiskums.</w:t>
                  </w:r>
                </w:p>
              </w:tc>
            </w:tr>
          </w:tbl>
          <w:p w14:paraId="6002EC40" w14:textId="77777777" w:rsidR="00E63531" w:rsidRPr="00B83C68" w:rsidRDefault="00E63531" w:rsidP="00BB5239">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A72B37" w:rsidRPr="00B83C68" w14:paraId="254110FF" w14:textId="77777777" w:rsidTr="00BB5239">
              <w:tc>
                <w:tcPr>
                  <w:tcW w:w="9986" w:type="dxa"/>
                  <w:gridSpan w:val="2"/>
                </w:tcPr>
                <w:p w14:paraId="6D45AE6A"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13.PROFESIONĀLĀ KVALIFIKĀCIJA</w:t>
                  </w:r>
                </w:p>
              </w:tc>
            </w:tr>
            <w:tr w:rsidR="00A72B37" w:rsidRPr="00B83C68" w14:paraId="7E0EA244" w14:textId="77777777" w:rsidTr="00BB5239">
              <w:tc>
                <w:tcPr>
                  <w:tcW w:w="2756" w:type="dxa"/>
                </w:tcPr>
                <w:p w14:paraId="4C35BD1C"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13.1.IZGLĪTĪBA</w:t>
                  </w:r>
                </w:p>
              </w:tc>
              <w:tc>
                <w:tcPr>
                  <w:tcW w:w="7230" w:type="dxa"/>
                </w:tcPr>
                <w:p w14:paraId="44A4B709" w14:textId="32497460" w:rsidR="00A72B37" w:rsidRPr="00B83C68" w:rsidRDefault="00280E12" w:rsidP="00BB5239">
                  <w:pPr>
                    <w:jc w:val="both"/>
                    <w:rPr>
                      <w:rFonts w:ascii="Times New Roman" w:hAnsi="Times New Roman" w:cs="Times New Roman"/>
                      <w:sz w:val="24"/>
                      <w:szCs w:val="24"/>
                    </w:rPr>
                  </w:pPr>
                  <w:r w:rsidRPr="00B83C68">
                    <w:rPr>
                      <w:rFonts w:ascii="Times New Roman" w:hAnsi="Times New Roman" w:cs="Times New Roman"/>
                      <w:sz w:val="24"/>
                      <w:szCs w:val="24"/>
                    </w:rPr>
                    <w:t xml:space="preserve">Augstākā </w:t>
                  </w:r>
                  <w:r w:rsidRPr="00B83C68">
                    <w:rPr>
                      <w:rFonts w:ascii="Times New Roman" w:hAnsi="Times New Roman" w:cs="Times New Roman"/>
                      <w:iCs/>
                      <w:sz w:val="24"/>
                      <w:szCs w:val="24"/>
                    </w:rPr>
                    <w:t>a</w:t>
                  </w:r>
                  <w:r w:rsidRPr="00B83C68">
                    <w:rPr>
                      <w:rFonts w:ascii="Times New Roman" w:hAnsi="Times New Roman" w:cs="Times New Roman"/>
                      <w:sz w:val="24"/>
                      <w:szCs w:val="24"/>
                    </w:rPr>
                    <w:t>kadēmiskā vai otrā līmeņa profesionālā augstākā izglītība ekonomikā vai finansēs, periodiska zināšanu papildināšana dažādos kursos un semināros.</w:t>
                  </w:r>
                </w:p>
              </w:tc>
            </w:tr>
            <w:tr w:rsidR="00A72B37" w:rsidRPr="00B83C68" w14:paraId="0C77021D" w14:textId="77777777" w:rsidTr="00BB5239">
              <w:tc>
                <w:tcPr>
                  <w:tcW w:w="2756" w:type="dxa"/>
                </w:tcPr>
                <w:p w14:paraId="12740E48"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13.2.PROFESIONĀLĀ PIEREDZE</w:t>
                  </w:r>
                </w:p>
              </w:tc>
              <w:tc>
                <w:tcPr>
                  <w:tcW w:w="7230" w:type="dxa"/>
                </w:tcPr>
                <w:p w14:paraId="1871F8C2" w14:textId="77777777" w:rsidR="00587CFB" w:rsidRPr="00B83C68" w:rsidRDefault="00587CFB" w:rsidP="00587CFB">
                  <w:pPr>
                    <w:jc w:val="both"/>
                    <w:rPr>
                      <w:rFonts w:ascii="Times New Roman" w:hAnsi="Times New Roman"/>
                      <w:sz w:val="24"/>
                      <w:szCs w:val="24"/>
                    </w:rPr>
                  </w:pPr>
                  <w:r w:rsidRPr="00B83C68">
                    <w:rPr>
                      <w:rFonts w:ascii="Times New Roman" w:hAnsi="Times New Roman"/>
                      <w:sz w:val="24"/>
                      <w:szCs w:val="24"/>
                    </w:rPr>
                    <w:t>13.2.1.Pieredze valsts pārvaldes institūcijās ilgāka par 3 gadiem pēdējo 5 gadu laikā;</w:t>
                  </w:r>
                </w:p>
                <w:p w14:paraId="09549223" w14:textId="02A2C5B8" w:rsidR="00A72B37" w:rsidRPr="00B83C68" w:rsidRDefault="00587CFB" w:rsidP="00587CFB">
                  <w:pPr>
                    <w:jc w:val="both"/>
                    <w:rPr>
                      <w:rFonts w:ascii="Times New Roman" w:hAnsi="Times New Roman" w:cs="Times New Roman"/>
                      <w:sz w:val="24"/>
                      <w:szCs w:val="24"/>
                    </w:rPr>
                  </w:pPr>
                  <w:r w:rsidRPr="00B83C68">
                    <w:rPr>
                      <w:rFonts w:ascii="Times New Roman" w:hAnsi="Times New Roman"/>
                      <w:sz w:val="24"/>
                      <w:szCs w:val="24"/>
                    </w:rPr>
                    <w:t>13.2.2.Pieredze finanšu, ekonomikas jomā ilgāka par 1 gadu</w:t>
                  </w:r>
                  <w:r w:rsidR="002673A8">
                    <w:rPr>
                      <w:rFonts w:ascii="Times New Roman" w:hAnsi="Times New Roman"/>
                      <w:sz w:val="24"/>
                      <w:szCs w:val="24"/>
                    </w:rPr>
                    <w:t xml:space="preserve"> pēdējo 5 gadu laikā</w:t>
                  </w:r>
                  <w:r w:rsidRPr="00B83C68">
                    <w:rPr>
                      <w:rFonts w:ascii="Times New Roman" w:hAnsi="Times New Roman"/>
                      <w:sz w:val="24"/>
                      <w:szCs w:val="24"/>
                    </w:rPr>
                    <w:t>.</w:t>
                  </w:r>
                </w:p>
              </w:tc>
            </w:tr>
            <w:tr w:rsidR="00A72B37" w:rsidRPr="00B83C68" w14:paraId="36763094" w14:textId="77777777" w:rsidTr="00BB5239">
              <w:tc>
                <w:tcPr>
                  <w:tcW w:w="2756" w:type="dxa"/>
                </w:tcPr>
                <w:p w14:paraId="4C98CB41"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13.3.PROFESIONĀLĀS ZINĀŠANAS UN PRASMES</w:t>
                  </w:r>
                </w:p>
              </w:tc>
              <w:tc>
                <w:tcPr>
                  <w:tcW w:w="7230" w:type="dxa"/>
                </w:tcPr>
                <w:p w14:paraId="2BBB8FF5" w14:textId="17C69225" w:rsidR="001B55CC" w:rsidRPr="00B83C68" w:rsidRDefault="001B55CC" w:rsidP="00280E12">
                  <w:pPr>
                    <w:jc w:val="both"/>
                    <w:rPr>
                      <w:rFonts w:ascii="Times New Roman" w:hAnsi="Times New Roman"/>
                      <w:sz w:val="24"/>
                      <w:szCs w:val="24"/>
                    </w:rPr>
                  </w:pPr>
                  <w:r w:rsidRPr="00B83C68">
                    <w:rPr>
                      <w:rFonts w:ascii="Times New Roman" w:eastAsia="Times New Roman" w:hAnsi="Times New Roman"/>
                      <w:sz w:val="24"/>
                      <w:szCs w:val="24"/>
                    </w:rPr>
                    <w:t>13.3.1.</w:t>
                  </w:r>
                  <w:r w:rsidR="00280E12" w:rsidRPr="00B83C68">
                    <w:rPr>
                      <w:rFonts w:ascii="Times New Roman" w:eastAsia="Times New Roman" w:hAnsi="Times New Roman"/>
                      <w:sz w:val="24"/>
                      <w:szCs w:val="24"/>
                    </w:rPr>
                    <w:t>Analītiskas spējas</w:t>
                  </w:r>
                  <w:r w:rsidR="00280E12" w:rsidRPr="00B83C68">
                    <w:rPr>
                      <w:rFonts w:ascii="Times New Roman" w:hAnsi="Times New Roman"/>
                      <w:sz w:val="24"/>
                      <w:szCs w:val="24"/>
                    </w:rPr>
                    <w:t>, spēja vienlaicīgi strādāt ar liela apjoma informāciju</w:t>
                  </w:r>
                  <w:r w:rsidR="002924B8" w:rsidRPr="00B83C68">
                    <w:rPr>
                      <w:rFonts w:ascii="Times New Roman" w:hAnsi="Times New Roman"/>
                      <w:sz w:val="24"/>
                      <w:szCs w:val="24"/>
                    </w:rPr>
                    <w:t>, sarežģītiem jautājumiem, kas prasa jaunus, nestandarta risinājumus</w:t>
                  </w:r>
                  <w:r w:rsidRPr="00B83C68">
                    <w:rPr>
                      <w:rFonts w:ascii="Times New Roman" w:hAnsi="Times New Roman"/>
                      <w:sz w:val="24"/>
                      <w:szCs w:val="24"/>
                    </w:rPr>
                    <w:t>;</w:t>
                  </w:r>
                </w:p>
                <w:p w14:paraId="05B6983F" w14:textId="5ED954D5" w:rsidR="001B55CC" w:rsidRPr="00B83C68" w:rsidRDefault="001B55CC" w:rsidP="001B55CC">
                  <w:pPr>
                    <w:jc w:val="both"/>
                    <w:rPr>
                      <w:rFonts w:ascii="Times New Roman" w:hAnsi="Times New Roman"/>
                      <w:sz w:val="24"/>
                      <w:szCs w:val="24"/>
                    </w:rPr>
                  </w:pPr>
                  <w:r w:rsidRPr="00B83C68">
                    <w:rPr>
                      <w:rFonts w:ascii="Times New Roman" w:hAnsi="Times New Roman"/>
                      <w:sz w:val="24"/>
                      <w:szCs w:val="24"/>
                    </w:rPr>
                    <w:t>13.3.2.S</w:t>
                  </w:r>
                  <w:r w:rsidR="00280E12" w:rsidRPr="00B83C68">
                    <w:rPr>
                      <w:rFonts w:ascii="Times New Roman" w:hAnsi="Times New Roman"/>
                      <w:sz w:val="24"/>
                      <w:szCs w:val="24"/>
                    </w:rPr>
                    <w:t>pēja strādāt paaugstinātas intensitātes</w:t>
                  </w:r>
                  <w:r w:rsidR="00383DAE" w:rsidRPr="00B83C68">
                    <w:rPr>
                      <w:rFonts w:ascii="Times New Roman" w:hAnsi="Times New Roman"/>
                      <w:sz w:val="24"/>
                      <w:szCs w:val="24"/>
                    </w:rPr>
                    <w:t xml:space="preserve"> un stresa</w:t>
                  </w:r>
                  <w:r w:rsidR="00280E12" w:rsidRPr="00B83C68">
                    <w:rPr>
                      <w:rFonts w:ascii="Times New Roman" w:hAnsi="Times New Roman"/>
                      <w:sz w:val="24"/>
                      <w:szCs w:val="24"/>
                    </w:rPr>
                    <w:t xml:space="preserve"> apstākļos</w:t>
                  </w:r>
                  <w:r w:rsidRPr="00B83C68">
                    <w:rPr>
                      <w:rFonts w:ascii="Times New Roman" w:hAnsi="Times New Roman"/>
                      <w:sz w:val="24"/>
                      <w:szCs w:val="24"/>
                    </w:rPr>
                    <w:t>;</w:t>
                  </w:r>
                </w:p>
                <w:p w14:paraId="3F4D5C53" w14:textId="52985BCD" w:rsidR="00383DAE" w:rsidRPr="00B83C68" w:rsidRDefault="001B55CC" w:rsidP="001B55CC">
                  <w:pPr>
                    <w:jc w:val="both"/>
                    <w:rPr>
                      <w:rFonts w:ascii="Times New Roman" w:hAnsi="Times New Roman"/>
                      <w:sz w:val="24"/>
                      <w:szCs w:val="24"/>
                    </w:rPr>
                  </w:pPr>
                  <w:r w:rsidRPr="00B83C68">
                    <w:rPr>
                      <w:rFonts w:ascii="Times New Roman" w:hAnsi="Times New Roman"/>
                      <w:sz w:val="24"/>
                      <w:szCs w:val="24"/>
                    </w:rPr>
                    <w:t>13.3.3.P</w:t>
                  </w:r>
                  <w:r w:rsidR="00280E12" w:rsidRPr="00B83C68">
                    <w:rPr>
                      <w:rFonts w:ascii="Times New Roman" w:hAnsi="Times New Roman"/>
                      <w:sz w:val="24"/>
                      <w:szCs w:val="24"/>
                    </w:rPr>
                    <w:t>rasme argumentēt savu viedokli, formulēt un izteikt savu viedokli par k</w:t>
                  </w:r>
                  <w:r w:rsidR="005E0FC3" w:rsidRPr="00B83C68">
                    <w:rPr>
                      <w:rFonts w:ascii="Times New Roman" w:hAnsi="Times New Roman"/>
                      <w:sz w:val="24"/>
                      <w:szCs w:val="24"/>
                    </w:rPr>
                    <w:t>ompetencē esošajiem jautājumiem</w:t>
                  </w:r>
                  <w:r w:rsidR="00383DAE" w:rsidRPr="00B83C68">
                    <w:rPr>
                      <w:rFonts w:ascii="Times New Roman" w:hAnsi="Times New Roman"/>
                      <w:sz w:val="24"/>
                      <w:szCs w:val="24"/>
                    </w:rPr>
                    <w:t>;</w:t>
                  </w:r>
                </w:p>
                <w:p w14:paraId="1CBA69B6" w14:textId="5AF58A1E" w:rsidR="00A72B37" w:rsidRPr="00B83C68" w:rsidRDefault="00383DAE" w:rsidP="00821280">
                  <w:pPr>
                    <w:jc w:val="both"/>
                    <w:rPr>
                      <w:rFonts w:ascii="Times New Roman" w:hAnsi="Times New Roman" w:cs="Times New Roman"/>
                      <w:sz w:val="24"/>
                      <w:szCs w:val="24"/>
                    </w:rPr>
                  </w:pPr>
                  <w:r w:rsidRPr="00B83C68">
                    <w:rPr>
                      <w:rFonts w:ascii="Times New Roman" w:hAnsi="Times New Roman"/>
                      <w:sz w:val="24"/>
                      <w:szCs w:val="24"/>
                    </w:rPr>
                    <w:lastRenderedPageBreak/>
                    <w:t>13.3.4. Prasme patstāvīgi organizēt savu darbu, izvirzīt darba mērķus</w:t>
                  </w:r>
                  <w:r w:rsidR="00821280" w:rsidRPr="00B83C68">
                    <w:rPr>
                      <w:rFonts w:ascii="Times New Roman" w:hAnsi="Times New Roman"/>
                      <w:sz w:val="24"/>
                      <w:szCs w:val="24"/>
                    </w:rPr>
                    <w:t>, noteikt prioritātes</w:t>
                  </w:r>
                  <w:r w:rsidRPr="00B83C68">
                    <w:rPr>
                      <w:rFonts w:ascii="Times New Roman" w:hAnsi="Times New Roman"/>
                      <w:sz w:val="24"/>
                      <w:szCs w:val="24"/>
                    </w:rPr>
                    <w:t xml:space="preserve"> un uzdevumus</w:t>
                  </w:r>
                  <w:r w:rsidR="00022879" w:rsidRPr="00B83C68">
                    <w:rPr>
                      <w:rFonts w:ascii="Times New Roman" w:hAnsi="Times New Roman"/>
                      <w:sz w:val="24"/>
                      <w:szCs w:val="24"/>
                    </w:rPr>
                    <w:t>,</w:t>
                  </w:r>
                  <w:r w:rsidRPr="00B83C68">
                    <w:rPr>
                      <w:rFonts w:ascii="Times New Roman" w:hAnsi="Times New Roman"/>
                      <w:sz w:val="24"/>
                      <w:szCs w:val="24"/>
                    </w:rPr>
                    <w:t xml:space="preserve"> un plānot to sasniegšanai nepieciešamo rīcību</w:t>
                  </w:r>
                  <w:r w:rsidR="00821280" w:rsidRPr="00B83C68">
                    <w:rPr>
                      <w:rFonts w:ascii="Times New Roman" w:hAnsi="Times New Roman"/>
                      <w:sz w:val="24"/>
                      <w:szCs w:val="24"/>
                    </w:rPr>
                    <w:t>, nodrošinot efektīvu laika un resursu izmantošanu</w:t>
                  </w:r>
                  <w:r w:rsidRPr="00B83C68">
                    <w:rPr>
                      <w:rFonts w:ascii="Times New Roman" w:hAnsi="Times New Roman"/>
                      <w:sz w:val="24"/>
                      <w:szCs w:val="24"/>
                    </w:rPr>
                    <w:t>.</w:t>
                  </w:r>
                </w:p>
              </w:tc>
            </w:tr>
            <w:tr w:rsidR="00A72B37" w:rsidRPr="00B83C68" w14:paraId="1D35C54F" w14:textId="77777777" w:rsidTr="00BB5239">
              <w:tc>
                <w:tcPr>
                  <w:tcW w:w="2756" w:type="dxa"/>
                </w:tcPr>
                <w:p w14:paraId="6F325FDA" w14:textId="558E75D5"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lastRenderedPageBreak/>
                    <w:t>13.4.VISPĀRĒJĀS ZINĀŠANAS UN PRASMES</w:t>
                  </w:r>
                </w:p>
              </w:tc>
              <w:tc>
                <w:tcPr>
                  <w:tcW w:w="7230" w:type="dxa"/>
                </w:tcPr>
                <w:p w14:paraId="688EAEA7" w14:textId="2A72F6BB" w:rsidR="001B55CC" w:rsidRPr="00B83C68" w:rsidRDefault="001B55CC" w:rsidP="001B55CC">
                  <w:pPr>
                    <w:jc w:val="both"/>
                    <w:rPr>
                      <w:rFonts w:ascii="Times New Roman" w:hAnsi="Times New Roman"/>
                      <w:bCs/>
                      <w:sz w:val="24"/>
                      <w:szCs w:val="24"/>
                    </w:rPr>
                  </w:pPr>
                  <w:r w:rsidRPr="00B83C68">
                    <w:rPr>
                      <w:rFonts w:ascii="Times New Roman" w:hAnsi="Times New Roman"/>
                      <w:sz w:val="24"/>
                      <w:szCs w:val="24"/>
                    </w:rPr>
                    <w:t>13.4.1.Datorprasmes</w:t>
                  </w:r>
                  <w:r w:rsidR="00280E12" w:rsidRPr="00B83C68">
                    <w:rPr>
                      <w:rFonts w:ascii="Times New Roman" w:hAnsi="Times New Roman"/>
                      <w:sz w:val="24"/>
                      <w:szCs w:val="24"/>
                    </w:rPr>
                    <w:t xml:space="preserve"> (</w:t>
                  </w:r>
                  <w:r w:rsidR="00280E12" w:rsidRPr="00B83C68">
                    <w:rPr>
                      <w:rFonts w:ascii="Times New Roman" w:hAnsi="Times New Roman"/>
                      <w:bCs/>
                      <w:sz w:val="24"/>
                      <w:szCs w:val="24"/>
                    </w:rPr>
                    <w:t>MS Excel, MS Word)</w:t>
                  </w:r>
                  <w:r w:rsidRPr="00B83C68">
                    <w:rPr>
                      <w:rFonts w:ascii="Times New Roman" w:hAnsi="Times New Roman"/>
                      <w:bCs/>
                      <w:sz w:val="24"/>
                      <w:szCs w:val="24"/>
                    </w:rPr>
                    <w:t>;</w:t>
                  </w:r>
                </w:p>
                <w:p w14:paraId="7A940FF9" w14:textId="17701BFC" w:rsidR="00A72B37" w:rsidRPr="00B83C68" w:rsidRDefault="001B55CC" w:rsidP="001B55CC">
                  <w:pPr>
                    <w:jc w:val="both"/>
                    <w:rPr>
                      <w:rFonts w:ascii="Times New Roman" w:hAnsi="Times New Roman" w:cs="Times New Roman"/>
                      <w:sz w:val="24"/>
                      <w:szCs w:val="24"/>
                    </w:rPr>
                  </w:pPr>
                  <w:r w:rsidRPr="00B83C68">
                    <w:rPr>
                      <w:rFonts w:ascii="Times New Roman" w:hAnsi="Times New Roman"/>
                      <w:bCs/>
                      <w:sz w:val="24"/>
                      <w:szCs w:val="24"/>
                    </w:rPr>
                    <w:t>13.4.2.A</w:t>
                  </w:r>
                  <w:r w:rsidR="00280E12" w:rsidRPr="00B83C68">
                    <w:rPr>
                      <w:rFonts w:ascii="Times New Roman" w:hAnsi="Times New Roman"/>
                      <w:sz w:val="24"/>
                      <w:szCs w:val="24"/>
                    </w:rPr>
                    <w:t>ngļu valodas zināšanas.</w:t>
                  </w:r>
                </w:p>
              </w:tc>
            </w:tr>
          </w:tbl>
          <w:p w14:paraId="32DF394C" w14:textId="44CF2D23" w:rsidR="00A72B37" w:rsidRPr="00B83C68" w:rsidRDefault="00A72B37" w:rsidP="00BB5239">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756"/>
              <w:gridCol w:w="7230"/>
            </w:tblGrid>
            <w:tr w:rsidR="00A72B37" w:rsidRPr="00B83C68" w14:paraId="51B0DCFE" w14:textId="77777777" w:rsidTr="00BB5239">
              <w:tc>
                <w:tcPr>
                  <w:tcW w:w="2756" w:type="dxa"/>
                </w:tcPr>
                <w:p w14:paraId="38A5EB08" w14:textId="77777777" w:rsidR="00A72B37" w:rsidRPr="00B83C68" w:rsidRDefault="00A72B37" w:rsidP="00BB5239">
                  <w:pPr>
                    <w:jc w:val="both"/>
                    <w:rPr>
                      <w:rFonts w:ascii="Times New Roman" w:hAnsi="Times New Roman" w:cs="Times New Roman"/>
                      <w:sz w:val="24"/>
                      <w:szCs w:val="24"/>
                    </w:rPr>
                  </w:pPr>
                  <w:r w:rsidRPr="00B83C68">
                    <w:rPr>
                      <w:rFonts w:ascii="Times New Roman" w:hAnsi="Times New Roman" w:cs="Times New Roman"/>
                      <w:sz w:val="24"/>
                      <w:szCs w:val="24"/>
                    </w:rPr>
                    <w:t>14.AMATA ATBILDĪBA</w:t>
                  </w:r>
                </w:p>
              </w:tc>
              <w:tc>
                <w:tcPr>
                  <w:tcW w:w="7230" w:type="dxa"/>
                </w:tcPr>
                <w:p w14:paraId="50366440" w14:textId="7EA36F05" w:rsidR="00A72B37" w:rsidRPr="00B83C68" w:rsidRDefault="00280E12" w:rsidP="00BB5239">
                  <w:pPr>
                    <w:jc w:val="both"/>
                    <w:rPr>
                      <w:rFonts w:ascii="Times New Roman" w:hAnsi="Times New Roman" w:cs="Times New Roman"/>
                      <w:sz w:val="24"/>
                      <w:szCs w:val="24"/>
                    </w:rPr>
                  </w:pPr>
                  <w:r w:rsidRPr="00B83C68">
                    <w:rPr>
                      <w:rFonts w:ascii="Times New Roman" w:hAnsi="Times New Roman" w:cs="Times New Roman"/>
                      <w:sz w:val="24"/>
                      <w:szCs w:val="24"/>
                    </w:rPr>
                    <w:t xml:space="preserve">Atbild par profesionālu savas darbības norisi, par uzdoto uzdevumu kvalitatīvu un savlaicīgu izpildi un departamenta direktora un nodaļas vadītāja </w:t>
                  </w:r>
                  <w:smartTag w:uri="schemas-tilde-lv/tildestengine" w:element="veidnes">
                    <w:smartTagPr>
                      <w:attr w:name="text" w:val="rīkojumu"/>
                      <w:attr w:name="id" w:val="-1"/>
                      <w:attr w:name="baseform" w:val="rīkojum|s"/>
                    </w:smartTagPr>
                    <w:r w:rsidRPr="00B83C68">
                      <w:rPr>
                        <w:rFonts w:ascii="Times New Roman" w:hAnsi="Times New Roman" w:cs="Times New Roman"/>
                        <w:sz w:val="24"/>
                        <w:szCs w:val="24"/>
                      </w:rPr>
                      <w:t>rīkojumu</w:t>
                    </w:r>
                  </w:smartTag>
                  <w:r w:rsidRPr="00B83C68">
                    <w:rPr>
                      <w:rFonts w:ascii="Times New Roman" w:hAnsi="Times New Roman" w:cs="Times New Roman"/>
                      <w:sz w:val="24"/>
                      <w:szCs w:val="24"/>
                    </w:rPr>
                    <w:t xml:space="preserve"> izpildi.</w:t>
                  </w:r>
                </w:p>
              </w:tc>
            </w:tr>
            <w:tr w:rsidR="00A72B37" w:rsidRPr="00B83C68" w14:paraId="2AA7FDBC" w14:textId="77777777" w:rsidTr="00BB5239">
              <w:tc>
                <w:tcPr>
                  <w:tcW w:w="2756" w:type="dxa"/>
                </w:tcPr>
                <w:p w14:paraId="091ACBC7"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15.AMATA TIESĪBAS</w:t>
                  </w:r>
                </w:p>
              </w:tc>
              <w:tc>
                <w:tcPr>
                  <w:tcW w:w="7230" w:type="dxa"/>
                </w:tcPr>
                <w:p w14:paraId="1D8271DA" w14:textId="42EE40ED" w:rsidR="00280E12" w:rsidRPr="00B83C68" w:rsidRDefault="00280E12" w:rsidP="00280E12">
                  <w:pPr>
                    <w:pStyle w:val="BodyTextIndent3"/>
                    <w:tabs>
                      <w:tab w:val="num" w:pos="1134"/>
                      <w:tab w:val="num" w:pos="1440"/>
                      <w:tab w:val="num" w:pos="4969"/>
                    </w:tabs>
                    <w:spacing w:after="0"/>
                    <w:ind w:left="0"/>
                    <w:jc w:val="both"/>
                    <w:rPr>
                      <w:iCs/>
                      <w:sz w:val="24"/>
                      <w:szCs w:val="24"/>
                    </w:rPr>
                  </w:pPr>
                  <w:r w:rsidRPr="00B83C68">
                    <w:rPr>
                      <w:iCs/>
                      <w:sz w:val="24"/>
                      <w:szCs w:val="24"/>
                    </w:rPr>
                    <w:t>15.1.</w:t>
                  </w:r>
                  <w:r w:rsidR="001B55CC" w:rsidRPr="00B83C68">
                    <w:rPr>
                      <w:iCs/>
                      <w:sz w:val="24"/>
                      <w:szCs w:val="24"/>
                    </w:rPr>
                    <w:t>S</w:t>
                  </w:r>
                  <w:r w:rsidRPr="00B83C68">
                    <w:rPr>
                      <w:iCs/>
                      <w:sz w:val="24"/>
                      <w:szCs w:val="24"/>
                    </w:rPr>
                    <w:t>avlaicīgi saņemt amata pienākumu veikšanai nepieciešamo informāciju no nodaļas vadītāja;</w:t>
                  </w:r>
                </w:p>
                <w:p w14:paraId="30566E4B" w14:textId="493DAEA5" w:rsidR="00280E12" w:rsidRPr="00B83C68" w:rsidRDefault="00280E12" w:rsidP="00280E12">
                  <w:pPr>
                    <w:pStyle w:val="BodyTextIndent3"/>
                    <w:tabs>
                      <w:tab w:val="num" w:pos="1134"/>
                      <w:tab w:val="num" w:pos="1440"/>
                      <w:tab w:val="num" w:pos="4969"/>
                    </w:tabs>
                    <w:spacing w:after="0"/>
                    <w:ind w:left="0"/>
                    <w:jc w:val="both"/>
                    <w:rPr>
                      <w:sz w:val="24"/>
                      <w:szCs w:val="24"/>
                    </w:rPr>
                  </w:pPr>
                  <w:r w:rsidRPr="00B83C68">
                    <w:rPr>
                      <w:sz w:val="24"/>
                      <w:szCs w:val="24"/>
                    </w:rPr>
                    <w:t>15.2.</w:t>
                  </w:r>
                  <w:r w:rsidR="001B55CC" w:rsidRPr="00B83C68">
                    <w:rPr>
                      <w:sz w:val="24"/>
                      <w:szCs w:val="24"/>
                    </w:rPr>
                    <w:t>P</w:t>
                  </w:r>
                  <w:r w:rsidRPr="00B83C68">
                    <w:rPr>
                      <w:sz w:val="24"/>
                      <w:szCs w:val="24"/>
                    </w:rPr>
                    <w:t>ieprasīt un saņemt nepieciešamo informāciju un skaidrojumus no citām institūcijām amata pienākumu veikšanai;</w:t>
                  </w:r>
                </w:p>
                <w:p w14:paraId="64083A0D" w14:textId="5E61D505" w:rsidR="00A72B37" w:rsidRPr="00B83C68" w:rsidRDefault="00280E12" w:rsidP="00280E12">
                  <w:pPr>
                    <w:jc w:val="both"/>
                    <w:rPr>
                      <w:rFonts w:ascii="Times New Roman" w:hAnsi="Times New Roman" w:cs="Times New Roman"/>
                      <w:sz w:val="24"/>
                      <w:szCs w:val="24"/>
                    </w:rPr>
                  </w:pPr>
                  <w:r w:rsidRPr="00B83C68">
                    <w:rPr>
                      <w:rFonts w:ascii="Times New Roman" w:hAnsi="Times New Roman" w:cs="Times New Roman"/>
                      <w:sz w:val="24"/>
                      <w:szCs w:val="24"/>
                    </w:rPr>
                    <w:t>15.3.</w:t>
                  </w:r>
                  <w:r w:rsidR="001B55CC" w:rsidRPr="00B83C68">
                    <w:rPr>
                      <w:rFonts w:ascii="Times New Roman" w:hAnsi="Times New Roman" w:cs="Times New Roman"/>
                      <w:sz w:val="24"/>
                      <w:szCs w:val="24"/>
                    </w:rPr>
                    <w:t>S</w:t>
                  </w:r>
                  <w:r w:rsidRPr="00B83C68">
                    <w:rPr>
                      <w:rFonts w:ascii="Times New Roman" w:hAnsi="Times New Roman" w:cs="Times New Roman"/>
                      <w:sz w:val="24"/>
                      <w:szCs w:val="24"/>
                    </w:rPr>
                    <w:t>niegt ierosinājumus un priekšlikumus nodaļas darba kvalitātes un efektivitātes uzlabošanai.</w:t>
                  </w:r>
                </w:p>
              </w:tc>
            </w:tr>
            <w:tr w:rsidR="00A72B37" w:rsidRPr="00B83C68" w14:paraId="5E0768C3" w14:textId="77777777" w:rsidTr="00BB5239">
              <w:tc>
                <w:tcPr>
                  <w:tcW w:w="2756" w:type="dxa"/>
                </w:tcPr>
                <w:p w14:paraId="09BDD630" w14:textId="77777777" w:rsidR="00A72B37" w:rsidRPr="00B83C68" w:rsidRDefault="00A72B37" w:rsidP="00BB5239">
                  <w:pPr>
                    <w:rPr>
                      <w:rFonts w:ascii="Times New Roman" w:hAnsi="Times New Roman" w:cs="Times New Roman"/>
                      <w:sz w:val="24"/>
                      <w:szCs w:val="24"/>
                    </w:rPr>
                  </w:pPr>
                  <w:r w:rsidRPr="00B83C68">
                    <w:rPr>
                      <w:rFonts w:ascii="Times New Roman" w:hAnsi="Times New Roman" w:cs="Times New Roman"/>
                      <w:sz w:val="24"/>
                      <w:szCs w:val="24"/>
                    </w:rPr>
                    <w:t>16.CITA INFORMĀCIJA</w:t>
                  </w:r>
                </w:p>
              </w:tc>
              <w:tc>
                <w:tcPr>
                  <w:tcW w:w="7230" w:type="dxa"/>
                </w:tcPr>
                <w:p w14:paraId="292738B0" w14:textId="77777777" w:rsidR="00E63531" w:rsidRDefault="00E63531" w:rsidP="00E63531">
                  <w:pPr>
                    <w:jc w:val="both"/>
                    <w:rPr>
                      <w:rFonts w:ascii="Times New Roman" w:hAnsi="Times New Roman" w:cs="Times New Roman"/>
                      <w:sz w:val="24"/>
                      <w:szCs w:val="24"/>
                    </w:rPr>
                  </w:pPr>
                  <w:r>
                    <w:rPr>
                      <w:rFonts w:ascii="Times New Roman" w:hAnsi="Times New Roman" w:cs="Times New Roman"/>
                      <w:sz w:val="24"/>
                      <w:szCs w:val="24"/>
                    </w:rPr>
                    <w:t>16.1.</w:t>
                  </w:r>
                  <w:r w:rsidRPr="00C75EC0">
                    <w:rPr>
                      <w:rFonts w:ascii="Times New Roman" w:hAnsi="Times New Roman" w:cs="Times New Roman"/>
                      <w:bCs/>
                      <w:sz w:val="24"/>
                      <w:szCs w:val="24"/>
                    </w:rPr>
                    <w:t>Saskaņā ar Finanšu ministrijas apstiprinātajā amatu sarakstā noteikto amata pildīšanai nepieciešama pieeja valsts noslēpuma objektiem.</w:t>
                  </w:r>
                </w:p>
                <w:p w14:paraId="52CEAE74" w14:textId="4CF68157" w:rsidR="001B55CC" w:rsidRPr="00B83C68" w:rsidRDefault="001B55CC" w:rsidP="00425780">
                  <w:pPr>
                    <w:jc w:val="both"/>
                    <w:rPr>
                      <w:rFonts w:ascii="Times New Roman" w:hAnsi="Times New Roman" w:cs="Times New Roman"/>
                      <w:sz w:val="24"/>
                      <w:szCs w:val="24"/>
                    </w:rPr>
                  </w:pPr>
                  <w:r w:rsidRPr="00B83C68">
                    <w:rPr>
                      <w:rFonts w:ascii="Times New Roman" w:hAnsi="Times New Roman" w:cs="Times New Roman"/>
                      <w:sz w:val="24"/>
                      <w:szCs w:val="24"/>
                    </w:rPr>
                    <w:t>16.2.</w:t>
                  </w:r>
                  <w:r w:rsidR="00AE72C1" w:rsidRPr="00B83C68">
                    <w:rPr>
                      <w:rFonts w:ascii="Times New Roman" w:hAnsi="Times New Roman" w:cs="Times New Roman"/>
                      <w:sz w:val="24"/>
                      <w:szCs w:val="24"/>
                    </w:rPr>
                    <w:t>Intelektuāls un s</w:t>
                  </w:r>
                  <w:r w:rsidRPr="00B83C68">
                    <w:rPr>
                      <w:rFonts w:ascii="Times New Roman" w:hAnsi="Times New Roman" w:cs="Times New Roman"/>
                      <w:sz w:val="24"/>
                      <w:szCs w:val="24"/>
                    </w:rPr>
                    <w:t>arežģīts darbs, kas prasa jaunus, oriģinālus</w:t>
                  </w:r>
                  <w:r w:rsidR="00E87224" w:rsidRPr="00B83C68">
                    <w:rPr>
                      <w:rFonts w:ascii="Times New Roman" w:hAnsi="Times New Roman" w:cs="Times New Roman"/>
                      <w:sz w:val="24"/>
                      <w:szCs w:val="24"/>
                    </w:rPr>
                    <w:t>, nestandarta</w:t>
                  </w:r>
                  <w:r w:rsidRPr="00B83C68">
                    <w:rPr>
                      <w:rFonts w:ascii="Times New Roman" w:hAnsi="Times New Roman" w:cs="Times New Roman"/>
                      <w:sz w:val="24"/>
                      <w:szCs w:val="24"/>
                    </w:rPr>
                    <w:t xml:space="preserve"> risinājumus un ne vienmēr darba uzdevumu izpildei ir noteikta metodika. Jāveic liela apjoma dažāda</w:t>
                  </w:r>
                  <w:r w:rsidR="00AE72C1" w:rsidRPr="00B83C68">
                    <w:rPr>
                      <w:rFonts w:ascii="Times New Roman" w:hAnsi="Times New Roman" w:cs="Times New Roman"/>
                      <w:sz w:val="24"/>
                      <w:szCs w:val="24"/>
                    </w:rPr>
                    <w:t xml:space="preserve"> veida un jomu</w:t>
                  </w:r>
                  <w:r w:rsidRPr="00B83C68">
                    <w:rPr>
                      <w:rFonts w:ascii="Times New Roman" w:hAnsi="Times New Roman" w:cs="Times New Roman"/>
                      <w:sz w:val="24"/>
                      <w:szCs w:val="24"/>
                    </w:rPr>
                    <w:t xml:space="preserve"> informācijas vienlaicīga analīze, </w:t>
                  </w:r>
                  <w:r w:rsidR="00AE72C1" w:rsidRPr="00B83C68">
                    <w:rPr>
                      <w:rFonts w:ascii="Times New Roman" w:hAnsi="Times New Roman" w:cs="Times New Roman"/>
                      <w:sz w:val="24"/>
                      <w:szCs w:val="24"/>
                    </w:rPr>
                    <w:t>analīzes rezultātu izvērtēšana</w:t>
                  </w:r>
                  <w:r w:rsidR="00A364EC" w:rsidRPr="00B83C68">
                    <w:rPr>
                      <w:rFonts w:ascii="Times New Roman" w:hAnsi="Times New Roman" w:cs="Times New Roman"/>
                      <w:sz w:val="24"/>
                      <w:szCs w:val="24"/>
                    </w:rPr>
                    <w:t>,</w:t>
                  </w:r>
                  <w:r w:rsidR="00425780" w:rsidRPr="00B83C68">
                    <w:rPr>
                      <w:rFonts w:ascii="Times New Roman" w:hAnsi="Times New Roman" w:cs="Times New Roman"/>
                      <w:sz w:val="24"/>
                      <w:szCs w:val="24"/>
                    </w:rPr>
                    <w:t xml:space="preserve"> </w:t>
                  </w:r>
                  <w:r w:rsidR="00A364EC" w:rsidRPr="00B83C68">
                    <w:rPr>
                      <w:rFonts w:ascii="Times New Roman" w:hAnsi="Times New Roman" w:cs="Times New Roman"/>
                      <w:sz w:val="24"/>
                      <w:szCs w:val="24"/>
                    </w:rPr>
                    <w:t>labāko r</w:t>
                  </w:r>
                  <w:r w:rsidR="001270BF" w:rsidRPr="00B83C68">
                    <w:rPr>
                      <w:rFonts w:ascii="Times New Roman" w:hAnsi="Times New Roman" w:cs="Times New Roman"/>
                      <w:sz w:val="24"/>
                      <w:szCs w:val="24"/>
                    </w:rPr>
                    <w:t xml:space="preserve">isinājumu un ekspertu sniegtā </w:t>
                  </w:r>
                  <w:r w:rsidR="00A364EC" w:rsidRPr="00B83C68">
                    <w:rPr>
                      <w:rFonts w:ascii="Times New Roman" w:hAnsi="Times New Roman" w:cs="Times New Roman"/>
                      <w:sz w:val="24"/>
                      <w:szCs w:val="24"/>
                    </w:rPr>
                    <w:t>vērtējuma</w:t>
                  </w:r>
                  <w:r w:rsidR="00AE72C1" w:rsidRPr="00B83C68">
                    <w:rPr>
                      <w:rFonts w:ascii="Times New Roman" w:hAnsi="Times New Roman" w:cs="Times New Roman"/>
                      <w:sz w:val="24"/>
                      <w:szCs w:val="24"/>
                    </w:rPr>
                    <w:t xml:space="preserve"> izmantošana valsts interešu </w:t>
                  </w:r>
                  <w:r w:rsidR="00BC773B" w:rsidRPr="00B83C68">
                    <w:rPr>
                      <w:rFonts w:ascii="Times New Roman" w:hAnsi="Times New Roman" w:cs="Times New Roman"/>
                      <w:sz w:val="24"/>
                      <w:szCs w:val="24"/>
                    </w:rPr>
                    <w:t>nodrošināšanā</w:t>
                  </w:r>
                  <w:r w:rsidR="00425780" w:rsidRPr="00B83C68">
                    <w:rPr>
                      <w:rFonts w:ascii="Times New Roman" w:hAnsi="Times New Roman" w:cs="Times New Roman"/>
                      <w:sz w:val="24"/>
                      <w:szCs w:val="24"/>
                    </w:rPr>
                    <w:t>, saskatot iespējamo risinājumu ilgtermiņa sekas</w:t>
                  </w:r>
                  <w:r w:rsidRPr="00B83C68">
                    <w:rPr>
                      <w:rFonts w:ascii="Times New Roman" w:hAnsi="Times New Roman" w:cs="Times New Roman"/>
                      <w:sz w:val="24"/>
                      <w:szCs w:val="24"/>
                    </w:rPr>
                    <w:t>.</w:t>
                  </w:r>
                  <w:r w:rsidR="00A3280B" w:rsidRPr="00B83C68">
                    <w:rPr>
                      <w:rFonts w:ascii="Times New Roman" w:hAnsi="Times New Roman" w:cs="Times New Roman"/>
                      <w:sz w:val="24"/>
                      <w:szCs w:val="24"/>
                    </w:rPr>
                    <w:t xml:space="preserve"> Nepieciešams dziļi pārzināt kompetences jomu, orientēties sarežģītos attiecīgās nozares jautājumos</w:t>
                  </w:r>
                  <w:r w:rsidR="00425780" w:rsidRPr="00B83C68">
                    <w:rPr>
                      <w:rFonts w:ascii="Times New Roman" w:hAnsi="Times New Roman" w:cs="Times New Roman"/>
                      <w:sz w:val="24"/>
                      <w:szCs w:val="24"/>
                    </w:rPr>
                    <w:t xml:space="preserve">, </w:t>
                  </w:r>
                  <w:r w:rsidR="00A3280B" w:rsidRPr="00B83C68">
                    <w:rPr>
                      <w:rFonts w:ascii="Times New Roman" w:hAnsi="Times New Roman" w:cs="Times New Roman"/>
                      <w:sz w:val="24"/>
                      <w:szCs w:val="24"/>
                    </w:rPr>
                    <w:t>saskatot sakarības starp situācijām un procesiem, kas nav acīmredzami saistīti.</w:t>
                  </w:r>
                </w:p>
              </w:tc>
            </w:tr>
          </w:tbl>
          <w:p w14:paraId="5D4AEBC3" w14:textId="3DDEB32E" w:rsidR="00A72B37" w:rsidRPr="00B83C68" w:rsidRDefault="00A72B37" w:rsidP="00BB5239">
            <w:pPr>
              <w:jc w:val="both"/>
              <w:rPr>
                <w:rFonts w:ascii="Times New Roman" w:hAnsi="Times New Roman" w:cs="Times New Roman"/>
                <w:b/>
                <w:sz w:val="36"/>
                <w:szCs w:val="36"/>
              </w:rPr>
            </w:pPr>
          </w:p>
        </w:tc>
      </w:tr>
    </w:tbl>
    <w:p w14:paraId="1D950491" w14:textId="77777777" w:rsidR="00A72B37" w:rsidRPr="00B83C68" w:rsidRDefault="00A72B37" w:rsidP="00A72B37">
      <w:pPr>
        <w:spacing w:after="0"/>
        <w:rPr>
          <w:rFonts w:ascii="Times New Roman" w:hAnsi="Times New Roman" w:cs="Times New Roman"/>
          <w:sz w:val="24"/>
          <w:szCs w:val="24"/>
        </w:rPr>
      </w:pPr>
    </w:p>
    <w:tbl>
      <w:tblPr>
        <w:tblStyle w:val="TableGrid1"/>
        <w:tblW w:w="9923" w:type="dxa"/>
        <w:tblInd w:w="137" w:type="dxa"/>
        <w:tblLook w:val="04A0" w:firstRow="1" w:lastRow="0" w:firstColumn="1" w:lastColumn="0" w:noHBand="0" w:noVBand="1"/>
      </w:tblPr>
      <w:tblGrid>
        <w:gridCol w:w="2681"/>
        <w:gridCol w:w="1938"/>
        <w:gridCol w:w="3603"/>
        <w:gridCol w:w="1701"/>
      </w:tblGrid>
      <w:tr w:rsidR="00E63531" w:rsidRPr="00F73893" w14:paraId="28255140" w14:textId="77777777" w:rsidTr="00755348">
        <w:tc>
          <w:tcPr>
            <w:tcW w:w="2681" w:type="dxa"/>
            <w:tcBorders>
              <w:top w:val="single" w:sz="4" w:space="0" w:color="auto"/>
              <w:left w:val="single" w:sz="4" w:space="0" w:color="auto"/>
              <w:bottom w:val="nil"/>
              <w:right w:val="single" w:sz="4" w:space="0" w:color="auto"/>
            </w:tcBorders>
          </w:tcPr>
          <w:p w14:paraId="225EA6C2" w14:textId="77777777" w:rsidR="00E63531" w:rsidRPr="00F73893" w:rsidRDefault="00E63531" w:rsidP="00755348">
            <w:pPr>
              <w:rPr>
                <w:rFonts w:ascii="Times New Roman" w:eastAsia="Calibri" w:hAnsi="Times New Roman"/>
              </w:rPr>
            </w:pPr>
            <w:bookmarkStart w:id="0" w:name="_Hlk101178081"/>
            <w:r w:rsidRPr="00F73893">
              <w:rPr>
                <w:rFonts w:ascii="Times New Roman" w:eastAsia="Calibri" w:hAnsi="Times New Roman"/>
              </w:rPr>
              <w:t xml:space="preserve">STRUKTŪRVIENĪBAS </w:t>
            </w:r>
          </w:p>
        </w:tc>
        <w:tc>
          <w:tcPr>
            <w:tcW w:w="1938" w:type="dxa"/>
            <w:tcBorders>
              <w:left w:val="single" w:sz="4" w:space="0" w:color="auto"/>
            </w:tcBorders>
          </w:tcPr>
          <w:p w14:paraId="24302663" w14:textId="77777777" w:rsidR="00E63531" w:rsidRPr="00F73893" w:rsidRDefault="00E63531" w:rsidP="00755348">
            <w:pPr>
              <w:rPr>
                <w:rFonts w:ascii="Times New Roman" w:eastAsia="Calibri" w:hAnsi="Times New Roman"/>
              </w:rPr>
            </w:pPr>
            <w:r w:rsidRPr="00F73893">
              <w:rPr>
                <w:rFonts w:ascii="Times New Roman" w:eastAsia="Calibri" w:hAnsi="Times New Roman"/>
              </w:rPr>
              <w:t>Saskaņots ALS</w:t>
            </w:r>
          </w:p>
        </w:tc>
        <w:tc>
          <w:tcPr>
            <w:tcW w:w="3603" w:type="dxa"/>
          </w:tcPr>
          <w:p w14:paraId="663D697F" w14:textId="77777777" w:rsidR="00E63531" w:rsidRPr="00F73893" w:rsidRDefault="00E63531" w:rsidP="00755348">
            <w:pPr>
              <w:jc w:val="center"/>
              <w:rPr>
                <w:rFonts w:ascii="Times New Roman" w:eastAsia="Calibri" w:hAnsi="Times New Roman"/>
              </w:rPr>
            </w:pPr>
            <w:r>
              <w:rPr>
                <w:rFonts w:ascii="Times New Roman" w:eastAsia="Calibri" w:hAnsi="Times New Roman"/>
              </w:rPr>
              <w:t>Romija Rugevica</w:t>
            </w:r>
          </w:p>
        </w:tc>
        <w:tc>
          <w:tcPr>
            <w:tcW w:w="1701" w:type="dxa"/>
          </w:tcPr>
          <w:p w14:paraId="5D051C8E" w14:textId="77777777" w:rsidR="00E63531" w:rsidRPr="00F73893" w:rsidRDefault="00E63531" w:rsidP="00755348">
            <w:pPr>
              <w:rPr>
                <w:rFonts w:ascii="Times New Roman" w:eastAsia="Calibri" w:hAnsi="Times New Roman"/>
              </w:rPr>
            </w:pPr>
          </w:p>
        </w:tc>
      </w:tr>
      <w:tr w:rsidR="00E63531" w:rsidRPr="00F73893" w14:paraId="26360325" w14:textId="77777777" w:rsidTr="00755348">
        <w:tc>
          <w:tcPr>
            <w:tcW w:w="2681" w:type="dxa"/>
            <w:tcBorders>
              <w:top w:val="nil"/>
              <w:bottom w:val="single" w:sz="4" w:space="0" w:color="auto"/>
            </w:tcBorders>
          </w:tcPr>
          <w:p w14:paraId="3AAAB9AD" w14:textId="77777777" w:rsidR="00E63531" w:rsidRPr="00F73893" w:rsidRDefault="00E63531" w:rsidP="00755348">
            <w:pPr>
              <w:rPr>
                <w:rFonts w:ascii="Times New Roman" w:eastAsia="Calibri" w:hAnsi="Times New Roman"/>
              </w:rPr>
            </w:pPr>
            <w:r w:rsidRPr="00F73893">
              <w:rPr>
                <w:rFonts w:ascii="Times New Roman" w:eastAsia="Calibri" w:hAnsi="Times New Roman"/>
              </w:rPr>
              <w:t>VADĪTĀJS</w:t>
            </w:r>
          </w:p>
        </w:tc>
        <w:tc>
          <w:tcPr>
            <w:tcW w:w="1938" w:type="dxa"/>
          </w:tcPr>
          <w:p w14:paraId="42A1E8E1" w14:textId="39B461E7" w:rsidR="00E63531" w:rsidRPr="00426CE4" w:rsidRDefault="00DF5261" w:rsidP="00755348">
            <w:pPr>
              <w:jc w:val="center"/>
              <w:rPr>
                <w:rFonts w:ascii="Times New Roman" w:eastAsia="Calibri" w:hAnsi="Times New Roman"/>
                <w:i/>
                <w:sz w:val="24"/>
                <w:szCs w:val="24"/>
              </w:rPr>
            </w:pPr>
            <w:r w:rsidRPr="00F73893">
              <w:rPr>
                <w:rFonts w:ascii="Times New Roman" w:eastAsia="Calibri" w:hAnsi="Times New Roman"/>
                <w:i/>
                <w:sz w:val="24"/>
                <w:szCs w:val="24"/>
              </w:rPr>
              <w:t>(paraksts)*</w:t>
            </w:r>
          </w:p>
        </w:tc>
        <w:tc>
          <w:tcPr>
            <w:tcW w:w="3603" w:type="dxa"/>
          </w:tcPr>
          <w:p w14:paraId="586FE112" w14:textId="77777777" w:rsidR="00E63531" w:rsidRPr="00426CE4" w:rsidRDefault="00E63531" w:rsidP="00755348">
            <w:pPr>
              <w:rPr>
                <w:rFonts w:ascii="Times New Roman" w:eastAsia="Calibri" w:hAnsi="Times New Roman"/>
                <w:i/>
                <w:sz w:val="24"/>
                <w:szCs w:val="24"/>
              </w:rPr>
            </w:pPr>
            <w:r w:rsidRPr="00426CE4">
              <w:rPr>
                <w:rFonts w:ascii="Times New Roman" w:eastAsia="Calibri" w:hAnsi="Times New Roman"/>
                <w:sz w:val="24"/>
                <w:szCs w:val="24"/>
              </w:rPr>
              <w:t xml:space="preserve">               </w:t>
            </w:r>
            <w:r w:rsidRPr="00426CE4">
              <w:rPr>
                <w:rFonts w:ascii="Times New Roman" w:eastAsia="Calibri" w:hAnsi="Times New Roman"/>
                <w:i/>
                <w:sz w:val="24"/>
                <w:szCs w:val="24"/>
              </w:rPr>
              <w:t>vārds, uzvārds</w:t>
            </w:r>
          </w:p>
        </w:tc>
        <w:tc>
          <w:tcPr>
            <w:tcW w:w="1701" w:type="dxa"/>
          </w:tcPr>
          <w:p w14:paraId="571A4781" w14:textId="77777777" w:rsidR="00E63531" w:rsidRPr="00426CE4" w:rsidRDefault="00E63531" w:rsidP="00755348">
            <w:pPr>
              <w:rPr>
                <w:rFonts w:ascii="Times New Roman" w:eastAsia="Calibri" w:hAnsi="Times New Roman"/>
                <w:i/>
                <w:sz w:val="24"/>
                <w:szCs w:val="24"/>
              </w:rPr>
            </w:pPr>
            <w:r w:rsidRPr="00426CE4">
              <w:rPr>
                <w:rFonts w:ascii="Times New Roman" w:eastAsia="Calibri" w:hAnsi="Times New Roman"/>
                <w:i/>
                <w:sz w:val="24"/>
                <w:szCs w:val="24"/>
              </w:rPr>
              <w:t xml:space="preserve">  datums</w:t>
            </w:r>
          </w:p>
        </w:tc>
      </w:tr>
      <w:tr w:rsidR="00E63531" w:rsidRPr="00F73893" w14:paraId="71190B11" w14:textId="77777777" w:rsidTr="00755348">
        <w:tc>
          <w:tcPr>
            <w:tcW w:w="2681" w:type="dxa"/>
            <w:tcBorders>
              <w:top w:val="single" w:sz="4" w:space="0" w:color="auto"/>
              <w:left w:val="single" w:sz="4" w:space="0" w:color="auto"/>
              <w:bottom w:val="nil"/>
              <w:right w:val="single" w:sz="4" w:space="0" w:color="auto"/>
            </w:tcBorders>
          </w:tcPr>
          <w:p w14:paraId="01236FC6" w14:textId="77777777" w:rsidR="00E63531" w:rsidRPr="00F73893" w:rsidRDefault="00E63531" w:rsidP="00755348">
            <w:pPr>
              <w:rPr>
                <w:rFonts w:ascii="Times New Roman" w:eastAsia="Calibri" w:hAnsi="Times New Roman"/>
                <w:sz w:val="24"/>
                <w:szCs w:val="24"/>
              </w:rPr>
            </w:pPr>
            <w:r w:rsidRPr="00F73893">
              <w:rPr>
                <w:rFonts w:ascii="Times New Roman" w:eastAsia="Calibri" w:hAnsi="Times New Roman"/>
                <w:sz w:val="24"/>
                <w:szCs w:val="24"/>
              </w:rPr>
              <w:t>DARBINIEKS</w:t>
            </w:r>
          </w:p>
        </w:tc>
        <w:tc>
          <w:tcPr>
            <w:tcW w:w="1938" w:type="dxa"/>
            <w:tcBorders>
              <w:left w:val="single" w:sz="4" w:space="0" w:color="auto"/>
            </w:tcBorders>
          </w:tcPr>
          <w:p w14:paraId="47839D6D" w14:textId="77777777" w:rsidR="00E63531" w:rsidRPr="00F73893" w:rsidRDefault="00E63531" w:rsidP="00755348">
            <w:pPr>
              <w:jc w:val="center"/>
              <w:rPr>
                <w:rFonts w:ascii="Times New Roman" w:eastAsia="Calibri" w:hAnsi="Times New Roman"/>
                <w:sz w:val="24"/>
                <w:szCs w:val="24"/>
              </w:rPr>
            </w:pPr>
            <w:r w:rsidRPr="00F73893">
              <w:rPr>
                <w:rFonts w:ascii="Times New Roman" w:eastAsia="Calibri" w:hAnsi="Times New Roman"/>
                <w:i/>
                <w:sz w:val="24"/>
                <w:szCs w:val="24"/>
              </w:rPr>
              <w:t>(paraksts)*</w:t>
            </w:r>
          </w:p>
        </w:tc>
        <w:tc>
          <w:tcPr>
            <w:tcW w:w="3603" w:type="dxa"/>
          </w:tcPr>
          <w:p w14:paraId="1F3B35AB" w14:textId="77777777" w:rsidR="00E63531" w:rsidRPr="00F73893" w:rsidRDefault="00E63531" w:rsidP="00755348">
            <w:pPr>
              <w:rPr>
                <w:rFonts w:ascii="Times New Roman" w:eastAsia="Calibri" w:hAnsi="Times New Roman"/>
                <w:sz w:val="24"/>
                <w:szCs w:val="24"/>
              </w:rPr>
            </w:pPr>
          </w:p>
        </w:tc>
        <w:tc>
          <w:tcPr>
            <w:tcW w:w="1701" w:type="dxa"/>
          </w:tcPr>
          <w:p w14:paraId="3D86A29C" w14:textId="77777777" w:rsidR="00E63531" w:rsidRPr="00F73893" w:rsidRDefault="00E63531" w:rsidP="00755348">
            <w:pPr>
              <w:rPr>
                <w:rFonts w:ascii="Times New Roman" w:eastAsia="Calibri" w:hAnsi="Times New Roman"/>
                <w:sz w:val="24"/>
                <w:szCs w:val="24"/>
              </w:rPr>
            </w:pPr>
          </w:p>
        </w:tc>
      </w:tr>
      <w:tr w:rsidR="00E63531" w:rsidRPr="00F73893" w14:paraId="0E593813" w14:textId="77777777" w:rsidTr="00755348">
        <w:tc>
          <w:tcPr>
            <w:tcW w:w="2681" w:type="dxa"/>
            <w:tcBorders>
              <w:top w:val="nil"/>
            </w:tcBorders>
          </w:tcPr>
          <w:p w14:paraId="68CA878E" w14:textId="77777777" w:rsidR="00E63531" w:rsidRPr="00F73893" w:rsidRDefault="00E63531" w:rsidP="00755348">
            <w:pPr>
              <w:rPr>
                <w:rFonts w:ascii="Times New Roman" w:eastAsia="Calibri" w:hAnsi="Times New Roman"/>
                <w:sz w:val="24"/>
                <w:szCs w:val="24"/>
              </w:rPr>
            </w:pPr>
          </w:p>
        </w:tc>
        <w:tc>
          <w:tcPr>
            <w:tcW w:w="1938" w:type="dxa"/>
          </w:tcPr>
          <w:p w14:paraId="3CBF4082" w14:textId="77777777" w:rsidR="00E63531" w:rsidRPr="00F73893" w:rsidRDefault="00E63531" w:rsidP="00755348">
            <w:pPr>
              <w:rPr>
                <w:rFonts w:ascii="Times New Roman" w:eastAsia="Calibri" w:hAnsi="Times New Roman"/>
                <w:sz w:val="24"/>
                <w:szCs w:val="24"/>
              </w:rPr>
            </w:pPr>
            <w:r w:rsidRPr="00F73893">
              <w:rPr>
                <w:rFonts w:ascii="Times New Roman" w:eastAsia="Calibri" w:hAnsi="Times New Roman"/>
                <w:sz w:val="24"/>
                <w:szCs w:val="24"/>
              </w:rPr>
              <w:t xml:space="preserve">       </w:t>
            </w:r>
          </w:p>
        </w:tc>
        <w:tc>
          <w:tcPr>
            <w:tcW w:w="3603" w:type="dxa"/>
          </w:tcPr>
          <w:p w14:paraId="101A809D" w14:textId="77777777" w:rsidR="00E63531" w:rsidRPr="00F73893" w:rsidRDefault="00E63531" w:rsidP="00755348">
            <w:pPr>
              <w:rPr>
                <w:rFonts w:ascii="Times New Roman" w:eastAsia="Calibri" w:hAnsi="Times New Roman"/>
                <w:i/>
                <w:sz w:val="24"/>
                <w:szCs w:val="24"/>
              </w:rPr>
            </w:pPr>
            <w:r w:rsidRPr="00F73893">
              <w:rPr>
                <w:rFonts w:ascii="Times New Roman" w:eastAsia="Calibri" w:hAnsi="Times New Roman"/>
                <w:sz w:val="24"/>
                <w:szCs w:val="24"/>
              </w:rPr>
              <w:t xml:space="preserve">              </w:t>
            </w:r>
            <w:r w:rsidRPr="00F73893">
              <w:rPr>
                <w:rFonts w:ascii="Times New Roman" w:eastAsia="Calibri" w:hAnsi="Times New Roman"/>
                <w:i/>
                <w:sz w:val="24"/>
                <w:szCs w:val="24"/>
              </w:rPr>
              <w:t>vārds, uzvārds</w:t>
            </w:r>
          </w:p>
        </w:tc>
        <w:tc>
          <w:tcPr>
            <w:tcW w:w="1701" w:type="dxa"/>
          </w:tcPr>
          <w:p w14:paraId="63C4C227" w14:textId="77777777" w:rsidR="00E63531" w:rsidRPr="00F73893" w:rsidRDefault="00E63531" w:rsidP="00755348">
            <w:pPr>
              <w:rPr>
                <w:rFonts w:ascii="Times New Roman" w:eastAsia="Calibri" w:hAnsi="Times New Roman"/>
                <w:i/>
                <w:sz w:val="24"/>
                <w:szCs w:val="24"/>
              </w:rPr>
            </w:pPr>
          </w:p>
        </w:tc>
      </w:tr>
    </w:tbl>
    <w:p w14:paraId="0FC8E595" w14:textId="77777777" w:rsidR="00E63531" w:rsidRPr="00F73893" w:rsidRDefault="00E63531" w:rsidP="00E63531">
      <w:pPr>
        <w:spacing w:before="120"/>
        <w:rPr>
          <w:rFonts w:ascii="Times New Roman" w:eastAsia="Calibri" w:hAnsi="Times New Roman" w:cs="Times New Roman"/>
          <w:sz w:val="24"/>
          <w:szCs w:val="24"/>
        </w:rPr>
      </w:pPr>
      <w:r w:rsidRPr="00F73893">
        <w:rPr>
          <w:rFonts w:ascii="Times New Roman" w:eastAsia="Calibri" w:hAnsi="Times New Roman" w:cs="Times New Roman"/>
          <w:sz w:val="24"/>
          <w:szCs w:val="24"/>
        </w:rPr>
        <w:t>*Dokuments parakstīts ar drošu elektronisko parakstu un satur laika zīmogu.</w:t>
      </w:r>
    </w:p>
    <w:bookmarkEnd w:id="0"/>
    <w:p w14:paraId="5FCF7C90" w14:textId="309D3F37" w:rsidR="0076656C" w:rsidRPr="005146E9" w:rsidRDefault="0076656C" w:rsidP="001B55CC">
      <w:pPr>
        <w:spacing w:after="0"/>
      </w:pPr>
    </w:p>
    <w:sectPr w:rsidR="0076656C" w:rsidRPr="005146E9" w:rsidSect="00DF5261">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72D1" w14:textId="77777777" w:rsidR="00F80EF4" w:rsidRDefault="00F80EF4" w:rsidP="00E63531">
      <w:pPr>
        <w:spacing w:after="0" w:line="240" w:lineRule="auto"/>
      </w:pPr>
      <w:r>
        <w:separator/>
      </w:r>
    </w:p>
  </w:endnote>
  <w:endnote w:type="continuationSeparator" w:id="0">
    <w:p w14:paraId="2F3C6CF2" w14:textId="77777777" w:rsidR="00F80EF4" w:rsidRDefault="00F80EF4" w:rsidP="00E6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493448"/>
      <w:docPartObj>
        <w:docPartGallery w:val="Page Numbers (Bottom of Page)"/>
        <w:docPartUnique/>
      </w:docPartObj>
    </w:sdtPr>
    <w:sdtEndPr>
      <w:rPr>
        <w:noProof/>
      </w:rPr>
    </w:sdtEndPr>
    <w:sdtContent>
      <w:p w14:paraId="50AA8CE4" w14:textId="532D22A1" w:rsidR="00E63531" w:rsidRDefault="00E635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F3B96" w14:textId="77777777" w:rsidR="00E63531" w:rsidRDefault="00E6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30E99" w14:textId="77777777" w:rsidR="00F80EF4" w:rsidRDefault="00F80EF4" w:rsidP="00E63531">
      <w:pPr>
        <w:spacing w:after="0" w:line="240" w:lineRule="auto"/>
      </w:pPr>
      <w:r>
        <w:separator/>
      </w:r>
    </w:p>
  </w:footnote>
  <w:footnote w:type="continuationSeparator" w:id="0">
    <w:p w14:paraId="3DD508AC" w14:textId="77777777" w:rsidR="00F80EF4" w:rsidRDefault="00F80EF4" w:rsidP="00E63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5C4"/>
    <w:multiLevelType w:val="multilevel"/>
    <w:tmpl w:val="52005B4A"/>
    <w:lvl w:ilvl="0">
      <w:start w:val="2"/>
      <w:numFmt w:val="decimal"/>
      <w:lvlText w:val="%1."/>
      <w:lvlJc w:val="left"/>
      <w:pPr>
        <w:tabs>
          <w:tab w:val="num" w:pos="1440"/>
        </w:tabs>
        <w:ind w:left="1440" w:hanging="720"/>
      </w:pPr>
      <w:rPr>
        <w:rFonts w:cs="Times New Roman" w:hint="default"/>
        <w:b w:val="0"/>
        <w:i w:val="0"/>
      </w:rPr>
    </w:lvl>
    <w:lvl w:ilvl="1">
      <w:start w:val="1"/>
      <w:numFmt w:val="decimal"/>
      <w:isLgl/>
      <w:lvlText w:val="%1.%2."/>
      <w:lvlJc w:val="left"/>
      <w:pPr>
        <w:ind w:left="1080" w:hanging="360"/>
      </w:pPr>
      <w:rPr>
        <w:rFonts w:cs="Times New Roman" w:hint="default"/>
        <w:sz w:val="20"/>
      </w:rPr>
    </w:lvl>
    <w:lvl w:ilvl="2">
      <w:start w:val="1"/>
      <w:numFmt w:val="decimal"/>
      <w:isLgl/>
      <w:lvlText w:val="%1.%2.%3."/>
      <w:lvlJc w:val="left"/>
      <w:pPr>
        <w:ind w:left="1440" w:hanging="720"/>
      </w:pPr>
      <w:rPr>
        <w:rFonts w:cs="Times New Roman" w:hint="default"/>
        <w:sz w:val="20"/>
      </w:rPr>
    </w:lvl>
    <w:lvl w:ilvl="3">
      <w:start w:val="1"/>
      <w:numFmt w:val="decimal"/>
      <w:isLgl/>
      <w:lvlText w:val="%1.%2.%3.%4."/>
      <w:lvlJc w:val="left"/>
      <w:pPr>
        <w:ind w:left="1440" w:hanging="720"/>
      </w:pPr>
      <w:rPr>
        <w:rFonts w:cs="Times New Roman" w:hint="default"/>
        <w:sz w:val="20"/>
      </w:rPr>
    </w:lvl>
    <w:lvl w:ilvl="4">
      <w:start w:val="1"/>
      <w:numFmt w:val="decimal"/>
      <w:isLgl/>
      <w:lvlText w:val="%1.%2.%3.%4.%5."/>
      <w:lvlJc w:val="left"/>
      <w:pPr>
        <w:ind w:left="1800" w:hanging="1080"/>
      </w:pPr>
      <w:rPr>
        <w:rFonts w:cs="Times New Roman" w:hint="default"/>
        <w:sz w:val="20"/>
      </w:rPr>
    </w:lvl>
    <w:lvl w:ilvl="5">
      <w:start w:val="1"/>
      <w:numFmt w:val="decimal"/>
      <w:isLgl/>
      <w:lvlText w:val="%1.%2.%3.%4.%5.%6."/>
      <w:lvlJc w:val="left"/>
      <w:pPr>
        <w:ind w:left="1800" w:hanging="1080"/>
      </w:pPr>
      <w:rPr>
        <w:rFonts w:cs="Times New Roman" w:hint="default"/>
        <w:sz w:val="20"/>
      </w:rPr>
    </w:lvl>
    <w:lvl w:ilvl="6">
      <w:start w:val="1"/>
      <w:numFmt w:val="decimal"/>
      <w:isLgl/>
      <w:lvlText w:val="%1.%2.%3.%4.%5.%6.%7."/>
      <w:lvlJc w:val="left"/>
      <w:pPr>
        <w:ind w:left="2160" w:hanging="1440"/>
      </w:pPr>
      <w:rPr>
        <w:rFonts w:cs="Times New Roman" w:hint="default"/>
        <w:sz w:val="20"/>
      </w:rPr>
    </w:lvl>
    <w:lvl w:ilvl="7">
      <w:start w:val="1"/>
      <w:numFmt w:val="decimal"/>
      <w:isLgl/>
      <w:lvlText w:val="%1.%2.%3.%4.%5.%6.%7.%8."/>
      <w:lvlJc w:val="left"/>
      <w:pPr>
        <w:ind w:left="2160" w:hanging="1440"/>
      </w:pPr>
      <w:rPr>
        <w:rFonts w:cs="Times New Roman" w:hint="default"/>
        <w:sz w:val="20"/>
      </w:rPr>
    </w:lvl>
    <w:lvl w:ilvl="8">
      <w:start w:val="1"/>
      <w:numFmt w:val="decimal"/>
      <w:isLgl/>
      <w:lvlText w:val="%1.%2.%3.%4.%5.%6.%7.%8.%9."/>
      <w:lvlJc w:val="left"/>
      <w:pPr>
        <w:ind w:left="2520" w:hanging="1800"/>
      </w:pPr>
      <w:rPr>
        <w:rFonts w:cs="Times New Roman" w:hint="default"/>
        <w:sz w:val="20"/>
      </w:rPr>
    </w:lvl>
  </w:abstractNum>
  <w:abstractNum w:abstractNumId="1" w15:restartNumberingAfterBreak="0">
    <w:nsid w:val="36CB3D7B"/>
    <w:multiLevelType w:val="multilevel"/>
    <w:tmpl w:val="FEFCD054"/>
    <w:lvl w:ilvl="0">
      <w:start w:val="4"/>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230"/>
        </w:tabs>
        <w:ind w:left="1230" w:hanging="51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15:restartNumberingAfterBreak="0">
    <w:nsid w:val="4A0E4CF8"/>
    <w:multiLevelType w:val="multilevel"/>
    <w:tmpl w:val="090A15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E375FA"/>
    <w:multiLevelType w:val="multilevel"/>
    <w:tmpl w:val="F02EB648"/>
    <w:lvl w:ilvl="0">
      <w:start w:val="1"/>
      <w:numFmt w:val="decimal"/>
      <w:lvlText w:val="5.%1."/>
      <w:lvlJc w:val="left"/>
      <w:pPr>
        <w:tabs>
          <w:tab w:val="num" w:pos="1494"/>
        </w:tabs>
        <w:ind w:left="1494"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987588579">
    <w:abstractNumId w:val="3"/>
  </w:num>
  <w:num w:numId="2" w16cid:durableId="1792748760">
    <w:abstractNumId w:val="0"/>
    <w:lvlOverride w:ilvl="0">
      <w:startOverride w:val="1"/>
    </w:lvlOverride>
  </w:num>
  <w:num w:numId="3" w16cid:durableId="1069183893">
    <w:abstractNumId w:val="2"/>
  </w:num>
  <w:num w:numId="4" w16cid:durableId="187885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FFD"/>
    <w:rsid w:val="00006D27"/>
    <w:rsid w:val="00021985"/>
    <w:rsid w:val="00022879"/>
    <w:rsid w:val="00024689"/>
    <w:rsid w:val="0005798E"/>
    <w:rsid w:val="00061D3B"/>
    <w:rsid w:val="00064DB9"/>
    <w:rsid w:val="000F340B"/>
    <w:rsid w:val="000F5CF7"/>
    <w:rsid w:val="001035AB"/>
    <w:rsid w:val="001270BF"/>
    <w:rsid w:val="001368AA"/>
    <w:rsid w:val="00174139"/>
    <w:rsid w:val="001A25A9"/>
    <w:rsid w:val="001B55CC"/>
    <w:rsid w:val="001E2A44"/>
    <w:rsid w:val="00213B30"/>
    <w:rsid w:val="00257620"/>
    <w:rsid w:val="002673A8"/>
    <w:rsid w:val="00280E12"/>
    <w:rsid w:val="002905D1"/>
    <w:rsid w:val="002924B8"/>
    <w:rsid w:val="002C3C29"/>
    <w:rsid w:val="002F5FB3"/>
    <w:rsid w:val="00302CC5"/>
    <w:rsid w:val="003321DD"/>
    <w:rsid w:val="00334913"/>
    <w:rsid w:val="003365AF"/>
    <w:rsid w:val="00343FB8"/>
    <w:rsid w:val="00344A25"/>
    <w:rsid w:val="003671DA"/>
    <w:rsid w:val="00377B4F"/>
    <w:rsid w:val="0038218A"/>
    <w:rsid w:val="00383DAE"/>
    <w:rsid w:val="00384DD0"/>
    <w:rsid w:val="00425780"/>
    <w:rsid w:val="004272A4"/>
    <w:rsid w:val="00431233"/>
    <w:rsid w:val="00440B40"/>
    <w:rsid w:val="00485FFD"/>
    <w:rsid w:val="0049255F"/>
    <w:rsid w:val="004E5353"/>
    <w:rsid w:val="004E610C"/>
    <w:rsid w:val="00512D0C"/>
    <w:rsid w:val="005146E9"/>
    <w:rsid w:val="00540FC8"/>
    <w:rsid w:val="00541DF6"/>
    <w:rsid w:val="00583291"/>
    <w:rsid w:val="00584E12"/>
    <w:rsid w:val="00586207"/>
    <w:rsid w:val="00587CFB"/>
    <w:rsid w:val="005A4D43"/>
    <w:rsid w:val="005A5A2D"/>
    <w:rsid w:val="005C098F"/>
    <w:rsid w:val="005C253B"/>
    <w:rsid w:val="005C2988"/>
    <w:rsid w:val="005E0FC3"/>
    <w:rsid w:val="005E5CA1"/>
    <w:rsid w:val="005F18F8"/>
    <w:rsid w:val="005F351C"/>
    <w:rsid w:val="006533B2"/>
    <w:rsid w:val="006567BA"/>
    <w:rsid w:val="00665759"/>
    <w:rsid w:val="006C0896"/>
    <w:rsid w:val="006D669B"/>
    <w:rsid w:val="006E6BEC"/>
    <w:rsid w:val="007000DA"/>
    <w:rsid w:val="00711B1E"/>
    <w:rsid w:val="0076656C"/>
    <w:rsid w:val="007807EE"/>
    <w:rsid w:val="00795A81"/>
    <w:rsid w:val="007A67D1"/>
    <w:rsid w:val="007E2CAE"/>
    <w:rsid w:val="007E36F2"/>
    <w:rsid w:val="00802B15"/>
    <w:rsid w:val="00817D0F"/>
    <w:rsid w:val="00821280"/>
    <w:rsid w:val="00821940"/>
    <w:rsid w:val="008843C2"/>
    <w:rsid w:val="00885370"/>
    <w:rsid w:val="0089582A"/>
    <w:rsid w:val="008A50F3"/>
    <w:rsid w:val="008D60E2"/>
    <w:rsid w:val="008E221E"/>
    <w:rsid w:val="008F6BC8"/>
    <w:rsid w:val="0090077E"/>
    <w:rsid w:val="00915E91"/>
    <w:rsid w:val="00963F4F"/>
    <w:rsid w:val="0096475B"/>
    <w:rsid w:val="00972F54"/>
    <w:rsid w:val="00980B4D"/>
    <w:rsid w:val="009A736D"/>
    <w:rsid w:val="009F3DEB"/>
    <w:rsid w:val="00A15311"/>
    <w:rsid w:val="00A31F98"/>
    <w:rsid w:val="00A3280B"/>
    <w:rsid w:val="00A364EC"/>
    <w:rsid w:val="00A41E38"/>
    <w:rsid w:val="00A47653"/>
    <w:rsid w:val="00A572A3"/>
    <w:rsid w:val="00A72B37"/>
    <w:rsid w:val="00A80379"/>
    <w:rsid w:val="00AA64F8"/>
    <w:rsid w:val="00AB59F5"/>
    <w:rsid w:val="00AB6EE7"/>
    <w:rsid w:val="00AC2569"/>
    <w:rsid w:val="00AD5F22"/>
    <w:rsid w:val="00AE72C1"/>
    <w:rsid w:val="00B14284"/>
    <w:rsid w:val="00B24165"/>
    <w:rsid w:val="00B26DB6"/>
    <w:rsid w:val="00B32E30"/>
    <w:rsid w:val="00B54826"/>
    <w:rsid w:val="00B77EE4"/>
    <w:rsid w:val="00B83C68"/>
    <w:rsid w:val="00B862A6"/>
    <w:rsid w:val="00BB3033"/>
    <w:rsid w:val="00BB715E"/>
    <w:rsid w:val="00BC773B"/>
    <w:rsid w:val="00BD67F6"/>
    <w:rsid w:val="00BD6DEE"/>
    <w:rsid w:val="00C14E85"/>
    <w:rsid w:val="00C22247"/>
    <w:rsid w:val="00C531DC"/>
    <w:rsid w:val="00C60E4A"/>
    <w:rsid w:val="00C62991"/>
    <w:rsid w:val="00C63155"/>
    <w:rsid w:val="00C9377D"/>
    <w:rsid w:val="00CB4A55"/>
    <w:rsid w:val="00CE7ED7"/>
    <w:rsid w:val="00CF4098"/>
    <w:rsid w:val="00D05265"/>
    <w:rsid w:val="00D24DB3"/>
    <w:rsid w:val="00D62C5E"/>
    <w:rsid w:val="00D703F3"/>
    <w:rsid w:val="00D800B8"/>
    <w:rsid w:val="00D81280"/>
    <w:rsid w:val="00DA31E5"/>
    <w:rsid w:val="00DF5261"/>
    <w:rsid w:val="00E16656"/>
    <w:rsid w:val="00E36687"/>
    <w:rsid w:val="00E41B80"/>
    <w:rsid w:val="00E572EB"/>
    <w:rsid w:val="00E63531"/>
    <w:rsid w:val="00E87224"/>
    <w:rsid w:val="00E96040"/>
    <w:rsid w:val="00EE5BBB"/>
    <w:rsid w:val="00F0348F"/>
    <w:rsid w:val="00F30DBC"/>
    <w:rsid w:val="00F43854"/>
    <w:rsid w:val="00F80EF4"/>
    <w:rsid w:val="00F92F45"/>
    <w:rsid w:val="00FA02A1"/>
    <w:rsid w:val="00FC268B"/>
    <w:rsid w:val="00FC3F4A"/>
    <w:rsid w:val="00FE61A7"/>
    <w:rsid w:val="00FF3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FCF7C3E"/>
  <w15:docId w15:val="{BF0217AE-222E-40B8-901F-FD0A3A38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3B"/>
  </w:style>
  <w:style w:type="paragraph" w:styleId="Heading1">
    <w:name w:val="heading 1"/>
    <w:basedOn w:val="Normal"/>
    <w:next w:val="Normal"/>
    <w:link w:val="Heading1Char"/>
    <w:uiPriority w:val="99"/>
    <w:qFormat/>
    <w:rsid w:val="00061D3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61D3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61D3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61D3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61D3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61D3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61D3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61D3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61D3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D3B"/>
    <w:rPr>
      <w:smallCaps/>
      <w:spacing w:val="5"/>
      <w:sz w:val="36"/>
      <w:szCs w:val="36"/>
    </w:rPr>
  </w:style>
  <w:style w:type="character" w:customStyle="1" w:styleId="Heading2Char">
    <w:name w:val="Heading 2 Char"/>
    <w:basedOn w:val="DefaultParagraphFont"/>
    <w:link w:val="Heading2"/>
    <w:uiPriority w:val="9"/>
    <w:semiHidden/>
    <w:rsid w:val="00061D3B"/>
    <w:rPr>
      <w:smallCaps/>
      <w:sz w:val="28"/>
      <w:szCs w:val="28"/>
    </w:rPr>
  </w:style>
  <w:style w:type="character" w:customStyle="1" w:styleId="Heading3Char">
    <w:name w:val="Heading 3 Char"/>
    <w:basedOn w:val="DefaultParagraphFont"/>
    <w:link w:val="Heading3"/>
    <w:uiPriority w:val="9"/>
    <w:semiHidden/>
    <w:rsid w:val="00061D3B"/>
    <w:rPr>
      <w:i/>
      <w:iCs/>
      <w:smallCaps/>
      <w:spacing w:val="5"/>
      <w:sz w:val="26"/>
      <w:szCs w:val="26"/>
    </w:rPr>
  </w:style>
  <w:style w:type="character" w:customStyle="1" w:styleId="Heading4Char">
    <w:name w:val="Heading 4 Char"/>
    <w:basedOn w:val="DefaultParagraphFont"/>
    <w:link w:val="Heading4"/>
    <w:uiPriority w:val="9"/>
    <w:semiHidden/>
    <w:rsid w:val="00061D3B"/>
    <w:rPr>
      <w:b/>
      <w:bCs/>
      <w:spacing w:val="5"/>
      <w:sz w:val="24"/>
      <w:szCs w:val="24"/>
    </w:rPr>
  </w:style>
  <w:style w:type="character" w:customStyle="1" w:styleId="Heading5Char">
    <w:name w:val="Heading 5 Char"/>
    <w:basedOn w:val="DefaultParagraphFont"/>
    <w:link w:val="Heading5"/>
    <w:uiPriority w:val="9"/>
    <w:semiHidden/>
    <w:rsid w:val="00061D3B"/>
    <w:rPr>
      <w:i/>
      <w:iCs/>
      <w:sz w:val="24"/>
      <w:szCs w:val="24"/>
    </w:rPr>
  </w:style>
  <w:style w:type="character" w:customStyle="1" w:styleId="Heading6Char">
    <w:name w:val="Heading 6 Char"/>
    <w:basedOn w:val="DefaultParagraphFont"/>
    <w:link w:val="Heading6"/>
    <w:uiPriority w:val="9"/>
    <w:semiHidden/>
    <w:rsid w:val="00061D3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61D3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61D3B"/>
    <w:rPr>
      <w:b/>
      <w:bCs/>
      <w:color w:val="7F7F7F" w:themeColor="text1" w:themeTint="80"/>
      <w:sz w:val="20"/>
      <w:szCs w:val="20"/>
    </w:rPr>
  </w:style>
  <w:style w:type="character" w:customStyle="1" w:styleId="Heading9Char">
    <w:name w:val="Heading 9 Char"/>
    <w:basedOn w:val="DefaultParagraphFont"/>
    <w:link w:val="Heading9"/>
    <w:uiPriority w:val="9"/>
    <w:semiHidden/>
    <w:rsid w:val="00061D3B"/>
    <w:rPr>
      <w:b/>
      <w:bCs/>
      <w:i/>
      <w:iCs/>
      <w:color w:val="7F7F7F" w:themeColor="text1" w:themeTint="80"/>
      <w:sz w:val="18"/>
      <w:szCs w:val="18"/>
    </w:rPr>
  </w:style>
  <w:style w:type="paragraph" w:styleId="Title">
    <w:name w:val="Title"/>
    <w:basedOn w:val="Normal"/>
    <w:next w:val="Normal"/>
    <w:link w:val="TitleChar"/>
    <w:uiPriority w:val="99"/>
    <w:qFormat/>
    <w:rsid w:val="00061D3B"/>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061D3B"/>
    <w:rPr>
      <w:smallCaps/>
      <w:sz w:val="52"/>
      <w:szCs w:val="52"/>
    </w:rPr>
  </w:style>
  <w:style w:type="paragraph" w:styleId="Subtitle">
    <w:name w:val="Subtitle"/>
    <w:basedOn w:val="Normal"/>
    <w:next w:val="Normal"/>
    <w:link w:val="SubtitleChar"/>
    <w:uiPriority w:val="11"/>
    <w:qFormat/>
    <w:rsid w:val="00061D3B"/>
    <w:rPr>
      <w:i/>
      <w:iCs/>
      <w:smallCaps/>
      <w:spacing w:val="10"/>
      <w:sz w:val="28"/>
      <w:szCs w:val="28"/>
    </w:rPr>
  </w:style>
  <w:style w:type="character" w:customStyle="1" w:styleId="SubtitleChar">
    <w:name w:val="Subtitle Char"/>
    <w:basedOn w:val="DefaultParagraphFont"/>
    <w:link w:val="Subtitle"/>
    <w:uiPriority w:val="11"/>
    <w:rsid w:val="00061D3B"/>
    <w:rPr>
      <w:i/>
      <w:iCs/>
      <w:smallCaps/>
      <w:spacing w:val="10"/>
      <w:sz w:val="28"/>
      <w:szCs w:val="28"/>
    </w:rPr>
  </w:style>
  <w:style w:type="character" w:styleId="Strong">
    <w:name w:val="Strong"/>
    <w:uiPriority w:val="22"/>
    <w:qFormat/>
    <w:rsid w:val="00061D3B"/>
    <w:rPr>
      <w:b/>
      <w:bCs/>
    </w:rPr>
  </w:style>
  <w:style w:type="character" w:styleId="Emphasis">
    <w:name w:val="Emphasis"/>
    <w:uiPriority w:val="20"/>
    <w:qFormat/>
    <w:rsid w:val="00061D3B"/>
    <w:rPr>
      <w:b/>
      <w:bCs/>
      <w:i/>
      <w:iCs/>
      <w:spacing w:val="10"/>
    </w:rPr>
  </w:style>
  <w:style w:type="paragraph" w:styleId="NoSpacing">
    <w:name w:val="No Spacing"/>
    <w:basedOn w:val="Normal"/>
    <w:uiPriority w:val="1"/>
    <w:qFormat/>
    <w:rsid w:val="00061D3B"/>
    <w:pPr>
      <w:spacing w:after="0" w:line="240" w:lineRule="auto"/>
    </w:pPr>
  </w:style>
  <w:style w:type="paragraph" w:styleId="ListParagraph">
    <w:name w:val="List Paragraph"/>
    <w:basedOn w:val="Normal"/>
    <w:uiPriority w:val="34"/>
    <w:qFormat/>
    <w:rsid w:val="00061D3B"/>
    <w:pPr>
      <w:ind w:left="720"/>
      <w:contextualSpacing/>
    </w:pPr>
  </w:style>
  <w:style w:type="paragraph" w:styleId="Quote">
    <w:name w:val="Quote"/>
    <w:basedOn w:val="Normal"/>
    <w:next w:val="Normal"/>
    <w:link w:val="QuoteChar"/>
    <w:uiPriority w:val="29"/>
    <w:qFormat/>
    <w:rsid w:val="00061D3B"/>
    <w:rPr>
      <w:i/>
      <w:iCs/>
    </w:rPr>
  </w:style>
  <w:style w:type="character" w:customStyle="1" w:styleId="QuoteChar">
    <w:name w:val="Quote Char"/>
    <w:basedOn w:val="DefaultParagraphFont"/>
    <w:link w:val="Quote"/>
    <w:uiPriority w:val="29"/>
    <w:rsid w:val="00061D3B"/>
    <w:rPr>
      <w:i/>
      <w:iCs/>
    </w:rPr>
  </w:style>
  <w:style w:type="paragraph" w:styleId="IntenseQuote">
    <w:name w:val="Intense Quote"/>
    <w:basedOn w:val="Normal"/>
    <w:next w:val="Normal"/>
    <w:link w:val="IntenseQuoteChar"/>
    <w:uiPriority w:val="30"/>
    <w:qFormat/>
    <w:rsid w:val="00061D3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61D3B"/>
    <w:rPr>
      <w:i/>
      <w:iCs/>
    </w:rPr>
  </w:style>
  <w:style w:type="character" w:styleId="SubtleEmphasis">
    <w:name w:val="Subtle Emphasis"/>
    <w:uiPriority w:val="19"/>
    <w:qFormat/>
    <w:rsid w:val="00061D3B"/>
    <w:rPr>
      <w:i/>
      <w:iCs/>
    </w:rPr>
  </w:style>
  <w:style w:type="character" w:styleId="IntenseEmphasis">
    <w:name w:val="Intense Emphasis"/>
    <w:uiPriority w:val="21"/>
    <w:qFormat/>
    <w:rsid w:val="00061D3B"/>
    <w:rPr>
      <w:b/>
      <w:bCs/>
      <w:i/>
      <w:iCs/>
    </w:rPr>
  </w:style>
  <w:style w:type="character" w:styleId="SubtleReference">
    <w:name w:val="Subtle Reference"/>
    <w:basedOn w:val="DefaultParagraphFont"/>
    <w:uiPriority w:val="31"/>
    <w:qFormat/>
    <w:rsid w:val="00061D3B"/>
    <w:rPr>
      <w:smallCaps/>
    </w:rPr>
  </w:style>
  <w:style w:type="character" w:styleId="IntenseReference">
    <w:name w:val="Intense Reference"/>
    <w:uiPriority w:val="32"/>
    <w:qFormat/>
    <w:rsid w:val="00061D3B"/>
    <w:rPr>
      <w:b/>
      <w:bCs/>
      <w:smallCaps/>
    </w:rPr>
  </w:style>
  <w:style w:type="character" w:styleId="BookTitle">
    <w:name w:val="Book Title"/>
    <w:basedOn w:val="DefaultParagraphFont"/>
    <w:uiPriority w:val="33"/>
    <w:qFormat/>
    <w:rsid w:val="00061D3B"/>
    <w:rPr>
      <w:i/>
      <w:iCs/>
      <w:smallCaps/>
      <w:spacing w:val="5"/>
    </w:rPr>
  </w:style>
  <w:style w:type="paragraph" w:styleId="TOCHeading">
    <w:name w:val="TOC Heading"/>
    <w:basedOn w:val="Heading1"/>
    <w:next w:val="Normal"/>
    <w:uiPriority w:val="39"/>
    <w:semiHidden/>
    <w:unhideWhenUsed/>
    <w:qFormat/>
    <w:rsid w:val="00061D3B"/>
    <w:pPr>
      <w:outlineLvl w:val="9"/>
    </w:pPr>
    <w:rPr>
      <w:lang w:bidi="en-US"/>
    </w:rPr>
  </w:style>
  <w:style w:type="table" w:styleId="TableGrid">
    <w:name w:val="Table Grid"/>
    <w:basedOn w:val="TableNormal"/>
    <w:uiPriority w:val="59"/>
    <w:rsid w:val="00CE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38"/>
    <w:rPr>
      <w:rFonts w:ascii="Tahoma" w:hAnsi="Tahoma" w:cs="Tahoma"/>
      <w:sz w:val="16"/>
      <w:szCs w:val="16"/>
    </w:rPr>
  </w:style>
  <w:style w:type="paragraph" w:customStyle="1" w:styleId="Default">
    <w:name w:val="Default"/>
    <w:rsid w:val="00E572E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3">
    <w:name w:val="Body Text Indent 3"/>
    <w:basedOn w:val="Normal"/>
    <w:link w:val="BodyTextIndent3Char"/>
    <w:uiPriority w:val="99"/>
    <w:semiHidden/>
    <w:rsid w:val="00280E1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280E12"/>
    <w:rPr>
      <w:rFonts w:ascii="Times New Roman" w:eastAsia="Times New Roman" w:hAnsi="Times New Roman" w:cs="Times New Roman"/>
      <w:sz w:val="16"/>
      <w:szCs w:val="16"/>
    </w:rPr>
  </w:style>
  <w:style w:type="paragraph" w:styleId="BodyTextIndent">
    <w:name w:val="Body Text Indent"/>
    <w:basedOn w:val="Normal"/>
    <w:link w:val="BodyTextIndentChar"/>
    <w:uiPriority w:val="99"/>
    <w:semiHidden/>
    <w:unhideWhenUsed/>
    <w:rsid w:val="001B55CC"/>
    <w:pPr>
      <w:spacing w:after="120"/>
      <w:ind w:left="283"/>
    </w:pPr>
  </w:style>
  <w:style w:type="character" w:customStyle="1" w:styleId="BodyTextIndentChar">
    <w:name w:val="Body Text Indent Char"/>
    <w:basedOn w:val="DefaultParagraphFont"/>
    <w:link w:val="BodyTextIndent"/>
    <w:uiPriority w:val="99"/>
    <w:semiHidden/>
    <w:rsid w:val="001B55CC"/>
  </w:style>
  <w:style w:type="table" w:customStyle="1" w:styleId="TableGrid1">
    <w:name w:val="Table Grid1"/>
    <w:basedOn w:val="TableNormal"/>
    <w:next w:val="TableGrid"/>
    <w:uiPriority w:val="59"/>
    <w:rsid w:val="00E6353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5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3531"/>
  </w:style>
  <w:style w:type="paragraph" w:styleId="Footer">
    <w:name w:val="footer"/>
    <w:basedOn w:val="Normal"/>
    <w:link w:val="FooterChar"/>
    <w:uiPriority w:val="99"/>
    <w:unhideWhenUsed/>
    <w:rsid w:val="00E635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834442">
      <w:bodyDiv w:val="1"/>
      <w:marLeft w:val="0"/>
      <w:marRight w:val="0"/>
      <w:marTop w:val="0"/>
      <w:marBottom w:val="0"/>
      <w:divBdr>
        <w:top w:val="none" w:sz="0" w:space="0" w:color="auto"/>
        <w:left w:val="none" w:sz="0" w:space="0" w:color="auto"/>
        <w:bottom w:val="none" w:sz="0" w:space="0" w:color="auto"/>
        <w:right w:val="none" w:sz="0" w:space="0" w:color="auto"/>
      </w:divBdr>
    </w:div>
    <w:div w:id="6327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CEC790EB5EEF142A2AE83AB59288D4C" ma:contentTypeVersion="1" ma:contentTypeDescription="Izveidot jaunu dokumentu." ma:contentTypeScope="" ma:versionID="2c6cdead50edd001728e66a9c0d0f613">
  <xsd:schema xmlns:xsd="http://www.w3.org/2001/XMLSchema" xmlns:p="http://schemas.microsoft.com/office/2006/metadata/properties" xmlns:ns1="http://schemas.microsoft.com/sharepoint/v3" targetNamespace="http://schemas.microsoft.com/office/2006/metadata/properties" ma:root="true" ma:fieldsID="7b9b96df0e3340ea8c13d89a086497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ākuma datuma plānošana" ma:description="" ma:hidden="true" ma:internalName="PublishingStartDate">
      <xsd:simpleType>
        <xsd:restriction base="dms:Unknown"/>
      </xsd:simpleType>
    </xsd:element>
    <xsd:element name="PublishingExpirationDate" ma:index="9" nillable="true" ma:displayName="Beigu datuma plānošan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77DF2F-49E0-4475-B8EC-F09608F0F84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1B66AAF-7E7F-4646-A8BC-394B092F9A6E}">
  <ds:schemaRefs>
    <ds:schemaRef ds:uri="http://schemas.microsoft.com/sharepoint/v3/contenttype/forms"/>
  </ds:schemaRefs>
</ds:datastoreItem>
</file>

<file path=customXml/itemProps3.xml><?xml version="1.0" encoding="utf-8"?>
<ds:datastoreItem xmlns:ds="http://schemas.openxmlformats.org/officeDocument/2006/customXml" ds:itemID="{3C4CD3DB-D899-4214-B316-F209B1FD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8203</Words>
  <Characters>4676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Amata apraksts</vt:lpstr>
    </vt:vector>
  </TitlesOfParts>
  <Company>Finanšu ministrija</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 apraksts</dc:title>
  <dc:subject/>
  <dc:creator>pn-krisa</dc:creator>
  <cp:keywords/>
  <dc:description/>
  <cp:lastModifiedBy>Signe Ulpke</cp:lastModifiedBy>
  <cp:revision>6</cp:revision>
  <cp:lastPrinted>2018-06-08T08:25:00Z</cp:lastPrinted>
  <dcterms:created xsi:type="dcterms:W3CDTF">2022-07-14T13:10:00Z</dcterms:created>
  <dcterms:modified xsi:type="dcterms:W3CDTF">2025-03-26T12:11:00Z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0x0101000CEC790EB5EEF142A2AE83AB59288D4C</vt:lpwstr>
  </property>
</Properties>
</file>