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104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422"/>
        <w:gridCol w:w="5807"/>
      </w:tblGrid>
      <w:tr w:rsidR="00F27DAB" w:rsidRPr="00F27DAB" w14:paraId="528A832A" w14:textId="77777777" w:rsidTr="00F27DAB">
        <w:tc>
          <w:tcPr>
            <w:tcW w:w="2256" w:type="dxa"/>
            <w:hideMark/>
          </w:tcPr>
          <w:p w14:paraId="1F2368DB" w14:textId="77777777" w:rsidR="00F27DAB" w:rsidRPr="00F27DAB" w:rsidRDefault="00F27DAB" w:rsidP="00F27DAB">
            <w:r w:rsidRPr="00F27DAB">
              <w:rPr>
                <w:noProof/>
                <w:lang w:eastAsia="lv-LV"/>
              </w:rPr>
              <w:drawing>
                <wp:inline distT="0" distB="0" distL="0" distR="0" wp14:anchorId="16D29E91" wp14:editId="2919E709">
                  <wp:extent cx="128587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14:paraId="2C7A4DA3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B0122E8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5A4FD11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58D4679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D56CDE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1BE637B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FFB2F8F" w14:textId="77777777" w:rsidR="00F27DAB" w:rsidRPr="00F27DAB" w:rsidRDefault="00F27DAB" w:rsidP="00F27DAB">
            <w:pPr>
              <w:jc w:val="both"/>
            </w:pPr>
          </w:p>
        </w:tc>
        <w:tc>
          <w:tcPr>
            <w:tcW w:w="5807" w:type="dxa"/>
            <w:hideMark/>
          </w:tcPr>
          <w:p w14:paraId="125C84E7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b/>
                <w:bCs/>
                <w:lang w:eastAsia="lv-LV"/>
              </w:rPr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APSTIPRINU</w:t>
            </w:r>
          </w:p>
          <w:p w14:paraId="02634074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lang w:eastAsia="lv-LV"/>
              </w:rPr>
            </w:pPr>
            <w:r w:rsidRPr="00F27DAB">
              <w:rPr>
                <w:rFonts w:ascii="Times New Roman" w:hAnsi="Times New Roman"/>
                <w:lang w:eastAsia="lv-LV"/>
              </w:rPr>
              <w:t>Finanšu ministrijas</w:t>
            </w:r>
          </w:p>
          <w:p w14:paraId="34AC4DE6" w14:textId="764FABDE" w:rsidR="00F27DAB" w:rsidRPr="00F27DAB" w:rsidRDefault="00F27DAB" w:rsidP="00F27DAB">
            <w:pPr>
              <w:jc w:val="right"/>
              <w:rPr>
                <w:rFonts w:ascii="Times New Roman" w:hAnsi="Times New Roman"/>
                <w:lang w:eastAsia="lv-LV"/>
              </w:rPr>
            </w:pPr>
            <w:r w:rsidRPr="00F27DAB">
              <w:rPr>
                <w:rFonts w:ascii="Times New Roman" w:hAnsi="Times New Roman"/>
                <w:lang w:eastAsia="lv-LV"/>
              </w:rPr>
              <w:t>valsts sekretār</w:t>
            </w:r>
            <w:r w:rsidR="007D38DC">
              <w:rPr>
                <w:rFonts w:ascii="Times New Roman" w:hAnsi="Times New Roman"/>
                <w:lang w:eastAsia="lv-LV"/>
              </w:rPr>
              <w:t xml:space="preserve">a </w:t>
            </w:r>
            <w:proofErr w:type="spellStart"/>
            <w:r w:rsidR="007D38DC">
              <w:rPr>
                <w:rFonts w:ascii="Times New Roman" w:hAnsi="Times New Roman"/>
                <w:lang w:eastAsia="lv-LV"/>
              </w:rPr>
              <w:t>p.i</w:t>
            </w:r>
            <w:proofErr w:type="spellEnd"/>
            <w:r w:rsidR="007D38DC">
              <w:rPr>
                <w:rFonts w:ascii="Times New Roman" w:hAnsi="Times New Roman"/>
                <w:lang w:eastAsia="lv-LV"/>
              </w:rPr>
              <w:t>.</w:t>
            </w:r>
          </w:p>
          <w:p w14:paraId="51354D64" w14:textId="15D07B23" w:rsidR="00F27DAB" w:rsidRPr="00F27DAB" w:rsidRDefault="007D38DC" w:rsidP="00F27DAB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lang w:eastAsia="lv-LV"/>
              </w:rPr>
              <w:t>I</w:t>
            </w:r>
            <w:r w:rsidR="00F27DAB" w:rsidRPr="00F27DAB">
              <w:rPr>
                <w:rFonts w:ascii="Times New Roman" w:hAnsi="Times New Roman"/>
                <w:lang w:eastAsia="lv-LV"/>
              </w:rPr>
              <w:t>. B</w:t>
            </w:r>
            <w:r>
              <w:rPr>
                <w:rFonts w:ascii="Times New Roman" w:hAnsi="Times New Roman"/>
                <w:lang w:eastAsia="lv-LV"/>
              </w:rPr>
              <w:t>raunfelde</w:t>
            </w:r>
          </w:p>
          <w:p w14:paraId="04E6E832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b/>
                <w:bCs/>
                <w:lang w:eastAsia="lv-LV"/>
              </w:rPr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Dokuments apstiprināts ar elektronisko parakstu</w:t>
            </w:r>
          </w:p>
          <w:p w14:paraId="29668B1A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b/>
                <w:bCs/>
                <w:lang w:eastAsia="lv-LV"/>
              </w:rPr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Datums skatāms laika zīmogā</w:t>
            </w:r>
          </w:p>
          <w:p w14:paraId="5DF31C1E" w14:textId="77777777" w:rsidR="00F27DAB" w:rsidRPr="00F27DAB" w:rsidRDefault="00F27DAB" w:rsidP="00F27DAB">
            <w:pPr>
              <w:jc w:val="right"/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Reģistrācijas numurs skatāms reģistrācijas informācijā</w:t>
            </w:r>
          </w:p>
        </w:tc>
      </w:tr>
    </w:tbl>
    <w:p w14:paraId="26D6BB0D" w14:textId="77777777" w:rsidR="00F27DAB" w:rsidRPr="00F27DAB" w:rsidRDefault="00F27DAB" w:rsidP="00F27DAB">
      <w:pPr>
        <w:rPr>
          <w:rFonts w:ascii="Cambria" w:eastAsia="Calibri" w:hAnsi="Cambria" w:cs="Times New Roman"/>
        </w:rPr>
      </w:pPr>
      <w:r w:rsidRPr="00F27DA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AMATA APRAKSTS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9B5FD9" w:rsidRPr="005A21B6" w14:paraId="17DD30F4" w14:textId="77777777" w:rsidTr="009B5FD9">
        <w:trPr>
          <w:trHeight w:val="715"/>
        </w:trPr>
        <w:tc>
          <w:tcPr>
            <w:tcW w:w="10382" w:type="dxa"/>
          </w:tcPr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1881"/>
              <w:gridCol w:w="2581"/>
              <w:gridCol w:w="2410"/>
              <w:gridCol w:w="3119"/>
            </w:tblGrid>
            <w:tr w:rsidR="009B5FD9" w:rsidRPr="005A21B6" w14:paraId="266D9956" w14:textId="77777777" w:rsidTr="00951D4C">
              <w:tc>
                <w:tcPr>
                  <w:tcW w:w="1881" w:type="dxa"/>
                </w:tcPr>
                <w:p w14:paraId="314B7CDF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2.AMATA NOSAUKUMS</w:t>
                  </w:r>
                </w:p>
              </w:tc>
              <w:tc>
                <w:tcPr>
                  <w:tcW w:w="2581" w:type="dxa"/>
                </w:tcPr>
                <w:p w14:paraId="3802429D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Vecākais eksperts</w:t>
                  </w:r>
                </w:p>
              </w:tc>
              <w:tc>
                <w:tcPr>
                  <w:tcW w:w="2410" w:type="dxa"/>
                </w:tcPr>
                <w:p w14:paraId="49C26570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2.1.AMATA STATUSS</w:t>
                  </w:r>
                </w:p>
              </w:tc>
              <w:tc>
                <w:tcPr>
                  <w:tcW w:w="3119" w:type="dxa"/>
                </w:tcPr>
                <w:p w14:paraId="41BA62D0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Ierēdnis</w:t>
                  </w:r>
                </w:p>
              </w:tc>
            </w:tr>
            <w:tr w:rsidR="009B5FD9" w:rsidRPr="005A21B6" w14:paraId="4A71BDF9" w14:textId="77777777" w:rsidTr="00951D4C">
              <w:tc>
                <w:tcPr>
                  <w:tcW w:w="4462" w:type="dxa"/>
                  <w:gridSpan w:val="2"/>
                </w:tcPr>
                <w:p w14:paraId="55A02E90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3.STRUKTŪRVIENĪBA</w:t>
                  </w:r>
                </w:p>
              </w:tc>
              <w:tc>
                <w:tcPr>
                  <w:tcW w:w="5529" w:type="dxa"/>
                  <w:gridSpan w:val="2"/>
                </w:tcPr>
                <w:p w14:paraId="7D273E99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/>
                      <w:sz w:val="23"/>
                      <w:szCs w:val="23"/>
                    </w:rPr>
                    <w:t xml:space="preserve">Juridiskais </w:t>
                  </w:r>
                  <w:r w:rsidRPr="005A21B6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departaments</w:t>
                  </w:r>
                </w:p>
                <w:p w14:paraId="65997030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/>
                      <w:sz w:val="23"/>
                      <w:szCs w:val="23"/>
                    </w:rPr>
                    <w:t xml:space="preserve">Iepirkumu politikas un valsts nekustamo īpašumu pārvaldīšanas politikas </w:t>
                  </w:r>
                  <w:r w:rsidRPr="005A21B6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nodaļa</w:t>
                  </w:r>
                </w:p>
              </w:tc>
            </w:tr>
            <w:tr w:rsidR="009B5FD9" w:rsidRPr="005A21B6" w14:paraId="4DD1E25E" w14:textId="77777777" w:rsidTr="00951D4C">
              <w:tc>
                <w:tcPr>
                  <w:tcW w:w="1881" w:type="dxa"/>
                </w:tcPr>
                <w:p w14:paraId="0891DFD0" w14:textId="77777777" w:rsidR="009B5FD9" w:rsidRPr="00B24DE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4DE6">
                    <w:rPr>
                      <w:rFonts w:ascii="Times New Roman" w:hAnsi="Times New Roman" w:cs="Times New Roman"/>
                      <w:sz w:val="23"/>
                      <w:szCs w:val="23"/>
                    </w:rPr>
                    <w:t>4.PROFESIJAS KODS</w:t>
                  </w:r>
                </w:p>
              </w:tc>
              <w:tc>
                <w:tcPr>
                  <w:tcW w:w="2581" w:type="dxa"/>
                </w:tcPr>
                <w:p w14:paraId="5F43E6AF" w14:textId="77777777" w:rsidR="009B5FD9" w:rsidRPr="00B24DE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4DE6">
                    <w:rPr>
                      <w:rFonts w:ascii="Times New Roman" w:hAnsi="Times New Roman" w:cs="Times New Roman"/>
                      <w:sz w:val="23"/>
                      <w:szCs w:val="23"/>
                    </w:rPr>
                    <w:t>2422 09</w:t>
                  </w:r>
                </w:p>
              </w:tc>
              <w:tc>
                <w:tcPr>
                  <w:tcW w:w="2410" w:type="dxa"/>
                </w:tcPr>
                <w:p w14:paraId="4AF5A349" w14:textId="77777777" w:rsidR="009B5FD9" w:rsidRPr="00B24DE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4DE6">
                    <w:rPr>
                      <w:rFonts w:ascii="Times New Roman" w:hAnsi="Times New Roman" w:cs="Times New Roman"/>
                      <w:sz w:val="23"/>
                      <w:szCs w:val="23"/>
                    </w:rPr>
                    <w:t>5.AMATA SAIME UN LĪMENIS</w:t>
                  </w:r>
                </w:p>
              </w:tc>
              <w:tc>
                <w:tcPr>
                  <w:tcW w:w="3119" w:type="dxa"/>
                </w:tcPr>
                <w:p w14:paraId="5661E81B" w14:textId="77777777" w:rsidR="009B5FD9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4DE6">
                    <w:rPr>
                      <w:rFonts w:ascii="Times New Roman" w:hAnsi="Times New Roman" w:cs="Times New Roman"/>
                      <w:sz w:val="23"/>
                      <w:szCs w:val="23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</w:p>
                <w:p w14:paraId="4C860DF2" w14:textId="2EC3C848" w:rsidR="009B5FD9" w:rsidRPr="00B24DE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IIA</w:t>
                  </w:r>
                </w:p>
              </w:tc>
            </w:tr>
            <w:tr w:rsidR="009B5FD9" w:rsidRPr="005A21B6" w14:paraId="506E042E" w14:textId="77777777" w:rsidTr="00951D4C">
              <w:tc>
                <w:tcPr>
                  <w:tcW w:w="1881" w:type="dxa"/>
                </w:tcPr>
                <w:p w14:paraId="07E607BE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6.TIEŠAIS VADĪTĀJS</w:t>
                  </w:r>
                </w:p>
              </w:tc>
              <w:tc>
                <w:tcPr>
                  <w:tcW w:w="2581" w:type="dxa"/>
                </w:tcPr>
                <w:p w14:paraId="1EC3C477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Nodaļas vadītājs</w:t>
                  </w:r>
                </w:p>
              </w:tc>
              <w:tc>
                <w:tcPr>
                  <w:tcW w:w="2410" w:type="dxa"/>
                </w:tcPr>
                <w:p w14:paraId="5754C4CC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7.FUNKCIONĀLAIS VADĪTĀJS</w:t>
                  </w:r>
                </w:p>
              </w:tc>
              <w:tc>
                <w:tcPr>
                  <w:tcW w:w="3119" w:type="dxa"/>
                </w:tcPr>
                <w:p w14:paraId="6A0EAF75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Nodaļas vadītājs</w:t>
                  </w:r>
                </w:p>
              </w:tc>
            </w:tr>
            <w:tr w:rsidR="009B5FD9" w:rsidRPr="005A21B6" w14:paraId="2C3C76F3" w14:textId="77777777" w:rsidTr="00951D4C">
              <w:tc>
                <w:tcPr>
                  <w:tcW w:w="1881" w:type="dxa"/>
                </w:tcPr>
                <w:p w14:paraId="27A32909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8.IEKŠĒJĀ SADARBĪBA</w:t>
                  </w:r>
                </w:p>
              </w:tc>
              <w:tc>
                <w:tcPr>
                  <w:tcW w:w="2581" w:type="dxa"/>
                </w:tcPr>
                <w:p w14:paraId="396A0D52" w14:textId="2829730F" w:rsidR="009B5FD9" w:rsidRPr="005A21B6" w:rsidRDefault="006242A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Citi nodaļas darbinieki, m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inistrijas struktūrvienības,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vadība, ministrijas 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padotības iestādes.</w:t>
                  </w:r>
                </w:p>
              </w:tc>
              <w:tc>
                <w:tcPr>
                  <w:tcW w:w="2410" w:type="dxa"/>
                </w:tcPr>
                <w:p w14:paraId="348DCE78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9.ĀRĒJĀ SADARBĪBA</w:t>
                  </w:r>
                </w:p>
              </w:tc>
              <w:tc>
                <w:tcPr>
                  <w:tcW w:w="3119" w:type="dxa"/>
                </w:tcPr>
                <w:p w14:paraId="3F36969A" w14:textId="1AFBDCBB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Citas ministrijas, Valsts kanceleja, </w:t>
                  </w:r>
                  <w:proofErr w:type="spellStart"/>
                  <w:r w:rsidRPr="005A21B6">
                    <w:rPr>
                      <w:rStyle w:val="spelle"/>
                      <w:rFonts w:ascii="Times New Roman" w:hAnsi="Times New Roman" w:cs="Times New Roman"/>
                      <w:sz w:val="23"/>
                      <w:szCs w:val="23"/>
                    </w:rPr>
                    <w:t>Pārresoru</w:t>
                  </w:r>
                  <w:proofErr w:type="spellEnd"/>
                  <w:r w:rsidRPr="005A21B6">
                    <w:rPr>
                      <w:rStyle w:val="spelle"/>
                      <w:rFonts w:ascii="Times New Roman" w:hAnsi="Times New Roman" w:cs="Times New Roman"/>
                      <w:sz w:val="23"/>
                      <w:szCs w:val="23"/>
                    </w:rPr>
                    <w:t xml:space="preserve"> koordinācijas centrs,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pašvaldības, u.c. publiskas personas, </w:t>
                  </w:r>
                  <w:r w:rsidR="00A44AE3">
                    <w:rPr>
                      <w:rFonts w:ascii="Times New Roman" w:hAnsi="Times New Roman" w:cs="Times New Roman"/>
                      <w:sz w:val="23"/>
                      <w:szCs w:val="23"/>
                    </w:rPr>
                    <w:t>nevalstiskās organizācija</w:t>
                  </w:r>
                  <w:r w:rsidR="002E1836">
                    <w:rPr>
                      <w:rFonts w:ascii="Times New Roman" w:hAnsi="Times New Roman" w:cs="Times New Roman"/>
                      <w:sz w:val="23"/>
                      <w:szCs w:val="23"/>
                    </w:rPr>
                    <w:t>s</w:t>
                  </w:r>
                  <w:r w:rsidR="00A44AE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un privātpersonas, 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kā arī Eiropas Savienības institūcijas amata </w:t>
                  </w:r>
                  <w:r w:rsidR="00A44AE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pienākumu 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kompetences ietvaros.</w:t>
                  </w:r>
                </w:p>
              </w:tc>
            </w:tr>
          </w:tbl>
          <w:p w14:paraId="26AC1C6C" w14:textId="77777777" w:rsidR="009B5FD9" w:rsidRPr="005A21B6" w:rsidRDefault="009B5FD9" w:rsidP="00951D4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559"/>
              <w:gridCol w:w="5846"/>
              <w:gridCol w:w="1706"/>
            </w:tblGrid>
            <w:tr w:rsidR="009B5FD9" w:rsidRPr="005A21B6" w14:paraId="1E4386C7" w14:textId="77777777" w:rsidTr="00951D4C">
              <w:tc>
                <w:tcPr>
                  <w:tcW w:w="2439" w:type="dxa"/>
                  <w:gridSpan w:val="2"/>
                </w:tcPr>
                <w:p w14:paraId="33CB3466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10.AMATA MĒRĶIS</w:t>
                  </w:r>
                </w:p>
              </w:tc>
              <w:tc>
                <w:tcPr>
                  <w:tcW w:w="7552" w:type="dxa"/>
                  <w:gridSpan w:val="2"/>
                </w:tcPr>
                <w:p w14:paraId="15A60CBE" w14:textId="77777777" w:rsidR="009B5FD9" w:rsidRPr="00FA1BB9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A1BB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Nodrošināt </w:t>
                  </w:r>
                  <w:r w:rsidRPr="00FA1BB9">
                    <w:rPr>
                      <w:rFonts w:ascii="Times New Roman" w:hAnsi="Times New Roman"/>
                      <w:sz w:val="23"/>
                      <w:szCs w:val="23"/>
                    </w:rPr>
                    <w:t>politikas izstrādi publisko iepirkumu, publiskās un privātās partnerības jomā,</w:t>
                  </w:r>
                  <w:r w:rsidRPr="00FA1BB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tās īstenošanai nepieciešamo tiesību aktu, attīstības plānošanas dokumentu projektu un informatīvo ziņojumu sagatavošanu un to ieviešanu, kā arī atbilstīgi kompetencei pārstāvēt ministrijas viedokli attiecīgās politikas jautājumos.</w:t>
                  </w:r>
                </w:p>
              </w:tc>
            </w:tr>
            <w:tr w:rsidR="009B5FD9" w:rsidRPr="005A21B6" w14:paraId="63CDB5E3" w14:textId="77777777" w:rsidTr="00951D4C">
              <w:tc>
                <w:tcPr>
                  <w:tcW w:w="9991" w:type="dxa"/>
                  <w:gridSpan w:val="4"/>
                </w:tcPr>
                <w:p w14:paraId="1F964B26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11.AMATA PIENĀKUMI</w:t>
                  </w:r>
                </w:p>
              </w:tc>
            </w:tr>
            <w:tr w:rsidR="009B5FD9" w:rsidRPr="005A21B6" w14:paraId="5AF61931" w14:textId="77777777" w:rsidTr="00951D4C">
              <w:tc>
                <w:tcPr>
                  <w:tcW w:w="880" w:type="dxa"/>
                </w:tcPr>
                <w:p w14:paraId="65C7B16F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405" w:type="dxa"/>
                  <w:gridSpan w:val="2"/>
                </w:tcPr>
                <w:p w14:paraId="38EEE5B6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PIENĀKUMS</w:t>
                  </w:r>
                </w:p>
              </w:tc>
              <w:tc>
                <w:tcPr>
                  <w:tcW w:w="1706" w:type="dxa"/>
                </w:tcPr>
                <w:p w14:paraId="3FEF50A8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NOZĪMĪBA %</w:t>
                  </w:r>
                </w:p>
              </w:tc>
            </w:tr>
            <w:tr w:rsidR="009B5FD9" w:rsidRPr="005A21B6" w14:paraId="674AC831" w14:textId="77777777" w:rsidTr="00951D4C">
              <w:tc>
                <w:tcPr>
                  <w:tcW w:w="880" w:type="dxa"/>
                </w:tcPr>
                <w:p w14:paraId="2E3156AD" w14:textId="77777777" w:rsidR="009B5FD9" w:rsidRPr="00440417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11.1.</w:t>
                  </w:r>
                </w:p>
              </w:tc>
              <w:tc>
                <w:tcPr>
                  <w:tcW w:w="7405" w:type="dxa"/>
                  <w:gridSpan w:val="2"/>
                </w:tcPr>
                <w:p w14:paraId="2954CC88" w14:textId="4DD38D6A" w:rsidR="00B128B9" w:rsidRPr="008D5DC4" w:rsidRDefault="00B128B9" w:rsidP="0028294E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>I</w:t>
                  </w:r>
                  <w:r w:rsidR="009B5FD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zstrādāt priekšlikumus valsts politikas </w:t>
                  </w:r>
                  <w:r w:rsidR="009B5FD9" w:rsidRPr="008D5DC4">
                    <w:rPr>
                      <w:rFonts w:ascii="Times New Roman" w:hAnsi="Times New Roman"/>
                      <w:sz w:val="23"/>
                      <w:szCs w:val="23"/>
                    </w:rPr>
                    <w:t>publisko iepirkumu, publiskās un privātās partnerības jomā</w:t>
                  </w:r>
                  <w:r w:rsidR="009B5FD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veidošanai un attīstībai, kā arī sniegt nepieciešamo informāciju un pārskatus par attiecīgās politikas izstrādes jautājumiem</w:t>
                  </w:r>
                  <w:r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tajā skaitā:</w:t>
                  </w:r>
                </w:p>
                <w:p w14:paraId="38E3ECCB" w14:textId="1D699405" w:rsidR="00B128B9" w:rsidRPr="008D5DC4" w:rsidRDefault="007D38DC" w:rsidP="00B128B9">
                  <w:pPr>
                    <w:spacing w:after="6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11.1.1.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izstrādāt tiesību aktu un attīstības plānošanas dokumentu projektus,</w:t>
                  </w:r>
                  <w:r w:rsidR="0057550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informatīvos ziņojumus,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piedalīties </w:t>
                  </w:r>
                  <w:r w:rsidR="0057550B">
                    <w:rPr>
                      <w:rFonts w:ascii="Times New Roman" w:hAnsi="Times New Roman" w:cs="Times New Roman"/>
                      <w:sz w:val="23"/>
                      <w:szCs w:val="23"/>
                    </w:rPr>
                    <w:t>to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saskaņošanā</w:t>
                  </w:r>
                  <w:r w:rsidR="00036836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tajā skaitā nodrošinot sabiedrības līdzdalību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kā arī īstenot to izpildi;</w:t>
                  </w:r>
                </w:p>
                <w:p w14:paraId="41F384AD" w14:textId="36CE540F" w:rsidR="00B128B9" w:rsidRPr="008D5DC4" w:rsidRDefault="007D38DC" w:rsidP="00B128B9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11.1.2.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izvērtēt un sniegt atzinumus par ministrijas struktūrvienību un ministrijas padotības iestāžu, izstrādātajiem tiesību aktu, attīstības plānošanas dokumentu projektiem, informatīvajiem ziņojumiem;</w:t>
                  </w:r>
                </w:p>
                <w:p w14:paraId="6DE54CBF" w14:textId="64066A1A" w:rsidR="00B128B9" w:rsidRPr="00A24EFA" w:rsidRDefault="007D38DC" w:rsidP="008D5DC4">
                  <w:pPr>
                    <w:spacing w:after="6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11.1.3.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izvērtēt un sniegt atzinumu</w:t>
                  </w:r>
                  <w:r w:rsidR="004233F9">
                    <w:rPr>
                      <w:rFonts w:ascii="Times New Roman" w:hAnsi="Times New Roman" w:cs="Times New Roman"/>
                      <w:sz w:val="23"/>
                      <w:szCs w:val="23"/>
                    </w:rPr>
                    <w:t>s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par citu institūciju izstrādātajiem un ministrijai saskaņošanai iesniegtajiem tiesību aktu, attīstības plānošanas dokumentu projektiem, informatīvajiem ziņojumiem, pārstāvēt ministrijas viedokli sanāksmēs (darba grupās), ja tādas tiek veidotas minēto dokumentu izstrādei;</w:t>
                  </w:r>
                </w:p>
                <w:p w14:paraId="35D6F793" w14:textId="3CAE4F66" w:rsidR="00502D19" w:rsidRPr="008D5DC4" w:rsidRDefault="007D38DC" w:rsidP="008D5DC4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11.1.4.</w:t>
                  </w:r>
                  <w:r w:rsidR="0028294E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sagatavot uzziņas ministrijas Vadības komitejai, Valsts sekretāra vadības sanāksmei, nepieciešamo informāciju ministrijas pārstāvībai Valsts sekretāru sanāksmē, Ministru kabineta komitejā, Ministru kabinetā un Saeimā un citās sanāksmēs.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12E49C3F" w14:textId="47E4F38C" w:rsidR="009B5FD9" w:rsidRPr="00F830B2" w:rsidRDefault="001F7BBB" w:rsidP="00951D4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50</w:t>
                  </w:r>
                </w:p>
              </w:tc>
            </w:tr>
            <w:tr w:rsidR="009B5FD9" w:rsidRPr="005A21B6" w14:paraId="2DE2227B" w14:textId="77777777" w:rsidTr="00951D4C">
              <w:tc>
                <w:tcPr>
                  <w:tcW w:w="880" w:type="dxa"/>
                </w:tcPr>
                <w:p w14:paraId="3AEEFF8E" w14:textId="77777777" w:rsidR="009B5FD9" w:rsidRPr="00440417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11.2.</w:t>
                  </w:r>
                </w:p>
              </w:tc>
              <w:tc>
                <w:tcPr>
                  <w:tcW w:w="7405" w:type="dxa"/>
                  <w:gridSpan w:val="2"/>
                </w:tcPr>
                <w:p w14:paraId="12ACBA29" w14:textId="1C86F95C" w:rsidR="0028294E" w:rsidRPr="008E505F" w:rsidRDefault="0028294E" w:rsidP="0099771D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4EFA">
                    <w:rPr>
                      <w:rFonts w:ascii="Times New Roman" w:hAnsi="Times New Roman" w:cs="Times New Roman"/>
                      <w:sz w:val="23"/>
                      <w:szCs w:val="23"/>
                    </w:rPr>
                    <w:t>P</w:t>
                  </w:r>
                  <w:r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lānot, koordinēt un uzraudzīt, tai skaitā analizējot un izvērtējot informāciju par situāciju attiecīgajā nozarē, </w:t>
                  </w:r>
                  <w:r w:rsidRPr="008E505F">
                    <w:rPr>
                      <w:rFonts w:ascii="Times New Roman" w:hAnsi="Times New Roman"/>
                      <w:sz w:val="23"/>
                      <w:szCs w:val="23"/>
                    </w:rPr>
                    <w:t xml:space="preserve">publisko iepirkumu, publiskās un privātās partnerības jomas regulējošo tiesību aktu </w:t>
                  </w:r>
                  <w:r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>pilnveidošanu un atbilstību Eiropas Savienības tiesību aktiem, tajā skaitā:</w:t>
                  </w:r>
                </w:p>
                <w:p w14:paraId="6A48C180" w14:textId="180EE430" w:rsidR="0057550B" w:rsidRPr="008E505F" w:rsidRDefault="007D38DC" w:rsidP="0099771D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11.2.1.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57550B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pārzināt un regulāri sekot izmaiņām </w:t>
                  </w:r>
                  <w:r w:rsidR="0057550B" w:rsidRPr="008E505F">
                    <w:rPr>
                      <w:rFonts w:ascii="Times New Roman" w:hAnsi="Times New Roman"/>
                      <w:sz w:val="23"/>
                      <w:szCs w:val="23"/>
                    </w:rPr>
                    <w:t xml:space="preserve">publisko iepirkumu, publiskās un privātās partnerības </w:t>
                  </w:r>
                  <w:r w:rsidR="0057550B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>jomas saistīto politiku regulējošajos tiesību aktos un attīstības plānošanas dokumentos attiecībā uz nodaļas kompetencē esošajiem jautājumiem;</w:t>
                  </w:r>
                </w:p>
                <w:p w14:paraId="23C11C6C" w14:textId="52231388" w:rsidR="0028294E" w:rsidRPr="008E505F" w:rsidRDefault="007D38DC" w:rsidP="0099771D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11.2.2.</w:t>
                  </w:r>
                  <w:r w:rsidR="0057550B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apkopot, aktualizēt un analizēt informāciju un datus, kas saistīti ar valsts politikas veidošanu </w:t>
                  </w:r>
                  <w:r w:rsidR="0028294E" w:rsidRPr="008E505F">
                    <w:rPr>
                      <w:rFonts w:ascii="Times New Roman" w:hAnsi="Times New Roman"/>
                      <w:sz w:val="23"/>
                      <w:szCs w:val="23"/>
                    </w:rPr>
                    <w:t>publisko iepirkumu, publiskās un privātās partnerības jomā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011904C9" w14:textId="293F09DE" w:rsidR="0028294E" w:rsidRPr="008E505F" w:rsidRDefault="007D38DC" w:rsidP="0099771D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11.2.3.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sagatavot Latvijas Republikas nacionālās pozīcijas un instrukcijas Eiropas Savienības tiesību aktu izstrādes jautājumos, kā arī izvērtēt un sniegt atzinumu par citu institūciju izstrādātājām, kas skar </w:t>
                  </w:r>
                  <w:r w:rsidR="0028294E" w:rsidRPr="008E505F">
                    <w:rPr>
                      <w:rFonts w:ascii="Times New Roman" w:hAnsi="Times New Roman"/>
                      <w:sz w:val="23"/>
                      <w:szCs w:val="23"/>
                    </w:rPr>
                    <w:t xml:space="preserve">publisko iepirkumu, publiskās un privātās partnerības 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>jomas jautājumus;</w:t>
                  </w:r>
                </w:p>
                <w:p w14:paraId="7DCEB8CF" w14:textId="2F44E6F7" w:rsidR="00B128B9" w:rsidRPr="008E505F" w:rsidRDefault="007D38DC" w:rsidP="00A24EFA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11.2.4.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pārstāvēt ministrijas viedokli </w:t>
                  </w:r>
                  <w:r w:rsidR="0028294E" w:rsidRPr="008E505F">
                    <w:rPr>
                      <w:rFonts w:ascii="Times New Roman" w:hAnsi="Times New Roman"/>
                      <w:sz w:val="23"/>
                      <w:szCs w:val="23"/>
                    </w:rPr>
                    <w:t xml:space="preserve">ārvalstu institūcijās vai starptautiskajās organizācijās, tā skaitā 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>Eiropas Savienības līmeņa sanāksmēs</w:t>
                  </w:r>
                  <w:r w:rsidR="0028294E" w:rsidRPr="008E505F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7E94CF50" w14:textId="32870979" w:rsidR="009B5FD9" w:rsidRPr="00F830B2" w:rsidRDefault="001F7BBB" w:rsidP="00951D4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30</w:t>
                  </w:r>
                </w:p>
              </w:tc>
            </w:tr>
            <w:tr w:rsidR="009B5FD9" w:rsidRPr="005A21B6" w14:paraId="619A9698" w14:textId="77777777" w:rsidTr="00951D4C">
              <w:tc>
                <w:tcPr>
                  <w:tcW w:w="880" w:type="dxa"/>
                </w:tcPr>
                <w:p w14:paraId="57518A3F" w14:textId="77777777" w:rsidR="009B5FD9" w:rsidRPr="00440417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11.3.</w:t>
                  </w:r>
                </w:p>
              </w:tc>
              <w:tc>
                <w:tcPr>
                  <w:tcW w:w="7405" w:type="dxa"/>
                  <w:gridSpan w:val="2"/>
                </w:tcPr>
                <w:p w14:paraId="40BD223C" w14:textId="4B769A0E" w:rsidR="009B5FD9" w:rsidRDefault="0099771D" w:rsidP="00A24EFA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Cit</w:t>
                  </w:r>
                  <w:r w:rsidR="00BE2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i pienākumi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  <w:p w14:paraId="66C6EA56" w14:textId="2F9AEE06" w:rsidR="0099771D" w:rsidRDefault="007D38DC" w:rsidP="00A24EFA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13.3.1.</w:t>
                  </w:r>
                  <w:r w:rsidR="0099771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99771D"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t>pārstāvēt ministriju komunikācijā ar citām publiskām personām un privātpersonām, tā skaitā sagatavojot vēstuļu projektus un veicot saraksti elektroniskā veidā;</w:t>
                  </w:r>
                </w:p>
                <w:p w14:paraId="2221A409" w14:textId="77777777" w:rsidR="00BB3F9F" w:rsidRDefault="007D38DC" w:rsidP="00A24EFA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13.3.2.</w:t>
                  </w:r>
                  <w:r w:rsidR="0099771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99771D"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t>konsultēt ministrijas citu struktūrvienību un ministrijas padotības iestāžu darbiniekus</w:t>
                  </w:r>
                  <w:r w:rsidR="00BD4F95"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attiecībā uz savā kompetencē esošajiem jautājumiem</w:t>
                  </w:r>
                  <w:r w:rsidR="001067E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6E316A40" w14:textId="04584736" w:rsidR="001067E4" w:rsidRPr="00440417" w:rsidRDefault="001067E4" w:rsidP="00A24EFA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13.3.3.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v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eikt citus līdzīga rakstura un kvalifikācijas uzdevumus saskaņā ar departamenta direktora un nodaļas vadītāja norādījumiem.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78C61182" w14:textId="2000DA66" w:rsidR="009B5FD9" w:rsidRPr="00F830B2" w:rsidRDefault="001F7BBB" w:rsidP="00951D4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20</w:t>
                  </w:r>
                </w:p>
              </w:tc>
            </w:tr>
          </w:tbl>
          <w:p w14:paraId="3283DD17" w14:textId="77777777" w:rsidR="009B5FD9" w:rsidRPr="005A21B6" w:rsidRDefault="009B5FD9" w:rsidP="00951D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9214"/>
            </w:tblGrid>
            <w:tr w:rsidR="009B5FD9" w:rsidRPr="005A21B6" w14:paraId="429BD987" w14:textId="77777777" w:rsidTr="00951D4C">
              <w:tc>
                <w:tcPr>
                  <w:tcW w:w="9986" w:type="dxa"/>
                  <w:gridSpan w:val="2"/>
                </w:tcPr>
                <w:p w14:paraId="07C5996F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12.KOMPETENCES</w:t>
                  </w:r>
                </w:p>
              </w:tc>
            </w:tr>
            <w:tr w:rsidR="009B5FD9" w:rsidRPr="005A21B6" w14:paraId="5D685314" w14:textId="77777777" w:rsidTr="00951D4C">
              <w:tc>
                <w:tcPr>
                  <w:tcW w:w="772" w:type="dxa"/>
                </w:tcPr>
                <w:p w14:paraId="6FF4F9F4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12.1.</w:t>
                  </w:r>
                </w:p>
              </w:tc>
              <w:tc>
                <w:tcPr>
                  <w:tcW w:w="9214" w:type="dxa"/>
                </w:tcPr>
                <w:p w14:paraId="2425E8FF" w14:textId="67F7148C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nalītiskā domāšana</w:t>
                  </w:r>
                </w:p>
              </w:tc>
            </w:tr>
            <w:tr w:rsidR="009B5FD9" w:rsidRPr="005A21B6" w14:paraId="656DB762" w14:textId="77777777" w:rsidTr="00951D4C">
              <w:tc>
                <w:tcPr>
                  <w:tcW w:w="772" w:type="dxa"/>
                </w:tcPr>
                <w:p w14:paraId="06481B4F" w14:textId="77777777" w:rsidR="009B5FD9" w:rsidRPr="005A21B6" w:rsidRDefault="009B5FD9" w:rsidP="009B5FD9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12.2.</w:t>
                  </w:r>
                </w:p>
              </w:tc>
              <w:tc>
                <w:tcPr>
                  <w:tcW w:w="9214" w:type="dxa"/>
                </w:tcPr>
                <w:p w14:paraId="174C4E8A" w14:textId="7A024D60" w:rsidR="009B5FD9" w:rsidRPr="005A21B6" w:rsidRDefault="009B5FD9" w:rsidP="009B5FD9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niciatīva</w:t>
                  </w:r>
                </w:p>
              </w:tc>
            </w:tr>
            <w:tr w:rsidR="009B5FD9" w:rsidRPr="005A21B6" w14:paraId="2472C10A" w14:textId="77777777" w:rsidTr="00951D4C">
              <w:tc>
                <w:tcPr>
                  <w:tcW w:w="772" w:type="dxa"/>
                </w:tcPr>
                <w:p w14:paraId="3D210DBB" w14:textId="77777777" w:rsidR="009B5FD9" w:rsidRPr="005A21B6" w:rsidRDefault="009B5FD9" w:rsidP="009B5FD9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12.3.</w:t>
                  </w:r>
                </w:p>
              </w:tc>
              <w:tc>
                <w:tcPr>
                  <w:tcW w:w="9214" w:type="dxa"/>
                </w:tcPr>
                <w:p w14:paraId="3818A4B0" w14:textId="44C6F3A1" w:rsidR="009B5FD9" w:rsidRPr="005A21B6" w:rsidRDefault="009B5FD9" w:rsidP="009B5FD9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K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onceptuāla domāšana</w:t>
                  </w:r>
                </w:p>
              </w:tc>
            </w:tr>
            <w:tr w:rsidR="009B5FD9" w:rsidRPr="005A21B6" w14:paraId="7B867603" w14:textId="77777777" w:rsidTr="00951D4C">
              <w:tc>
                <w:tcPr>
                  <w:tcW w:w="772" w:type="dxa"/>
                </w:tcPr>
                <w:p w14:paraId="616472F3" w14:textId="77777777" w:rsidR="009B5FD9" w:rsidRPr="005A21B6" w:rsidRDefault="009B5FD9" w:rsidP="009B5FD9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12.4.</w:t>
                  </w:r>
                </w:p>
              </w:tc>
              <w:tc>
                <w:tcPr>
                  <w:tcW w:w="9214" w:type="dxa"/>
                </w:tcPr>
                <w:p w14:paraId="659AB7B5" w14:textId="54BD0655" w:rsidR="009B5FD9" w:rsidRPr="005A21B6" w:rsidRDefault="009B5FD9" w:rsidP="009B5FD9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Ē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tiskums</w:t>
                  </w:r>
                </w:p>
              </w:tc>
            </w:tr>
          </w:tbl>
          <w:p w14:paraId="7F2395AF" w14:textId="77777777" w:rsidR="009B5FD9" w:rsidRPr="005A21B6" w:rsidRDefault="009B5FD9" w:rsidP="00951D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9B5FD9" w:rsidRPr="005A21B6" w14:paraId="0FFC1D02" w14:textId="77777777" w:rsidTr="00951D4C">
              <w:tc>
                <w:tcPr>
                  <w:tcW w:w="9986" w:type="dxa"/>
                  <w:gridSpan w:val="2"/>
                </w:tcPr>
                <w:p w14:paraId="1332693E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13.PROFESIONĀLĀ KVALIFIKĀCIJA</w:t>
                  </w:r>
                </w:p>
              </w:tc>
            </w:tr>
            <w:tr w:rsidR="009B5FD9" w:rsidRPr="005A21B6" w14:paraId="7298DA60" w14:textId="77777777" w:rsidTr="00951D4C">
              <w:tc>
                <w:tcPr>
                  <w:tcW w:w="2756" w:type="dxa"/>
                </w:tcPr>
                <w:p w14:paraId="55F19304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13.1.IZGLĪTĪBA</w:t>
                  </w:r>
                </w:p>
              </w:tc>
              <w:tc>
                <w:tcPr>
                  <w:tcW w:w="7230" w:type="dxa"/>
                </w:tcPr>
                <w:p w14:paraId="2FA1F09F" w14:textId="4C3465AD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ugstākā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akadēmiskā vai otrā līmeņa augstākā profesionālā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izglītība, vēlama 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ekonomik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ā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vai tiesību zinātnēs, periodiska zināšanu papildināšana.</w:t>
                  </w:r>
                </w:p>
              </w:tc>
            </w:tr>
            <w:tr w:rsidR="009B5FD9" w:rsidRPr="005A21B6" w14:paraId="506946D5" w14:textId="77777777" w:rsidTr="00951D4C">
              <w:tc>
                <w:tcPr>
                  <w:tcW w:w="2756" w:type="dxa"/>
                </w:tcPr>
                <w:p w14:paraId="6CFE942D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13.2.PROFESIONĀLĀ PIEREDZE</w:t>
                  </w:r>
                </w:p>
              </w:tc>
              <w:tc>
                <w:tcPr>
                  <w:tcW w:w="7230" w:type="dxa"/>
                </w:tcPr>
                <w:p w14:paraId="7D877390" w14:textId="685A9F24" w:rsidR="009B5FD9" w:rsidRPr="00D85E92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85E92">
                    <w:rPr>
                      <w:rFonts w:ascii="Times New Roman" w:hAnsi="Times New Roman" w:cs="Times New Roman"/>
                      <w:sz w:val="23"/>
                      <w:szCs w:val="23"/>
                    </w:rPr>
                    <w:t>Pieredze amatā publiskajā sektorā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31295C" w:rsidRPr="00D85E92">
                    <w:rPr>
                      <w:rFonts w:ascii="Times New Roman" w:hAnsi="Times New Roman"/>
                      <w:sz w:val="23"/>
                      <w:szCs w:val="23"/>
                    </w:rPr>
                    <w:t xml:space="preserve">publisko iepirkumu vai publiskās un privātās partnerības </w:t>
                  </w:r>
                  <w:r w:rsidR="0031295C" w:rsidRPr="00D85E9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jomā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ne mazāk </w:t>
                  </w:r>
                  <w:r w:rsidRPr="00D85E9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kā trīs gadi pēdējo 5 gadu laikā</w:t>
                  </w:r>
                  <w:r w:rsidR="003129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9B5FD9" w:rsidRPr="005A21B6" w14:paraId="1A93FF91" w14:textId="77777777" w:rsidTr="00951D4C">
              <w:tc>
                <w:tcPr>
                  <w:tcW w:w="2756" w:type="dxa"/>
                </w:tcPr>
                <w:p w14:paraId="71CF4C64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13.3.PROFESIONĀLĀS ZINĀŠANAS UN PRASMES</w:t>
                  </w:r>
                </w:p>
              </w:tc>
              <w:tc>
                <w:tcPr>
                  <w:tcW w:w="7230" w:type="dxa"/>
                </w:tcPr>
                <w:p w14:paraId="7C3ED5FF" w14:textId="1FB36D58" w:rsidR="00AE42D9" w:rsidRDefault="00AE42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13.3.1.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ļ</w:t>
                  </w:r>
                  <w:r w:rsidR="009B5FD9" w:rsidRPr="00FA1BB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oti labas zināšanas un izpratne par </w:t>
                  </w:r>
                  <w:r w:rsidR="009B5FD9" w:rsidRPr="00FA1BB9">
                    <w:rPr>
                      <w:rFonts w:ascii="Times New Roman" w:hAnsi="Times New Roman"/>
                      <w:sz w:val="23"/>
                      <w:szCs w:val="23"/>
                    </w:rPr>
                    <w:t xml:space="preserve">publisko iepirkumu vai publiskās un privātās partnerības </w:t>
                  </w:r>
                  <w:r w:rsidR="009B5FD9" w:rsidRPr="00FA1BB9">
                    <w:rPr>
                      <w:rFonts w:ascii="Times New Roman" w:hAnsi="Times New Roman" w:cs="Times New Roman"/>
                      <w:sz w:val="23"/>
                      <w:szCs w:val="23"/>
                    </w:rPr>
                    <w:t>politikas jautājumiem. Labas zināšanas par attiecīgās politikas tiesisko ietvaru, gan Latvijas Republikas, gan Eiropas Savienības līmeņa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38B29190" w14:textId="075A85ED" w:rsidR="009B5FD9" w:rsidRDefault="00AE42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13.3.2.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v</w:t>
                  </w:r>
                  <w:r w:rsidR="009B5F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ēlamas zināšanas par nozarēm, kas saistītas ar publiskā iepirkuma un publiskās un privātās partnerības politiku (piemēram, būvniecību)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35871742" w14:textId="36D08AF9" w:rsidR="009B5FD9" w:rsidRPr="005A21B6" w:rsidRDefault="00AE42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13.3.3.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l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abas zināšanas un izpratne par valsts pārvaldes, kā arī Eiropas Savienības institūciju struktūru un darbību, lēmumu pieņemšanas procesu.</w:t>
                  </w:r>
                </w:p>
              </w:tc>
            </w:tr>
            <w:tr w:rsidR="009B5FD9" w:rsidRPr="005A21B6" w14:paraId="71009A5D" w14:textId="77777777" w:rsidTr="00951D4C">
              <w:tc>
                <w:tcPr>
                  <w:tcW w:w="2756" w:type="dxa"/>
                </w:tcPr>
                <w:p w14:paraId="3AC0272E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13.4.VISPĀRĒJĀS ZINĀŠANAS UN PRASMES</w:t>
                  </w:r>
                </w:p>
              </w:tc>
              <w:tc>
                <w:tcPr>
                  <w:tcW w:w="7230" w:type="dxa"/>
                </w:tcPr>
                <w:p w14:paraId="78ABF0D1" w14:textId="61DE8BCB" w:rsidR="009B5FD9" w:rsidRPr="005A21B6" w:rsidRDefault="00AE42D9" w:rsidP="00951D4C">
                  <w:pPr>
                    <w:shd w:val="clear" w:color="auto" w:fill="FFFFFF"/>
                    <w:ind w:left="34" w:right="14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13.4.1.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p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rasme pielietot praksē iegūtās teorētiskās zināšanas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77426B59" w14:textId="3F84BF63" w:rsidR="009B5FD9" w:rsidRPr="005A21B6" w:rsidRDefault="00AE42D9" w:rsidP="00951D4C">
                  <w:pPr>
                    <w:shd w:val="clear" w:color="auto" w:fill="FFFFFF"/>
                    <w:ind w:left="34" w:right="14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13.4.2.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p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rasme izmantot normatīvo aktu informācijas un citas publiskās informācijas sistēmas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4A1D250D" w14:textId="7047335F" w:rsidR="009B5FD9" w:rsidRPr="005A21B6" w:rsidRDefault="00AE42D9" w:rsidP="00951D4C">
                  <w:pPr>
                    <w:shd w:val="clear" w:color="auto" w:fill="FFFFFF"/>
                    <w:ind w:left="34" w:right="14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13.4.3.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s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vešvalodu zināšanas, tā skaitā labas angļu valodas zināšanas (spēja paust un aizstāvēt savu viedokli komunikācijā ar Eiropas Savienības institūcijām gan rakstiski, gan mutiski)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5B2336F7" w14:textId="768AAD62" w:rsidR="009B5FD9" w:rsidRPr="005A21B6" w:rsidRDefault="00AE42D9" w:rsidP="00951D4C">
                  <w:pPr>
                    <w:shd w:val="clear" w:color="auto" w:fill="FFFFFF"/>
                    <w:ind w:left="34" w:right="14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13.4.4.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p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rasme </w:t>
                  </w:r>
                  <w:r w:rsidR="009B5F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izmantot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9B5F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datortehniku.</w:t>
                  </w:r>
                </w:p>
              </w:tc>
            </w:tr>
          </w:tbl>
          <w:p w14:paraId="3F2ECC8F" w14:textId="77777777" w:rsidR="009B5FD9" w:rsidRPr="005A21B6" w:rsidRDefault="009B5FD9" w:rsidP="00951D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9B5FD9" w:rsidRPr="005A21B6" w14:paraId="11311D72" w14:textId="77777777" w:rsidTr="00951D4C">
              <w:tc>
                <w:tcPr>
                  <w:tcW w:w="2756" w:type="dxa"/>
                </w:tcPr>
                <w:p w14:paraId="016A5DA6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14.AMATA ATBILDĪBA</w:t>
                  </w:r>
                </w:p>
              </w:tc>
              <w:tc>
                <w:tcPr>
                  <w:tcW w:w="7230" w:type="dxa"/>
                </w:tcPr>
                <w:p w14:paraId="1DB8C19B" w14:textId="412A7BC4" w:rsidR="00D3122E" w:rsidRDefault="00D3122E" w:rsidP="00951D4C">
                  <w:pPr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3"/>
                      <w:szCs w:val="23"/>
                    </w:rPr>
                    <w:t>14.1. a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tbild par kvalitatīvu un savlaicīgu amata aprakstā noteikto pienākumu un uzdoto uzdevumu izpildi, </w:t>
                  </w:r>
                  <w:r w:rsidR="009B5FD9" w:rsidRPr="005A21B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pieņemtajiem lēmumiem, sniegtās informācijas pareizību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689758A8" w14:textId="0B12F384" w:rsidR="009B5FD9" w:rsidRPr="005A21B6" w:rsidRDefault="00D3122E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14.2. a</w:t>
                  </w:r>
                  <w:r w:rsidR="009B5FD9" w:rsidRPr="005A21B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tbild par darba vietas un materiālo vērtību saglabāšanu, darba drošības ievērošanu, kā arī 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par informācijas konfidencialitāti.</w:t>
                  </w:r>
                </w:p>
              </w:tc>
            </w:tr>
            <w:tr w:rsidR="009B5FD9" w:rsidRPr="005A21B6" w14:paraId="769106BC" w14:textId="77777777" w:rsidTr="00951D4C">
              <w:tc>
                <w:tcPr>
                  <w:tcW w:w="2756" w:type="dxa"/>
                </w:tcPr>
                <w:p w14:paraId="24435962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15.AMATA TIESĪBAS</w:t>
                  </w:r>
                </w:p>
              </w:tc>
              <w:tc>
                <w:tcPr>
                  <w:tcW w:w="7230" w:type="dxa"/>
                </w:tcPr>
                <w:p w14:paraId="46C8DC91" w14:textId="43D2CEE0" w:rsidR="009B5FD9" w:rsidRPr="005A21B6" w:rsidRDefault="00D3122E" w:rsidP="00951D4C">
                  <w:pPr>
                    <w:pStyle w:val="BodyTextIndent3"/>
                    <w:spacing w:after="0"/>
                    <w:ind w:left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15.1. s</w:t>
                  </w:r>
                  <w:r w:rsidR="009B5FD9" w:rsidRPr="005A21B6">
                    <w:rPr>
                      <w:sz w:val="23"/>
                      <w:szCs w:val="23"/>
                    </w:rPr>
                    <w:t>aņemt amata pienākumu veikšanai nepieciešamo informāciju no nodaļas vadītāja, citām ministrijas struktūrvienībām, amatpersonām un ministrijas padotībā esošajām iestādēm</w:t>
                  </w:r>
                  <w:r>
                    <w:rPr>
                      <w:sz w:val="23"/>
                      <w:szCs w:val="23"/>
                    </w:rPr>
                    <w:t>;</w:t>
                  </w:r>
                </w:p>
                <w:p w14:paraId="22C289F5" w14:textId="73792C22" w:rsidR="009B5FD9" w:rsidRPr="005A21B6" w:rsidRDefault="00D3122E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15.2. s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niegt ierosinājumus un priekšlikumus nodaļas vadītājam nodaļas darba kvalitātes un efektivitātes uzlabošanai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1C334955" w14:textId="0A9F03A0" w:rsidR="009B5FD9" w:rsidRPr="005A21B6" w:rsidRDefault="00D3122E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15.3. a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tbilstoši kompetencei pārstāvēt ministriju sanāksmēs un citos pasākumos.</w:t>
                  </w:r>
                </w:p>
              </w:tc>
            </w:tr>
            <w:tr w:rsidR="009B5FD9" w:rsidRPr="005A21B6" w14:paraId="61E08D29" w14:textId="77777777" w:rsidTr="00951D4C">
              <w:tc>
                <w:tcPr>
                  <w:tcW w:w="2756" w:type="dxa"/>
                </w:tcPr>
                <w:p w14:paraId="34BC57BA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16.CITA INFORMĀCIJA</w:t>
                  </w:r>
                </w:p>
              </w:tc>
              <w:tc>
                <w:tcPr>
                  <w:tcW w:w="7230" w:type="dxa"/>
                </w:tcPr>
                <w:p w14:paraId="42D27A47" w14:textId="5A83D594" w:rsidR="00AE42D9" w:rsidRPr="00AE42D9" w:rsidRDefault="00AE42D9" w:rsidP="00AE42D9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E42D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16.1. </w:t>
                  </w:r>
                  <w:r w:rsidR="00E4614B">
                    <w:rPr>
                      <w:rFonts w:ascii="Times New Roman" w:hAnsi="Times New Roman" w:cs="Times New Roman"/>
                      <w:sz w:val="23"/>
                      <w:szCs w:val="23"/>
                    </w:rPr>
                    <w:t>d</w:t>
                  </w:r>
                  <w:r w:rsidRPr="00AE42D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arbs ar </w:t>
                  </w:r>
                  <w:r w:rsidR="007B2B4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dažādas un </w:t>
                  </w:r>
                  <w:r w:rsidRPr="00AE42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liela apjoma informācijas uztveri, pārzināšanu, apstrādi un analīzi, uzdevumu izpildi bez noteiktas metodikas</w:t>
                  </w:r>
                  <w:r w:rsidR="00E4614B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387E571C" w14:textId="4A25D84E" w:rsidR="00611EA8" w:rsidRPr="00AE42D9" w:rsidRDefault="00AE42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E42D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16.2. </w:t>
                  </w:r>
                  <w:r w:rsidR="00E4614B">
                    <w:rPr>
                      <w:rFonts w:ascii="Times New Roman" w:hAnsi="Times New Roman" w:cs="Times New Roman"/>
                      <w:sz w:val="23"/>
                      <w:szCs w:val="23"/>
                    </w:rPr>
                    <w:t>i</w:t>
                  </w:r>
                  <w:r w:rsidRPr="00AE42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ntelektuāls darbs, iespējams paaugstinātas intensitātes apstākļos, nepieciešama precizitāte, atbildība, radoša pieeja un jaunu risinājumu piedāvāšana.</w:t>
                  </w:r>
                </w:p>
              </w:tc>
            </w:tr>
          </w:tbl>
          <w:p w14:paraId="7E943C60" w14:textId="77777777" w:rsidR="009B5FD9" w:rsidRPr="005A21B6" w:rsidRDefault="009B5FD9" w:rsidP="00951D4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20D3DE41" w14:textId="231EDA7C" w:rsidR="00651736" w:rsidRPr="00877F7B" w:rsidRDefault="00651736" w:rsidP="00651736">
      <w:pPr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04"/>
        <w:gridCol w:w="2028"/>
        <w:gridCol w:w="3770"/>
        <w:gridCol w:w="1780"/>
      </w:tblGrid>
      <w:tr w:rsidR="009B5FD9" w:rsidRPr="00E62B1E" w14:paraId="06F7C9AE" w14:textId="77777777" w:rsidTr="009B5FD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1AB1F" w14:textId="77777777" w:rsidR="009B5FD9" w:rsidRPr="00E62B1E" w:rsidRDefault="009B5FD9" w:rsidP="00951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STRUKTŪRVIENĪBAS 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14:paraId="125EC0B9" w14:textId="77777777" w:rsidR="009B5FD9" w:rsidRPr="00E62B1E" w:rsidRDefault="009B5FD9" w:rsidP="00951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Saskaņots ALS</w:t>
            </w:r>
          </w:p>
        </w:tc>
        <w:tc>
          <w:tcPr>
            <w:tcW w:w="3770" w:type="dxa"/>
          </w:tcPr>
          <w:p w14:paraId="58142171" w14:textId="5A35FB8F" w:rsidR="009B5FD9" w:rsidRPr="00B62386" w:rsidRDefault="007D38DC" w:rsidP="0095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Bērziņa</w:t>
            </w:r>
          </w:p>
        </w:tc>
        <w:tc>
          <w:tcPr>
            <w:tcW w:w="1780" w:type="dxa"/>
          </w:tcPr>
          <w:p w14:paraId="1753DAA6" w14:textId="77777777" w:rsidR="009B5FD9" w:rsidRPr="00E62B1E" w:rsidRDefault="009B5FD9" w:rsidP="00951D4C">
            <w:pPr>
              <w:rPr>
                <w:rFonts w:ascii="Times New Roman" w:hAnsi="Times New Roman" w:cs="Times New Roman"/>
              </w:rPr>
            </w:pPr>
          </w:p>
        </w:tc>
      </w:tr>
      <w:tr w:rsidR="009B5FD9" w:rsidRPr="00E62B1E" w14:paraId="1EF8F030" w14:textId="77777777" w:rsidTr="009B5FD9">
        <w:tc>
          <w:tcPr>
            <w:tcW w:w="2804" w:type="dxa"/>
            <w:tcBorders>
              <w:top w:val="nil"/>
              <w:bottom w:val="single" w:sz="4" w:space="0" w:color="auto"/>
            </w:tcBorders>
          </w:tcPr>
          <w:p w14:paraId="6B00D49A" w14:textId="77777777" w:rsidR="009B5FD9" w:rsidRPr="00E62B1E" w:rsidRDefault="009B5FD9" w:rsidP="00951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VADĪTĀJS</w:t>
            </w:r>
          </w:p>
        </w:tc>
        <w:tc>
          <w:tcPr>
            <w:tcW w:w="2028" w:type="dxa"/>
          </w:tcPr>
          <w:p w14:paraId="19E90139" w14:textId="77777777" w:rsidR="009B5FD9" w:rsidRPr="00E62B1E" w:rsidRDefault="009B5FD9" w:rsidP="00951D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2B1E"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3770" w:type="dxa"/>
          </w:tcPr>
          <w:p w14:paraId="1AE0A321" w14:textId="77777777" w:rsidR="009B5FD9" w:rsidRPr="00E62B1E" w:rsidRDefault="009B5FD9" w:rsidP="00951D4C">
            <w:pPr>
              <w:rPr>
                <w:rFonts w:ascii="Times New Roman" w:hAnsi="Times New Roman" w:cs="Times New Roman"/>
                <w:i/>
              </w:rPr>
            </w:pPr>
            <w:r w:rsidRPr="00E62B1E">
              <w:rPr>
                <w:rFonts w:ascii="Times New Roman" w:hAnsi="Times New Roman" w:cs="Times New Roman"/>
              </w:rPr>
              <w:t xml:space="preserve">               </w:t>
            </w:r>
            <w:r w:rsidRPr="00E62B1E">
              <w:rPr>
                <w:rFonts w:ascii="Times New Roman" w:hAnsi="Times New Roman" w:cs="Times New Roman"/>
                <w:i/>
              </w:rPr>
              <w:t>vārds, uzvārds</w:t>
            </w:r>
          </w:p>
        </w:tc>
        <w:tc>
          <w:tcPr>
            <w:tcW w:w="1780" w:type="dxa"/>
          </w:tcPr>
          <w:p w14:paraId="36DEDE0A" w14:textId="77777777" w:rsidR="009B5FD9" w:rsidRPr="00E62B1E" w:rsidRDefault="009B5FD9" w:rsidP="00951D4C">
            <w:pPr>
              <w:rPr>
                <w:rFonts w:ascii="Times New Roman" w:hAnsi="Times New Roman" w:cs="Times New Roman"/>
                <w:i/>
              </w:rPr>
            </w:pPr>
            <w:r w:rsidRPr="00E62B1E">
              <w:rPr>
                <w:rFonts w:ascii="Times New Roman" w:hAnsi="Times New Roman" w:cs="Times New Roman"/>
                <w:i/>
              </w:rPr>
              <w:t xml:space="preserve">  datums</w:t>
            </w:r>
          </w:p>
        </w:tc>
      </w:tr>
      <w:tr w:rsidR="009B5FD9" w14:paraId="113E031D" w14:textId="77777777" w:rsidTr="009B5FD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33103" w14:textId="77777777" w:rsidR="009B5FD9" w:rsidRDefault="009B5FD9" w:rsidP="0095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DARBINIEKS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14:paraId="141C162F" w14:textId="77777777" w:rsidR="009B5FD9" w:rsidRDefault="009B5FD9" w:rsidP="0095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(paraksts)*</w:t>
            </w:r>
          </w:p>
        </w:tc>
        <w:tc>
          <w:tcPr>
            <w:tcW w:w="3770" w:type="dxa"/>
          </w:tcPr>
          <w:p w14:paraId="148BD79A" w14:textId="77777777" w:rsidR="009B5FD9" w:rsidRDefault="009B5FD9" w:rsidP="0095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3DAF035" w14:textId="77777777" w:rsidR="009B5FD9" w:rsidRDefault="009B5FD9" w:rsidP="0095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D9" w:rsidRPr="00877F7B" w14:paraId="5D310136" w14:textId="77777777" w:rsidTr="009B5FD9">
        <w:tc>
          <w:tcPr>
            <w:tcW w:w="2804" w:type="dxa"/>
            <w:tcBorders>
              <w:top w:val="nil"/>
            </w:tcBorders>
          </w:tcPr>
          <w:p w14:paraId="130A2B8E" w14:textId="77777777" w:rsidR="009B5FD9" w:rsidRDefault="009B5FD9" w:rsidP="0095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835AD06" w14:textId="77777777" w:rsidR="009B5FD9" w:rsidRDefault="009B5FD9" w:rsidP="0095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770" w:type="dxa"/>
          </w:tcPr>
          <w:p w14:paraId="0E3B68C5" w14:textId="77777777" w:rsidR="009B5FD9" w:rsidRPr="00877F7B" w:rsidRDefault="009B5FD9" w:rsidP="00951D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80" w:type="dxa"/>
          </w:tcPr>
          <w:p w14:paraId="182EF9C7" w14:textId="77777777" w:rsidR="009B5FD9" w:rsidRPr="00877F7B" w:rsidRDefault="009B5FD9" w:rsidP="00951D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E0C7623" w14:textId="0F3298DC" w:rsidR="00877F7B" w:rsidRPr="00877F7B" w:rsidRDefault="009B5FD9" w:rsidP="00877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*Dokuments parakstīts ar drošu elektronisko parakstu un satur laika zīmogu.</w:t>
      </w:r>
    </w:p>
    <w:sectPr w:rsidR="00877F7B" w:rsidRPr="00877F7B" w:rsidSect="008D4974">
      <w:footerReference w:type="default" r:id="rId8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1E70" w14:textId="77777777" w:rsidR="00367870" w:rsidRDefault="00367870" w:rsidP="008A0942">
      <w:pPr>
        <w:spacing w:after="0" w:line="240" w:lineRule="auto"/>
      </w:pPr>
      <w:r>
        <w:separator/>
      </w:r>
    </w:p>
  </w:endnote>
  <w:endnote w:type="continuationSeparator" w:id="0">
    <w:p w14:paraId="5AB19706" w14:textId="77777777" w:rsidR="00367870" w:rsidRDefault="00367870" w:rsidP="008A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4614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21F91" w14:textId="5ED1FC12" w:rsidR="008A0942" w:rsidRDefault="008A0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0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AE7E2E" w14:textId="77777777" w:rsidR="008A0942" w:rsidRDefault="008A0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B945" w14:textId="77777777" w:rsidR="00367870" w:rsidRDefault="00367870" w:rsidP="008A0942">
      <w:pPr>
        <w:spacing w:after="0" w:line="240" w:lineRule="auto"/>
      </w:pPr>
      <w:r>
        <w:separator/>
      </w:r>
    </w:p>
  </w:footnote>
  <w:footnote w:type="continuationSeparator" w:id="0">
    <w:p w14:paraId="75ABD805" w14:textId="77777777" w:rsidR="00367870" w:rsidRDefault="00367870" w:rsidP="008A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5C4"/>
    <w:multiLevelType w:val="multilevel"/>
    <w:tmpl w:val="52005B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0"/>
      </w:rPr>
    </w:lvl>
  </w:abstractNum>
  <w:abstractNum w:abstractNumId="1" w15:restartNumberingAfterBreak="0">
    <w:nsid w:val="39535642"/>
    <w:multiLevelType w:val="hybridMultilevel"/>
    <w:tmpl w:val="E1EE1E90"/>
    <w:lvl w:ilvl="0" w:tplc="331ACB96">
      <w:start w:val="1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64928"/>
    <w:multiLevelType w:val="hybridMultilevel"/>
    <w:tmpl w:val="804E9B7A"/>
    <w:lvl w:ilvl="0" w:tplc="331ACB96">
      <w:start w:val="1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7152A9"/>
    <w:multiLevelType w:val="hybridMultilevel"/>
    <w:tmpl w:val="4940B4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91179"/>
    <w:multiLevelType w:val="hybridMultilevel"/>
    <w:tmpl w:val="EA5AFF6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E4CF8"/>
    <w:multiLevelType w:val="multilevel"/>
    <w:tmpl w:val="090A1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251B7A"/>
    <w:multiLevelType w:val="multilevel"/>
    <w:tmpl w:val="AAC6FCCC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0951A63"/>
    <w:multiLevelType w:val="multilevel"/>
    <w:tmpl w:val="FD4AC104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15859DA"/>
    <w:multiLevelType w:val="hybridMultilevel"/>
    <w:tmpl w:val="EB360722"/>
    <w:lvl w:ilvl="0" w:tplc="331ACB96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00003"/>
    <w:multiLevelType w:val="multilevel"/>
    <w:tmpl w:val="584A861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C337D3"/>
    <w:multiLevelType w:val="multilevel"/>
    <w:tmpl w:val="6876EE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2395E27"/>
    <w:multiLevelType w:val="hybridMultilevel"/>
    <w:tmpl w:val="716250DA"/>
    <w:lvl w:ilvl="0" w:tplc="331ACB96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F1B00"/>
    <w:multiLevelType w:val="hybridMultilevel"/>
    <w:tmpl w:val="BBBE13EE"/>
    <w:lvl w:ilvl="0" w:tplc="6724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A2F28"/>
    <w:multiLevelType w:val="hybridMultilevel"/>
    <w:tmpl w:val="5478EDD0"/>
    <w:lvl w:ilvl="0" w:tplc="E9CC000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17CBD"/>
    <w:multiLevelType w:val="hybridMultilevel"/>
    <w:tmpl w:val="7A50AD4A"/>
    <w:lvl w:ilvl="0" w:tplc="9828C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375FA"/>
    <w:multiLevelType w:val="multilevel"/>
    <w:tmpl w:val="F02EB648"/>
    <w:lvl w:ilvl="0">
      <w:start w:val="1"/>
      <w:numFmt w:val="decimal"/>
      <w:lvlText w:val="5.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726291528">
    <w:abstractNumId w:val="15"/>
  </w:num>
  <w:num w:numId="2" w16cid:durableId="2086757229">
    <w:abstractNumId w:val="0"/>
    <w:lvlOverride w:ilvl="0">
      <w:startOverride w:val="1"/>
    </w:lvlOverride>
  </w:num>
  <w:num w:numId="3" w16cid:durableId="813377691">
    <w:abstractNumId w:val="5"/>
  </w:num>
  <w:num w:numId="4" w16cid:durableId="1782410609">
    <w:abstractNumId w:val="14"/>
  </w:num>
  <w:num w:numId="5" w16cid:durableId="1790321034">
    <w:abstractNumId w:val="10"/>
  </w:num>
  <w:num w:numId="6" w16cid:durableId="218250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342501">
    <w:abstractNumId w:val="7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541017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8342445">
    <w:abstractNumId w:val="3"/>
  </w:num>
  <w:num w:numId="10" w16cid:durableId="1523204066">
    <w:abstractNumId w:val="13"/>
  </w:num>
  <w:num w:numId="11" w16cid:durableId="1840384938">
    <w:abstractNumId w:val="12"/>
  </w:num>
  <w:num w:numId="12" w16cid:durableId="517474575">
    <w:abstractNumId w:val="2"/>
  </w:num>
  <w:num w:numId="13" w16cid:durableId="780497776">
    <w:abstractNumId w:val="1"/>
  </w:num>
  <w:num w:numId="14" w16cid:durableId="1002588089">
    <w:abstractNumId w:val="9"/>
  </w:num>
  <w:num w:numId="15" w16cid:durableId="245917107">
    <w:abstractNumId w:val="8"/>
  </w:num>
  <w:num w:numId="16" w16cid:durableId="2035304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D"/>
    <w:rsid w:val="00036836"/>
    <w:rsid w:val="00036B3B"/>
    <w:rsid w:val="00061D3B"/>
    <w:rsid w:val="00062A02"/>
    <w:rsid w:val="000A4186"/>
    <w:rsid w:val="000A426F"/>
    <w:rsid w:val="000C7FB5"/>
    <w:rsid w:val="000F56A3"/>
    <w:rsid w:val="000F5CF7"/>
    <w:rsid w:val="001035AB"/>
    <w:rsid w:val="0010509A"/>
    <w:rsid w:val="001067E4"/>
    <w:rsid w:val="00134228"/>
    <w:rsid w:val="001368AA"/>
    <w:rsid w:val="001A6B09"/>
    <w:rsid w:val="001E3F68"/>
    <w:rsid w:val="001F3E71"/>
    <w:rsid w:val="001F7BBB"/>
    <w:rsid w:val="00213B30"/>
    <w:rsid w:val="00214207"/>
    <w:rsid w:val="00257620"/>
    <w:rsid w:val="00271752"/>
    <w:rsid w:val="00280F63"/>
    <w:rsid w:val="0028294E"/>
    <w:rsid w:val="00283660"/>
    <w:rsid w:val="002C3C29"/>
    <w:rsid w:val="002D3C1F"/>
    <w:rsid w:val="002E1836"/>
    <w:rsid w:val="002F228F"/>
    <w:rsid w:val="00311281"/>
    <w:rsid w:val="0031295C"/>
    <w:rsid w:val="00331AB6"/>
    <w:rsid w:val="00334913"/>
    <w:rsid w:val="003365AF"/>
    <w:rsid w:val="00343FB8"/>
    <w:rsid w:val="00367870"/>
    <w:rsid w:val="00392968"/>
    <w:rsid w:val="003E282C"/>
    <w:rsid w:val="003F5111"/>
    <w:rsid w:val="00414C62"/>
    <w:rsid w:val="004233F9"/>
    <w:rsid w:val="00466F94"/>
    <w:rsid w:val="00485FFD"/>
    <w:rsid w:val="004A074A"/>
    <w:rsid w:val="004B56C8"/>
    <w:rsid w:val="004E41C2"/>
    <w:rsid w:val="004E610C"/>
    <w:rsid w:val="004E7757"/>
    <w:rsid w:val="004F3BAA"/>
    <w:rsid w:val="00502D19"/>
    <w:rsid w:val="00512D0C"/>
    <w:rsid w:val="00526513"/>
    <w:rsid w:val="005320DA"/>
    <w:rsid w:val="00540FC8"/>
    <w:rsid w:val="00541DF6"/>
    <w:rsid w:val="005571A8"/>
    <w:rsid w:val="00574CA5"/>
    <w:rsid w:val="0057550B"/>
    <w:rsid w:val="005C098F"/>
    <w:rsid w:val="005C253B"/>
    <w:rsid w:val="005C2988"/>
    <w:rsid w:val="005C47FC"/>
    <w:rsid w:val="005E5CA1"/>
    <w:rsid w:val="005F18F8"/>
    <w:rsid w:val="00611EA8"/>
    <w:rsid w:val="006242A9"/>
    <w:rsid w:val="00627262"/>
    <w:rsid w:val="00651736"/>
    <w:rsid w:val="00651B17"/>
    <w:rsid w:val="006533B2"/>
    <w:rsid w:val="0068304B"/>
    <w:rsid w:val="00693281"/>
    <w:rsid w:val="006C0896"/>
    <w:rsid w:val="006F2AEA"/>
    <w:rsid w:val="00711B1E"/>
    <w:rsid w:val="00714868"/>
    <w:rsid w:val="007234D4"/>
    <w:rsid w:val="00737725"/>
    <w:rsid w:val="007635D6"/>
    <w:rsid w:val="0076656C"/>
    <w:rsid w:val="007B2B4A"/>
    <w:rsid w:val="007D38DC"/>
    <w:rsid w:val="007D621B"/>
    <w:rsid w:val="007E2CAE"/>
    <w:rsid w:val="007E36F2"/>
    <w:rsid w:val="007E7368"/>
    <w:rsid w:val="0085399F"/>
    <w:rsid w:val="008539F2"/>
    <w:rsid w:val="008614AE"/>
    <w:rsid w:val="00877F7B"/>
    <w:rsid w:val="008843C2"/>
    <w:rsid w:val="00885370"/>
    <w:rsid w:val="0089582A"/>
    <w:rsid w:val="008A0942"/>
    <w:rsid w:val="008B0CCB"/>
    <w:rsid w:val="008D4974"/>
    <w:rsid w:val="008D5DC4"/>
    <w:rsid w:val="008D60E2"/>
    <w:rsid w:val="008E221E"/>
    <w:rsid w:val="008E505F"/>
    <w:rsid w:val="008F5C49"/>
    <w:rsid w:val="009112CE"/>
    <w:rsid w:val="00915E91"/>
    <w:rsid w:val="00943EE7"/>
    <w:rsid w:val="00945CC3"/>
    <w:rsid w:val="00972CAD"/>
    <w:rsid w:val="00991BE3"/>
    <w:rsid w:val="0099771D"/>
    <w:rsid w:val="009A19A8"/>
    <w:rsid w:val="009A736D"/>
    <w:rsid w:val="009B24C4"/>
    <w:rsid w:val="009B3077"/>
    <w:rsid w:val="009B5FD9"/>
    <w:rsid w:val="009F3DEB"/>
    <w:rsid w:val="009F6B42"/>
    <w:rsid w:val="00A12F02"/>
    <w:rsid w:val="00A24EFA"/>
    <w:rsid w:val="00A3785F"/>
    <w:rsid w:val="00A41E38"/>
    <w:rsid w:val="00A437BD"/>
    <w:rsid w:val="00A44AE3"/>
    <w:rsid w:val="00A47285"/>
    <w:rsid w:val="00A47653"/>
    <w:rsid w:val="00A80379"/>
    <w:rsid w:val="00A92C1D"/>
    <w:rsid w:val="00AA30D5"/>
    <w:rsid w:val="00AB59F5"/>
    <w:rsid w:val="00AB6EE7"/>
    <w:rsid w:val="00AC2F50"/>
    <w:rsid w:val="00AC5A22"/>
    <w:rsid w:val="00AC7D91"/>
    <w:rsid w:val="00AE42D9"/>
    <w:rsid w:val="00AF0FC6"/>
    <w:rsid w:val="00B128B9"/>
    <w:rsid w:val="00B26DB6"/>
    <w:rsid w:val="00B615A0"/>
    <w:rsid w:val="00BA6231"/>
    <w:rsid w:val="00BB3033"/>
    <w:rsid w:val="00BB3F9F"/>
    <w:rsid w:val="00BD4F95"/>
    <w:rsid w:val="00BD67F6"/>
    <w:rsid w:val="00BD6DEE"/>
    <w:rsid w:val="00BE2CE0"/>
    <w:rsid w:val="00C052A9"/>
    <w:rsid w:val="00C10576"/>
    <w:rsid w:val="00C1299F"/>
    <w:rsid w:val="00C14E85"/>
    <w:rsid w:val="00C40CB5"/>
    <w:rsid w:val="00C531DC"/>
    <w:rsid w:val="00C628C1"/>
    <w:rsid w:val="00C63155"/>
    <w:rsid w:val="00C72383"/>
    <w:rsid w:val="00C82C3A"/>
    <w:rsid w:val="00C90012"/>
    <w:rsid w:val="00C9089D"/>
    <w:rsid w:val="00C9377D"/>
    <w:rsid w:val="00CA52A8"/>
    <w:rsid w:val="00CB019C"/>
    <w:rsid w:val="00CB68FC"/>
    <w:rsid w:val="00CE1F4F"/>
    <w:rsid w:val="00CE3EF3"/>
    <w:rsid w:val="00CE7ED7"/>
    <w:rsid w:val="00CF36B8"/>
    <w:rsid w:val="00CF4098"/>
    <w:rsid w:val="00D0699E"/>
    <w:rsid w:val="00D15DB8"/>
    <w:rsid w:val="00D3122E"/>
    <w:rsid w:val="00D45162"/>
    <w:rsid w:val="00D51A38"/>
    <w:rsid w:val="00D800B8"/>
    <w:rsid w:val="00DA18B1"/>
    <w:rsid w:val="00DA31E5"/>
    <w:rsid w:val="00DA44A3"/>
    <w:rsid w:val="00DB2B93"/>
    <w:rsid w:val="00DB46DD"/>
    <w:rsid w:val="00DB6213"/>
    <w:rsid w:val="00E4614B"/>
    <w:rsid w:val="00E572EB"/>
    <w:rsid w:val="00E65C7A"/>
    <w:rsid w:val="00EF3D30"/>
    <w:rsid w:val="00EF6665"/>
    <w:rsid w:val="00F205A7"/>
    <w:rsid w:val="00F27DAB"/>
    <w:rsid w:val="00F30DBC"/>
    <w:rsid w:val="00F43854"/>
    <w:rsid w:val="00F76DAD"/>
    <w:rsid w:val="00FA02A1"/>
    <w:rsid w:val="00FA5808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CFC8"/>
  <w15:docId w15:val="{BF0217AE-222E-40B8-901F-FD0A3A3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D3B"/>
  </w:style>
  <w:style w:type="paragraph" w:styleId="Heading1">
    <w:name w:val="heading 1"/>
    <w:basedOn w:val="Normal"/>
    <w:next w:val="Normal"/>
    <w:link w:val="Heading1Char"/>
    <w:uiPriority w:val="99"/>
    <w:qFormat/>
    <w:rsid w:val="00061D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D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D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D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D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D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D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D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D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D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D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D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D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D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D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D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D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D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61D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61D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D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D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61D3B"/>
    <w:rPr>
      <w:b/>
      <w:bCs/>
    </w:rPr>
  </w:style>
  <w:style w:type="character" w:styleId="Emphasis">
    <w:name w:val="Emphasis"/>
    <w:uiPriority w:val="20"/>
    <w:qFormat/>
    <w:rsid w:val="00061D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61D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D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1D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D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D3B"/>
    <w:rPr>
      <w:i/>
      <w:iCs/>
    </w:rPr>
  </w:style>
  <w:style w:type="character" w:styleId="SubtleEmphasis">
    <w:name w:val="Subtle Emphasis"/>
    <w:uiPriority w:val="19"/>
    <w:qFormat/>
    <w:rsid w:val="00061D3B"/>
    <w:rPr>
      <w:i/>
      <w:iCs/>
    </w:rPr>
  </w:style>
  <w:style w:type="character" w:styleId="IntenseEmphasis">
    <w:name w:val="Intense Emphasis"/>
    <w:uiPriority w:val="21"/>
    <w:qFormat/>
    <w:rsid w:val="00061D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1D3B"/>
    <w:rPr>
      <w:smallCaps/>
    </w:rPr>
  </w:style>
  <w:style w:type="character" w:styleId="IntenseReference">
    <w:name w:val="Intense Reference"/>
    <w:uiPriority w:val="32"/>
    <w:qFormat/>
    <w:rsid w:val="00061D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61D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D3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42"/>
  </w:style>
  <w:style w:type="paragraph" w:styleId="Footer">
    <w:name w:val="footer"/>
    <w:basedOn w:val="Normal"/>
    <w:link w:val="FooterChar"/>
    <w:uiPriority w:val="99"/>
    <w:unhideWhenUsed/>
    <w:rsid w:val="008A0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42"/>
  </w:style>
  <w:style w:type="character" w:styleId="PlaceholderText">
    <w:name w:val="Placeholder Text"/>
    <w:uiPriority w:val="99"/>
    <w:semiHidden/>
    <w:rsid w:val="00DB46DD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8D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497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497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8D497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27DAB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B5F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B5FD9"/>
    <w:rPr>
      <w:rFonts w:ascii="Times New Roman" w:eastAsia="Times New Roman" w:hAnsi="Times New Roman" w:cs="Times New Roman"/>
      <w:sz w:val="16"/>
      <w:szCs w:val="16"/>
    </w:rPr>
  </w:style>
  <w:style w:type="character" w:customStyle="1" w:styleId="spelle">
    <w:name w:val="spelle"/>
    <w:basedOn w:val="DefaultParagraphFont"/>
    <w:rsid w:val="009B5FD9"/>
  </w:style>
  <w:style w:type="paragraph" w:styleId="Revision">
    <w:name w:val="Revision"/>
    <w:hidden/>
    <w:uiPriority w:val="99"/>
    <w:semiHidden/>
    <w:rsid w:val="006242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4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4372</Words>
  <Characters>2493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pn-krisa</dc:creator>
  <cp:keywords/>
  <dc:description/>
  <cp:lastModifiedBy>Antra Matuzele</cp:lastModifiedBy>
  <cp:revision>2</cp:revision>
  <cp:lastPrinted>2015-01-08T12:12:00Z</cp:lastPrinted>
  <dcterms:created xsi:type="dcterms:W3CDTF">2025-01-28T13:55:00Z</dcterms:created>
  <dcterms:modified xsi:type="dcterms:W3CDTF">2025-01-28T13:55:00Z</dcterms:modified>
</cp:coreProperties>
</file>