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23B" w:rsidRPr="004C7C46" w:rsidRDefault="004816F6" w:rsidP="0054649C">
      <w:pPr>
        <w:shd w:val="clear" w:color="auto" w:fill="FFFFFF"/>
        <w:spacing w:after="0" w:line="240" w:lineRule="auto"/>
        <w:jc w:val="center"/>
        <w:rPr>
          <w:rFonts w:ascii="Times New Roman" w:hAnsi="Times New Roman" w:cs="Times New Roman"/>
          <w:b/>
          <w:color w:val="000000" w:themeColor="text1"/>
          <w:sz w:val="26"/>
          <w:szCs w:val="26"/>
        </w:rPr>
      </w:pPr>
      <w:r w:rsidRPr="004C7C46">
        <w:rPr>
          <w:rFonts w:ascii="Times New Roman" w:hAnsi="Times New Roman" w:cs="Times New Roman"/>
          <w:b/>
          <w:color w:val="000000" w:themeColor="text1"/>
          <w:sz w:val="26"/>
          <w:szCs w:val="26"/>
        </w:rPr>
        <w:t>Likumprojekta</w:t>
      </w:r>
      <w:r w:rsidR="00054059" w:rsidRPr="004C7C46">
        <w:rPr>
          <w:rFonts w:ascii="Times New Roman" w:hAnsi="Times New Roman" w:cs="Times New Roman"/>
          <w:b/>
          <w:color w:val="000000" w:themeColor="text1"/>
          <w:sz w:val="26"/>
          <w:szCs w:val="26"/>
        </w:rPr>
        <w:t xml:space="preserve"> “</w:t>
      </w:r>
      <w:r w:rsidRPr="004C7C46">
        <w:rPr>
          <w:rFonts w:ascii="Times New Roman" w:hAnsi="Times New Roman" w:cs="Times New Roman"/>
          <w:b/>
          <w:color w:val="000000" w:themeColor="text1"/>
          <w:sz w:val="26"/>
          <w:szCs w:val="26"/>
        </w:rPr>
        <w:t>Grozījumi Kredītiestāžu un ieguldījumu brokeru sabiedrību darbības atjaunošanas un noregulējuma likumā</w:t>
      </w:r>
      <w:r w:rsidR="00054059" w:rsidRPr="004C7C46">
        <w:rPr>
          <w:rFonts w:ascii="Times New Roman" w:hAnsi="Times New Roman" w:cs="Times New Roman"/>
          <w:b/>
          <w:color w:val="000000" w:themeColor="text1"/>
          <w:sz w:val="26"/>
          <w:szCs w:val="26"/>
        </w:rPr>
        <w:t>”</w:t>
      </w:r>
      <w:r w:rsidR="00054059" w:rsidRPr="004C7C46">
        <w:rPr>
          <w:rFonts w:ascii="Times New Roman" w:eastAsia="Times New Roman" w:hAnsi="Times New Roman" w:cs="Times New Roman"/>
          <w:b/>
          <w:bCs/>
          <w:sz w:val="28"/>
          <w:szCs w:val="24"/>
          <w:lang w:eastAsia="lv-LV"/>
        </w:rPr>
        <w:t xml:space="preserve"> </w:t>
      </w:r>
      <w:r w:rsidR="009F468A" w:rsidRPr="004C7C46">
        <w:rPr>
          <w:rFonts w:ascii="Times New Roman" w:hAnsi="Times New Roman" w:cs="Times New Roman"/>
          <w:b/>
          <w:color w:val="000000" w:themeColor="text1"/>
          <w:sz w:val="26"/>
          <w:szCs w:val="26"/>
        </w:rPr>
        <w:t>sākotnējās ietekmes novērtējuma ziņojums (anotācija)</w:t>
      </w:r>
    </w:p>
    <w:p w:rsidR="006E6344" w:rsidRPr="004C7C46" w:rsidRDefault="006E6344" w:rsidP="0054649C">
      <w:pPr>
        <w:shd w:val="clear" w:color="auto" w:fill="FFFFFF"/>
        <w:spacing w:after="0" w:line="240" w:lineRule="auto"/>
        <w:jc w:val="center"/>
        <w:rPr>
          <w:rFonts w:ascii="Times New Roman" w:hAnsi="Times New Roman" w:cs="Times New Roman"/>
          <w:b/>
          <w:color w:val="000000" w:themeColor="text1"/>
          <w:sz w:val="26"/>
          <w:szCs w:val="26"/>
        </w:rPr>
      </w:pP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3819"/>
        <w:gridCol w:w="5236"/>
      </w:tblGrid>
      <w:tr w:rsidR="00D62367" w:rsidRPr="004C7C46" w:rsidTr="00930F51">
        <w:trPr>
          <w:tblCellSpacing w:w="15" w:type="dxa"/>
        </w:trPr>
        <w:tc>
          <w:tcPr>
            <w:tcW w:w="0" w:type="auto"/>
            <w:gridSpan w:val="2"/>
            <w:vAlign w:val="center"/>
            <w:hideMark/>
          </w:tcPr>
          <w:p w:rsidR="00D62367" w:rsidRPr="004C7C46" w:rsidRDefault="00D62367" w:rsidP="00747C7C">
            <w:pPr>
              <w:spacing w:after="0" w:line="240" w:lineRule="auto"/>
              <w:jc w:val="center"/>
              <w:rPr>
                <w:rFonts w:ascii="Times New Roman" w:eastAsia="Times New Roman" w:hAnsi="Times New Roman" w:cs="Times New Roman"/>
                <w:b/>
                <w:bCs/>
                <w:iCs/>
                <w:sz w:val="24"/>
                <w:szCs w:val="24"/>
                <w:lang w:eastAsia="lv-LV"/>
              </w:rPr>
            </w:pPr>
            <w:r w:rsidRPr="004C7C46">
              <w:rPr>
                <w:rFonts w:ascii="Times New Roman" w:eastAsia="Times New Roman" w:hAnsi="Times New Roman" w:cs="Times New Roman"/>
                <w:b/>
                <w:bCs/>
                <w:iCs/>
                <w:sz w:val="24"/>
                <w:szCs w:val="24"/>
                <w:lang w:eastAsia="lv-LV"/>
              </w:rPr>
              <w:t>Tiesību akta projekta anotācijas kopsavilkums</w:t>
            </w:r>
          </w:p>
        </w:tc>
      </w:tr>
      <w:tr w:rsidR="00D62367" w:rsidRPr="004C7C46" w:rsidTr="00930F51">
        <w:trPr>
          <w:trHeight w:val="859"/>
          <w:tblCellSpacing w:w="15" w:type="dxa"/>
        </w:trPr>
        <w:tc>
          <w:tcPr>
            <w:tcW w:w="2084" w:type="pct"/>
            <w:hideMark/>
          </w:tcPr>
          <w:p w:rsidR="00D62367" w:rsidRPr="004C7C46" w:rsidRDefault="00D62367" w:rsidP="00AC363F">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Mērķis, risinājums un projekta spēkā stāšanās laiks (500 zīmes bez atstarpēm)</w:t>
            </w:r>
          </w:p>
        </w:tc>
        <w:tc>
          <w:tcPr>
            <w:tcW w:w="2866" w:type="pct"/>
            <w:hideMark/>
          </w:tcPr>
          <w:p w:rsidR="001E426B" w:rsidRPr="004C7C46" w:rsidRDefault="0095427C" w:rsidP="00AC363F">
            <w:pPr>
              <w:pStyle w:val="tv213"/>
              <w:shd w:val="clear" w:color="auto" w:fill="FFFFFF"/>
              <w:spacing w:before="0" w:beforeAutospacing="0" w:after="0" w:afterAutospacing="0"/>
              <w:jc w:val="both"/>
              <w:rPr>
                <w:i/>
                <w:color w:val="000000"/>
                <w:spacing w:val="-2"/>
                <w:shd w:val="clear" w:color="auto" w:fill="FFFFFF"/>
              </w:rPr>
            </w:pPr>
            <w:r w:rsidRPr="004C7C46">
              <w:rPr>
                <w:color w:val="000000"/>
                <w:spacing w:val="-2"/>
                <w:shd w:val="clear" w:color="auto" w:fill="FFFFFF"/>
              </w:rPr>
              <w:t xml:space="preserve">Ar </w:t>
            </w:r>
            <w:r w:rsidR="001E426B" w:rsidRPr="004C7C46">
              <w:rPr>
                <w:color w:val="000000"/>
                <w:spacing w:val="-2"/>
                <w:shd w:val="clear" w:color="auto" w:fill="FFFFFF"/>
              </w:rPr>
              <w:t>Likumprojekt</w:t>
            </w:r>
            <w:r w:rsidRPr="004C7C46">
              <w:rPr>
                <w:color w:val="000000"/>
                <w:spacing w:val="-2"/>
                <w:shd w:val="clear" w:color="auto" w:fill="FFFFFF"/>
              </w:rPr>
              <w:t>u</w:t>
            </w:r>
            <w:r w:rsidR="001E426B" w:rsidRPr="004C7C46">
              <w:rPr>
                <w:color w:val="000000"/>
                <w:spacing w:val="-2"/>
                <w:shd w:val="clear" w:color="auto" w:fill="FFFFFF"/>
              </w:rPr>
              <w:t xml:space="preserve"> </w:t>
            </w:r>
            <w:r w:rsidR="001E426B" w:rsidRPr="004C7C46">
              <w:rPr>
                <w:color w:val="000000" w:themeColor="text1"/>
              </w:rPr>
              <w:t>“Grozījumi Kredītiestāžu un ieguldījumu brokeru sabiedrību darbības atjaunošanas un noregulējuma likumā”</w:t>
            </w:r>
            <w:r w:rsidR="001E426B" w:rsidRPr="004C7C46">
              <w:rPr>
                <w:color w:val="000000"/>
                <w:spacing w:val="-2"/>
                <w:shd w:val="clear" w:color="auto" w:fill="FFFFFF"/>
              </w:rPr>
              <w:t xml:space="preserve"> (turpmāk – </w:t>
            </w:r>
            <w:r w:rsidRPr="004C7C46">
              <w:rPr>
                <w:color w:val="000000"/>
                <w:spacing w:val="-2"/>
                <w:shd w:val="clear" w:color="auto" w:fill="FFFFFF"/>
              </w:rPr>
              <w:t>l</w:t>
            </w:r>
            <w:r w:rsidR="000970C6">
              <w:rPr>
                <w:color w:val="000000"/>
                <w:spacing w:val="-2"/>
                <w:shd w:val="clear" w:color="auto" w:fill="FFFFFF"/>
              </w:rPr>
              <w:t>ikumprojekts)</w:t>
            </w:r>
            <w:r w:rsidRPr="004C7C46">
              <w:rPr>
                <w:color w:val="000000"/>
                <w:spacing w:val="-2"/>
                <w:shd w:val="clear" w:color="auto" w:fill="FFFFFF"/>
              </w:rPr>
              <w:t xml:space="preserve"> tiek ieviesta </w:t>
            </w:r>
            <w:r w:rsidRPr="004C7C46">
              <w:rPr>
                <w:bCs/>
                <w:shd w:val="clear" w:color="auto" w:fill="FFFFFF"/>
              </w:rPr>
              <w:t>Eiropas Parlamenta un Padomes 2019. gada 20. maija Direktīva (ES) 2019/879, ar ko groza Direktīvu 2014/59/ES attiecībā uz zaudējumu absorbcijas un rekapitalizācijas spēju kredītiestādēm un ieguldījumu brokeru sabiedrībām un Direktīvu 98/26/ES (turpmāk – Direktīva (ES) 2019/879).</w:t>
            </w:r>
          </w:p>
          <w:p w:rsidR="00D62367" w:rsidRPr="004C7C46" w:rsidRDefault="00F50B2B" w:rsidP="00F50B2B">
            <w:pPr>
              <w:pStyle w:val="tv213"/>
              <w:shd w:val="clear" w:color="auto" w:fill="FFFFFF"/>
              <w:spacing w:before="0" w:beforeAutospacing="0" w:after="0" w:afterAutospacing="0"/>
              <w:jc w:val="both"/>
              <w:rPr>
                <w:iCs/>
              </w:rPr>
            </w:pPr>
            <w:r>
              <w:rPr>
                <w:color w:val="000000"/>
                <w:spacing w:val="-2"/>
                <w:shd w:val="clear" w:color="auto" w:fill="FFFFFF"/>
              </w:rPr>
              <w:t xml:space="preserve">Saskaņā ar </w:t>
            </w:r>
            <w:r>
              <w:rPr>
                <w:bCs/>
                <w:shd w:val="clear" w:color="auto" w:fill="FFFFFF"/>
              </w:rPr>
              <w:t>Direktīvas</w:t>
            </w:r>
            <w:r w:rsidRPr="004C7C46">
              <w:rPr>
                <w:bCs/>
                <w:shd w:val="clear" w:color="auto" w:fill="FFFFFF"/>
              </w:rPr>
              <w:t xml:space="preserve"> (ES) 2019/879</w:t>
            </w:r>
            <w:r>
              <w:rPr>
                <w:bCs/>
                <w:shd w:val="clear" w:color="auto" w:fill="FFFFFF"/>
              </w:rPr>
              <w:t xml:space="preserve"> 3. pantā noteikto </w:t>
            </w:r>
            <w:r w:rsidR="001E426B" w:rsidRPr="004C7C46">
              <w:rPr>
                <w:color w:val="000000"/>
                <w:spacing w:val="-2"/>
                <w:shd w:val="clear" w:color="auto" w:fill="FFFFFF"/>
              </w:rPr>
              <w:t>Likumprojekt</w:t>
            </w:r>
            <w:r>
              <w:rPr>
                <w:color w:val="000000"/>
                <w:spacing w:val="-2"/>
                <w:shd w:val="clear" w:color="auto" w:fill="FFFFFF"/>
              </w:rPr>
              <w:t xml:space="preserve">am jāstājas spēkā līdz </w:t>
            </w:r>
            <w:r w:rsidR="001E426B" w:rsidRPr="004C7C46">
              <w:rPr>
                <w:color w:val="000000"/>
                <w:spacing w:val="-2"/>
                <w:shd w:val="clear" w:color="auto" w:fill="FFFFFF"/>
              </w:rPr>
              <w:t>2020.gada 28.decembr</w:t>
            </w:r>
            <w:r>
              <w:rPr>
                <w:color w:val="000000"/>
                <w:spacing w:val="-2"/>
                <w:shd w:val="clear" w:color="auto" w:fill="FFFFFF"/>
              </w:rPr>
              <w:t>im</w:t>
            </w:r>
            <w:r w:rsidR="001E426B" w:rsidRPr="004C7C46">
              <w:rPr>
                <w:color w:val="000000"/>
                <w:spacing w:val="-2"/>
                <w:shd w:val="clear" w:color="auto" w:fill="FFFFFF"/>
              </w:rPr>
              <w:t>.</w:t>
            </w:r>
          </w:p>
        </w:tc>
      </w:tr>
    </w:tbl>
    <w:p w:rsidR="00D62367" w:rsidRPr="004C7C46" w:rsidRDefault="00D62367" w:rsidP="00AC363F">
      <w:pPr>
        <w:shd w:val="clear" w:color="auto" w:fill="FFFFFF"/>
        <w:spacing w:after="0" w:line="240" w:lineRule="auto"/>
        <w:jc w:val="center"/>
        <w:rPr>
          <w:rFonts w:ascii="Times New Roman" w:hAnsi="Times New Roman" w:cs="Times New Roman"/>
          <w:b/>
          <w:color w:val="000000" w:themeColor="text1"/>
          <w:sz w:val="24"/>
          <w:szCs w:val="24"/>
        </w:rPr>
      </w:pPr>
    </w:p>
    <w:tbl>
      <w:tblPr>
        <w:tblW w:w="5012"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565"/>
        <w:gridCol w:w="3250"/>
        <w:gridCol w:w="5262"/>
      </w:tblGrid>
      <w:tr w:rsidR="00201E30" w:rsidRPr="004C7C46" w:rsidTr="006872A5">
        <w:trPr>
          <w:tblCellSpacing w:w="15" w:type="dxa"/>
        </w:trPr>
        <w:tc>
          <w:tcPr>
            <w:tcW w:w="4968" w:type="pct"/>
            <w:gridSpan w:val="3"/>
            <w:vAlign w:val="center"/>
            <w:hideMark/>
          </w:tcPr>
          <w:p w:rsidR="00655F2C" w:rsidRPr="004C7C46" w:rsidRDefault="00E5323B" w:rsidP="00AC363F">
            <w:pPr>
              <w:spacing w:after="0" w:line="240" w:lineRule="auto"/>
              <w:jc w:val="center"/>
              <w:rPr>
                <w:rFonts w:ascii="Times New Roman" w:eastAsia="Times New Roman" w:hAnsi="Times New Roman" w:cs="Times New Roman"/>
                <w:b/>
                <w:bCs/>
                <w:iCs/>
                <w:sz w:val="24"/>
                <w:szCs w:val="24"/>
                <w:lang w:eastAsia="lv-LV"/>
              </w:rPr>
            </w:pPr>
            <w:r w:rsidRPr="004C7C46">
              <w:rPr>
                <w:rFonts w:ascii="Times New Roman" w:eastAsia="Times New Roman" w:hAnsi="Times New Roman" w:cs="Times New Roman"/>
                <w:iCs/>
                <w:sz w:val="24"/>
                <w:szCs w:val="24"/>
                <w:lang w:eastAsia="lv-LV"/>
              </w:rPr>
              <w:t xml:space="preserve">  </w:t>
            </w:r>
            <w:r w:rsidRPr="004C7C46">
              <w:rPr>
                <w:rFonts w:ascii="Times New Roman" w:eastAsia="Times New Roman" w:hAnsi="Times New Roman" w:cs="Times New Roman"/>
                <w:b/>
                <w:bCs/>
                <w:iCs/>
                <w:sz w:val="24"/>
                <w:szCs w:val="24"/>
                <w:lang w:eastAsia="lv-LV"/>
              </w:rPr>
              <w:t>I. Tiesību akta projekta izstrādes nepieciešamība</w:t>
            </w:r>
          </w:p>
        </w:tc>
      </w:tr>
      <w:tr w:rsidR="00201E30" w:rsidRPr="004C7C46" w:rsidTr="003405FF">
        <w:trPr>
          <w:trHeight w:val="890"/>
          <w:tblCellSpacing w:w="15" w:type="dxa"/>
        </w:trPr>
        <w:tc>
          <w:tcPr>
            <w:tcW w:w="289" w:type="pct"/>
            <w:hideMark/>
          </w:tcPr>
          <w:p w:rsidR="00163F4F" w:rsidRPr="004C7C46" w:rsidRDefault="00E5323B" w:rsidP="00AC363F">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1.</w:t>
            </w:r>
          </w:p>
          <w:p w:rsidR="00655F2C" w:rsidRPr="004C7C46" w:rsidRDefault="00655F2C" w:rsidP="00AC363F">
            <w:pPr>
              <w:spacing w:line="240" w:lineRule="auto"/>
              <w:rPr>
                <w:rFonts w:ascii="Times New Roman" w:eastAsia="Times New Roman" w:hAnsi="Times New Roman" w:cs="Times New Roman"/>
                <w:sz w:val="24"/>
                <w:szCs w:val="24"/>
                <w:lang w:eastAsia="lv-LV"/>
              </w:rPr>
            </w:pPr>
          </w:p>
        </w:tc>
        <w:tc>
          <w:tcPr>
            <w:tcW w:w="1786" w:type="pct"/>
            <w:hideMark/>
          </w:tcPr>
          <w:p w:rsidR="00EB6228" w:rsidRPr="004C7C46" w:rsidRDefault="00E5323B" w:rsidP="00AC363F">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Pamatojums</w:t>
            </w:r>
          </w:p>
        </w:tc>
        <w:tc>
          <w:tcPr>
            <w:tcW w:w="2859" w:type="pct"/>
          </w:tcPr>
          <w:p w:rsidR="00550730" w:rsidRPr="004C7C46" w:rsidRDefault="003405FF" w:rsidP="00AC363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Likumprojekts izstrādāts, lai pārņemtu Direktīvas (ES) 2019/879 prasības. Transponēšanas termiņš</w:t>
            </w:r>
            <w:r w:rsidR="006C0C52" w:rsidRPr="004C7C46">
              <w:rPr>
                <w:rFonts w:ascii="Times New Roman" w:eastAsia="Times New Roman" w:hAnsi="Times New Roman" w:cs="Times New Roman"/>
                <w:bCs/>
                <w:sz w:val="24"/>
                <w:szCs w:val="24"/>
                <w:shd w:val="clear" w:color="auto" w:fill="FFFFFF"/>
                <w:lang w:eastAsia="lv-LV"/>
              </w:rPr>
              <w:t xml:space="preserve"> - </w:t>
            </w:r>
            <w:r w:rsidRPr="004C7C46">
              <w:rPr>
                <w:rFonts w:ascii="Times New Roman" w:eastAsia="Times New Roman" w:hAnsi="Times New Roman" w:cs="Times New Roman"/>
                <w:bCs/>
                <w:sz w:val="24"/>
                <w:szCs w:val="24"/>
                <w:shd w:val="clear" w:color="auto" w:fill="FFFFFF"/>
                <w:lang w:eastAsia="lv-LV"/>
              </w:rPr>
              <w:t xml:space="preserve"> 2020.gada 28.decembris.</w:t>
            </w:r>
          </w:p>
        </w:tc>
      </w:tr>
      <w:tr w:rsidR="003405FF" w:rsidRPr="004C7C46" w:rsidTr="003405FF">
        <w:trPr>
          <w:tblCellSpacing w:w="15" w:type="dxa"/>
        </w:trPr>
        <w:tc>
          <w:tcPr>
            <w:tcW w:w="289" w:type="pct"/>
            <w:hideMark/>
          </w:tcPr>
          <w:p w:rsidR="003405FF" w:rsidRPr="004C7C46" w:rsidRDefault="003405FF" w:rsidP="00AC363F">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2.</w:t>
            </w:r>
          </w:p>
        </w:tc>
        <w:tc>
          <w:tcPr>
            <w:tcW w:w="1786" w:type="pct"/>
            <w:hideMark/>
          </w:tcPr>
          <w:p w:rsidR="00013DEE" w:rsidRPr="004C7C46" w:rsidRDefault="003405FF" w:rsidP="00AC363F">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013DEE" w:rsidRPr="004C7C46" w:rsidRDefault="00013DEE" w:rsidP="00013DEE">
            <w:pPr>
              <w:rPr>
                <w:rFonts w:ascii="Times New Roman" w:eastAsia="Times New Roman" w:hAnsi="Times New Roman" w:cs="Times New Roman"/>
                <w:sz w:val="24"/>
                <w:szCs w:val="24"/>
                <w:lang w:eastAsia="lv-LV"/>
              </w:rPr>
            </w:pPr>
          </w:p>
          <w:p w:rsidR="003405FF" w:rsidRPr="004C7C46" w:rsidRDefault="003405FF" w:rsidP="00013DEE">
            <w:pPr>
              <w:rPr>
                <w:rFonts w:ascii="Times New Roman" w:eastAsia="Times New Roman" w:hAnsi="Times New Roman" w:cs="Times New Roman"/>
                <w:sz w:val="24"/>
                <w:szCs w:val="24"/>
                <w:lang w:eastAsia="lv-LV"/>
              </w:rPr>
            </w:pPr>
          </w:p>
        </w:tc>
        <w:tc>
          <w:tcPr>
            <w:tcW w:w="2859" w:type="pct"/>
          </w:tcPr>
          <w:p w:rsidR="003405FF" w:rsidRPr="004C7C46" w:rsidRDefault="003405FF" w:rsidP="00AC363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lastRenderedPageBreak/>
              <w:t>Kredītiestāžu un ieguldījumu brokeru darbības atjaunošanas un noregulējuma likums (turpmāk – likums) tika izstrādāts, lai ieviestu Eiropas Parlamenta un Padomes 2014.gada 15.maija direktīvu 2014/59/ES, ar ko izveido kredītiestāžu un ieguldījumu brokeru sabiedrību atveseļošanas un noregulējuma režīmu un groza Padomes Direktīvu 82/891/EEK un Eiropas Parlamenta un Padomes Direktīvas 2001/24/EK, 2002/47/EK, 2004/25/EK, 2005/56/EK, 2007/36/EK, 2011/35/ES, 2012/30/ES un 2013/36/ES, un Eiropas Parlamenta un Padomes Regulas (ES) Nr. 1093/2010 un (ES) Nr. 648/2012 (turpmāk – Direktīva 2014/59/ES).</w:t>
            </w:r>
          </w:p>
          <w:p w:rsidR="00FB380B" w:rsidRPr="004C7C46" w:rsidRDefault="009C5557" w:rsidP="00AC363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A</w:t>
            </w:r>
            <w:r w:rsidR="003405FF" w:rsidRPr="004C7C46">
              <w:rPr>
                <w:rFonts w:ascii="Times New Roman" w:eastAsia="Times New Roman" w:hAnsi="Times New Roman" w:cs="Times New Roman"/>
                <w:bCs/>
                <w:sz w:val="24"/>
                <w:szCs w:val="24"/>
                <w:shd w:val="clear" w:color="auto" w:fill="FFFFFF"/>
                <w:lang w:eastAsia="lv-LV"/>
              </w:rPr>
              <w:t>r likumu</w:t>
            </w:r>
            <w:r w:rsidRPr="004C7C46">
              <w:rPr>
                <w:rFonts w:ascii="Times New Roman" w:eastAsia="Times New Roman" w:hAnsi="Times New Roman" w:cs="Times New Roman"/>
                <w:bCs/>
                <w:sz w:val="24"/>
                <w:szCs w:val="24"/>
                <w:shd w:val="clear" w:color="auto" w:fill="FFFFFF"/>
                <w:lang w:eastAsia="lv-LV"/>
              </w:rPr>
              <w:t xml:space="preserve"> un turpmākajiem tā grozījumiem</w:t>
            </w:r>
            <w:r w:rsidR="003405FF" w:rsidRPr="004C7C46">
              <w:rPr>
                <w:rFonts w:ascii="Times New Roman" w:eastAsia="Times New Roman" w:hAnsi="Times New Roman" w:cs="Times New Roman"/>
                <w:bCs/>
                <w:sz w:val="24"/>
                <w:szCs w:val="24"/>
                <w:shd w:val="clear" w:color="auto" w:fill="FFFFFF"/>
                <w:lang w:eastAsia="lv-LV"/>
              </w:rPr>
              <w:t xml:space="preserve"> Latvijas nacionālajos tiesību aktos tiek pārņemtas Eiropas Savienības (turpmāk – ES) tiesību aktu prasības, lai </w:t>
            </w:r>
            <w:r w:rsidR="00FE15A5" w:rsidRPr="004C7C46">
              <w:rPr>
                <w:rFonts w:ascii="Times New Roman" w:eastAsia="Times New Roman" w:hAnsi="Times New Roman" w:cs="Times New Roman"/>
                <w:bCs/>
                <w:sz w:val="24"/>
                <w:szCs w:val="24"/>
                <w:shd w:val="clear" w:color="auto" w:fill="FFFFFF"/>
                <w:lang w:eastAsia="lv-LV"/>
              </w:rPr>
              <w:t>efektīvi noregulētu un atjaunotu</w:t>
            </w:r>
            <w:r w:rsidR="003405FF" w:rsidRPr="004C7C46">
              <w:rPr>
                <w:rFonts w:ascii="Times New Roman" w:eastAsia="Times New Roman" w:hAnsi="Times New Roman" w:cs="Times New Roman"/>
                <w:bCs/>
                <w:sz w:val="24"/>
                <w:szCs w:val="24"/>
                <w:shd w:val="clear" w:color="auto" w:fill="FFFFFF"/>
                <w:lang w:eastAsia="lv-LV"/>
              </w:rPr>
              <w:t xml:space="preserve"> to kredītiestāžu un ieguldījumu brokeru sabiedrību darbību, kas ir nestabilas vai kļūst maksātnespējīgas.</w:t>
            </w:r>
          </w:p>
          <w:p w:rsidR="00FB380B" w:rsidRPr="004C7C46" w:rsidRDefault="003405FF" w:rsidP="009C5557">
            <w:pPr>
              <w:shd w:val="clear" w:color="auto" w:fill="FFFFFF"/>
              <w:spacing w:before="120"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Turpinot ES tiesību aktu pilnveidošanu,</w:t>
            </w:r>
            <w:r w:rsidR="006639C8" w:rsidRPr="004C7C46">
              <w:rPr>
                <w:rFonts w:ascii="Times New Roman" w:eastAsia="Times New Roman" w:hAnsi="Times New Roman" w:cs="Times New Roman"/>
                <w:bCs/>
                <w:sz w:val="24"/>
                <w:szCs w:val="24"/>
                <w:shd w:val="clear" w:color="auto" w:fill="FFFFFF"/>
                <w:lang w:eastAsia="lv-LV"/>
              </w:rPr>
              <w:t xml:space="preserve"> 2019. gada 20. maijā</w:t>
            </w:r>
            <w:r w:rsidRPr="004C7C46">
              <w:rPr>
                <w:rFonts w:ascii="Times New Roman" w:eastAsia="Times New Roman" w:hAnsi="Times New Roman" w:cs="Times New Roman"/>
                <w:bCs/>
                <w:sz w:val="24"/>
                <w:szCs w:val="24"/>
                <w:shd w:val="clear" w:color="auto" w:fill="FFFFFF"/>
                <w:lang w:eastAsia="lv-LV"/>
              </w:rPr>
              <w:t xml:space="preserve"> tika pieņemta Direktīva  (ES) 2019/879,</w:t>
            </w:r>
            <w:r w:rsidR="00FB380B" w:rsidRPr="004C7C46">
              <w:rPr>
                <w:rFonts w:ascii="Times New Roman" w:eastAsia="Times New Roman" w:hAnsi="Times New Roman" w:cs="Times New Roman"/>
                <w:bCs/>
                <w:sz w:val="24"/>
                <w:szCs w:val="24"/>
                <w:shd w:val="clear" w:color="auto" w:fill="FFFFFF"/>
                <w:lang w:eastAsia="lv-LV"/>
              </w:rPr>
              <w:t xml:space="preserve"> ar ko groza Direktīvu 2014/59/ES attiecībā uz zaudējumu absorbcijas un rekapitalizācijas spēju kredītiestādēm un ieguldījumu brokeru sabiedrībām un Direktīvu 98/26/EK.</w:t>
            </w:r>
          </w:p>
          <w:p w:rsidR="00321C5A" w:rsidRPr="004C7C46" w:rsidRDefault="009C5557" w:rsidP="00AC363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lastRenderedPageBreak/>
              <w:t xml:space="preserve">Jāņem vērā, ka </w:t>
            </w:r>
            <w:r w:rsidR="00FB380B" w:rsidRPr="004C7C46">
              <w:rPr>
                <w:rFonts w:ascii="Times New Roman" w:eastAsia="Times New Roman" w:hAnsi="Times New Roman" w:cs="Times New Roman"/>
                <w:bCs/>
                <w:sz w:val="24"/>
                <w:szCs w:val="24"/>
                <w:shd w:val="clear" w:color="auto" w:fill="FFFFFF"/>
                <w:lang w:eastAsia="lv-LV"/>
              </w:rPr>
              <w:t>2015. gada novembrī G20 valstis apstiprināja Finanšu stabilitātes padomes publicētos kopējās zaudējumu absorbcijas spējas (turpmāk - TLAC</w:t>
            </w:r>
            <w:r w:rsidR="0097183A" w:rsidRPr="004C7C46">
              <w:rPr>
                <w:rFonts w:ascii="Times New Roman" w:eastAsia="Times New Roman" w:hAnsi="Times New Roman" w:cs="Times New Roman"/>
                <w:bCs/>
                <w:sz w:val="24"/>
                <w:szCs w:val="24"/>
                <w:shd w:val="clear" w:color="auto" w:fill="FFFFFF"/>
                <w:lang w:eastAsia="lv-LV"/>
              </w:rPr>
              <w:t xml:space="preserve">) noteikumus (turpmāk - </w:t>
            </w:r>
            <w:r w:rsidR="00FB380B" w:rsidRPr="004C7C46">
              <w:rPr>
                <w:rFonts w:ascii="Times New Roman" w:eastAsia="Times New Roman" w:hAnsi="Times New Roman" w:cs="Times New Roman"/>
                <w:bCs/>
                <w:sz w:val="24"/>
                <w:szCs w:val="24"/>
                <w:shd w:val="clear" w:color="auto" w:fill="FFFFFF"/>
                <w:lang w:eastAsia="lv-LV"/>
              </w:rPr>
              <w:t>TLAC standarts),  kura mērķis ir nodrošināt, ka globālām sistēmiski nozīmīgām bankām (turpmāk - G-SNI) piemīt zaudējumu absorbcijas un rekapitalizācijas spēja, lai nodrošinātu, ka noregulējumā un tūlīt pēc noregulējuma minētās iestādes var turpināt veikt kritiski svarīgas funkcijas, neapdraudot nodokļu maksātāju līdzekļus vai finanšu stabilitāti.</w:t>
            </w:r>
          </w:p>
          <w:p w:rsidR="00EA3E97" w:rsidRPr="004C7C46" w:rsidRDefault="003E51F5" w:rsidP="00AC363F">
            <w:pPr>
              <w:pStyle w:val="Normal2"/>
              <w:shd w:val="clear" w:color="auto" w:fill="FFFFFF"/>
              <w:spacing w:before="120" w:beforeAutospacing="0" w:after="0" w:afterAutospacing="0"/>
              <w:jc w:val="both"/>
              <w:rPr>
                <w:bCs/>
                <w:shd w:val="clear" w:color="auto" w:fill="FFFFFF"/>
              </w:rPr>
            </w:pPr>
            <w:r w:rsidRPr="004C7C46">
              <w:rPr>
                <w:bCs/>
                <w:shd w:val="clear" w:color="auto" w:fill="FFFFFF"/>
              </w:rPr>
              <w:t>TLAC standartu īstenošana ES tiesību aktos ir saistīta ar specifiskā mini</w:t>
            </w:r>
            <w:r w:rsidR="001D50DE">
              <w:rPr>
                <w:bCs/>
                <w:shd w:val="clear" w:color="auto" w:fill="FFFFFF"/>
              </w:rPr>
              <w:t xml:space="preserve">mālo </w:t>
            </w:r>
            <w:r w:rsidRPr="004C7C46">
              <w:rPr>
                <w:bCs/>
                <w:shd w:val="clear" w:color="auto" w:fill="FFFFFF"/>
              </w:rPr>
              <w:t xml:space="preserve"> </w:t>
            </w:r>
            <w:r w:rsidR="001D50DE">
              <w:rPr>
                <w:bCs/>
                <w:shd w:val="clear" w:color="auto" w:fill="FFFFFF"/>
              </w:rPr>
              <w:t>pašu kapitāla</w:t>
            </w:r>
            <w:r w:rsidR="001D50DE" w:rsidRPr="004C7C46">
              <w:rPr>
                <w:bCs/>
                <w:shd w:val="clear" w:color="auto" w:fill="FFFFFF"/>
              </w:rPr>
              <w:t xml:space="preserve"> un atbilstīg</w:t>
            </w:r>
            <w:r w:rsidR="001D50DE">
              <w:rPr>
                <w:bCs/>
                <w:shd w:val="clear" w:color="auto" w:fill="FFFFFF"/>
              </w:rPr>
              <w:t>o saistību</w:t>
            </w:r>
            <w:r w:rsidR="001D50DE" w:rsidRPr="004C7C46">
              <w:rPr>
                <w:bCs/>
                <w:shd w:val="clear" w:color="auto" w:fill="FFFFFF"/>
              </w:rPr>
              <w:t xml:space="preserve"> </w:t>
            </w:r>
            <w:r w:rsidRPr="004C7C46">
              <w:rPr>
                <w:bCs/>
                <w:shd w:val="clear" w:color="auto" w:fill="FFFFFF"/>
              </w:rPr>
              <w:t>prasīb</w:t>
            </w:r>
            <w:r w:rsidR="00055A4F" w:rsidRPr="004C7C46">
              <w:rPr>
                <w:bCs/>
                <w:shd w:val="clear" w:color="auto" w:fill="FFFFFF"/>
              </w:rPr>
              <w:t>u</w:t>
            </w:r>
            <w:r w:rsidRPr="004C7C46">
              <w:rPr>
                <w:bCs/>
                <w:shd w:val="clear" w:color="auto" w:fill="FFFFFF"/>
              </w:rPr>
              <w:t xml:space="preserve"> (</w:t>
            </w:r>
            <w:r w:rsidR="00055A4F" w:rsidRPr="004C7C46">
              <w:rPr>
                <w:bCs/>
                <w:shd w:val="clear" w:color="auto" w:fill="FFFFFF"/>
              </w:rPr>
              <w:t xml:space="preserve">turpmāk - </w:t>
            </w:r>
            <w:r w:rsidRPr="004C7C46">
              <w:rPr>
                <w:bCs/>
                <w:shd w:val="clear" w:color="auto" w:fill="FFFFFF"/>
              </w:rPr>
              <w:t>MREL), kas piemērojama visām kredītiestādēm un ieguldījumu brokeru sabiedrībām (</w:t>
            </w:r>
            <w:r w:rsidR="00055A4F" w:rsidRPr="004C7C46">
              <w:rPr>
                <w:bCs/>
                <w:shd w:val="clear" w:color="auto" w:fill="FFFFFF"/>
              </w:rPr>
              <w:t xml:space="preserve">turpmāk - </w:t>
            </w:r>
            <w:r w:rsidRPr="004C7C46">
              <w:rPr>
                <w:bCs/>
                <w:shd w:val="clear" w:color="auto" w:fill="FFFFFF"/>
              </w:rPr>
              <w:t>iestādes), k</w:t>
            </w:r>
            <w:r w:rsidR="00055A4F" w:rsidRPr="004C7C46">
              <w:rPr>
                <w:bCs/>
                <w:shd w:val="clear" w:color="auto" w:fill="FFFFFF"/>
              </w:rPr>
              <w:t>as veic uzņēmējdarbību ES</w:t>
            </w:r>
            <w:r w:rsidRPr="004C7C46">
              <w:rPr>
                <w:bCs/>
                <w:shd w:val="clear" w:color="auto" w:fill="FFFFFF"/>
              </w:rPr>
              <w:t xml:space="preserve">, kā arī jebkurai citai vienībai, </w:t>
            </w:r>
            <w:r w:rsidR="00055A4F" w:rsidRPr="004C7C46">
              <w:rPr>
                <w:bCs/>
                <w:shd w:val="clear" w:color="auto" w:fill="FFFFFF"/>
              </w:rPr>
              <w:t>atbilstoši Direktīvā </w:t>
            </w:r>
            <w:r w:rsidRPr="004C7C46">
              <w:rPr>
                <w:bCs/>
                <w:shd w:val="clear" w:color="auto" w:fill="FFFFFF"/>
              </w:rPr>
              <w:t>2014/59/ES </w:t>
            </w:r>
            <w:r w:rsidR="00055A4F" w:rsidRPr="004C7C46">
              <w:rPr>
                <w:bCs/>
                <w:shd w:val="clear" w:color="auto" w:fill="FFFFFF"/>
              </w:rPr>
              <w:t>noteiktajam</w:t>
            </w:r>
            <w:r w:rsidRPr="004C7C46">
              <w:rPr>
                <w:bCs/>
                <w:shd w:val="clear" w:color="auto" w:fill="FFFFFF"/>
              </w:rPr>
              <w:t>.</w:t>
            </w:r>
          </w:p>
          <w:p w:rsidR="003E51F5" w:rsidRPr="004C7C46" w:rsidRDefault="00055A4F" w:rsidP="00EA3E97">
            <w:pPr>
              <w:pStyle w:val="Normal2"/>
              <w:shd w:val="clear" w:color="auto" w:fill="FFFFFF"/>
              <w:spacing w:before="120" w:beforeAutospacing="0" w:after="120" w:afterAutospacing="0"/>
              <w:jc w:val="both"/>
              <w:rPr>
                <w:bCs/>
                <w:shd w:val="clear" w:color="auto" w:fill="FFFFFF"/>
              </w:rPr>
            </w:pPr>
            <w:r w:rsidRPr="004C7C46">
              <w:rPr>
                <w:bCs/>
                <w:shd w:val="clear" w:color="auto" w:fill="FFFFFF"/>
              </w:rPr>
              <w:t xml:space="preserve">Ievērojot, ka </w:t>
            </w:r>
            <w:r w:rsidR="003E51F5" w:rsidRPr="004C7C46">
              <w:rPr>
                <w:bCs/>
                <w:shd w:val="clear" w:color="auto" w:fill="FFFFFF"/>
              </w:rPr>
              <w:t>TLAC standartam un MREL ir vien</w:t>
            </w:r>
            <w:r w:rsidRPr="004C7C46">
              <w:rPr>
                <w:bCs/>
                <w:shd w:val="clear" w:color="auto" w:fill="FFFFFF"/>
              </w:rPr>
              <w:t>ots</w:t>
            </w:r>
            <w:r w:rsidR="003E51F5" w:rsidRPr="004C7C46">
              <w:rPr>
                <w:bCs/>
                <w:shd w:val="clear" w:color="auto" w:fill="FFFFFF"/>
              </w:rPr>
              <w:t xml:space="preserve"> mērķis – nodrošināt, lai iestādēm un vie</w:t>
            </w:r>
            <w:r w:rsidR="00FE15A5" w:rsidRPr="004C7C46">
              <w:rPr>
                <w:bCs/>
                <w:shd w:val="clear" w:color="auto" w:fill="FFFFFF"/>
              </w:rPr>
              <w:t>nībām, kas veic uzņēmējdarbību ES</w:t>
            </w:r>
            <w:r w:rsidR="003E51F5" w:rsidRPr="004C7C46">
              <w:rPr>
                <w:bCs/>
                <w:shd w:val="clear" w:color="auto" w:fill="FFFFFF"/>
              </w:rPr>
              <w:t>, būtu pietiekama zaudējumu absorbcijas un rekapitalizācijas spēja,</w:t>
            </w:r>
            <w:r w:rsidRPr="004C7C46">
              <w:rPr>
                <w:bCs/>
                <w:shd w:val="clear" w:color="auto" w:fill="FFFFFF"/>
              </w:rPr>
              <w:t xml:space="preserve"> TLAC</w:t>
            </w:r>
            <w:r w:rsidR="003E51F5" w:rsidRPr="004C7C46">
              <w:rPr>
                <w:bCs/>
                <w:shd w:val="clear" w:color="auto" w:fill="FFFFFF"/>
              </w:rPr>
              <w:t xml:space="preserve"> standarta saskaņotais minimālais līmenis attiecībā uz G-SNI (</w:t>
            </w:r>
            <w:r w:rsidRPr="004C7C46">
              <w:rPr>
                <w:bCs/>
                <w:shd w:val="clear" w:color="auto" w:fill="FFFFFF"/>
              </w:rPr>
              <w:t xml:space="preserve">turpmāk - </w:t>
            </w:r>
            <w:r w:rsidR="003E51F5" w:rsidRPr="004C7C46">
              <w:rPr>
                <w:bCs/>
                <w:shd w:val="clear" w:color="auto" w:fill="FFFFFF"/>
              </w:rPr>
              <w:t xml:space="preserve">TLAC minimuma prasība) </w:t>
            </w:r>
            <w:r w:rsidR="006C0C52" w:rsidRPr="004C7C46">
              <w:rPr>
                <w:bCs/>
                <w:shd w:val="clear" w:color="auto" w:fill="FFFFFF"/>
              </w:rPr>
              <w:t>ES</w:t>
            </w:r>
            <w:r w:rsidR="003E51F5" w:rsidRPr="004C7C46">
              <w:rPr>
                <w:bCs/>
                <w:shd w:val="clear" w:color="auto" w:fill="FFFFFF"/>
              </w:rPr>
              <w:t xml:space="preserve"> tiesību aktos</w:t>
            </w:r>
            <w:r w:rsidRPr="004C7C46">
              <w:rPr>
                <w:bCs/>
                <w:shd w:val="clear" w:color="auto" w:fill="FFFFFF"/>
              </w:rPr>
              <w:t xml:space="preserve"> ir ieviest</w:t>
            </w:r>
            <w:r w:rsidR="00EA3E97" w:rsidRPr="004C7C46">
              <w:rPr>
                <w:bCs/>
                <w:shd w:val="clear" w:color="auto" w:fill="FFFFFF"/>
              </w:rPr>
              <w:t>s</w:t>
            </w:r>
            <w:r w:rsidRPr="004C7C46">
              <w:rPr>
                <w:bCs/>
                <w:shd w:val="clear" w:color="auto" w:fill="FFFFFF"/>
              </w:rPr>
              <w:t xml:space="preserve"> ar</w:t>
            </w:r>
            <w:r w:rsidR="003E51F5" w:rsidRPr="004C7C46">
              <w:rPr>
                <w:bCs/>
                <w:shd w:val="clear" w:color="auto" w:fill="FFFFFF"/>
              </w:rPr>
              <w:t xml:space="preserve"> groz</w:t>
            </w:r>
            <w:r w:rsidRPr="004C7C46">
              <w:rPr>
                <w:bCs/>
                <w:shd w:val="clear" w:color="auto" w:fill="FFFFFF"/>
              </w:rPr>
              <w:t>ījum</w:t>
            </w:r>
            <w:r w:rsidR="00EA3E97" w:rsidRPr="004C7C46">
              <w:rPr>
                <w:bCs/>
                <w:shd w:val="clear" w:color="auto" w:fill="FFFFFF"/>
              </w:rPr>
              <w:t>iem</w:t>
            </w:r>
            <w:r w:rsidRPr="004C7C46">
              <w:rPr>
                <w:bCs/>
                <w:shd w:val="clear" w:color="auto" w:fill="FFFFFF"/>
              </w:rPr>
              <w:t xml:space="preserve"> Regulā (ES) Nr. 575/2013</w:t>
            </w:r>
            <w:r w:rsidR="003E51F5" w:rsidRPr="004C7C46">
              <w:rPr>
                <w:bCs/>
                <w:shd w:val="clear" w:color="auto" w:fill="FFFFFF"/>
              </w:rPr>
              <w:t xml:space="preserve">, savukārt iestādēm specifiskais palielinājums attiecībā uz G-SNI un specifiskā prasība attiecībā uz iestādēm, kas nav G-SNI, proti, MREL, </w:t>
            </w:r>
            <w:r w:rsidRPr="004C7C46">
              <w:rPr>
                <w:bCs/>
                <w:shd w:val="clear" w:color="auto" w:fill="FFFFFF"/>
              </w:rPr>
              <w:t>tiek risināta, izdarot</w:t>
            </w:r>
            <w:r w:rsidR="003E51F5" w:rsidRPr="004C7C46">
              <w:rPr>
                <w:bCs/>
                <w:shd w:val="clear" w:color="auto" w:fill="FFFFFF"/>
              </w:rPr>
              <w:t xml:space="preserve"> grozījumus Direktīvā 2014/59/ES un Eiropas Parlamenta un Padomes Regulā (ES) Nr. 806/2014</w:t>
            </w:r>
            <w:r w:rsidRPr="004C7C46">
              <w:rPr>
                <w:bCs/>
                <w:shd w:val="clear" w:color="auto" w:fill="FFFFFF"/>
              </w:rPr>
              <w:t>.</w:t>
            </w:r>
          </w:p>
          <w:p w:rsidR="00652E8D" w:rsidRPr="004C7C46" w:rsidRDefault="00652E8D" w:rsidP="00EA3E97">
            <w:pPr>
              <w:pStyle w:val="Normal2"/>
              <w:shd w:val="clear" w:color="auto" w:fill="FFFFFF"/>
              <w:spacing w:before="120" w:beforeAutospacing="0" w:after="120" w:afterAutospacing="0"/>
              <w:jc w:val="both"/>
              <w:rPr>
                <w:bCs/>
                <w:shd w:val="clear" w:color="auto" w:fill="FFFFFF"/>
              </w:rPr>
            </w:pPr>
            <w:r w:rsidRPr="004C7C46">
              <w:rPr>
                <w:bCs/>
                <w:shd w:val="clear" w:color="auto" w:fill="FFFFFF"/>
              </w:rPr>
              <w:t>Ņemot vērā Direktīvā (ES) 2019/879</w:t>
            </w:r>
            <w:r w:rsidR="00A1416B" w:rsidRPr="004C7C46">
              <w:rPr>
                <w:bCs/>
                <w:shd w:val="clear" w:color="auto" w:fill="FFFFFF"/>
              </w:rPr>
              <w:t xml:space="preserve"> noteiktās prasības attiecībā uz zaudējumu absorbcijas un rekapitalizācijas spēju kredītiestādēm un ieguldījumu brokeru sabiedrībām,</w:t>
            </w:r>
            <w:r w:rsidRPr="004C7C46">
              <w:rPr>
                <w:bCs/>
                <w:shd w:val="clear" w:color="auto" w:fill="FFFFFF"/>
              </w:rPr>
              <w:t xml:space="preserve"> likumā paredzēts veikt turpmāk minētos grozījumus.</w:t>
            </w:r>
          </w:p>
          <w:p w:rsidR="00321C5A" w:rsidRPr="004C7C46" w:rsidRDefault="002605ED" w:rsidP="00AC363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Lai efektīvi piemērotu</w:t>
            </w:r>
            <w:r w:rsidR="0077265D" w:rsidRPr="004C7C46">
              <w:rPr>
                <w:rFonts w:ascii="Times New Roman" w:eastAsia="Times New Roman" w:hAnsi="Times New Roman" w:cs="Times New Roman"/>
                <w:bCs/>
                <w:sz w:val="24"/>
                <w:szCs w:val="24"/>
                <w:shd w:val="clear" w:color="auto" w:fill="FFFFFF"/>
                <w:lang w:eastAsia="lv-LV"/>
              </w:rPr>
              <w:t xml:space="preserve"> vēlamo noregulējuma stratēģiju un noteiktu iestādēm un vienībām piemērojamo zaudējumu absorbēšanas un rekapitalizācijas spējas </w:t>
            </w:r>
            <w:r w:rsidR="0004568C">
              <w:rPr>
                <w:rFonts w:ascii="Times New Roman" w:eastAsia="Times New Roman" w:hAnsi="Times New Roman" w:cs="Times New Roman"/>
                <w:bCs/>
                <w:sz w:val="24"/>
                <w:szCs w:val="24"/>
                <w:shd w:val="clear" w:color="auto" w:fill="FFFFFF"/>
                <w:lang w:eastAsia="lv-LV"/>
              </w:rPr>
              <w:t>prasību</w:t>
            </w:r>
            <w:r w:rsidR="0077265D" w:rsidRPr="004C7C46">
              <w:rPr>
                <w:rFonts w:ascii="Times New Roman" w:eastAsia="Times New Roman" w:hAnsi="Times New Roman" w:cs="Times New Roman"/>
                <w:bCs/>
                <w:sz w:val="24"/>
                <w:szCs w:val="24"/>
                <w:shd w:val="clear" w:color="auto" w:fill="FFFFFF"/>
                <w:lang w:eastAsia="lv-LV"/>
              </w:rPr>
              <w:t xml:space="preserve"> līmeni,</w:t>
            </w:r>
            <w:r w:rsidR="005F56A2" w:rsidRPr="004C7C46">
              <w:rPr>
                <w:rFonts w:ascii="Times New Roman" w:eastAsia="Times New Roman" w:hAnsi="Times New Roman" w:cs="Times New Roman"/>
                <w:bCs/>
                <w:sz w:val="24"/>
                <w:szCs w:val="24"/>
                <w:shd w:val="clear" w:color="auto" w:fill="FFFFFF"/>
                <w:lang w:eastAsia="lv-LV"/>
              </w:rPr>
              <w:t xml:space="preserve"> likuma 1.pants tiek papildināts</w:t>
            </w:r>
            <w:r w:rsidR="00CB454C" w:rsidRPr="004C7C46">
              <w:rPr>
                <w:rFonts w:ascii="Times New Roman" w:eastAsia="Times New Roman" w:hAnsi="Times New Roman" w:cs="Times New Roman"/>
                <w:bCs/>
                <w:sz w:val="24"/>
                <w:szCs w:val="24"/>
                <w:shd w:val="clear" w:color="auto" w:fill="FFFFFF"/>
                <w:lang w:eastAsia="lv-LV"/>
              </w:rPr>
              <w:t xml:space="preserve"> </w:t>
            </w:r>
            <w:r w:rsidR="005F56A2" w:rsidRPr="004C7C46">
              <w:rPr>
                <w:rFonts w:ascii="Times New Roman" w:eastAsia="Times New Roman" w:hAnsi="Times New Roman" w:cs="Times New Roman"/>
                <w:bCs/>
                <w:sz w:val="24"/>
                <w:szCs w:val="24"/>
                <w:shd w:val="clear" w:color="auto" w:fill="FFFFFF"/>
                <w:lang w:eastAsia="lv-LV"/>
              </w:rPr>
              <w:t>ar jēdzieniem</w:t>
            </w:r>
            <w:r w:rsidR="00CB454C" w:rsidRPr="004C7C46">
              <w:rPr>
                <w:rFonts w:ascii="Times New Roman" w:eastAsia="Times New Roman" w:hAnsi="Times New Roman" w:cs="Times New Roman"/>
                <w:bCs/>
                <w:sz w:val="24"/>
                <w:szCs w:val="24"/>
                <w:shd w:val="clear" w:color="auto" w:fill="FFFFFF"/>
                <w:lang w:eastAsia="lv-LV"/>
              </w:rPr>
              <w:t xml:space="preserve"> “noregulējamā vienība” un “noregulējamā grupa”.</w:t>
            </w:r>
          </w:p>
          <w:p w:rsidR="00652E8D" w:rsidRPr="004C7C46" w:rsidRDefault="00652E8D" w:rsidP="00AC363F">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Jāņem vērā</w:t>
            </w:r>
            <w:r w:rsidR="000C0056" w:rsidRPr="004C7C46">
              <w:rPr>
                <w:rFonts w:ascii="Times New Roman" w:eastAsia="Times New Roman" w:hAnsi="Times New Roman" w:cs="Times New Roman"/>
                <w:bCs/>
                <w:sz w:val="24"/>
                <w:szCs w:val="24"/>
                <w:shd w:val="clear" w:color="auto" w:fill="FFFFFF"/>
                <w:lang w:eastAsia="lv-LV"/>
              </w:rPr>
              <w:t>, ka</w:t>
            </w:r>
            <w:r w:rsidRPr="004C7C46">
              <w:rPr>
                <w:rFonts w:ascii="Times New Roman" w:eastAsia="Times New Roman" w:hAnsi="Times New Roman" w:cs="Times New Roman"/>
                <w:bCs/>
                <w:sz w:val="24"/>
                <w:szCs w:val="24"/>
                <w:shd w:val="clear" w:color="auto" w:fill="FFFFFF"/>
                <w:lang w:eastAsia="lv-LV"/>
              </w:rPr>
              <w:t xml:space="preserve"> ir iespējamas vairākas noregulējuma stratēģijas, kur noregulējuma pilnvaras īsteno viena noregulējuma iestāde, vai arī, kur šīs pilnvaras īsteno vairākas noregulējuma iestādes. Pirmajā gadījumā tiek noregulēta tikai viena grupas vienība (parasti mātesuzņēmums), savukārt citas grupas vienības (parasti meitasuzņēmumi, kas veic pamatdarbību) </w:t>
            </w:r>
            <w:r w:rsidRPr="004C7C46">
              <w:rPr>
                <w:rFonts w:ascii="Times New Roman" w:eastAsia="Times New Roman" w:hAnsi="Times New Roman" w:cs="Times New Roman"/>
                <w:bCs/>
                <w:sz w:val="24"/>
                <w:szCs w:val="24"/>
                <w:shd w:val="clear" w:color="auto" w:fill="FFFFFF"/>
                <w:lang w:eastAsia="lv-LV"/>
              </w:rPr>
              <w:lastRenderedPageBreak/>
              <w:t>netiek iekļautas noregulējumā, bet novirza savus zaudējumus un rekapitalizācijas vajadzības augšup vienībai, kas jānoregulē. Otrajā gadījumā tiek noregulēta vairāk nekā viena grupas vienība.</w:t>
            </w:r>
          </w:p>
          <w:p w:rsidR="00CB454C" w:rsidRPr="004C7C46" w:rsidRDefault="00CB454C" w:rsidP="001C09BE">
            <w:pPr>
              <w:shd w:val="clear" w:color="auto" w:fill="FFFFFF"/>
              <w:spacing w:after="12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Papildu minētajam likuma 1. pant</w:t>
            </w:r>
            <w:r w:rsidR="000C0056" w:rsidRPr="004C7C46">
              <w:rPr>
                <w:rFonts w:ascii="Times New Roman" w:eastAsia="Times New Roman" w:hAnsi="Times New Roman" w:cs="Times New Roman"/>
                <w:bCs/>
                <w:sz w:val="24"/>
                <w:szCs w:val="24"/>
                <w:shd w:val="clear" w:color="auto" w:fill="FFFFFF"/>
                <w:lang w:eastAsia="lv-LV"/>
              </w:rPr>
              <w:t>ā</w:t>
            </w:r>
            <w:r w:rsidRPr="004C7C46">
              <w:rPr>
                <w:rFonts w:ascii="Times New Roman" w:eastAsia="Times New Roman" w:hAnsi="Times New Roman" w:cs="Times New Roman"/>
                <w:bCs/>
                <w:sz w:val="24"/>
                <w:szCs w:val="24"/>
                <w:shd w:val="clear" w:color="auto" w:fill="FFFFFF"/>
                <w:lang w:eastAsia="lv-LV"/>
              </w:rPr>
              <w:t xml:space="preserve"> tiek</w:t>
            </w:r>
            <w:r w:rsidR="00436837" w:rsidRPr="004C7C46">
              <w:rPr>
                <w:rFonts w:ascii="Times New Roman" w:eastAsia="Times New Roman" w:hAnsi="Times New Roman" w:cs="Times New Roman"/>
                <w:bCs/>
                <w:sz w:val="24"/>
                <w:szCs w:val="24"/>
                <w:shd w:val="clear" w:color="auto" w:fill="FFFFFF"/>
                <w:lang w:eastAsia="lv-LV"/>
              </w:rPr>
              <w:t xml:space="preserve"> precizēts termina “atbilstīgās saistības” saturs, kā arī</w:t>
            </w:r>
            <w:r w:rsidR="006C0C52" w:rsidRPr="004C7C46">
              <w:rPr>
                <w:rFonts w:ascii="Times New Roman" w:eastAsia="Times New Roman" w:hAnsi="Times New Roman" w:cs="Times New Roman"/>
                <w:bCs/>
                <w:sz w:val="24"/>
                <w:szCs w:val="24"/>
                <w:shd w:val="clear" w:color="auto" w:fill="FFFFFF"/>
                <w:lang w:eastAsia="lv-LV"/>
              </w:rPr>
              <w:t xml:space="preserve"> likums</w:t>
            </w:r>
            <w:r w:rsidR="00436837" w:rsidRPr="004C7C46">
              <w:rPr>
                <w:rFonts w:ascii="Times New Roman" w:eastAsia="Times New Roman" w:hAnsi="Times New Roman" w:cs="Times New Roman"/>
                <w:bCs/>
                <w:sz w:val="24"/>
                <w:szCs w:val="24"/>
                <w:shd w:val="clear" w:color="auto" w:fill="FFFFFF"/>
                <w:lang w:eastAsia="lv-LV"/>
              </w:rPr>
              <w:t xml:space="preserve"> </w:t>
            </w:r>
            <w:r w:rsidRPr="004C7C46">
              <w:rPr>
                <w:rFonts w:ascii="Times New Roman" w:eastAsia="Times New Roman" w:hAnsi="Times New Roman" w:cs="Times New Roman"/>
                <w:bCs/>
                <w:sz w:val="24"/>
                <w:szCs w:val="24"/>
                <w:shd w:val="clear" w:color="auto" w:fill="FFFFFF"/>
                <w:lang w:eastAsia="lv-LV"/>
              </w:rPr>
              <w:t xml:space="preserve"> papildināts </w:t>
            </w:r>
            <w:r w:rsidR="00D6340F" w:rsidRPr="004C7C46">
              <w:rPr>
                <w:rFonts w:ascii="Times New Roman" w:eastAsia="Times New Roman" w:hAnsi="Times New Roman" w:cs="Times New Roman"/>
                <w:bCs/>
                <w:sz w:val="24"/>
                <w:szCs w:val="24"/>
                <w:shd w:val="clear" w:color="auto" w:fill="FFFFFF"/>
                <w:lang w:eastAsia="lv-LV"/>
              </w:rPr>
              <w:t xml:space="preserve"> ar </w:t>
            </w:r>
            <w:r w:rsidRPr="004C7C46">
              <w:rPr>
                <w:rFonts w:ascii="Times New Roman" w:eastAsia="Times New Roman" w:hAnsi="Times New Roman" w:cs="Times New Roman"/>
                <w:bCs/>
                <w:sz w:val="24"/>
                <w:szCs w:val="24"/>
                <w:shd w:val="clear" w:color="auto" w:fill="FFFFFF"/>
                <w:lang w:eastAsia="lv-LV"/>
              </w:rPr>
              <w:t xml:space="preserve">tādiem terminiem kā </w:t>
            </w:r>
            <w:r w:rsidR="00B37939" w:rsidRPr="004C7C46">
              <w:rPr>
                <w:rFonts w:ascii="Times New Roman" w:eastAsia="Times New Roman" w:hAnsi="Times New Roman" w:cs="Times New Roman"/>
                <w:bCs/>
                <w:sz w:val="24"/>
                <w:szCs w:val="24"/>
                <w:shd w:val="clear" w:color="auto" w:fill="FFFFFF"/>
                <w:lang w:eastAsia="lv-LV"/>
              </w:rPr>
              <w:t>“kopējā kapitāla rezervju prasība”, “iekšēji rekapitalizējamas saistības”, “pirmā līmeņa pamata kapitāls”</w:t>
            </w:r>
            <w:r w:rsidRPr="004C7C46">
              <w:rPr>
                <w:rFonts w:ascii="Times New Roman" w:eastAsia="Times New Roman" w:hAnsi="Times New Roman" w:cs="Times New Roman"/>
                <w:bCs/>
                <w:sz w:val="24"/>
                <w:szCs w:val="24"/>
                <w:shd w:val="clear" w:color="auto" w:fill="FFFFFF"/>
                <w:lang w:eastAsia="lv-LV"/>
              </w:rPr>
              <w:t xml:space="preserve"> </w:t>
            </w:r>
            <w:r w:rsidR="00B37939" w:rsidRPr="004C7C46">
              <w:rPr>
                <w:rFonts w:ascii="Times New Roman" w:eastAsia="Times New Roman" w:hAnsi="Times New Roman" w:cs="Times New Roman"/>
                <w:bCs/>
                <w:sz w:val="24"/>
                <w:szCs w:val="24"/>
                <w:shd w:val="clear" w:color="auto" w:fill="FFFFFF"/>
                <w:lang w:eastAsia="lv-LV"/>
              </w:rPr>
              <w:t>un “subordinēti atbilstīgie instrumenti”</w:t>
            </w:r>
            <w:r w:rsidRPr="004C7C46">
              <w:rPr>
                <w:rFonts w:ascii="Times New Roman" w:eastAsia="Times New Roman" w:hAnsi="Times New Roman" w:cs="Times New Roman"/>
                <w:bCs/>
                <w:sz w:val="24"/>
                <w:szCs w:val="24"/>
                <w:shd w:val="clear" w:color="auto" w:fill="FFFFFF"/>
                <w:lang w:eastAsia="lv-LV"/>
              </w:rPr>
              <w:t>, kas nepieciešam</w:t>
            </w:r>
            <w:r w:rsidR="00D6340F" w:rsidRPr="004C7C46">
              <w:rPr>
                <w:rFonts w:ascii="Times New Roman" w:eastAsia="Times New Roman" w:hAnsi="Times New Roman" w:cs="Times New Roman"/>
                <w:bCs/>
                <w:sz w:val="24"/>
                <w:szCs w:val="24"/>
                <w:shd w:val="clear" w:color="auto" w:fill="FFFFFF"/>
                <w:lang w:eastAsia="lv-LV"/>
              </w:rPr>
              <w:t>i</w:t>
            </w:r>
            <w:r w:rsidR="00B72069" w:rsidRPr="004C7C46">
              <w:rPr>
                <w:rFonts w:ascii="Times New Roman" w:eastAsia="Times New Roman" w:hAnsi="Times New Roman" w:cs="Times New Roman"/>
                <w:bCs/>
                <w:sz w:val="24"/>
                <w:szCs w:val="24"/>
                <w:shd w:val="clear" w:color="auto" w:fill="FFFFFF"/>
                <w:lang w:eastAsia="lv-LV"/>
              </w:rPr>
              <w:t xml:space="preserve"> MREL noteikšanai.</w:t>
            </w:r>
            <w:r w:rsidR="00436837" w:rsidRPr="004C7C46">
              <w:rPr>
                <w:rFonts w:ascii="Times New Roman" w:eastAsia="Times New Roman" w:hAnsi="Times New Roman" w:cs="Times New Roman"/>
                <w:bCs/>
                <w:sz w:val="24"/>
                <w:szCs w:val="24"/>
                <w:shd w:val="clear" w:color="auto" w:fill="FFFFFF"/>
                <w:lang w:eastAsia="lv-LV"/>
              </w:rPr>
              <w:t xml:space="preserve"> Ņemot vērā izmaiņas likumā noteiktajos terminos, atbilstoši pr</w:t>
            </w:r>
            <w:r w:rsidR="001C09BE" w:rsidRPr="004C7C46">
              <w:rPr>
                <w:rFonts w:ascii="Times New Roman" w:eastAsia="Times New Roman" w:hAnsi="Times New Roman" w:cs="Times New Roman"/>
                <w:bCs/>
                <w:sz w:val="24"/>
                <w:szCs w:val="24"/>
                <w:shd w:val="clear" w:color="auto" w:fill="FFFFFF"/>
                <w:lang w:eastAsia="lv-LV"/>
              </w:rPr>
              <w:t>ecizēts arī viss likuma teksts.</w:t>
            </w:r>
          </w:p>
          <w:p w:rsidR="001C09BE" w:rsidRPr="004C7C46" w:rsidRDefault="001C09BE" w:rsidP="001C09BE">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Būtiskākie grozījumi veikti likuma 59. – 64. pantos, to jaunajās redakcijās paredzot detalizētus noteikumus, kā iestādes un finanšu sabiedrības patstāvīgi nodrošina MREL ievērošanu.</w:t>
            </w:r>
          </w:p>
          <w:p w:rsidR="001C09BE" w:rsidRPr="004C7C46" w:rsidRDefault="001C09BE" w:rsidP="001C09BE">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59. – 60. pants paredz, ka MREL ievērošanai izmantotās saistības ietver visas saistības, kas izriet no parasto nenodrošināt</w:t>
            </w:r>
            <w:r w:rsidR="0028631E">
              <w:rPr>
                <w:rFonts w:ascii="Times New Roman" w:eastAsia="Times New Roman" w:hAnsi="Times New Roman" w:cs="Times New Roman"/>
                <w:bCs/>
                <w:sz w:val="24"/>
                <w:szCs w:val="24"/>
                <w:shd w:val="clear" w:color="auto" w:fill="FFFFFF"/>
                <w:lang w:eastAsia="lv-LV"/>
              </w:rPr>
              <w:t>o</w:t>
            </w:r>
            <w:r w:rsidRPr="004C7C46">
              <w:rPr>
                <w:rFonts w:ascii="Times New Roman" w:eastAsia="Times New Roman" w:hAnsi="Times New Roman" w:cs="Times New Roman"/>
                <w:bCs/>
                <w:sz w:val="24"/>
                <w:szCs w:val="24"/>
                <w:shd w:val="clear" w:color="auto" w:fill="FFFFFF"/>
                <w:lang w:eastAsia="lv-LV"/>
              </w:rPr>
              <w:t xml:space="preserve"> kreditoru prasījumiem, izņemot gadījumus, kad saistības neatbilst konkrētiem atbilstības kritērijiem. F</w:t>
            </w:r>
            <w:r w:rsidR="00135E75" w:rsidRPr="004C7C46">
              <w:rPr>
                <w:rFonts w:ascii="Times New Roman" w:eastAsia="Times New Roman" w:hAnsi="Times New Roman" w:cs="Times New Roman"/>
                <w:bCs/>
                <w:sz w:val="24"/>
                <w:szCs w:val="24"/>
                <w:shd w:val="clear" w:color="auto" w:fill="FFFFFF"/>
                <w:lang w:eastAsia="lv-LV"/>
              </w:rPr>
              <w:t>inanšu un kapitāla tirgus komisijai (turpmāk – F</w:t>
            </w:r>
            <w:r w:rsidRPr="004C7C46">
              <w:rPr>
                <w:rFonts w:ascii="Times New Roman" w:eastAsia="Times New Roman" w:hAnsi="Times New Roman" w:cs="Times New Roman"/>
                <w:bCs/>
                <w:sz w:val="24"/>
                <w:szCs w:val="24"/>
                <w:shd w:val="clear" w:color="auto" w:fill="FFFFFF"/>
                <w:lang w:eastAsia="lv-LV"/>
              </w:rPr>
              <w:t>KTK</w:t>
            </w:r>
            <w:r w:rsidR="00135E75" w:rsidRPr="004C7C46">
              <w:rPr>
                <w:rFonts w:ascii="Times New Roman" w:eastAsia="Times New Roman" w:hAnsi="Times New Roman" w:cs="Times New Roman"/>
                <w:bCs/>
                <w:sz w:val="24"/>
                <w:szCs w:val="24"/>
                <w:shd w:val="clear" w:color="auto" w:fill="FFFFFF"/>
                <w:lang w:eastAsia="lv-LV"/>
              </w:rPr>
              <w:t>)</w:t>
            </w:r>
            <w:r w:rsidRPr="004C7C46">
              <w:rPr>
                <w:rFonts w:ascii="Times New Roman" w:eastAsia="Times New Roman" w:hAnsi="Times New Roman" w:cs="Times New Roman"/>
                <w:bCs/>
                <w:sz w:val="24"/>
                <w:szCs w:val="24"/>
                <w:shd w:val="clear" w:color="auto" w:fill="FFFFFF"/>
                <w:lang w:eastAsia="lv-LV"/>
              </w:rPr>
              <w:t xml:space="preserve"> tiek dotas tiesības noteikt, ka MREL tiek izpildīta</w:t>
            </w:r>
            <w:r w:rsidR="00D6340F" w:rsidRPr="004C7C46">
              <w:rPr>
                <w:rFonts w:ascii="Times New Roman" w:eastAsia="Times New Roman" w:hAnsi="Times New Roman" w:cs="Times New Roman"/>
                <w:bCs/>
                <w:sz w:val="24"/>
                <w:szCs w:val="24"/>
                <w:shd w:val="clear" w:color="auto" w:fill="FFFFFF"/>
                <w:lang w:eastAsia="lv-LV"/>
              </w:rPr>
              <w:t>s</w:t>
            </w:r>
            <w:r w:rsidRPr="004C7C46">
              <w:rPr>
                <w:rFonts w:ascii="Times New Roman" w:eastAsia="Times New Roman" w:hAnsi="Times New Roman" w:cs="Times New Roman"/>
                <w:bCs/>
                <w:sz w:val="24"/>
                <w:szCs w:val="24"/>
                <w:shd w:val="clear" w:color="auto" w:fill="FFFFFF"/>
                <w:lang w:eastAsia="lv-LV"/>
              </w:rPr>
              <w:t xml:space="preserve"> ar pašu kapitālu un citām subordinētajām saistībām, jo īpaši, ja ir skaidras norādes par to, ka iekšēji rekapitalizētie kreditori noregulējumā varētu ciest zaudējumus, kas pārsniegtu  parastajā maksātnespējas procedūrā radušos zaudējumus. Vienlaikus FKTK ir jāizvērtē vajadzība prasīt iestādēm un vienībām izpildīt MREL ar pašu kapitālu un subordinētajām saistībām, ja to saistību apjoms, kuras ir izslēgtas no iekšējās rekapitalizācijas instrumenta piemērošanas, sasniedz konkrētu sliekšņvērtību saistību kategorijā, kas ietver MREL atbilstīgās saistības. </w:t>
            </w:r>
          </w:p>
          <w:p w:rsidR="001C09BE" w:rsidRPr="004C7C46" w:rsidRDefault="001C09BE" w:rsidP="001C09BE">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 xml:space="preserve">No likumprojekta izriet, ka konkrēti parāda instrumenti ar iegultu atvasinātā instrumenta komponentu, piemēram, konkrētām strukturētajām parādzīmēm, ir atbilstīgi, lai izpildītu MREL tādā mērā, ka tām ir fiksēta vai pieaugoša pamatsumma, kas ir atmaksājama iepriekš zināma termiņa beigās, savukārt tikai papildu peļņa ir saistīta ar minēto atvasinātā instrumenta komponentu un ir atkarīga no atsauces aktīva rezultativitātes. Lai arī iestāžu vai </w:t>
            </w:r>
            <w:r w:rsidR="001D50DE">
              <w:rPr>
                <w:rFonts w:ascii="Times New Roman" w:eastAsia="Times New Roman" w:hAnsi="Times New Roman" w:cs="Times New Roman"/>
                <w:bCs/>
                <w:sz w:val="24"/>
                <w:szCs w:val="24"/>
                <w:shd w:val="clear" w:color="auto" w:fill="FFFFFF"/>
                <w:lang w:eastAsia="lv-LV"/>
              </w:rPr>
              <w:t xml:space="preserve">finanšu sabiedrības </w:t>
            </w:r>
            <w:r w:rsidRPr="004C7C46">
              <w:rPr>
                <w:rFonts w:ascii="Times New Roman" w:eastAsia="Times New Roman" w:hAnsi="Times New Roman" w:cs="Times New Roman"/>
                <w:bCs/>
                <w:sz w:val="24"/>
                <w:szCs w:val="24"/>
                <w:shd w:val="clear" w:color="auto" w:fill="FFFFFF"/>
                <w:lang w:eastAsia="lv-LV"/>
              </w:rPr>
              <w:t xml:space="preserve"> pašu kapitāls, kura apmērs pārsniedz pašu kapitāla prasībās paredzēto, pats par sevi neietekmē lēmumi attiecībā uz MREL noteikšanu, tām ir iespēja izpildīt jebkuru savas MREL daļu ar pašu kapitālu.</w:t>
            </w:r>
          </w:p>
          <w:p w:rsidR="001C09BE" w:rsidRPr="004C7C46" w:rsidRDefault="001C09BE" w:rsidP="001C09BE">
            <w:pPr>
              <w:shd w:val="clear" w:color="auto" w:fill="FFFFFF"/>
              <w:spacing w:after="0" w:line="240" w:lineRule="auto"/>
              <w:jc w:val="both"/>
              <w:rPr>
                <w:rFonts w:ascii="Times New Roman" w:eastAsia="Times New Roman" w:hAnsi="Times New Roman" w:cs="Times New Roman"/>
                <w:bCs/>
                <w:color w:val="0070C0"/>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lastRenderedPageBreak/>
              <w:t xml:space="preserve">Piemērojamais MREL paredz iespēju iestādēm un </w:t>
            </w:r>
            <w:r w:rsidR="001D50DE">
              <w:rPr>
                <w:rFonts w:ascii="Times New Roman" w:eastAsia="Times New Roman" w:hAnsi="Times New Roman" w:cs="Times New Roman"/>
                <w:bCs/>
                <w:sz w:val="24"/>
                <w:szCs w:val="24"/>
                <w:shd w:val="clear" w:color="auto" w:fill="FFFFFF"/>
                <w:lang w:eastAsia="lv-LV"/>
              </w:rPr>
              <w:t xml:space="preserve">finanšu sabiedrībām </w:t>
            </w:r>
            <w:r w:rsidRPr="004C7C46">
              <w:rPr>
                <w:rFonts w:ascii="Times New Roman" w:eastAsia="Times New Roman" w:hAnsi="Times New Roman" w:cs="Times New Roman"/>
                <w:bCs/>
                <w:sz w:val="24"/>
                <w:szCs w:val="24"/>
                <w:shd w:val="clear" w:color="auto" w:fill="FFFFFF"/>
                <w:lang w:eastAsia="lv-LV"/>
              </w:rPr>
              <w:t xml:space="preserve"> absorbēt, noregulējumā vai dzīvotspējas zaudēšanas brīdī sagaidāmos zaudējumus un tikt rekapitalizētām pēc noregulējuma plānā paredzēto darbību īstenošanas vai pēc noregulējuma grupas noregulējuma. Attiecīgi likum</w:t>
            </w:r>
            <w:r w:rsidR="00801765">
              <w:rPr>
                <w:rFonts w:ascii="Times New Roman" w:eastAsia="Times New Roman" w:hAnsi="Times New Roman" w:cs="Times New Roman"/>
                <w:bCs/>
                <w:sz w:val="24"/>
                <w:szCs w:val="24"/>
                <w:shd w:val="clear" w:color="auto" w:fill="FFFFFF"/>
                <w:lang w:eastAsia="lv-LV"/>
              </w:rPr>
              <w:t>p</w:t>
            </w:r>
            <w:r w:rsidRPr="004C7C46">
              <w:rPr>
                <w:rFonts w:ascii="Times New Roman" w:eastAsia="Times New Roman" w:hAnsi="Times New Roman" w:cs="Times New Roman"/>
                <w:bCs/>
                <w:sz w:val="24"/>
                <w:szCs w:val="24"/>
                <w:shd w:val="clear" w:color="auto" w:fill="FFFFFF"/>
                <w:lang w:eastAsia="lv-LV"/>
              </w:rPr>
              <w:t xml:space="preserve">rojektā noteikts, ka noregulējuma gadījumā MREL līmenim jāatbilst noregulējumā sagaidāmo zaudējumu summai, kas atbilst iestādes vai </w:t>
            </w:r>
            <w:r w:rsidR="001D50DE">
              <w:rPr>
                <w:rFonts w:ascii="Times New Roman" w:eastAsia="Times New Roman" w:hAnsi="Times New Roman" w:cs="Times New Roman"/>
                <w:bCs/>
                <w:sz w:val="24"/>
                <w:szCs w:val="24"/>
                <w:shd w:val="clear" w:color="auto" w:fill="FFFFFF"/>
                <w:lang w:eastAsia="lv-LV"/>
              </w:rPr>
              <w:t>finanšu sabiedrības</w:t>
            </w:r>
            <w:r w:rsidRPr="004C7C46">
              <w:rPr>
                <w:rFonts w:ascii="Times New Roman" w:eastAsia="Times New Roman" w:hAnsi="Times New Roman" w:cs="Times New Roman"/>
                <w:bCs/>
                <w:sz w:val="24"/>
                <w:szCs w:val="24"/>
                <w:shd w:val="clear" w:color="auto" w:fill="FFFFFF"/>
                <w:lang w:eastAsia="lv-LV"/>
              </w:rPr>
              <w:t xml:space="preserve"> pašu kapitāla prasībām, un rekapitalizācijas summai, kura ļauj iestādei vai </w:t>
            </w:r>
            <w:r w:rsidR="001D50DE">
              <w:rPr>
                <w:rFonts w:ascii="Times New Roman" w:eastAsia="Times New Roman" w:hAnsi="Times New Roman" w:cs="Times New Roman"/>
                <w:bCs/>
                <w:sz w:val="24"/>
                <w:szCs w:val="24"/>
                <w:shd w:val="clear" w:color="auto" w:fill="FFFFFF"/>
                <w:lang w:eastAsia="lv-LV"/>
              </w:rPr>
              <w:t xml:space="preserve">finanšu sabiedrībai </w:t>
            </w:r>
            <w:r w:rsidRPr="004C7C46">
              <w:rPr>
                <w:rFonts w:ascii="Times New Roman" w:eastAsia="Times New Roman" w:hAnsi="Times New Roman" w:cs="Times New Roman"/>
                <w:bCs/>
                <w:sz w:val="24"/>
                <w:szCs w:val="24"/>
                <w:shd w:val="clear" w:color="auto" w:fill="FFFFFF"/>
                <w:lang w:eastAsia="lv-LV"/>
              </w:rPr>
              <w:t xml:space="preserve"> pēc noregulējuma vai pēc norakstīšanas vai konvertācijas pilnvaru īstenošanas izpildīt savas pašu kapitāla prasības, kas nepieciešams, lai saņemtu atļauju veikt tās darbības saskaņā ar izvēlēto noregulējuma stratēģiju. </w:t>
            </w:r>
          </w:p>
          <w:p w:rsidR="00DF0851" w:rsidRPr="004C7C46" w:rsidRDefault="001C09BE" w:rsidP="00DF0851">
            <w:pPr>
              <w:shd w:val="clear" w:color="auto" w:fill="FFFFFF"/>
              <w:spacing w:after="12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Attiecībā uz G-SNI noregulējuma vienībām, tādu noregulējuma grupu noregulējuma vienībām, kuru aktīvu apjoms ir lielāks par EUR 100 miljardiem un mazāku noregulējuma grupu noregulējuma vienībām, kuras maksātnespējas gadījumā varētu radīt sistēmisku risku, ņemot vērā noguldījumu prevalenci un</w:t>
            </w:r>
            <w:r w:rsidRPr="004C7C46">
              <w:rPr>
                <w:bCs/>
                <w:shd w:val="clear" w:color="auto" w:fill="FFFFFF"/>
              </w:rPr>
              <w:t xml:space="preserve"> </w:t>
            </w:r>
            <w:r w:rsidRPr="004C7C46">
              <w:rPr>
                <w:rFonts w:ascii="Times New Roman" w:eastAsia="Times New Roman" w:hAnsi="Times New Roman" w:cs="Times New Roman"/>
                <w:bCs/>
                <w:sz w:val="24"/>
                <w:szCs w:val="24"/>
                <w:shd w:val="clear" w:color="auto" w:fill="FFFFFF"/>
                <w:lang w:eastAsia="lv-LV"/>
              </w:rPr>
              <w:t>parāda instrumentu neesamību finansēšanas modelī, diskrecionāri ierobežotu piekļuvi kapitāla tirgiem atbilstīgo saistību vajadzībām un paļaušanos uz pirmā līmeņa pamata kapitālu, lai izpildītu MREL, FKTK ir tiesības prasīt, lai MRE</w:t>
            </w:r>
            <w:r w:rsidR="00D6340F" w:rsidRPr="004C7C46">
              <w:rPr>
                <w:rFonts w:ascii="Times New Roman" w:eastAsia="Times New Roman" w:hAnsi="Times New Roman" w:cs="Times New Roman"/>
                <w:bCs/>
                <w:sz w:val="24"/>
                <w:szCs w:val="24"/>
                <w:shd w:val="clear" w:color="auto" w:fill="FFFFFF"/>
                <w:lang w:eastAsia="lv-LV"/>
              </w:rPr>
              <w:t>L daļa, kas vienāda ar Direktīvā 2014/59/ES</w:t>
            </w:r>
            <w:r w:rsidRPr="004C7C46">
              <w:rPr>
                <w:rFonts w:ascii="Times New Roman" w:eastAsia="Times New Roman" w:hAnsi="Times New Roman" w:cs="Times New Roman"/>
                <w:bCs/>
                <w:sz w:val="24"/>
                <w:szCs w:val="24"/>
                <w:shd w:val="clear" w:color="auto" w:fill="FFFFFF"/>
                <w:lang w:eastAsia="lv-LV"/>
              </w:rPr>
              <w:t xml:space="preserve"> minēto zaudējumu absorbēšanas un rekapitalizācijas līmeni, tiktu izpildīta ar pašu kapitālu un citām subordinētajām saistībām.</w:t>
            </w:r>
            <w:r w:rsidR="00DF0851" w:rsidRPr="004C7C46">
              <w:rPr>
                <w:rFonts w:ascii="Times New Roman" w:eastAsia="Times New Roman" w:hAnsi="Times New Roman" w:cs="Times New Roman"/>
                <w:bCs/>
                <w:sz w:val="24"/>
                <w:szCs w:val="24"/>
                <w:shd w:val="clear" w:color="auto" w:fill="FFFFFF"/>
                <w:lang w:eastAsia="lv-LV"/>
              </w:rPr>
              <w:t xml:space="preserve"> FKTK ir dotas tiesības palielināt rekapitalizācijas summu, lai pēc noregulējuma plānā paredzēto darbību īstenošanas nodrošinātu iestādei vai vienībai pietiekamu tirgus uzticēšanos.</w:t>
            </w:r>
          </w:p>
          <w:p w:rsidR="001C09BE" w:rsidRPr="004C7C46" w:rsidRDefault="00DF0851" w:rsidP="009A0B85">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 xml:space="preserve">Tāpat likums tiek papildināts </w:t>
            </w:r>
            <w:r w:rsidR="001C09BE" w:rsidRPr="004C7C46">
              <w:rPr>
                <w:rFonts w:ascii="Times New Roman" w:eastAsia="Times New Roman" w:hAnsi="Times New Roman" w:cs="Times New Roman"/>
                <w:bCs/>
                <w:sz w:val="24"/>
                <w:szCs w:val="24"/>
                <w:shd w:val="clear" w:color="auto" w:fill="FFFFFF"/>
                <w:lang w:eastAsia="lv-LV"/>
              </w:rPr>
              <w:t>60.</w:t>
            </w:r>
            <w:r w:rsidR="001C09BE" w:rsidRPr="004C7C46">
              <w:rPr>
                <w:rFonts w:ascii="Times New Roman" w:eastAsia="Times New Roman" w:hAnsi="Times New Roman" w:cs="Times New Roman"/>
                <w:bCs/>
                <w:sz w:val="24"/>
                <w:szCs w:val="24"/>
                <w:shd w:val="clear" w:color="auto" w:fill="FFFFFF"/>
                <w:vertAlign w:val="superscript"/>
                <w:lang w:eastAsia="lv-LV"/>
              </w:rPr>
              <w:t>1</w:t>
            </w:r>
            <w:r w:rsidR="00F95531">
              <w:rPr>
                <w:rFonts w:ascii="Times New Roman" w:eastAsia="Times New Roman" w:hAnsi="Times New Roman" w:cs="Times New Roman"/>
                <w:bCs/>
                <w:sz w:val="24"/>
                <w:szCs w:val="24"/>
                <w:shd w:val="clear" w:color="auto" w:fill="FFFFFF"/>
                <w:lang w:eastAsia="lv-LV"/>
              </w:rPr>
              <w:t xml:space="preserve"> pantu, kurā</w:t>
            </w:r>
            <w:r w:rsidR="001C09BE" w:rsidRPr="004C7C46">
              <w:rPr>
                <w:rFonts w:ascii="Times New Roman" w:eastAsia="Times New Roman" w:hAnsi="Times New Roman" w:cs="Times New Roman"/>
                <w:bCs/>
                <w:sz w:val="24"/>
                <w:szCs w:val="24"/>
                <w:shd w:val="clear" w:color="auto" w:fill="FFFFFF"/>
                <w:lang w:eastAsia="lv-LV"/>
              </w:rPr>
              <w:t xml:space="preserve"> </w:t>
            </w:r>
            <w:r w:rsidR="00F95531">
              <w:rPr>
                <w:rFonts w:ascii="Times New Roman" w:eastAsia="Times New Roman" w:hAnsi="Times New Roman" w:cs="Times New Roman"/>
                <w:bCs/>
                <w:sz w:val="24"/>
                <w:szCs w:val="24"/>
                <w:shd w:val="clear" w:color="auto" w:fill="FFFFFF"/>
                <w:lang w:eastAsia="lv-LV"/>
              </w:rPr>
              <w:t>noteikts MREL apmērs</w:t>
            </w:r>
            <w:r w:rsidR="001C09BE" w:rsidRPr="004C7C46">
              <w:rPr>
                <w:rFonts w:ascii="Times New Roman" w:eastAsia="Times New Roman" w:hAnsi="Times New Roman" w:cs="Times New Roman"/>
                <w:bCs/>
                <w:sz w:val="24"/>
                <w:szCs w:val="24"/>
                <w:shd w:val="clear" w:color="auto" w:fill="FFFFFF"/>
                <w:lang w:eastAsia="lv-LV"/>
              </w:rPr>
              <w:t xml:space="preserve"> G-SNI vai tās daļai. Savukārt ar likuma 60.</w:t>
            </w:r>
            <w:r w:rsidR="001C09BE" w:rsidRPr="004C7C46">
              <w:rPr>
                <w:rFonts w:ascii="Times New Roman" w:eastAsia="Times New Roman" w:hAnsi="Times New Roman" w:cs="Times New Roman"/>
                <w:bCs/>
                <w:sz w:val="24"/>
                <w:szCs w:val="24"/>
                <w:shd w:val="clear" w:color="auto" w:fill="FFFFFF"/>
                <w:vertAlign w:val="superscript"/>
                <w:lang w:eastAsia="lv-LV"/>
              </w:rPr>
              <w:t>2</w:t>
            </w:r>
            <w:r w:rsidR="001C09BE" w:rsidRPr="004C7C46">
              <w:rPr>
                <w:rFonts w:ascii="Times New Roman" w:eastAsia="Times New Roman" w:hAnsi="Times New Roman" w:cs="Times New Roman"/>
                <w:bCs/>
                <w:sz w:val="24"/>
                <w:szCs w:val="24"/>
                <w:shd w:val="clear" w:color="auto" w:fill="FFFFFF"/>
                <w:lang w:eastAsia="lv-LV"/>
              </w:rPr>
              <w:t xml:space="preserve"> pantu tiek noteikts, ka iestādēm un </w:t>
            </w:r>
            <w:r w:rsidR="00A33F9F">
              <w:rPr>
                <w:rFonts w:ascii="Times New Roman" w:eastAsia="Times New Roman" w:hAnsi="Times New Roman" w:cs="Times New Roman"/>
                <w:bCs/>
                <w:sz w:val="24"/>
                <w:szCs w:val="24"/>
                <w:shd w:val="clear" w:color="auto" w:fill="FFFFFF"/>
                <w:lang w:eastAsia="lv-LV"/>
              </w:rPr>
              <w:t>finanšu sabiedrībām</w:t>
            </w:r>
            <w:r w:rsidR="001C09BE" w:rsidRPr="004C7C46">
              <w:rPr>
                <w:rFonts w:ascii="Times New Roman" w:eastAsia="Times New Roman" w:hAnsi="Times New Roman" w:cs="Times New Roman"/>
                <w:bCs/>
                <w:sz w:val="24"/>
                <w:szCs w:val="24"/>
                <w:shd w:val="clear" w:color="auto" w:fill="FFFFFF"/>
                <w:lang w:eastAsia="lv-LV"/>
              </w:rPr>
              <w:t>, kuras atzīstamas par noregulējuma vienībām</w:t>
            </w:r>
            <w:r w:rsidR="006C0C52" w:rsidRPr="004C7C46">
              <w:rPr>
                <w:rFonts w:ascii="Times New Roman" w:eastAsia="Times New Roman" w:hAnsi="Times New Roman" w:cs="Times New Roman"/>
                <w:bCs/>
                <w:sz w:val="24"/>
                <w:szCs w:val="24"/>
                <w:shd w:val="clear" w:color="auto" w:fill="FFFFFF"/>
                <w:lang w:eastAsia="lv-LV"/>
              </w:rPr>
              <w:t>,</w:t>
            </w:r>
            <w:r w:rsidR="001C09BE" w:rsidRPr="004C7C46">
              <w:rPr>
                <w:rFonts w:ascii="Times New Roman" w:eastAsia="Times New Roman" w:hAnsi="Times New Roman" w:cs="Times New Roman"/>
                <w:bCs/>
                <w:sz w:val="24"/>
                <w:szCs w:val="24"/>
                <w:shd w:val="clear" w:color="auto" w:fill="FFFFFF"/>
                <w:lang w:eastAsia="lv-LV"/>
              </w:rPr>
              <w:t xml:space="preserve"> MREL ir piemērojams tikai kon</w:t>
            </w:r>
            <w:r w:rsidR="00801765">
              <w:rPr>
                <w:rFonts w:ascii="Times New Roman" w:eastAsia="Times New Roman" w:hAnsi="Times New Roman" w:cs="Times New Roman"/>
                <w:bCs/>
                <w:sz w:val="24"/>
                <w:szCs w:val="24"/>
                <w:shd w:val="clear" w:color="auto" w:fill="FFFFFF"/>
                <w:lang w:eastAsia="lv-LV"/>
              </w:rPr>
              <w:t>s</w:t>
            </w:r>
            <w:r w:rsidR="001C09BE" w:rsidRPr="004C7C46">
              <w:rPr>
                <w:rFonts w:ascii="Times New Roman" w:eastAsia="Times New Roman" w:hAnsi="Times New Roman" w:cs="Times New Roman"/>
                <w:bCs/>
                <w:sz w:val="24"/>
                <w:szCs w:val="24"/>
                <w:shd w:val="clear" w:color="auto" w:fill="FFFFFF"/>
                <w:lang w:eastAsia="lv-LV"/>
              </w:rPr>
              <w:t>olidētā noregulējuma grupas līmenī.</w:t>
            </w:r>
          </w:p>
          <w:p w:rsidR="00122630" w:rsidRPr="004C7C46" w:rsidRDefault="001C09BE" w:rsidP="001C09BE">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61. pants noteic tās iestādes, ārvalsts vienības meitas sabiedrības un  noregulējuma grupas, kurām MREL ir piemērojams individuālā līmenī.</w:t>
            </w:r>
          </w:p>
          <w:p w:rsidR="001C09BE" w:rsidRPr="004C7C46" w:rsidRDefault="001C09BE" w:rsidP="001C09BE">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 xml:space="preserve">Likuma </w:t>
            </w:r>
            <w:r w:rsidRPr="00690BD4">
              <w:rPr>
                <w:rFonts w:ascii="Times New Roman" w:eastAsia="Times New Roman" w:hAnsi="Times New Roman" w:cs="Times New Roman"/>
                <w:bCs/>
                <w:sz w:val="24"/>
                <w:szCs w:val="24"/>
                <w:shd w:val="clear" w:color="auto" w:fill="FFFFFF"/>
                <w:lang w:eastAsia="lv-LV"/>
              </w:rPr>
              <w:t>6</w:t>
            </w:r>
            <w:r w:rsidR="00690BD4">
              <w:rPr>
                <w:rFonts w:ascii="Times New Roman" w:eastAsia="Times New Roman" w:hAnsi="Times New Roman" w:cs="Times New Roman"/>
                <w:bCs/>
                <w:sz w:val="24"/>
                <w:szCs w:val="24"/>
                <w:shd w:val="clear" w:color="auto" w:fill="FFFFFF"/>
                <w:lang w:eastAsia="lv-LV"/>
              </w:rPr>
              <w:t>2</w:t>
            </w:r>
            <w:r w:rsidRPr="004C7C46">
              <w:rPr>
                <w:rFonts w:ascii="Times New Roman" w:eastAsia="Times New Roman" w:hAnsi="Times New Roman" w:cs="Times New Roman"/>
                <w:bCs/>
                <w:sz w:val="24"/>
                <w:szCs w:val="24"/>
                <w:shd w:val="clear" w:color="auto" w:fill="FFFFFF"/>
                <w:lang w:eastAsia="lv-LV"/>
              </w:rPr>
              <w:t xml:space="preserve"> pants paredz gadījumus, kuros ir tiesības pilnīgi vai daļēji atbrīvot no MREL piemērošanas centrālo iestādi vai kredītiestādi, kura ir patstāvīgi radniecīga centrālajai iestādei.</w:t>
            </w:r>
          </w:p>
          <w:p w:rsidR="001C09BE" w:rsidRPr="004C7C46" w:rsidRDefault="00917584" w:rsidP="00AD0FE4">
            <w:pPr>
              <w:shd w:val="clear" w:color="auto" w:fill="FFFFFF"/>
              <w:spacing w:after="60" w:line="240" w:lineRule="auto"/>
              <w:jc w:val="both"/>
              <w:rPr>
                <w:rFonts w:ascii="Times New Roman" w:eastAsia="Times New Roman" w:hAnsi="Times New Roman" w:cs="Times New Roman"/>
                <w:bCs/>
                <w:sz w:val="24"/>
                <w:szCs w:val="24"/>
                <w:shd w:val="clear" w:color="auto" w:fill="FFFFFF"/>
                <w:lang w:eastAsia="lv-LV"/>
              </w:rPr>
            </w:pPr>
            <w:r>
              <w:rPr>
                <w:rFonts w:ascii="Times New Roman" w:eastAsia="Times New Roman" w:hAnsi="Times New Roman" w:cs="Times New Roman"/>
                <w:bCs/>
                <w:sz w:val="24"/>
                <w:szCs w:val="24"/>
                <w:shd w:val="clear" w:color="auto" w:fill="FFFFFF"/>
                <w:lang w:eastAsia="lv-LV"/>
              </w:rPr>
              <w:t>Likums papildināts ar</w:t>
            </w:r>
            <w:r w:rsidR="001C09BE" w:rsidRPr="004C7C46">
              <w:rPr>
                <w:rFonts w:ascii="Times New Roman" w:eastAsia="Times New Roman" w:hAnsi="Times New Roman" w:cs="Times New Roman"/>
                <w:bCs/>
                <w:sz w:val="24"/>
                <w:szCs w:val="24"/>
                <w:shd w:val="clear" w:color="auto" w:fill="FFFFFF"/>
                <w:lang w:eastAsia="lv-LV"/>
              </w:rPr>
              <w:t xml:space="preserve"> </w:t>
            </w:r>
            <w:r>
              <w:rPr>
                <w:rFonts w:ascii="Times New Roman" w:eastAsia="Times New Roman" w:hAnsi="Times New Roman" w:cs="Times New Roman"/>
                <w:bCs/>
                <w:sz w:val="24"/>
                <w:szCs w:val="24"/>
                <w:shd w:val="clear" w:color="auto" w:fill="FFFFFF"/>
                <w:lang w:eastAsia="lv-LV"/>
              </w:rPr>
              <w:t xml:space="preserve">jaunu </w:t>
            </w:r>
            <w:r w:rsidR="001C09BE" w:rsidRPr="004C7C46">
              <w:rPr>
                <w:rFonts w:ascii="Times New Roman" w:eastAsia="Times New Roman" w:hAnsi="Times New Roman" w:cs="Times New Roman"/>
                <w:bCs/>
                <w:sz w:val="24"/>
                <w:szCs w:val="24"/>
                <w:shd w:val="clear" w:color="auto" w:fill="FFFFFF"/>
                <w:lang w:eastAsia="lv-LV"/>
              </w:rPr>
              <w:t>6</w:t>
            </w:r>
            <w:r w:rsidR="00690BD4">
              <w:rPr>
                <w:rFonts w:ascii="Times New Roman" w:eastAsia="Times New Roman" w:hAnsi="Times New Roman" w:cs="Times New Roman"/>
                <w:bCs/>
                <w:sz w:val="24"/>
                <w:szCs w:val="24"/>
                <w:shd w:val="clear" w:color="auto" w:fill="FFFFFF"/>
                <w:lang w:eastAsia="lv-LV"/>
              </w:rPr>
              <w:t>3</w:t>
            </w:r>
            <w:r w:rsidR="001C09BE" w:rsidRPr="004C7C46">
              <w:rPr>
                <w:rFonts w:ascii="Times New Roman" w:eastAsia="Times New Roman" w:hAnsi="Times New Roman" w:cs="Times New Roman"/>
                <w:bCs/>
                <w:sz w:val="24"/>
                <w:szCs w:val="24"/>
                <w:shd w:val="clear" w:color="auto" w:fill="FFFFFF"/>
                <w:lang w:eastAsia="lv-LV"/>
              </w:rPr>
              <w:t>. – 6</w:t>
            </w:r>
            <w:r w:rsidR="00A52191">
              <w:rPr>
                <w:rFonts w:ascii="Times New Roman" w:eastAsia="Times New Roman" w:hAnsi="Times New Roman" w:cs="Times New Roman"/>
                <w:bCs/>
                <w:sz w:val="24"/>
                <w:szCs w:val="24"/>
                <w:shd w:val="clear" w:color="auto" w:fill="FFFFFF"/>
                <w:lang w:eastAsia="lv-LV"/>
              </w:rPr>
              <w:t>3</w:t>
            </w:r>
            <w:r w:rsidR="001C09BE" w:rsidRPr="004C7C46">
              <w:rPr>
                <w:rFonts w:ascii="Times New Roman" w:eastAsia="Times New Roman" w:hAnsi="Times New Roman" w:cs="Times New Roman"/>
                <w:bCs/>
                <w:sz w:val="24"/>
                <w:szCs w:val="24"/>
                <w:shd w:val="clear" w:color="auto" w:fill="FFFFFF"/>
                <w:lang w:eastAsia="lv-LV"/>
              </w:rPr>
              <w:t>.</w:t>
            </w:r>
            <w:r w:rsidR="00A52191" w:rsidRPr="00850C80">
              <w:rPr>
                <w:rFonts w:ascii="Times New Roman" w:eastAsia="Times New Roman" w:hAnsi="Times New Roman" w:cs="Times New Roman"/>
                <w:bCs/>
                <w:sz w:val="24"/>
                <w:szCs w:val="24"/>
                <w:shd w:val="clear" w:color="auto" w:fill="FFFFFF"/>
                <w:vertAlign w:val="superscript"/>
                <w:lang w:eastAsia="lv-LV"/>
              </w:rPr>
              <w:t>4</w:t>
            </w:r>
            <w:r w:rsidR="001C09BE" w:rsidRPr="004C7C46">
              <w:rPr>
                <w:rFonts w:ascii="Times New Roman" w:eastAsia="Times New Roman" w:hAnsi="Times New Roman" w:cs="Times New Roman"/>
                <w:bCs/>
                <w:sz w:val="24"/>
                <w:szCs w:val="24"/>
                <w:shd w:val="clear" w:color="auto" w:fill="FFFFFF"/>
                <w:lang w:eastAsia="lv-LV"/>
              </w:rPr>
              <w:t xml:space="preserve"> pant</w:t>
            </w:r>
            <w:r>
              <w:rPr>
                <w:rFonts w:ascii="Times New Roman" w:eastAsia="Times New Roman" w:hAnsi="Times New Roman" w:cs="Times New Roman"/>
                <w:bCs/>
                <w:sz w:val="24"/>
                <w:szCs w:val="24"/>
                <w:shd w:val="clear" w:color="auto" w:fill="FFFFFF"/>
                <w:lang w:eastAsia="lv-LV"/>
              </w:rPr>
              <w:t>u,</w:t>
            </w:r>
            <w:r w:rsidR="001C09BE" w:rsidRPr="004C7C46">
              <w:rPr>
                <w:rFonts w:ascii="Times New Roman" w:eastAsia="Times New Roman" w:hAnsi="Times New Roman" w:cs="Times New Roman"/>
                <w:bCs/>
                <w:sz w:val="24"/>
                <w:szCs w:val="24"/>
                <w:shd w:val="clear" w:color="auto" w:fill="FFFFFF"/>
                <w:lang w:eastAsia="lv-LV"/>
              </w:rPr>
              <w:t xml:space="preserve"> paredz</w:t>
            </w:r>
            <w:r>
              <w:rPr>
                <w:rFonts w:ascii="Times New Roman" w:eastAsia="Times New Roman" w:hAnsi="Times New Roman" w:cs="Times New Roman"/>
                <w:bCs/>
                <w:sz w:val="24"/>
                <w:szCs w:val="24"/>
                <w:shd w:val="clear" w:color="auto" w:fill="FFFFFF"/>
                <w:lang w:eastAsia="lv-LV"/>
              </w:rPr>
              <w:t>ot</w:t>
            </w:r>
            <w:r w:rsidR="001C09BE" w:rsidRPr="004C7C46">
              <w:rPr>
                <w:rFonts w:ascii="Times New Roman" w:eastAsia="Times New Roman" w:hAnsi="Times New Roman" w:cs="Times New Roman"/>
                <w:bCs/>
                <w:sz w:val="24"/>
                <w:szCs w:val="24"/>
                <w:shd w:val="clear" w:color="auto" w:fill="FFFFFF"/>
                <w:lang w:eastAsia="lv-LV"/>
              </w:rPr>
              <w:t xml:space="preserve"> regulējumu situācijām, ja lēmumu par noregulēšanu </w:t>
            </w:r>
            <w:r w:rsidR="001C09BE" w:rsidRPr="004C7C46">
              <w:rPr>
                <w:rFonts w:ascii="Times New Roman" w:eastAsia="Times New Roman" w:hAnsi="Times New Roman" w:cs="Times New Roman"/>
                <w:bCs/>
                <w:sz w:val="24"/>
                <w:szCs w:val="24"/>
                <w:shd w:val="clear" w:color="auto" w:fill="FFFFFF"/>
                <w:lang w:eastAsia="lv-LV"/>
              </w:rPr>
              <w:lastRenderedPageBreak/>
              <w:t>pieņemšanā ir iesaistītas vairāku valstu noregulējuma iestādes.</w:t>
            </w:r>
          </w:p>
          <w:p w:rsidR="001C09BE" w:rsidRPr="004C7C46" w:rsidRDefault="001C09BE" w:rsidP="00AD0FE4">
            <w:pPr>
              <w:shd w:val="clear" w:color="auto" w:fill="FFFFFF"/>
              <w:spacing w:after="6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Saskaņā ar likuma 64. pantu iestādēm vai finanšu sabiedrībām, kas tiek noregulētas ir jāsniedz FKTK pārskats par savu MREL prasību, atbilstīgo un iekšēji rekapitalizējamo saistību līmeņiem un šo saistību sastāvu, tai skaitā to termiņa profilu un prioritāti parastajā maksātnespējas procedūrā.</w:t>
            </w:r>
          </w:p>
          <w:p w:rsidR="006C0C52" w:rsidRPr="004C7C46" w:rsidRDefault="00757920" w:rsidP="006C0C52">
            <w:pPr>
              <w:shd w:val="clear" w:color="auto" w:fill="FFFFFF"/>
              <w:spacing w:before="60" w:after="60" w:line="240" w:lineRule="auto"/>
              <w:jc w:val="both"/>
              <w:rPr>
                <w:rFonts w:ascii="Times New Roman" w:eastAsia="Times New Roman" w:hAnsi="Times New Roman" w:cs="Times New Roman"/>
                <w:bCs/>
                <w:color w:val="0070C0"/>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Grozījumi likuma 11. pantā papildina noregulējuma plānā norādāmo informāciju.</w:t>
            </w:r>
            <w:r w:rsidR="00D73B51" w:rsidRPr="004C7C46">
              <w:rPr>
                <w:rFonts w:ascii="Times New Roman" w:eastAsia="Times New Roman" w:hAnsi="Times New Roman" w:cs="Times New Roman"/>
                <w:bCs/>
                <w:sz w:val="24"/>
                <w:szCs w:val="24"/>
                <w:shd w:val="clear" w:color="auto" w:fill="FFFFFF"/>
                <w:lang w:eastAsia="lv-LV"/>
              </w:rPr>
              <w:t xml:space="preserve"> Attiecībā uz noregulē</w:t>
            </w:r>
            <w:r w:rsidR="00AD0FE4" w:rsidRPr="004C7C46">
              <w:rPr>
                <w:rFonts w:ascii="Times New Roman" w:eastAsia="Times New Roman" w:hAnsi="Times New Roman" w:cs="Times New Roman"/>
                <w:bCs/>
                <w:sz w:val="24"/>
                <w:szCs w:val="24"/>
                <w:shd w:val="clear" w:color="auto" w:fill="FFFFFF"/>
                <w:lang w:eastAsia="lv-LV"/>
              </w:rPr>
              <w:t>jamo grupu noregulēšanu likumā</w:t>
            </w:r>
            <w:r w:rsidR="00500564" w:rsidRPr="004C7C46">
              <w:rPr>
                <w:rFonts w:ascii="Times New Roman" w:eastAsia="Times New Roman" w:hAnsi="Times New Roman" w:cs="Times New Roman"/>
                <w:bCs/>
                <w:sz w:val="24"/>
                <w:szCs w:val="24"/>
                <w:shd w:val="clear" w:color="auto" w:fill="FFFFFF"/>
                <w:lang w:eastAsia="lv-LV"/>
              </w:rPr>
              <w:t xml:space="preserve"> </w:t>
            </w:r>
            <w:r w:rsidR="00AD0FE4" w:rsidRPr="004C7C46">
              <w:rPr>
                <w:rFonts w:ascii="Times New Roman" w:eastAsia="Times New Roman" w:hAnsi="Times New Roman" w:cs="Times New Roman"/>
                <w:bCs/>
                <w:sz w:val="24"/>
                <w:szCs w:val="24"/>
                <w:shd w:val="clear" w:color="auto" w:fill="FFFFFF"/>
                <w:lang w:eastAsia="lv-LV"/>
              </w:rPr>
              <w:t xml:space="preserve">paredzēti grozījumi 13., 14., 15. un 18. </w:t>
            </w:r>
            <w:r w:rsidR="00D73B51" w:rsidRPr="004C7C46">
              <w:rPr>
                <w:rFonts w:ascii="Times New Roman" w:eastAsia="Times New Roman" w:hAnsi="Times New Roman" w:cs="Times New Roman"/>
                <w:bCs/>
                <w:sz w:val="24"/>
                <w:szCs w:val="24"/>
                <w:shd w:val="clear" w:color="auto" w:fill="FFFFFF"/>
                <w:lang w:eastAsia="lv-LV"/>
              </w:rPr>
              <w:t>p</w:t>
            </w:r>
            <w:r w:rsidR="00AD0FE4" w:rsidRPr="004C7C46">
              <w:rPr>
                <w:rFonts w:ascii="Times New Roman" w:eastAsia="Times New Roman" w:hAnsi="Times New Roman" w:cs="Times New Roman"/>
                <w:bCs/>
                <w:sz w:val="24"/>
                <w:szCs w:val="24"/>
                <w:shd w:val="clear" w:color="auto" w:fill="FFFFFF"/>
                <w:lang w:eastAsia="lv-LV"/>
              </w:rPr>
              <w:t>antā</w:t>
            </w:r>
            <w:r w:rsidR="00D73B51" w:rsidRPr="004C7C46">
              <w:rPr>
                <w:rFonts w:ascii="Times New Roman" w:eastAsia="Times New Roman" w:hAnsi="Times New Roman" w:cs="Times New Roman"/>
                <w:bCs/>
                <w:sz w:val="24"/>
                <w:szCs w:val="24"/>
                <w:shd w:val="clear" w:color="auto" w:fill="FFFFFF"/>
                <w:lang w:eastAsia="lv-LV"/>
              </w:rPr>
              <w:t>, papild</w:t>
            </w:r>
            <w:r w:rsidR="004C7C46" w:rsidRPr="004C7C46">
              <w:rPr>
                <w:rFonts w:ascii="Times New Roman" w:eastAsia="Times New Roman" w:hAnsi="Times New Roman" w:cs="Times New Roman"/>
                <w:bCs/>
                <w:sz w:val="24"/>
                <w:szCs w:val="24"/>
                <w:shd w:val="clear" w:color="auto" w:fill="FFFFFF"/>
                <w:lang w:eastAsia="lv-LV"/>
              </w:rPr>
              <w:t>i</w:t>
            </w:r>
            <w:r w:rsidR="00D73B51" w:rsidRPr="004C7C46">
              <w:rPr>
                <w:rFonts w:ascii="Times New Roman" w:eastAsia="Times New Roman" w:hAnsi="Times New Roman" w:cs="Times New Roman"/>
                <w:bCs/>
                <w:sz w:val="24"/>
                <w:szCs w:val="24"/>
                <w:shd w:val="clear" w:color="auto" w:fill="FFFFFF"/>
                <w:lang w:eastAsia="lv-LV"/>
              </w:rPr>
              <w:t>not regul</w:t>
            </w:r>
            <w:r w:rsidR="006C0C52" w:rsidRPr="004C7C46">
              <w:rPr>
                <w:rFonts w:ascii="Times New Roman" w:eastAsia="Times New Roman" w:hAnsi="Times New Roman" w:cs="Times New Roman"/>
                <w:bCs/>
                <w:sz w:val="24"/>
                <w:szCs w:val="24"/>
                <w:shd w:val="clear" w:color="auto" w:fill="FFFFFF"/>
                <w:lang w:eastAsia="lv-LV"/>
              </w:rPr>
              <w:t>ē</w:t>
            </w:r>
            <w:r w:rsidR="00D73B51" w:rsidRPr="004C7C46">
              <w:rPr>
                <w:rFonts w:ascii="Times New Roman" w:eastAsia="Times New Roman" w:hAnsi="Times New Roman" w:cs="Times New Roman"/>
                <w:bCs/>
                <w:sz w:val="24"/>
                <w:szCs w:val="24"/>
                <w:shd w:val="clear" w:color="auto" w:fill="FFFFFF"/>
                <w:lang w:eastAsia="lv-LV"/>
              </w:rPr>
              <w:t>jumu</w:t>
            </w:r>
            <w:r w:rsidR="00AD0FE4" w:rsidRPr="004C7C46">
              <w:rPr>
                <w:rFonts w:ascii="Times New Roman" w:eastAsia="Times New Roman" w:hAnsi="Times New Roman" w:cs="Times New Roman"/>
                <w:bCs/>
                <w:sz w:val="24"/>
                <w:szCs w:val="24"/>
                <w:shd w:val="clear" w:color="auto" w:fill="FFFFFF"/>
                <w:lang w:eastAsia="lv-LV"/>
              </w:rPr>
              <w:t xml:space="preserve"> attiecībā uz grupas noregulējuma plāna izstrādi</w:t>
            </w:r>
            <w:r w:rsidR="00D73B51" w:rsidRPr="004C7C46">
              <w:rPr>
                <w:rFonts w:ascii="Times New Roman" w:eastAsia="Times New Roman" w:hAnsi="Times New Roman" w:cs="Times New Roman"/>
                <w:bCs/>
                <w:sz w:val="24"/>
                <w:szCs w:val="24"/>
                <w:shd w:val="clear" w:color="auto" w:fill="FFFFFF"/>
                <w:lang w:eastAsia="lv-LV"/>
              </w:rPr>
              <w:t xml:space="preserve">, </w:t>
            </w:r>
            <w:r w:rsidR="00AD0FE4" w:rsidRPr="004C7C46">
              <w:rPr>
                <w:rFonts w:ascii="Times New Roman" w:eastAsia="Times New Roman" w:hAnsi="Times New Roman" w:cs="Times New Roman"/>
                <w:bCs/>
                <w:sz w:val="24"/>
                <w:szCs w:val="24"/>
                <w:shd w:val="clear" w:color="auto" w:fill="FFFFFF"/>
                <w:lang w:eastAsia="lv-LV"/>
              </w:rPr>
              <w:t>pieņemšanu, kā arī noregulējamības novērtējumu.</w:t>
            </w:r>
            <w:r w:rsidR="00AD0FE4" w:rsidRPr="004C7C46">
              <w:rPr>
                <w:rFonts w:ascii="Times New Roman" w:eastAsia="Times New Roman" w:hAnsi="Times New Roman" w:cs="Times New Roman"/>
                <w:bCs/>
                <w:color w:val="0070C0"/>
                <w:sz w:val="24"/>
                <w:szCs w:val="24"/>
                <w:shd w:val="clear" w:color="auto" w:fill="FFFFFF"/>
                <w:lang w:eastAsia="lv-LV"/>
              </w:rPr>
              <w:t xml:space="preserve"> </w:t>
            </w:r>
          </w:p>
          <w:p w:rsidR="006C0C52" w:rsidRPr="004C7C46" w:rsidRDefault="006C0C52" w:rsidP="006C0C52">
            <w:pPr>
              <w:shd w:val="clear" w:color="auto" w:fill="FFFFFF"/>
              <w:spacing w:before="60" w:after="6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18.</w:t>
            </w:r>
            <w:r w:rsidRPr="004C7C46">
              <w:rPr>
                <w:rFonts w:ascii="Times New Roman" w:eastAsia="Times New Roman" w:hAnsi="Times New Roman" w:cs="Times New Roman"/>
                <w:bCs/>
                <w:sz w:val="24"/>
                <w:szCs w:val="24"/>
                <w:shd w:val="clear" w:color="auto" w:fill="FFFFFF"/>
                <w:vertAlign w:val="superscript"/>
                <w:lang w:eastAsia="lv-LV"/>
              </w:rPr>
              <w:t>1</w:t>
            </w:r>
            <w:r w:rsidRPr="004C7C46">
              <w:rPr>
                <w:rFonts w:ascii="Times New Roman" w:eastAsia="Times New Roman" w:hAnsi="Times New Roman" w:cs="Times New Roman"/>
                <w:bCs/>
                <w:sz w:val="24"/>
                <w:szCs w:val="24"/>
                <w:shd w:val="clear" w:color="auto" w:fill="FFFFFF"/>
                <w:lang w:eastAsia="lv-LV"/>
              </w:rPr>
              <w:t xml:space="preserve"> pantā noteikts ierobežojums sadalīt peļņu, ja iestāde vai finanšu sabiedrība neievēro kopējo kapitāla rezervju prasību minimālā pašu kapitāla un atbilstīgo saistību prasības sastāvā.</w:t>
            </w:r>
            <w:r w:rsidRPr="004C7C46">
              <w:rPr>
                <w:rFonts w:ascii="Times New Roman" w:eastAsia="Times New Roman" w:hAnsi="Times New Roman" w:cs="Times New Roman"/>
                <w:bCs/>
                <w:color w:val="0070C0"/>
                <w:sz w:val="24"/>
                <w:szCs w:val="24"/>
                <w:shd w:val="clear" w:color="auto" w:fill="FFFFFF"/>
                <w:lang w:eastAsia="lv-LV"/>
              </w:rPr>
              <w:t xml:space="preserve"> </w:t>
            </w:r>
            <w:r w:rsidRPr="004C7C46">
              <w:rPr>
                <w:rFonts w:ascii="Times New Roman" w:eastAsia="Times New Roman" w:hAnsi="Times New Roman" w:cs="Times New Roman"/>
                <w:bCs/>
                <w:sz w:val="24"/>
                <w:szCs w:val="24"/>
                <w:shd w:val="clear" w:color="auto" w:fill="FFFFFF"/>
                <w:lang w:eastAsia="lv-LV"/>
              </w:rPr>
              <w:t>Savukārt ar grozījumiem likuma 20. pantā papildināts regulējums attiecībā uz iestādei vai finanšu sabiedrībai konstatēto šķēršļu noregulējam</w:t>
            </w:r>
            <w:r w:rsidR="00801765">
              <w:rPr>
                <w:rFonts w:ascii="Times New Roman" w:eastAsia="Times New Roman" w:hAnsi="Times New Roman" w:cs="Times New Roman"/>
                <w:bCs/>
                <w:sz w:val="24"/>
                <w:szCs w:val="24"/>
                <w:shd w:val="clear" w:color="auto" w:fill="FFFFFF"/>
                <w:lang w:eastAsia="lv-LV"/>
              </w:rPr>
              <w:t>ī</w:t>
            </w:r>
            <w:r w:rsidRPr="004C7C46">
              <w:rPr>
                <w:rFonts w:ascii="Times New Roman" w:eastAsia="Times New Roman" w:hAnsi="Times New Roman" w:cs="Times New Roman"/>
                <w:bCs/>
                <w:sz w:val="24"/>
                <w:szCs w:val="24"/>
                <w:shd w:val="clear" w:color="auto" w:fill="FFFFFF"/>
                <w:lang w:eastAsia="lv-LV"/>
              </w:rPr>
              <w:t>bai novēršanu.</w:t>
            </w:r>
          </w:p>
          <w:p w:rsidR="00AD0FE4" w:rsidRPr="004C7C46" w:rsidRDefault="00AD0FE4" w:rsidP="006C0C52">
            <w:pPr>
              <w:shd w:val="clear" w:color="auto" w:fill="FFFFFF"/>
              <w:spacing w:after="6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21. un 22. pantā precizēts regulējums attiecībā uz saskaņota lēmuma par noregulējumu pieņemšanu attiecībā uz visām iestādēm un finanšu sabiedrībām un to meitas sabiedrībām, kas ietilpst grupā.</w:t>
            </w:r>
          </w:p>
          <w:p w:rsidR="00283653" w:rsidRPr="004C7C46" w:rsidRDefault="00283653" w:rsidP="00283653">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Likums papildināts ar 39.</w:t>
            </w:r>
            <w:r w:rsidRPr="004C7C46">
              <w:rPr>
                <w:rFonts w:ascii="Times New Roman" w:eastAsia="Times New Roman" w:hAnsi="Times New Roman" w:cs="Times New Roman"/>
                <w:bCs/>
                <w:sz w:val="24"/>
                <w:szCs w:val="24"/>
                <w:shd w:val="clear" w:color="auto" w:fill="FFFFFF"/>
                <w:vertAlign w:val="superscript"/>
                <w:lang w:eastAsia="lv-LV"/>
              </w:rPr>
              <w:t>1</w:t>
            </w:r>
            <w:r w:rsidRPr="004C7C46">
              <w:rPr>
                <w:rFonts w:ascii="Times New Roman" w:eastAsia="Times New Roman" w:hAnsi="Times New Roman" w:cs="Times New Roman"/>
                <w:bCs/>
                <w:sz w:val="24"/>
                <w:szCs w:val="24"/>
                <w:shd w:val="clear" w:color="auto" w:fill="FFFFFF"/>
                <w:lang w:eastAsia="lv-LV"/>
              </w:rPr>
              <w:t xml:space="preserve"> un 39.</w:t>
            </w:r>
            <w:r w:rsidRPr="004C7C46">
              <w:rPr>
                <w:rFonts w:ascii="Times New Roman" w:eastAsia="Times New Roman" w:hAnsi="Times New Roman" w:cs="Times New Roman"/>
                <w:bCs/>
                <w:sz w:val="24"/>
                <w:szCs w:val="24"/>
                <w:shd w:val="clear" w:color="auto" w:fill="FFFFFF"/>
                <w:vertAlign w:val="superscript"/>
                <w:lang w:eastAsia="lv-LV"/>
              </w:rPr>
              <w:t>2</w:t>
            </w:r>
            <w:r w:rsidRPr="004C7C46">
              <w:rPr>
                <w:rFonts w:ascii="Times New Roman" w:eastAsia="Times New Roman" w:hAnsi="Times New Roman" w:cs="Times New Roman"/>
                <w:bCs/>
                <w:sz w:val="24"/>
                <w:szCs w:val="24"/>
                <w:shd w:val="clear" w:color="auto" w:fill="FFFFFF"/>
                <w:lang w:eastAsia="lv-LV"/>
              </w:rPr>
              <w:t xml:space="preserve"> pantu, kas precizē FKTK tiesības veikt noregulējuma darbību attiecībā uz centrālo iestādi un tai patstāvīgi radniecīgajām iestādēm, kā arī iestādes vai finanšu sabiedrības likvidācijas piemērošanu, ja noregulēšana neatbilst sabiedrības interesēm.</w:t>
            </w:r>
          </w:p>
          <w:p w:rsidR="00283653" w:rsidRPr="004C7C46" w:rsidRDefault="00D73B51" w:rsidP="00283653">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Vienlaikus p</w:t>
            </w:r>
            <w:r w:rsidR="00283653" w:rsidRPr="004C7C46">
              <w:rPr>
                <w:rFonts w:ascii="Times New Roman" w:eastAsia="Times New Roman" w:hAnsi="Times New Roman" w:cs="Times New Roman"/>
                <w:bCs/>
                <w:sz w:val="24"/>
                <w:szCs w:val="24"/>
                <w:shd w:val="clear" w:color="auto" w:fill="FFFFFF"/>
                <w:lang w:eastAsia="lv-LV"/>
              </w:rPr>
              <w:t>recizēt</w:t>
            </w:r>
            <w:r w:rsidRPr="004C7C46">
              <w:rPr>
                <w:rFonts w:ascii="Times New Roman" w:eastAsia="Times New Roman" w:hAnsi="Times New Roman" w:cs="Times New Roman"/>
                <w:bCs/>
                <w:sz w:val="24"/>
                <w:szCs w:val="24"/>
                <w:shd w:val="clear" w:color="auto" w:fill="FFFFFF"/>
                <w:lang w:eastAsia="lv-LV"/>
              </w:rPr>
              <w:t>s likuma 40. pants</w:t>
            </w:r>
            <w:r w:rsidR="00283653" w:rsidRPr="004C7C46">
              <w:rPr>
                <w:rFonts w:ascii="Times New Roman" w:eastAsia="Times New Roman" w:hAnsi="Times New Roman" w:cs="Times New Roman"/>
                <w:bCs/>
                <w:sz w:val="24"/>
                <w:szCs w:val="24"/>
                <w:shd w:val="clear" w:color="auto" w:fill="FFFFFF"/>
                <w:lang w:eastAsia="lv-LV"/>
              </w:rPr>
              <w:t xml:space="preserve"> attiecībā uz likumā 2. panta otrās daļas 3. un 4. punktā minēto finanšu sabiedrību noregulējuma da</w:t>
            </w:r>
            <w:r w:rsidR="00801765">
              <w:rPr>
                <w:rFonts w:ascii="Times New Roman" w:eastAsia="Times New Roman" w:hAnsi="Times New Roman" w:cs="Times New Roman"/>
                <w:bCs/>
                <w:sz w:val="24"/>
                <w:szCs w:val="24"/>
                <w:shd w:val="clear" w:color="auto" w:fill="FFFFFF"/>
                <w:lang w:eastAsia="lv-LV"/>
              </w:rPr>
              <w:t>r</w:t>
            </w:r>
            <w:r w:rsidR="00283653" w:rsidRPr="004C7C46">
              <w:rPr>
                <w:rFonts w:ascii="Times New Roman" w:eastAsia="Times New Roman" w:hAnsi="Times New Roman" w:cs="Times New Roman"/>
                <w:bCs/>
                <w:sz w:val="24"/>
                <w:szCs w:val="24"/>
                <w:shd w:val="clear" w:color="auto" w:fill="FFFFFF"/>
                <w:lang w:eastAsia="lv-LV"/>
              </w:rPr>
              <w:t>bības veikšanas nosacījumiem.</w:t>
            </w:r>
          </w:p>
          <w:p w:rsidR="00283653" w:rsidRPr="004C7C46" w:rsidRDefault="00283653" w:rsidP="00DF0851">
            <w:pPr>
              <w:shd w:val="clear" w:color="auto" w:fill="FFFFFF"/>
              <w:spacing w:before="60"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Likums papildināts ar 40.</w:t>
            </w:r>
            <w:r w:rsidRPr="004C7C46">
              <w:rPr>
                <w:rFonts w:ascii="Times New Roman" w:eastAsia="Times New Roman" w:hAnsi="Times New Roman" w:cs="Times New Roman"/>
                <w:bCs/>
                <w:sz w:val="24"/>
                <w:szCs w:val="24"/>
                <w:shd w:val="clear" w:color="auto" w:fill="FFFFFF"/>
                <w:vertAlign w:val="superscript"/>
                <w:lang w:eastAsia="lv-LV"/>
              </w:rPr>
              <w:t>1</w:t>
            </w:r>
            <w:r w:rsidRPr="004C7C46">
              <w:rPr>
                <w:rFonts w:ascii="Times New Roman" w:eastAsia="Times New Roman" w:hAnsi="Times New Roman" w:cs="Times New Roman"/>
                <w:bCs/>
                <w:sz w:val="24"/>
                <w:szCs w:val="24"/>
                <w:shd w:val="clear" w:color="auto" w:fill="FFFFFF"/>
                <w:lang w:eastAsia="lv-LV"/>
              </w:rPr>
              <w:t xml:space="preserve"> pantu, paredzot gadījumus, kad FKTK ir tiesības apturēt maksājuma vai piegādes saistības, kas izriet no iestādes vai finanšu sabiedrības noslēgtajiem līgumiem, vienlaikus, ja nepieciešams, ierobežojot otru līgumslēdzējpusi vienpusēji izbeigt līgumu vai izmantot nodrošināto kreditoru nodrošinājuma tiesību īstenošanu.</w:t>
            </w:r>
            <w:r w:rsidR="00FD6705">
              <w:rPr>
                <w:rFonts w:ascii="Times New Roman" w:eastAsia="Times New Roman" w:hAnsi="Times New Roman" w:cs="Times New Roman"/>
                <w:bCs/>
                <w:sz w:val="24"/>
                <w:szCs w:val="24"/>
                <w:shd w:val="clear" w:color="auto" w:fill="FFFFFF"/>
                <w:lang w:eastAsia="lv-LV"/>
              </w:rPr>
              <w:t xml:space="preserve"> Pantā izmant</w:t>
            </w:r>
            <w:r w:rsidR="00850C80">
              <w:rPr>
                <w:rFonts w:ascii="Times New Roman" w:eastAsia="Times New Roman" w:hAnsi="Times New Roman" w:cs="Times New Roman"/>
                <w:bCs/>
                <w:sz w:val="24"/>
                <w:szCs w:val="24"/>
                <w:shd w:val="clear" w:color="auto" w:fill="FFFFFF"/>
                <w:lang w:eastAsia="lv-LV"/>
              </w:rPr>
              <w:t>ot</w:t>
            </w:r>
            <w:r w:rsidR="00FD6705">
              <w:rPr>
                <w:rFonts w:ascii="Times New Roman" w:eastAsia="Times New Roman" w:hAnsi="Times New Roman" w:cs="Times New Roman"/>
                <w:bCs/>
                <w:sz w:val="24"/>
                <w:szCs w:val="24"/>
                <w:shd w:val="clear" w:color="auto" w:fill="FFFFFF"/>
                <w:lang w:eastAsia="lv-LV"/>
              </w:rPr>
              <w:t xml:space="preserve">a </w:t>
            </w:r>
            <w:r w:rsidR="00FD6705" w:rsidRPr="00850C80">
              <w:rPr>
                <w:rFonts w:ascii="Times New Roman" w:eastAsia="Times New Roman" w:hAnsi="Times New Roman" w:cs="Times New Roman"/>
                <w:bCs/>
                <w:sz w:val="24"/>
                <w:szCs w:val="24"/>
                <w:shd w:val="clear" w:color="auto" w:fill="FFFFFF"/>
                <w:lang w:eastAsia="lv-LV"/>
              </w:rPr>
              <w:t>Direktīvā (ES) 2019/879 paredzētā</w:t>
            </w:r>
            <w:r w:rsidR="00FD6705">
              <w:rPr>
                <w:rFonts w:ascii="Times New Roman" w:eastAsia="Times New Roman" w:hAnsi="Times New Roman" w:cs="Times New Roman"/>
                <w:bCs/>
                <w:sz w:val="24"/>
                <w:szCs w:val="24"/>
                <w:shd w:val="clear" w:color="auto" w:fill="FFFFFF"/>
                <w:lang w:eastAsia="lv-LV"/>
              </w:rPr>
              <w:t xml:space="preserve"> opcija saglabāt noguldītājiem piekļuvi pienācīgai summai dienā, ja FKTK ir īstenojusi pilnvaras apturēt maksājuma vai </w:t>
            </w:r>
            <w:r w:rsidR="00FD6705">
              <w:rPr>
                <w:rFonts w:ascii="Times New Roman" w:eastAsia="Times New Roman" w:hAnsi="Times New Roman" w:cs="Times New Roman"/>
                <w:bCs/>
                <w:sz w:val="24"/>
                <w:szCs w:val="24"/>
                <w:shd w:val="clear" w:color="auto" w:fill="FFFFFF"/>
                <w:lang w:eastAsia="lv-LV"/>
              </w:rPr>
              <w:lastRenderedPageBreak/>
              <w:t>piegādes saistības attiecībā uz segtajiem noguldījumiem.</w:t>
            </w:r>
          </w:p>
          <w:p w:rsidR="00F137B6" w:rsidRPr="004C7C46" w:rsidRDefault="0026666D" w:rsidP="00B3793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54. pantā precizēts saistību loks, kurām nepiemēro iekšējās rekapitalizācijas instrumentu.</w:t>
            </w:r>
            <w:r w:rsidR="00DF0851" w:rsidRPr="004C7C46">
              <w:rPr>
                <w:rFonts w:ascii="Times New Roman" w:eastAsia="Times New Roman" w:hAnsi="Times New Roman" w:cs="Times New Roman"/>
                <w:bCs/>
                <w:sz w:val="24"/>
                <w:szCs w:val="24"/>
                <w:shd w:val="clear" w:color="auto" w:fill="FFFFFF"/>
                <w:lang w:eastAsia="lv-LV"/>
              </w:rPr>
              <w:t xml:space="preserve"> Savukārt </w:t>
            </w:r>
            <w:r w:rsidR="006C0C52" w:rsidRPr="004C7C46">
              <w:rPr>
                <w:rFonts w:ascii="Times New Roman" w:eastAsia="Times New Roman" w:hAnsi="Times New Roman" w:cs="Times New Roman"/>
                <w:bCs/>
                <w:sz w:val="24"/>
                <w:szCs w:val="24"/>
                <w:shd w:val="clear" w:color="auto" w:fill="FFFFFF"/>
                <w:lang w:eastAsia="lv-LV"/>
              </w:rPr>
              <w:t>l</w:t>
            </w:r>
            <w:r w:rsidRPr="004C7C46">
              <w:rPr>
                <w:rFonts w:ascii="Times New Roman" w:eastAsia="Times New Roman" w:hAnsi="Times New Roman" w:cs="Times New Roman"/>
                <w:bCs/>
                <w:sz w:val="24"/>
                <w:szCs w:val="24"/>
                <w:shd w:val="clear" w:color="auto" w:fill="FFFFFF"/>
                <w:lang w:eastAsia="lv-LV"/>
              </w:rPr>
              <w:t>ikum</w:t>
            </w:r>
            <w:r w:rsidR="006C0C52" w:rsidRPr="004C7C46">
              <w:rPr>
                <w:rFonts w:ascii="Times New Roman" w:eastAsia="Times New Roman" w:hAnsi="Times New Roman" w:cs="Times New Roman"/>
                <w:bCs/>
                <w:sz w:val="24"/>
                <w:szCs w:val="24"/>
                <w:shd w:val="clear" w:color="auto" w:fill="FFFFFF"/>
                <w:lang w:eastAsia="lv-LV"/>
              </w:rPr>
              <w:t>a</w:t>
            </w:r>
            <w:r w:rsidRPr="004C7C46">
              <w:rPr>
                <w:rFonts w:ascii="Times New Roman" w:eastAsia="Times New Roman" w:hAnsi="Times New Roman" w:cs="Times New Roman"/>
                <w:bCs/>
                <w:sz w:val="24"/>
                <w:szCs w:val="24"/>
                <w:shd w:val="clear" w:color="auto" w:fill="FFFFFF"/>
                <w:lang w:eastAsia="lv-LV"/>
              </w:rPr>
              <w:t xml:space="preserve"> 55. pants </w:t>
            </w:r>
            <w:r w:rsidR="00C43A02" w:rsidRPr="004C7C46">
              <w:rPr>
                <w:rFonts w:ascii="Times New Roman" w:eastAsia="Times New Roman" w:hAnsi="Times New Roman" w:cs="Times New Roman"/>
                <w:bCs/>
                <w:sz w:val="24"/>
                <w:szCs w:val="24"/>
                <w:shd w:val="clear" w:color="auto" w:fill="FFFFFF"/>
                <w:lang w:eastAsia="lv-LV"/>
              </w:rPr>
              <w:t xml:space="preserve">precizēts attiecībā uz </w:t>
            </w:r>
            <w:r w:rsidR="00284099" w:rsidRPr="004C7C46">
              <w:rPr>
                <w:rFonts w:ascii="Times New Roman" w:eastAsia="Times New Roman" w:hAnsi="Times New Roman" w:cs="Times New Roman"/>
                <w:bCs/>
                <w:sz w:val="24"/>
                <w:szCs w:val="24"/>
                <w:shd w:val="clear" w:color="auto" w:fill="FFFFFF"/>
                <w:lang w:eastAsia="lv-LV"/>
              </w:rPr>
              <w:t>saistību pret iestādēm, kas ietilpst vienā un tajā pašā noregulējamā grupā, norakstīšanu vai konvertēšanu.</w:t>
            </w:r>
          </w:p>
          <w:p w:rsidR="00F137B6" w:rsidRPr="004C7C46" w:rsidRDefault="00734082" w:rsidP="00B3793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Likums papildināts ar 5</w:t>
            </w:r>
            <w:r w:rsidR="00284099" w:rsidRPr="004C7C46">
              <w:rPr>
                <w:rFonts w:ascii="Times New Roman" w:eastAsia="Times New Roman" w:hAnsi="Times New Roman" w:cs="Times New Roman"/>
                <w:bCs/>
                <w:sz w:val="24"/>
                <w:szCs w:val="24"/>
                <w:shd w:val="clear" w:color="auto" w:fill="FFFFFF"/>
                <w:lang w:eastAsia="lv-LV"/>
              </w:rPr>
              <w:t>8.</w:t>
            </w:r>
            <w:r w:rsidR="00284099" w:rsidRPr="004C7C46">
              <w:rPr>
                <w:rFonts w:ascii="Times New Roman" w:eastAsia="Times New Roman" w:hAnsi="Times New Roman" w:cs="Times New Roman"/>
                <w:bCs/>
                <w:sz w:val="24"/>
                <w:szCs w:val="24"/>
                <w:shd w:val="clear" w:color="auto" w:fill="FFFFFF"/>
                <w:vertAlign w:val="superscript"/>
                <w:lang w:eastAsia="lv-LV"/>
              </w:rPr>
              <w:t>1</w:t>
            </w:r>
            <w:r w:rsidR="00284099" w:rsidRPr="004C7C46">
              <w:rPr>
                <w:rFonts w:ascii="Times New Roman" w:eastAsia="Times New Roman" w:hAnsi="Times New Roman" w:cs="Times New Roman"/>
                <w:bCs/>
                <w:sz w:val="24"/>
                <w:szCs w:val="24"/>
                <w:shd w:val="clear" w:color="auto" w:fill="FFFFFF"/>
                <w:lang w:eastAsia="lv-LV"/>
              </w:rPr>
              <w:t xml:space="preserve"> pant</w:t>
            </w:r>
            <w:r w:rsidR="009A0B85" w:rsidRPr="004C7C46">
              <w:rPr>
                <w:rFonts w:ascii="Times New Roman" w:eastAsia="Times New Roman" w:hAnsi="Times New Roman" w:cs="Times New Roman"/>
                <w:bCs/>
                <w:sz w:val="24"/>
                <w:szCs w:val="24"/>
                <w:shd w:val="clear" w:color="auto" w:fill="FFFFFF"/>
                <w:lang w:eastAsia="lv-LV"/>
              </w:rPr>
              <w:t>u</w:t>
            </w:r>
            <w:r w:rsidRPr="004C7C46">
              <w:rPr>
                <w:rFonts w:ascii="Times New Roman" w:eastAsia="Times New Roman" w:hAnsi="Times New Roman" w:cs="Times New Roman"/>
                <w:bCs/>
                <w:sz w:val="24"/>
                <w:szCs w:val="24"/>
                <w:shd w:val="clear" w:color="auto" w:fill="FFFFFF"/>
                <w:lang w:eastAsia="lv-LV"/>
              </w:rPr>
              <w:t xml:space="preserve">, kurā paredzēti atbilstīgo saistību pārdošanas nosacījumi. </w:t>
            </w:r>
            <w:r w:rsidR="00850C80">
              <w:rPr>
                <w:rFonts w:ascii="Times New Roman" w:eastAsia="Times New Roman" w:hAnsi="Times New Roman" w:cs="Times New Roman"/>
                <w:bCs/>
                <w:sz w:val="24"/>
                <w:szCs w:val="24"/>
                <w:shd w:val="clear" w:color="auto" w:fill="FFFFFF"/>
                <w:lang w:eastAsia="lv-LV"/>
              </w:rPr>
              <w:t>Pantā izman</w:t>
            </w:r>
            <w:r w:rsidR="003A2B52">
              <w:rPr>
                <w:rFonts w:ascii="Times New Roman" w:eastAsia="Times New Roman" w:hAnsi="Times New Roman" w:cs="Times New Roman"/>
                <w:bCs/>
                <w:sz w:val="24"/>
                <w:szCs w:val="24"/>
                <w:shd w:val="clear" w:color="auto" w:fill="FFFFFF"/>
                <w:lang w:eastAsia="lv-LV"/>
              </w:rPr>
              <w:t>t</w:t>
            </w:r>
            <w:r w:rsidR="00850C80">
              <w:rPr>
                <w:rFonts w:ascii="Times New Roman" w:eastAsia="Times New Roman" w:hAnsi="Times New Roman" w:cs="Times New Roman"/>
                <w:bCs/>
                <w:sz w:val="24"/>
                <w:szCs w:val="24"/>
                <w:shd w:val="clear" w:color="auto" w:fill="FFFFFF"/>
                <w:lang w:eastAsia="lv-LV"/>
              </w:rPr>
              <w:t>ot</w:t>
            </w:r>
            <w:r w:rsidR="003A2B52">
              <w:rPr>
                <w:rFonts w:ascii="Times New Roman" w:eastAsia="Times New Roman" w:hAnsi="Times New Roman" w:cs="Times New Roman"/>
                <w:bCs/>
                <w:sz w:val="24"/>
                <w:szCs w:val="24"/>
                <w:shd w:val="clear" w:color="auto" w:fill="FFFFFF"/>
                <w:lang w:eastAsia="lv-LV"/>
              </w:rPr>
              <w:t xml:space="preserve">a </w:t>
            </w:r>
            <w:r w:rsidR="003A2B52" w:rsidRPr="00DA4E2B">
              <w:rPr>
                <w:rFonts w:ascii="Times New Roman" w:eastAsia="Times New Roman" w:hAnsi="Times New Roman" w:cs="Times New Roman"/>
                <w:bCs/>
                <w:sz w:val="24"/>
                <w:szCs w:val="24"/>
                <w:shd w:val="clear" w:color="auto" w:fill="FFFFFF"/>
                <w:lang w:eastAsia="lv-LV"/>
              </w:rPr>
              <w:t>Direktīv</w:t>
            </w:r>
            <w:r w:rsidR="003A2B52">
              <w:rPr>
                <w:rFonts w:ascii="Times New Roman" w:eastAsia="Times New Roman" w:hAnsi="Times New Roman" w:cs="Times New Roman"/>
                <w:bCs/>
                <w:sz w:val="24"/>
                <w:szCs w:val="24"/>
                <w:shd w:val="clear" w:color="auto" w:fill="FFFFFF"/>
                <w:lang w:eastAsia="lv-LV"/>
              </w:rPr>
              <w:t xml:space="preserve">as </w:t>
            </w:r>
            <w:r w:rsidR="003A2B52" w:rsidRPr="00DA4E2B">
              <w:rPr>
                <w:rFonts w:ascii="Times New Roman" w:eastAsia="Times New Roman" w:hAnsi="Times New Roman" w:cs="Times New Roman"/>
                <w:bCs/>
                <w:sz w:val="24"/>
                <w:szCs w:val="24"/>
                <w:shd w:val="clear" w:color="auto" w:fill="FFFFFF"/>
                <w:lang w:eastAsia="lv-LV"/>
              </w:rPr>
              <w:t xml:space="preserve">(ES) 2019/879 </w:t>
            </w:r>
            <w:r w:rsidR="003A2B52">
              <w:rPr>
                <w:rFonts w:ascii="Times New Roman" w:eastAsia="Times New Roman" w:hAnsi="Times New Roman" w:cs="Times New Roman"/>
                <w:bCs/>
                <w:sz w:val="24"/>
                <w:szCs w:val="24"/>
                <w:shd w:val="clear" w:color="auto" w:fill="FFFFFF"/>
                <w:lang w:eastAsia="lv-LV"/>
              </w:rPr>
              <w:t>1.panta 16.punktā</w:t>
            </w:r>
            <w:r w:rsidR="003A2B52" w:rsidRPr="00DA4E2B">
              <w:rPr>
                <w:rFonts w:ascii="Times New Roman" w:eastAsia="Times New Roman" w:hAnsi="Times New Roman" w:cs="Times New Roman"/>
                <w:bCs/>
                <w:sz w:val="24"/>
                <w:szCs w:val="24"/>
                <w:shd w:val="clear" w:color="auto" w:fill="FFFFFF"/>
                <w:lang w:eastAsia="lv-LV"/>
              </w:rPr>
              <w:t xml:space="preserve"> paredzētā</w:t>
            </w:r>
            <w:r w:rsidR="003A2B52">
              <w:rPr>
                <w:rFonts w:ascii="Times New Roman" w:eastAsia="Times New Roman" w:hAnsi="Times New Roman" w:cs="Times New Roman"/>
                <w:bCs/>
                <w:sz w:val="24"/>
                <w:szCs w:val="24"/>
                <w:shd w:val="clear" w:color="auto" w:fill="FFFFFF"/>
                <w:lang w:eastAsia="lv-LV"/>
              </w:rPr>
              <w:t xml:space="preserve"> opcija,</w:t>
            </w:r>
            <w:r w:rsidR="00232ED5">
              <w:rPr>
                <w:rFonts w:ascii="Times New Roman" w:eastAsia="Times New Roman" w:hAnsi="Times New Roman" w:cs="Times New Roman"/>
                <w:bCs/>
                <w:sz w:val="24"/>
                <w:szCs w:val="24"/>
                <w:shd w:val="clear" w:color="auto" w:fill="FFFFFF"/>
                <w:lang w:eastAsia="lv-LV"/>
              </w:rPr>
              <w:t xml:space="preserve"> likumā pārņemot Direkīvas</w:t>
            </w:r>
            <w:r w:rsidR="003A2B52">
              <w:rPr>
                <w:rFonts w:ascii="Times New Roman" w:eastAsia="Times New Roman" w:hAnsi="Times New Roman" w:cs="Times New Roman"/>
                <w:bCs/>
                <w:sz w:val="24"/>
                <w:szCs w:val="24"/>
                <w:shd w:val="clear" w:color="auto" w:fill="FFFFFF"/>
                <w:lang w:eastAsia="lv-LV"/>
              </w:rPr>
              <w:t xml:space="preserve"> 44a. panta 1. – 4. punkt</w:t>
            </w:r>
            <w:r w:rsidR="00232ED5">
              <w:rPr>
                <w:rFonts w:ascii="Times New Roman" w:eastAsia="Times New Roman" w:hAnsi="Times New Roman" w:cs="Times New Roman"/>
                <w:bCs/>
                <w:sz w:val="24"/>
                <w:szCs w:val="24"/>
                <w:shd w:val="clear" w:color="auto" w:fill="FFFFFF"/>
                <w:lang w:eastAsia="lv-LV"/>
              </w:rPr>
              <w:t>u</w:t>
            </w:r>
            <w:r w:rsidR="003A2B52">
              <w:rPr>
                <w:rFonts w:ascii="Times New Roman" w:eastAsia="Times New Roman" w:hAnsi="Times New Roman" w:cs="Times New Roman"/>
                <w:bCs/>
                <w:sz w:val="24"/>
                <w:szCs w:val="24"/>
                <w:shd w:val="clear" w:color="auto" w:fill="FFFFFF"/>
                <w:lang w:eastAsia="lv-LV"/>
              </w:rPr>
              <w:t>.</w:t>
            </w:r>
          </w:p>
          <w:p w:rsidR="002225AD" w:rsidRPr="004C7C46" w:rsidRDefault="002225AD" w:rsidP="00B3793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6</w:t>
            </w:r>
            <w:r w:rsidR="00DF0851" w:rsidRPr="004C7C46">
              <w:rPr>
                <w:rFonts w:ascii="Times New Roman" w:eastAsia="Times New Roman" w:hAnsi="Times New Roman" w:cs="Times New Roman"/>
                <w:bCs/>
                <w:sz w:val="24"/>
                <w:szCs w:val="24"/>
                <w:shd w:val="clear" w:color="auto" w:fill="FFFFFF"/>
                <w:lang w:eastAsia="lv-LV"/>
              </w:rPr>
              <w:t>4</w:t>
            </w:r>
            <w:r w:rsidRPr="004C7C46">
              <w:rPr>
                <w:rFonts w:ascii="Times New Roman" w:eastAsia="Times New Roman" w:hAnsi="Times New Roman" w:cs="Times New Roman"/>
                <w:bCs/>
                <w:sz w:val="24"/>
                <w:szCs w:val="24"/>
                <w:shd w:val="clear" w:color="auto" w:fill="FFFFFF"/>
                <w:lang w:eastAsia="lv-LV"/>
              </w:rPr>
              <w:t>.</w:t>
            </w:r>
            <w:r w:rsidR="00CA0159" w:rsidRPr="004C7C46">
              <w:rPr>
                <w:rFonts w:ascii="Times New Roman" w:eastAsia="Times New Roman" w:hAnsi="Times New Roman" w:cs="Times New Roman"/>
                <w:bCs/>
                <w:sz w:val="24"/>
                <w:szCs w:val="24"/>
                <w:shd w:val="clear" w:color="auto" w:fill="FFFFFF"/>
                <w:lang w:eastAsia="lv-LV"/>
              </w:rPr>
              <w:t xml:space="preserve"> </w:t>
            </w:r>
            <w:r w:rsidRPr="004C7C46">
              <w:rPr>
                <w:rFonts w:ascii="Times New Roman" w:eastAsia="Times New Roman" w:hAnsi="Times New Roman" w:cs="Times New Roman"/>
                <w:bCs/>
                <w:sz w:val="24"/>
                <w:szCs w:val="24"/>
                <w:shd w:val="clear" w:color="auto" w:fill="FFFFFF"/>
                <w:lang w:eastAsia="lv-LV"/>
              </w:rPr>
              <w:t>pant</w:t>
            </w:r>
            <w:r w:rsidR="00DF0851" w:rsidRPr="004C7C46">
              <w:rPr>
                <w:rFonts w:ascii="Times New Roman" w:eastAsia="Times New Roman" w:hAnsi="Times New Roman" w:cs="Times New Roman"/>
                <w:bCs/>
                <w:sz w:val="24"/>
                <w:szCs w:val="24"/>
                <w:shd w:val="clear" w:color="auto" w:fill="FFFFFF"/>
                <w:lang w:eastAsia="lv-LV"/>
              </w:rPr>
              <w:t>a jaunā redakcija</w:t>
            </w:r>
            <w:r w:rsidRPr="004C7C46">
              <w:rPr>
                <w:rFonts w:ascii="Times New Roman" w:eastAsia="Times New Roman" w:hAnsi="Times New Roman" w:cs="Times New Roman"/>
                <w:bCs/>
                <w:sz w:val="24"/>
                <w:szCs w:val="24"/>
                <w:shd w:val="clear" w:color="auto" w:fill="FFFFFF"/>
                <w:lang w:eastAsia="lv-LV"/>
              </w:rPr>
              <w:t xml:space="preserve"> paredz FKTK rīcības modeli gadījumos, ja MREL netiek ievērota</w:t>
            </w:r>
            <w:r w:rsidR="004C7C46" w:rsidRPr="004C7C46">
              <w:rPr>
                <w:rFonts w:ascii="Times New Roman" w:eastAsia="Times New Roman" w:hAnsi="Times New Roman" w:cs="Times New Roman"/>
                <w:bCs/>
                <w:sz w:val="24"/>
                <w:szCs w:val="24"/>
                <w:shd w:val="clear" w:color="auto" w:fill="FFFFFF"/>
                <w:lang w:eastAsia="lv-LV"/>
              </w:rPr>
              <w:t>s</w:t>
            </w:r>
            <w:r w:rsidRPr="004C7C46">
              <w:rPr>
                <w:rFonts w:ascii="Times New Roman" w:eastAsia="Times New Roman" w:hAnsi="Times New Roman" w:cs="Times New Roman"/>
                <w:bCs/>
                <w:sz w:val="24"/>
                <w:szCs w:val="24"/>
                <w:shd w:val="clear" w:color="auto" w:fill="FFFFFF"/>
                <w:lang w:eastAsia="lv-LV"/>
              </w:rPr>
              <w:t>.</w:t>
            </w:r>
          </w:p>
          <w:p w:rsidR="001C7006" w:rsidRPr="004C7C46" w:rsidRDefault="00DF0851" w:rsidP="00B3793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w:t>
            </w:r>
            <w:r w:rsidR="00CA0159" w:rsidRPr="004C7C46">
              <w:rPr>
                <w:rFonts w:ascii="Times New Roman" w:eastAsia="Times New Roman" w:hAnsi="Times New Roman" w:cs="Times New Roman"/>
                <w:bCs/>
                <w:sz w:val="24"/>
                <w:szCs w:val="24"/>
                <w:shd w:val="clear" w:color="auto" w:fill="FFFFFF"/>
                <w:lang w:eastAsia="lv-LV"/>
              </w:rPr>
              <w:t xml:space="preserve"> 69. pants </w:t>
            </w:r>
            <w:r w:rsidRPr="004C7C46">
              <w:rPr>
                <w:rFonts w:ascii="Times New Roman" w:eastAsia="Times New Roman" w:hAnsi="Times New Roman" w:cs="Times New Roman"/>
                <w:bCs/>
                <w:sz w:val="24"/>
                <w:szCs w:val="24"/>
                <w:shd w:val="clear" w:color="auto" w:fill="FFFFFF"/>
                <w:lang w:eastAsia="lv-LV"/>
              </w:rPr>
              <w:t>papildināts</w:t>
            </w:r>
            <w:r w:rsidR="00CA0159" w:rsidRPr="004C7C46">
              <w:rPr>
                <w:rFonts w:ascii="Times New Roman" w:eastAsia="Times New Roman" w:hAnsi="Times New Roman" w:cs="Times New Roman"/>
                <w:bCs/>
                <w:sz w:val="24"/>
                <w:szCs w:val="24"/>
                <w:shd w:val="clear" w:color="auto" w:fill="FFFFFF"/>
                <w:lang w:eastAsia="lv-LV"/>
              </w:rPr>
              <w:t>, nosakot, ka maksātnespējas procesa gadījumā iestāžu un finanšu sabiedrību pašu kapitāla elementu prasījumiem ir zemāka kārta nekā prasījumiem, kas neizriet no pašu kapitāla elementa.</w:t>
            </w:r>
          </w:p>
          <w:p w:rsidR="001C7006" w:rsidRPr="004C7C46" w:rsidRDefault="00CE6623" w:rsidP="00F616B8">
            <w:pPr>
              <w:shd w:val="clear" w:color="auto" w:fill="FFFFFF"/>
              <w:spacing w:before="60"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76. pants paredz regulējumu, kas nepieciešams, lai varētu piemērot norakstīšanas un konvertēšanas tiesības attiecībā uz iestādes vai finanšu sabiedrību saistību noslēgtajos līgumos norādītajām saistībām</w:t>
            </w:r>
            <w:r w:rsidR="00EF49C7">
              <w:rPr>
                <w:rFonts w:ascii="Times New Roman" w:eastAsia="Times New Roman" w:hAnsi="Times New Roman" w:cs="Times New Roman"/>
                <w:bCs/>
                <w:sz w:val="24"/>
                <w:szCs w:val="24"/>
                <w:shd w:val="clear" w:color="auto" w:fill="FFFFFF"/>
                <w:lang w:eastAsia="lv-LV"/>
              </w:rPr>
              <w:t>.</w:t>
            </w:r>
          </w:p>
          <w:p w:rsidR="00CE6623" w:rsidRPr="004C7C46" w:rsidRDefault="004C41E6" w:rsidP="00B37939">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Ar grozījumiem l</w:t>
            </w:r>
            <w:r w:rsidR="00CE6623" w:rsidRPr="004C7C46">
              <w:rPr>
                <w:rFonts w:ascii="Times New Roman" w:eastAsia="Times New Roman" w:hAnsi="Times New Roman" w:cs="Times New Roman"/>
                <w:bCs/>
                <w:sz w:val="24"/>
                <w:szCs w:val="24"/>
                <w:shd w:val="clear" w:color="auto" w:fill="FFFFFF"/>
                <w:lang w:eastAsia="lv-LV"/>
              </w:rPr>
              <w:t>ikuma 77.</w:t>
            </w:r>
            <w:r w:rsidR="009A0B85" w:rsidRPr="004C7C46">
              <w:rPr>
                <w:rFonts w:ascii="Times New Roman" w:eastAsia="Times New Roman" w:hAnsi="Times New Roman" w:cs="Times New Roman"/>
                <w:bCs/>
                <w:sz w:val="24"/>
                <w:szCs w:val="24"/>
                <w:shd w:val="clear" w:color="auto" w:fill="FFFFFF"/>
                <w:lang w:eastAsia="lv-LV"/>
              </w:rPr>
              <w:t xml:space="preserve"> – </w:t>
            </w:r>
            <w:r w:rsidR="00CE6623" w:rsidRPr="004C7C46">
              <w:rPr>
                <w:rFonts w:ascii="Times New Roman" w:eastAsia="Times New Roman" w:hAnsi="Times New Roman" w:cs="Times New Roman"/>
                <w:bCs/>
                <w:sz w:val="24"/>
                <w:szCs w:val="24"/>
                <w:shd w:val="clear" w:color="auto" w:fill="FFFFFF"/>
                <w:lang w:eastAsia="lv-LV"/>
              </w:rPr>
              <w:t>80.pantā</w:t>
            </w:r>
            <w:r w:rsidRPr="004C7C46">
              <w:rPr>
                <w:rFonts w:ascii="Times New Roman" w:eastAsia="Times New Roman" w:hAnsi="Times New Roman" w:cs="Times New Roman"/>
                <w:bCs/>
                <w:sz w:val="24"/>
                <w:szCs w:val="24"/>
                <w:shd w:val="clear" w:color="auto" w:fill="FFFFFF"/>
                <w:lang w:eastAsia="lv-LV"/>
              </w:rPr>
              <w:t xml:space="preserve"> precizēti kapitālu instrumentu un atbilstīgo saistību norakstīšanas vai konvertēšanas noteikumi.</w:t>
            </w:r>
          </w:p>
          <w:p w:rsidR="008C3A05" w:rsidRPr="004C7C46" w:rsidRDefault="00FA2DAB" w:rsidP="00BE18FC">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91.</w:t>
            </w:r>
            <w:r w:rsidR="00027CBD" w:rsidRPr="004C7C46">
              <w:rPr>
                <w:rFonts w:ascii="Times New Roman" w:eastAsia="Times New Roman" w:hAnsi="Times New Roman" w:cs="Times New Roman"/>
                <w:bCs/>
                <w:sz w:val="24"/>
                <w:szCs w:val="24"/>
                <w:shd w:val="clear" w:color="auto" w:fill="FFFFFF"/>
                <w:lang w:eastAsia="lv-LV"/>
              </w:rPr>
              <w:t xml:space="preserve"> – 93.</w:t>
            </w:r>
            <w:r w:rsidRPr="004C7C46">
              <w:rPr>
                <w:rFonts w:ascii="Times New Roman" w:eastAsia="Times New Roman" w:hAnsi="Times New Roman" w:cs="Times New Roman"/>
                <w:bCs/>
                <w:sz w:val="24"/>
                <w:szCs w:val="24"/>
                <w:shd w:val="clear" w:color="auto" w:fill="FFFFFF"/>
                <w:lang w:eastAsia="lv-LV"/>
              </w:rPr>
              <w:t xml:space="preserve"> pant</w:t>
            </w:r>
            <w:r w:rsidR="00027CBD" w:rsidRPr="004C7C46">
              <w:rPr>
                <w:rFonts w:ascii="Times New Roman" w:eastAsia="Times New Roman" w:hAnsi="Times New Roman" w:cs="Times New Roman"/>
                <w:bCs/>
                <w:sz w:val="24"/>
                <w:szCs w:val="24"/>
                <w:shd w:val="clear" w:color="auto" w:fill="FFFFFF"/>
                <w:lang w:eastAsia="lv-LV"/>
              </w:rPr>
              <w:t>s</w:t>
            </w:r>
            <w:r w:rsidRPr="004C7C46">
              <w:rPr>
                <w:rFonts w:ascii="Times New Roman" w:eastAsia="Times New Roman" w:hAnsi="Times New Roman" w:cs="Times New Roman"/>
                <w:bCs/>
                <w:sz w:val="24"/>
                <w:szCs w:val="24"/>
                <w:shd w:val="clear" w:color="auto" w:fill="FFFFFF"/>
                <w:lang w:eastAsia="lv-LV"/>
              </w:rPr>
              <w:t xml:space="preserve"> precizēt</w:t>
            </w:r>
            <w:r w:rsidR="00027CBD" w:rsidRPr="004C7C46">
              <w:rPr>
                <w:rFonts w:ascii="Times New Roman" w:eastAsia="Times New Roman" w:hAnsi="Times New Roman" w:cs="Times New Roman"/>
                <w:bCs/>
                <w:sz w:val="24"/>
                <w:szCs w:val="24"/>
                <w:shd w:val="clear" w:color="auto" w:fill="FFFFFF"/>
                <w:lang w:eastAsia="lv-LV"/>
              </w:rPr>
              <w:t>s attiecībā uz subjektiem un saistībām, kuriem</w:t>
            </w:r>
            <w:r w:rsidRPr="004C7C46">
              <w:rPr>
                <w:rFonts w:ascii="Times New Roman" w:eastAsia="Times New Roman" w:hAnsi="Times New Roman" w:cs="Times New Roman"/>
                <w:bCs/>
                <w:sz w:val="24"/>
                <w:szCs w:val="24"/>
                <w:shd w:val="clear" w:color="auto" w:fill="FFFFFF"/>
                <w:lang w:eastAsia="lv-LV"/>
              </w:rPr>
              <w:t xml:space="preserve"> nav piemērojamas FKTK tiesības apturēt maksājumu izpildi saskaņā ar līgumiem, kuru puse ir noregulējamā iestāde, kā arī uzliekot</w:t>
            </w:r>
            <w:r w:rsidR="00027CBD" w:rsidRPr="004C7C46">
              <w:rPr>
                <w:rFonts w:ascii="Times New Roman" w:eastAsia="Times New Roman" w:hAnsi="Times New Roman" w:cs="Times New Roman"/>
                <w:bCs/>
                <w:sz w:val="24"/>
                <w:szCs w:val="24"/>
                <w:shd w:val="clear" w:color="auto" w:fill="FFFFFF"/>
                <w:lang w:eastAsia="lv-LV"/>
              </w:rPr>
              <w:t xml:space="preserve"> FKTK</w:t>
            </w:r>
            <w:r w:rsidRPr="004C7C46">
              <w:rPr>
                <w:rFonts w:ascii="Times New Roman" w:eastAsia="Times New Roman" w:hAnsi="Times New Roman" w:cs="Times New Roman"/>
                <w:bCs/>
                <w:sz w:val="24"/>
                <w:szCs w:val="24"/>
                <w:shd w:val="clear" w:color="auto" w:fill="FFFFFF"/>
                <w:lang w:eastAsia="lv-LV"/>
              </w:rPr>
              <w:t xml:space="preserve"> pienākumu izvērtēt apturēšanas jomu un tās paplašināšanu.</w:t>
            </w:r>
            <w:r w:rsidR="0095390D">
              <w:rPr>
                <w:rFonts w:ascii="Times New Roman" w:eastAsia="Times New Roman" w:hAnsi="Times New Roman" w:cs="Times New Roman"/>
                <w:bCs/>
                <w:sz w:val="24"/>
                <w:szCs w:val="24"/>
                <w:shd w:val="clear" w:color="auto" w:fill="FFFFFF"/>
                <w:lang w:eastAsia="lv-LV"/>
              </w:rPr>
              <w:t xml:space="preserve"> Likuma 91. panta piektajā daļā  izman</w:t>
            </w:r>
            <w:r w:rsidR="00850C80">
              <w:rPr>
                <w:rFonts w:ascii="Times New Roman" w:eastAsia="Times New Roman" w:hAnsi="Times New Roman" w:cs="Times New Roman"/>
                <w:bCs/>
                <w:sz w:val="24"/>
                <w:szCs w:val="24"/>
                <w:shd w:val="clear" w:color="auto" w:fill="FFFFFF"/>
                <w:lang w:eastAsia="lv-LV"/>
              </w:rPr>
              <w:t>t</w:t>
            </w:r>
            <w:r w:rsidR="0095390D">
              <w:rPr>
                <w:rFonts w:ascii="Times New Roman" w:eastAsia="Times New Roman" w:hAnsi="Times New Roman" w:cs="Times New Roman"/>
                <w:bCs/>
                <w:sz w:val="24"/>
                <w:szCs w:val="24"/>
                <w:shd w:val="clear" w:color="auto" w:fill="FFFFFF"/>
                <w:lang w:eastAsia="lv-LV"/>
              </w:rPr>
              <w:t xml:space="preserve">ota </w:t>
            </w:r>
            <w:r w:rsidR="0095390D" w:rsidRPr="00DA4E2B">
              <w:rPr>
                <w:rFonts w:ascii="Times New Roman" w:eastAsia="Times New Roman" w:hAnsi="Times New Roman" w:cs="Times New Roman"/>
                <w:bCs/>
                <w:sz w:val="24"/>
                <w:szCs w:val="24"/>
                <w:shd w:val="clear" w:color="auto" w:fill="FFFFFF"/>
                <w:lang w:eastAsia="lv-LV"/>
              </w:rPr>
              <w:t>Direktīvā (ES) 2019/879 paredzētā</w:t>
            </w:r>
            <w:r w:rsidR="0095390D">
              <w:rPr>
                <w:rFonts w:ascii="Times New Roman" w:eastAsia="Times New Roman" w:hAnsi="Times New Roman" w:cs="Times New Roman"/>
                <w:bCs/>
                <w:sz w:val="24"/>
                <w:szCs w:val="24"/>
                <w:shd w:val="clear" w:color="auto" w:fill="FFFFFF"/>
                <w:lang w:eastAsia="lv-LV"/>
              </w:rPr>
              <w:t xml:space="preserve"> opcija saglabāt noguldītājiem piekļuvi pienācīgai summai dienā, ja FKTK ir īstenojusi pilnvaras apturēt maksājuma vai piegādes saistības attiecībā uz segtajiem noguldījumiem.</w:t>
            </w:r>
          </w:p>
          <w:p w:rsidR="00124113" w:rsidRPr="004C7C46" w:rsidRDefault="00690CB6" w:rsidP="00BE18FC">
            <w:pPr>
              <w:shd w:val="clear" w:color="auto" w:fill="FFFFFF"/>
              <w:spacing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 xml:space="preserve">Likums </w:t>
            </w:r>
            <w:r w:rsidR="006D6404" w:rsidRPr="004C7C46">
              <w:rPr>
                <w:rFonts w:ascii="Times New Roman" w:eastAsia="Times New Roman" w:hAnsi="Times New Roman" w:cs="Times New Roman"/>
                <w:bCs/>
                <w:sz w:val="24"/>
                <w:szCs w:val="24"/>
                <w:shd w:val="clear" w:color="auto" w:fill="FFFFFF"/>
                <w:lang w:eastAsia="lv-LV"/>
              </w:rPr>
              <w:t xml:space="preserve">papildināts ar </w:t>
            </w:r>
            <w:r w:rsidRPr="004C7C46">
              <w:rPr>
                <w:rFonts w:ascii="Times New Roman" w:eastAsia="Times New Roman" w:hAnsi="Times New Roman" w:cs="Times New Roman"/>
                <w:bCs/>
                <w:sz w:val="24"/>
                <w:szCs w:val="24"/>
                <w:shd w:val="clear" w:color="auto" w:fill="FFFFFF"/>
                <w:lang w:eastAsia="lv-LV"/>
              </w:rPr>
              <w:t>93.</w:t>
            </w:r>
            <w:r w:rsidRPr="004C7C46">
              <w:rPr>
                <w:rFonts w:ascii="Times New Roman" w:eastAsia="Times New Roman" w:hAnsi="Times New Roman" w:cs="Times New Roman"/>
                <w:bCs/>
                <w:sz w:val="24"/>
                <w:szCs w:val="24"/>
                <w:shd w:val="clear" w:color="auto" w:fill="FFFFFF"/>
                <w:vertAlign w:val="superscript"/>
                <w:lang w:eastAsia="lv-LV"/>
              </w:rPr>
              <w:t>1</w:t>
            </w:r>
            <w:r w:rsidR="006D6404" w:rsidRPr="004C7C46">
              <w:rPr>
                <w:rFonts w:ascii="Times New Roman" w:eastAsia="Times New Roman" w:hAnsi="Times New Roman" w:cs="Times New Roman"/>
                <w:bCs/>
                <w:sz w:val="24"/>
                <w:szCs w:val="24"/>
                <w:shd w:val="clear" w:color="auto" w:fill="FFFFFF"/>
                <w:lang w:eastAsia="lv-LV"/>
              </w:rPr>
              <w:t xml:space="preserve"> pantu, nosakot, ka iestādei vai finanšu sabiedrībai ir pienākums finanšu līgumos, kuru dar</w:t>
            </w:r>
            <w:r w:rsidR="00801765">
              <w:rPr>
                <w:rFonts w:ascii="Times New Roman" w:eastAsia="Times New Roman" w:hAnsi="Times New Roman" w:cs="Times New Roman"/>
                <w:bCs/>
                <w:sz w:val="24"/>
                <w:szCs w:val="24"/>
                <w:shd w:val="clear" w:color="auto" w:fill="FFFFFF"/>
                <w:lang w:eastAsia="lv-LV"/>
              </w:rPr>
              <w:t>b</w:t>
            </w:r>
            <w:r w:rsidR="006D6404" w:rsidRPr="004C7C46">
              <w:rPr>
                <w:rFonts w:ascii="Times New Roman" w:eastAsia="Times New Roman" w:hAnsi="Times New Roman" w:cs="Times New Roman"/>
                <w:bCs/>
                <w:sz w:val="24"/>
                <w:szCs w:val="24"/>
                <w:shd w:val="clear" w:color="auto" w:fill="FFFFFF"/>
                <w:lang w:eastAsia="lv-LV"/>
              </w:rPr>
              <w:t>ību regulē ārvalsts tiesību akti, iekļaut noteikumus, ka uz šiem līgumiem attie</w:t>
            </w:r>
            <w:r w:rsidR="00EF49C7">
              <w:rPr>
                <w:rFonts w:ascii="Times New Roman" w:eastAsia="Times New Roman" w:hAnsi="Times New Roman" w:cs="Times New Roman"/>
                <w:bCs/>
                <w:sz w:val="24"/>
                <w:szCs w:val="24"/>
                <w:shd w:val="clear" w:color="auto" w:fill="FFFFFF"/>
                <w:lang w:eastAsia="lv-LV"/>
              </w:rPr>
              <w:t>cās</w:t>
            </w:r>
            <w:r w:rsidR="006D6404" w:rsidRPr="004C7C46">
              <w:rPr>
                <w:rFonts w:ascii="Times New Roman" w:eastAsia="Times New Roman" w:hAnsi="Times New Roman" w:cs="Times New Roman"/>
                <w:bCs/>
                <w:sz w:val="24"/>
                <w:szCs w:val="24"/>
                <w:shd w:val="clear" w:color="auto" w:fill="FFFFFF"/>
                <w:lang w:eastAsia="lv-LV"/>
              </w:rPr>
              <w:t xml:space="preserve"> </w:t>
            </w:r>
            <w:r w:rsidR="00EF49C7">
              <w:rPr>
                <w:rFonts w:ascii="Times New Roman" w:eastAsia="Times New Roman" w:hAnsi="Times New Roman" w:cs="Times New Roman"/>
                <w:bCs/>
                <w:sz w:val="24"/>
                <w:szCs w:val="24"/>
                <w:shd w:val="clear" w:color="auto" w:fill="FFFFFF"/>
                <w:lang w:eastAsia="lv-LV"/>
              </w:rPr>
              <w:t>ES noregulējuma (</w:t>
            </w:r>
            <w:r w:rsidR="006D6404" w:rsidRPr="004C7C46">
              <w:rPr>
                <w:rFonts w:ascii="Times New Roman" w:eastAsia="Times New Roman" w:hAnsi="Times New Roman" w:cs="Times New Roman"/>
                <w:bCs/>
                <w:sz w:val="24"/>
                <w:szCs w:val="24"/>
                <w:shd w:val="clear" w:color="auto" w:fill="FFFFFF"/>
                <w:lang w:eastAsia="lv-LV"/>
              </w:rPr>
              <w:t>FKTK</w:t>
            </w:r>
            <w:r w:rsidR="00EF49C7">
              <w:rPr>
                <w:rFonts w:ascii="Times New Roman" w:eastAsia="Times New Roman" w:hAnsi="Times New Roman" w:cs="Times New Roman"/>
                <w:bCs/>
                <w:sz w:val="24"/>
                <w:szCs w:val="24"/>
                <w:shd w:val="clear" w:color="auto" w:fill="FFFFFF"/>
                <w:lang w:eastAsia="lv-LV"/>
              </w:rPr>
              <w:t>)</w:t>
            </w:r>
            <w:r w:rsidR="006D6404" w:rsidRPr="004C7C46">
              <w:rPr>
                <w:rFonts w:ascii="Times New Roman" w:eastAsia="Times New Roman" w:hAnsi="Times New Roman" w:cs="Times New Roman"/>
                <w:bCs/>
                <w:sz w:val="24"/>
                <w:szCs w:val="24"/>
                <w:shd w:val="clear" w:color="auto" w:fill="FFFFFF"/>
                <w:lang w:eastAsia="lv-LV"/>
              </w:rPr>
              <w:t xml:space="preserve"> tiesības apturēt vai ierobežo</w:t>
            </w:r>
            <w:r w:rsidR="004C7C46" w:rsidRPr="004C7C46">
              <w:rPr>
                <w:rFonts w:ascii="Times New Roman" w:eastAsia="Times New Roman" w:hAnsi="Times New Roman" w:cs="Times New Roman"/>
                <w:bCs/>
                <w:sz w:val="24"/>
                <w:szCs w:val="24"/>
                <w:shd w:val="clear" w:color="auto" w:fill="FFFFFF"/>
                <w:lang w:eastAsia="lv-LV"/>
              </w:rPr>
              <w:t>t</w:t>
            </w:r>
            <w:r w:rsidR="006D6404" w:rsidRPr="004C7C46">
              <w:rPr>
                <w:rFonts w:ascii="Times New Roman" w:eastAsia="Times New Roman" w:hAnsi="Times New Roman" w:cs="Times New Roman"/>
                <w:bCs/>
                <w:sz w:val="24"/>
                <w:szCs w:val="24"/>
                <w:shd w:val="clear" w:color="auto" w:fill="FFFFFF"/>
                <w:lang w:eastAsia="lv-LV"/>
              </w:rPr>
              <w:t xml:space="preserve"> no tiem izrietošās tiesības un saistības.</w:t>
            </w:r>
            <w:r w:rsidR="00D4544B">
              <w:rPr>
                <w:rFonts w:ascii="Times New Roman" w:eastAsia="Times New Roman" w:hAnsi="Times New Roman" w:cs="Times New Roman"/>
                <w:bCs/>
                <w:sz w:val="24"/>
                <w:szCs w:val="24"/>
                <w:shd w:val="clear" w:color="auto" w:fill="FFFFFF"/>
                <w:lang w:eastAsia="lv-LV"/>
              </w:rPr>
              <w:t xml:space="preserve"> Pantā  izman</w:t>
            </w:r>
            <w:r w:rsidR="00850C80">
              <w:rPr>
                <w:rFonts w:ascii="Times New Roman" w:eastAsia="Times New Roman" w:hAnsi="Times New Roman" w:cs="Times New Roman"/>
                <w:bCs/>
                <w:sz w:val="24"/>
                <w:szCs w:val="24"/>
                <w:shd w:val="clear" w:color="auto" w:fill="FFFFFF"/>
                <w:lang w:eastAsia="lv-LV"/>
              </w:rPr>
              <w:t>t</w:t>
            </w:r>
            <w:r w:rsidR="00D4544B">
              <w:rPr>
                <w:rFonts w:ascii="Times New Roman" w:eastAsia="Times New Roman" w:hAnsi="Times New Roman" w:cs="Times New Roman"/>
                <w:bCs/>
                <w:sz w:val="24"/>
                <w:szCs w:val="24"/>
                <w:shd w:val="clear" w:color="auto" w:fill="FFFFFF"/>
                <w:lang w:eastAsia="lv-LV"/>
              </w:rPr>
              <w:t xml:space="preserve">ota </w:t>
            </w:r>
            <w:r w:rsidR="00D4544B" w:rsidRPr="00DA4E2B">
              <w:rPr>
                <w:rFonts w:ascii="Times New Roman" w:eastAsia="Times New Roman" w:hAnsi="Times New Roman" w:cs="Times New Roman"/>
                <w:bCs/>
                <w:sz w:val="24"/>
                <w:szCs w:val="24"/>
                <w:shd w:val="clear" w:color="auto" w:fill="FFFFFF"/>
                <w:lang w:eastAsia="lv-LV"/>
              </w:rPr>
              <w:t>Direktīvā (ES) 2019/879 paredzētā</w:t>
            </w:r>
            <w:r w:rsidR="00D4544B">
              <w:rPr>
                <w:rFonts w:ascii="Times New Roman" w:eastAsia="Times New Roman" w:hAnsi="Times New Roman" w:cs="Times New Roman"/>
                <w:bCs/>
                <w:sz w:val="24"/>
                <w:szCs w:val="24"/>
                <w:shd w:val="clear" w:color="auto" w:fill="FFFFFF"/>
                <w:lang w:eastAsia="lv-LV"/>
              </w:rPr>
              <w:t xml:space="preserve"> opcija attiecībā uz ES</w:t>
            </w:r>
            <w:r w:rsidR="00D4544B" w:rsidRPr="00850C80">
              <w:rPr>
                <w:rFonts w:ascii="Times New Roman" w:eastAsia="Times New Roman" w:hAnsi="Times New Roman" w:cs="Times New Roman"/>
                <w:bCs/>
                <w:sz w:val="24"/>
                <w:szCs w:val="24"/>
                <w:shd w:val="clear" w:color="auto" w:fill="FFFFFF"/>
                <w:lang w:eastAsia="lv-LV"/>
              </w:rPr>
              <w:t xml:space="preserve"> mātes sabiedrības pienākumu nodrošināt, ka to ārvalstu meitas sabiedrības finanšu līgumos, kas noslēgti ar darījumu partneriem ir iekļauts noteikums, ka FKTK tiesību īstenošanas gadījumā attiecībā uz ES mātes sabiedrības tiesību un pienākumu apturēšanu vai ierobežošanu</w:t>
            </w:r>
            <w:r w:rsidR="00850C80">
              <w:rPr>
                <w:rFonts w:ascii="Times New Roman" w:eastAsia="Times New Roman" w:hAnsi="Times New Roman" w:cs="Times New Roman"/>
                <w:bCs/>
                <w:sz w:val="24"/>
                <w:szCs w:val="24"/>
                <w:shd w:val="clear" w:color="auto" w:fill="FFFFFF"/>
                <w:lang w:eastAsia="lv-LV"/>
              </w:rPr>
              <w:t>,</w:t>
            </w:r>
            <w:r w:rsidR="00D4544B" w:rsidRPr="00850C80">
              <w:rPr>
                <w:rFonts w:ascii="Times New Roman" w:eastAsia="Times New Roman" w:hAnsi="Times New Roman" w:cs="Times New Roman"/>
                <w:bCs/>
                <w:sz w:val="24"/>
                <w:szCs w:val="24"/>
                <w:shd w:val="clear" w:color="auto" w:fill="FFFFFF"/>
                <w:lang w:eastAsia="lv-LV"/>
              </w:rPr>
              <w:t xml:space="preserve"> tiek </w:t>
            </w:r>
            <w:r w:rsidR="00D4544B" w:rsidRPr="00850C80">
              <w:rPr>
                <w:rFonts w:ascii="Times New Roman" w:eastAsia="Times New Roman" w:hAnsi="Times New Roman" w:cs="Times New Roman"/>
                <w:bCs/>
                <w:sz w:val="24"/>
                <w:szCs w:val="24"/>
                <w:shd w:val="clear" w:color="auto" w:fill="FFFFFF"/>
                <w:lang w:eastAsia="lv-LV"/>
              </w:rPr>
              <w:lastRenderedPageBreak/>
              <w:t>uzskatīta par atbilstošu pamatu pirmstermiņa izbeigšanas, apturēšanas, grozīšanas, savstarpēja ieskaita un savstarpējas dzēšanas tiesību īstenošanai vai nodrošinājuma tiesību īstenošanai saistībā ar noslēgtajiem līgumiem</w:t>
            </w:r>
            <w:r w:rsidR="00850C80">
              <w:rPr>
                <w:rFonts w:ascii="Times New Roman" w:eastAsia="Times New Roman" w:hAnsi="Times New Roman" w:cs="Times New Roman"/>
                <w:bCs/>
                <w:sz w:val="24"/>
                <w:szCs w:val="24"/>
                <w:shd w:val="clear" w:color="auto" w:fill="FFFFFF"/>
                <w:lang w:eastAsia="lv-LV"/>
              </w:rPr>
              <w:t>.</w:t>
            </w:r>
          </w:p>
          <w:p w:rsidR="00DF0851" w:rsidRPr="004C7C46" w:rsidRDefault="00DF0851" w:rsidP="009A0B85">
            <w:pPr>
              <w:shd w:val="clear" w:color="auto" w:fill="FFFFFF"/>
              <w:spacing w:after="6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Likuma 108.</w:t>
            </w:r>
            <w:r w:rsidR="00BB1E10" w:rsidRPr="004C7C46">
              <w:rPr>
                <w:rFonts w:ascii="Times New Roman" w:eastAsia="Times New Roman" w:hAnsi="Times New Roman" w:cs="Times New Roman"/>
                <w:bCs/>
                <w:sz w:val="24"/>
                <w:szCs w:val="24"/>
                <w:shd w:val="clear" w:color="auto" w:fill="FFFFFF"/>
                <w:lang w:eastAsia="lv-LV"/>
              </w:rPr>
              <w:t xml:space="preserve"> </w:t>
            </w:r>
            <w:r w:rsidRPr="004C7C46">
              <w:rPr>
                <w:rFonts w:ascii="Times New Roman" w:eastAsia="Times New Roman" w:hAnsi="Times New Roman" w:cs="Times New Roman"/>
                <w:bCs/>
                <w:sz w:val="24"/>
                <w:szCs w:val="24"/>
                <w:shd w:val="clear" w:color="auto" w:fill="FFFFFF"/>
                <w:lang w:eastAsia="lv-LV"/>
              </w:rPr>
              <w:t>pantā precizēti Eiropas noregulējuma kolēģijas uzdevumi, pildot likumā noteiktos pienākumus.</w:t>
            </w:r>
          </w:p>
          <w:p w:rsidR="00DF0851" w:rsidRPr="004C7C46" w:rsidRDefault="009A0B85" w:rsidP="00D81374">
            <w:pPr>
              <w:spacing w:after="0" w:line="240" w:lineRule="auto"/>
              <w:jc w:val="both"/>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 xml:space="preserve">Ņemot vērā, ka Direktīvā </w:t>
            </w:r>
            <w:r w:rsidR="00D81374" w:rsidRPr="004C7C46">
              <w:rPr>
                <w:rFonts w:ascii="Times New Roman" w:eastAsia="Times New Roman" w:hAnsi="Times New Roman" w:cs="Times New Roman"/>
                <w:spacing w:val="-2"/>
                <w:sz w:val="24"/>
                <w:szCs w:val="27"/>
                <w:lang w:eastAsia="lv-LV"/>
              </w:rPr>
              <w:t xml:space="preserve">(ES) 2019/879 </w:t>
            </w:r>
            <w:r w:rsidR="00D73B51" w:rsidRPr="004C7C46">
              <w:rPr>
                <w:rFonts w:ascii="Times New Roman" w:eastAsia="Times New Roman" w:hAnsi="Times New Roman" w:cs="Times New Roman"/>
                <w:bCs/>
                <w:sz w:val="24"/>
                <w:szCs w:val="24"/>
                <w:shd w:val="clear" w:color="auto" w:fill="FFFFFF"/>
                <w:lang w:eastAsia="lv-LV"/>
              </w:rPr>
              <w:t>ir paredzēti pārejas termiņi</w:t>
            </w:r>
            <w:r w:rsidRPr="004C7C46">
              <w:rPr>
                <w:rFonts w:ascii="Times New Roman" w:eastAsia="Times New Roman" w:hAnsi="Times New Roman" w:cs="Times New Roman"/>
                <w:bCs/>
                <w:sz w:val="24"/>
                <w:szCs w:val="24"/>
                <w:shd w:val="clear" w:color="auto" w:fill="FFFFFF"/>
                <w:lang w:eastAsia="lv-LV"/>
              </w:rPr>
              <w:t xml:space="preserve"> atsevišķu tās prasību ievērošanai,  likumprojekts ir papildināts ar pārejas noteikumu 3. – 13. </w:t>
            </w:r>
            <w:r w:rsidR="00D73B51" w:rsidRPr="004C7C46">
              <w:rPr>
                <w:rFonts w:ascii="Times New Roman" w:eastAsia="Times New Roman" w:hAnsi="Times New Roman" w:cs="Times New Roman"/>
                <w:bCs/>
                <w:sz w:val="24"/>
                <w:szCs w:val="24"/>
                <w:shd w:val="clear" w:color="auto" w:fill="FFFFFF"/>
                <w:lang w:eastAsia="lv-LV"/>
              </w:rPr>
              <w:t>punktu, paredzot</w:t>
            </w:r>
            <w:r w:rsidRPr="004C7C46">
              <w:rPr>
                <w:rFonts w:ascii="Times New Roman" w:eastAsia="Times New Roman" w:hAnsi="Times New Roman" w:cs="Times New Roman"/>
                <w:bCs/>
                <w:sz w:val="24"/>
                <w:szCs w:val="24"/>
                <w:shd w:val="clear" w:color="auto" w:fill="FFFFFF"/>
                <w:lang w:eastAsia="lv-LV"/>
              </w:rPr>
              <w:t xml:space="preserve"> termiņus likuma 58.</w:t>
            </w:r>
            <w:r w:rsidRPr="004C7C46">
              <w:rPr>
                <w:rFonts w:ascii="Times New Roman" w:eastAsia="Times New Roman" w:hAnsi="Times New Roman" w:cs="Times New Roman"/>
                <w:bCs/>
                <w:sz w:val="24"/>
                <w:szCs w:val="24"/>
                <w:shd w:val="clear" w:color="auto" w:fill="FFFFFF"/>
                <w:vertAlign w:val="superscript"/>
                <w:lang w:eastAsia="lv-LV"/>
              </w:rPr>
              <w:t>1</w:t>
            </w:r>
            <w:r w:rsidRPr="004C7C46">
              <w:rPr>
                <w:rFonts w:ascii="Times New Roman" w:eastAsia="Times New Roman" w:hAnsi="Times New Roman" w:cs="Times New Roman"/>
                <w:bCs/>
                <w:sz w:val="24"/>
                <w:szCs w:val="24"/>
                <w:shd w:val="clear" w:color="auto" w:fill="FFFFFF"/>
                <w:lang w:eastAsia="lv-LV"/>
              </w:rPr>
              <w:t>, 59.</w:t>
            </w:r>
            <w:r w:rsidRPr="004C7C46">
              <w:rPr>
                <w:rFonts w:ascii="Times New Roman" w:eastAsia="Times New Roman" w:hAnsi="Times New Roman" w:cs="Times New Roman"/>
                <w:bCs/>
                <w:sz w:val="24"/>
                <w:szCs w:val="24"/>
                <w:shd w:val="clear" w:color="auto" w:fill="FFFFFF"/>
                <w:vertAlign w:val="superscript"/>
                <w:lang w:eastAsia="lv-LV"/>
              </w:rPr>
              <w:t>1</w:t>
            </w:r>
            <w:r w:rsidRPr="004C7C46">
              <w:rPr>
                <w:rFonts w:ascii="Times New Roman" w:eastAsia="Times New Roman" w:hAnsi="Times New Roman" w:cs="Times New Roman"/>
                <w:bCs/>
                <w:sz w:val="24"/>
                <w:szCs w:val="24"/>
                <w:shd w:val="clear" w:color="auto" w:fill="FFFFFF"/>
                <w:lang w:eastAsia="lv-LV"/>
              </w:rPr>
              <w:t>,</w:t>
            </w:r>
            <w:r w:rsidRPr="004C7C46">
              <w:rPr>
                <w:rFonts w:ascii="Times New Roman" w:eastAsia="Times New Roman" w:hAnsi="Times New Roman" w:cs="Times New Roman"/>
                <w:bCs/>
                <w:sz w:val="24"/>
                <w:szCs w:val="24"/>
                <w:shd w:val="clear" w:color="auto" w:fill="FFFFFF"/>
                <w:vertAlign w:val="superscript"/>
                <w:lang w:eastAsia="lv-LV"/>
              </w:rPr>
              <w:t xml:space="preserve"> </w:t>
            </w:r>
            <w:r w:rsidRPr="004C7C46">
              <w:rPr>
                <w:rFonts w:ascii="Times New Roman" w:eastAsia="Times New Roman" w:hAnsi="Times New Roman" w:cs="Times New Roman"/>
                <w:bCs/>
                <w:sz w:val="24"/>
                <w:szCs w:val="24"/>
                <w:shd w:val="clear" w:color="auto" w:fill="FFFFFF"/>
                <w:lang w:eastAsia="lv-LV"/>
              </w:rPr>
              <w:t>60., 60.</w:t>
            </w:r>
            <w:r w:rsidRPr="004C7C46">
              <w:rPr>
                <w:rFonts w:ascii="Times New Roman" w:eastAsia="Times New Roman" w:hAnsi="Times New Roman" w:cs="Times New Roman"/>
                <w:bCs/>
                <w:sz w:val="24"/>
                <w:szCs w:val="24"/>
                <w:shd w:val="clear" w:color="auto" w:fill="FFFFFF"/>
                <w:vertAlign w:val="superscript"/>
                <w:lang w:eastAsia="lv-LV"/>
              </w:rPr>
              <w:t>2</w:t>
            </w:r>
            <w:r w:rsidRPr="004C7C46">
              <w:rPr>
                <w:rFonts w:ascii="Times New Roman" w:eastAsia="Times New Roman" w:hAnsi="Times New Roman" w:cs="Times New Roman"/>
                <w:bCs/>
                <w:sz w:val="24"/>
                <w:szCs w:val="24"/>
                <w:shd w:val="clear" w:color="auto" w:fill="FFFFFF"/>
                <w:lang w:eastAsia="lv-LV"/>
              </w:rPr>
              <w:t xml:space="preserve"> un 61. pantā noteikto prasību ievērošanai.</w:t>
            </w:r>
          </w:p>
          <w:p w:rsidR="00135E75" w:rsidRPr="004C7C46" w:rsidRDefault="00135E75" w:rsidP="00FD7250">
            <w:pPr>
              <w:shd w:val="clear" w:color="auto" w:fill="FFFFFF"/>
              <w:spacing w:before="60" w:after="0" w:line="240" w:lineRule="auto"/>
              <w:jc w:val="both"/>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 xml:space="preserve">Savukārt grozījumi likuma </w:t>
            </w:r>
            <w:r w:rsidR="00396D09" w:rsidRPr="004C7C46">
              <w:rPr>
                <w:rFonts w:ascii="Times New Roman" w:eastAsia="Times New Roman" w:hAnsi="Times New Roman" w:cs="Times New Roman"/>
                <w:bCs/>
                <w:sz w:val="24"/>
                <w:szCs w:val="24"/>
                <w:shd w:val="clear" w:color="auto" w:fill="FFFFFF"/>
                <w:lang w:eastAsia="lv-LV"/>
              </w:rPr>
              <w:t xml:space="preserve">1.panta pirmās daļas 17. punktā, 11. panta ceturtajā daļā, </w:t>
            </w:r>
            <w:r w:rsidR="004C7C46" w:rsidRPr="004C7C46">
              <w:rPr>
                <w:rFonts w:ascii="Times New Roman" w:eastAsia="Times New Roman" w:hAnsi="Times New Roman" w:cs="Times New Roman"/>
                <w:bCs/>
                <w:sz w:val="24"/>
                <w:szCs w:val="24"/>
                <w:shd w:val="clear" w:color="auto" w:fill="FFFFFF"/>
                <w:lang w:eastAsia="lv-LV"/>
              </w:rPr>
              <w:t>17. pantā,</w:t>
            </w:r>
            <w:r w:rsidR="00D81374" w:rsidRPr="004C7C46">
              <w:rPr>
                <w:rFonts w:ascii="Times New Roman" w:eastAsia="Times New Roman" w:hAnsi="Times New Roman" w:cs="Times New Roman"/>
                <w:bCs/>
                <w:sz w:val="24"/>
                <w:szCs w:val="24"/>
                <w:shd w:val="clear" w:color="auto" w:fill="FFFFFF"/>
                <w:lang w:eastAsia="lv-LV"/>
              </w:rPr>
              <w:t xml:space="preserve"> 18. panta pirmajā daļā,</w:t>
            </w:r>
            <w:r w:rsidRPr="004C7C46">
              <w:rPr>
                <w:rFonts w:ascii="Times New Roman" w:eastAsia="Times New Roman" w:hAnsi="Times New Roman" w:cs="Times New Roman"/>
                <w:bCs/>
                <w:sz w:val="24"/>
                <w:szCs w:val="24"/>
                <w:shd w:val="clear" w:color="auto" w:fill="FFFFFF"/>
                <w:lang w:eastAsia="lv-LV"/>
              </w:rPr>
              <w:t> </w:t>
            </w:r>
            <w:r w:rsidR="008F65F6" w:rsidRPr="004C7C46">
              <w:rPr>
                <w:rFonts w:ascii="Times New Roman" w:eastAsia="Times New Roman" w:hAnsi="Times New Roman" w:cs="Times New Roman"/>
                <w:bCs/>
                <w:sz w:val="24"/>
                <w:szCs w:val="24"/>
                <w:shd w:val="clear" w:color="auto" w:fill="FFFFFF"/>
                <w:lang w:eastAsia="lv-LV"/>
              </w:rPr>
              <w:t xml:space="preserve">33., </w:t>
            </w:r>
            <w:r w:rsidR="00F46794" w:rsidRPr="004C7C46">
              <w:rPr>
                <w:rFonts w:ascii="Times New Roman" w:eastAsia="Times New Roman" w:hAnsi="Times New Roman" w:cs="Times New Roman"/>
                <w:bCs/>
                <w:sz w:val="24"/>
                <w:szCs w:val="24"/>
                <w:shd w:val="clear" w:color="auto" w:fill="FFFFFF"/>
                <w:lang w:eastAsia="lv-LV"/>
              </w:rPr>
              <w:t xml:space="preserve">39., </w:t>
            </w:r>
            <w:r w:rsidRPr="004C7C46">
              <w:rPr>
                <w:rFonts w:ascii="Times New Roman" w:eastAsia="Times New Roman" w:hAnsi="Times New Roman" w:cs="Times New Roman"/>
                <w:bCs/>
                <w:sz w:val="24"/>
                <w:szCs w:val="24"/>
                <w:shd w:val="clear" w:color="auto" w:fill="FFFFFF"/>
                <w:lang w:eastAsia="lv-LV"/>
              </w:rPr>
              <w:t>48.,</w:t>
            </w:r>
            <w:r w:rsidR="00E35493" w:rsidRPr="004C7C46">
              <w:rPr>
                <w:rFonts w:ascii="Times New Roman" w:eastAsia="Times New Roman" w:hAnsi="Times New Roman" w:cs="Times New Roman"/>
                <w:bCs/>
                <w:sz w:val="24"/>
                <w:szCs w:val="24"/>
                <w:shd w:val="clear" w:color="auto" w:fill="FFFFFF"/>
                <w:lang w:eastAsia="lv-LV"/>
              </w:rPr>
              <w:t xml:space="preserve"> 49.,</w:t>
            </w:r>
            <w:r w:rsidRPr="004C7C46">
              <w:rPr>
                <w:rFonts w:ascii="Times New Roman" w:eastAsia="Times New Roman" w:hAnsi="Times New Roman" w:cs="Times New Roman"/>
                <w:bCs/>
                <w:sz w:val="24"/>
                <w:szCs w:val="24"/>
                <w:shd w:val="clear" w:color="auto" w:fill="FFFFFF"/>
                <w:lang w:eastAsia="lv-LV"/>
              </w:rPr>
              <w:t xml:space="preserve"> </w:t>
            </w:r>
            <w:r w:rsidR="004C7C46" w:rsidRPr="004C7C46">
              <w:rPr>
                <w:rFonts w:ascii="Times New Roman" w:eastAsia="Times New Roman" w:hAnsi="Times New Roman" w:cs="Times New Roman"/>
                <w:bCs/>
                <w:sz w:val="24"/>
                <w:szCs w:val="24"/>
                <w:shd w:val="clear" w:color="auto" w:fill="FFFFFF"/>
                <w:lang w:eastAsia="lv-LV"/>
              </w:rPr>
              <w:t xml:space="preserve">50. pantā, </w:t>
            </w:r>
            <w:r w:rsidR="00870077" w:rsidRPr="004C7C46">
              <w:rPr>
                <w:rFonts w:ascii="Times New Roman" w:eastAsia="Times New Roman" w:hAnsi="Times New Roman" w:cs="Times New Roman"/>
                <w:bCs/>
                <w:sz w:val="24"/>
                <w:szCs w:val="24"/>
                <w:shd w:val="clear" w:color="auto" w:fill="FFFFFF"/>
                <w:lang w:eastAsia="lv-LV"/>
              </w:rPr>
              <w:t>51.panta piektajā daļā,</w:t>
            </w:r>
            <w:r w:rsidR="004C7C46" w:rsidRPr="004C7C46">
              <w:rPr>
                <w:rFonts w:ascii="Times New Roman" w:eastAsia="Times New Roman" w:hAnsi="Times New Roman" w:cs="Times New Roman"/>
                <w:bCs/>
                <w:sz w:val="24"/>
                <w:szCs w:val="24"/>
                <w:shd w:val="clear" w:color="auto" w:fill="FFFFFF"/>
                <w:lang w:eastAsia="lv-LV"/>
              </w:rPr>
              <w:t xml:space="preserve"> 52</w:t>
            </w:r>
            <w:r w:rsidR="001477EE">
              <w:rPr>
                <w:rFonts w:ascii="Times New Roman" w:eastAsia="Times New Roman" w:hAnsi="Times New Roman" w:cs="Times New Roman"/>
                <w:bCs/>
                <w:sz w:val="24"/>
                <w:szCs w:val="24"/>
                <w:shd w:val="clear" w:color="auto" w:fill="FFFFFF"/>
                <w:lang w:eastAsia="lv-LV"/>
              </w:rPr>
              <w:t>.</w:t>
            </w:r>
            <w:r w:rsidR="004D1616" w:rsidRPr="004C7C46">
              <w:rPr>
                <w:rFonts w:ascii="Times New Roman" w:eastAsia="Times New Roman" w:hAnsi="Times New Roman" w:cs="Times New Roman"/>
                <w:bCs/>
                <w:sz w:val="24"/>
                <w:szCs w:val="24"/>
                <w:shd w:val="clear" w:color="auto" w:fill="FFFFFF"/>
                <w:lang w:eastAsia="lv-LV"/>
              </w:rPr>
              <w:t>,</w:t>
            </w:r>
            <w:r w:rsidR="00632097" w:rsidRPr="004C7C46">
              <w:rPr>
                <w:rFonts w:ascii="Times New Roman" w:eastAsia="Times New Roman" w:hAnsi="Times New Roman" w:cs="Times New Roman"/>
                <w:bCs/>
                <w:sz w:val="24"/>
                <w:szCs w:val="24"/>
                <w:shd w:val="clear" w:color="auto" w:fill="FFFFFF"/>
                <w:lang w:eastAsia="lv-LV"/>
              </w:rPr>
              <w:t xml:space="preserve"> 53. pantā,</w:t>
            </w:r>
            <w:r w:rsidR="004C7C46" w:rsidRPr="004C7C46">
              <w:rPr>
                <w:rFonts w:ascii="Times New Roman" w:eastAsia="Times New Roman" w:hAnsi="Times New Roman" w:cs="Times New Roman"/>
                <w:bCs/>
                <w:sz w:val="24"/>
                <w:szCs w:val="24"/>
                <w:shd w:val="clear" w:color="auto" w:fill="FFFFFF"/>
                <w:lang w:eastAsia="lv-LV"/>
              </w:rPr>
              <w:t xml:space="preserve"> 67. panta otrajā</w:t>
            </w:r>
            <w:r w:rsidR="000E13BF" w:rsidRPr="004C7C46">
              <w:rPr>
                <w:rFonts w:ascii="Times New Roman" w:eastAsia="Times New Roman" w:hAnsi="Times New Roman" w:cs="Times New Roman"/>
                <w:bCs/>
                <w:sz w:val="24"/>
                <w:szCs w:val="24"/>
                <w:shd w:val="clear" w:color="auto" w:fill="FFFFFF"/>
                <w:lang w:eastAsia="lv-LV"/>
              </w:rPr>
              <w:t xml:space="preserve"> daļā,</w:t>
            </w:r>
            <w:r w:rsidR="000B61EA" w:rsidRPr="004C7C46">
              <w:rPr>
                <w:rFonts w:ascii="Times New Roman" w:eastAsia="Times New Roman" w:hAnsi="Times New Roman" w:cs="Times New Roman"/>
                <w:bCs/>
                <w:sz w:val="24"/>
                <w:szCs w:val="24"/>
                <w:shd w:val="clear" w:color="auto" w:fill="FFFFFF"/>
                <w:lang w:eastAsia="lv-LV"/>
              </w:rPr>
              <w:t xml:space="preserve"> </w:t>
            </w:r>
            <w:r w:rsidR="00C4791D" w:rsidRPr="004C7C46">
              <w:rPr>
                <w:rFonts w:ascii="Times New Roman" w:eastAsia="Times New Roman" w:hAnsi="Times New Roman" w:cs="Times New Roman"/>
                <w:bCs/>
                <w:sz w:val="24"/>
                <w:szCs w:val="24"/>
                <w:shd w:val="clear" w:color="auto" w:fill="FFFFFF"/>
                <w:lang w:eastAsia="lv-LV"/>
              </w:rPr>
              <w:t>68. panta otrajā</w:t>
            </w:r>
            <w:r w:rsidR="000B61EA" w:rsidRPr="004C7C46">
              <w:rPr>
                <w:rFonts w:ascii="Times New Roman" w:eastAsia="Times New Roman" w:hAnsi="Times New Roman" w:cs="Times New Roman"/>
                <w:bCs/>
                <w:sz w:val="24"/>
                <w:szCs w:val="24"/>
                <w:shd w:val="clear" w:color="auto" w:fill="FFFFFF"/>
                <w:lang w:eastAsia="lv-LV"/>
              </w:rPr>
              <w:t xml:space="preserve"> daļā,</w:t>
            </w:r>
            <w:r w:rsidR="00C4791D" w:rsidRPr="004C7C46">
              <w:rPr>
                <w:rFonts w:ascii="Times New Roman" w:eastAsia="Times New Roman" w:hAnsi="Times New Roman" w:cs="Times New Roman"/>
                <w:bCs/>
                <w:sz w:val="24"/>
                <w:szCs w:val="24"/>
                <w:shd w:val="clear" w:color="auto" w:fill="FFFFFF"/>
                <w:lang w:eastAsia="lv-LV"/>
              </w:rPr>
              <w:t xml:space="preserve"> </w:t>
            </w:r>
            <w:r w:rsidR="000B61EA" w:rsidRPr="004C7C46">
              <w:rPr>
                <w:rFonts w:ascii="Times New Roman" w:eastAsia="Times New Roman" w:hAnsi="Times New Roman" w:cs="Times New Roman"/>
                <w:bCs/>
                <w:sz w:val="24"/>
                <w:szCs w:val="24"/>
                <w:shd w:val="clear" w:color="auto" w:fill="FFFFFF"/>
                <w:lang w:eastAsia="lv-LV"/>
              </w:rPr>
              <w:t>72. pantā</w:t>
            </w:r>
            <w:r w:rsidR="005625EC" w:rsidRPr="004C7C46">
              <w:rPr>
                <w:rFonts w:ascii="Times New Roman" w:eastAsia="Times New Roman" w:hAnsi="Times New Roman" w:cs="Times New Roman"/>
                <w:bCs/>
                <w:sz w:val="24"/>
                <w:szCs w:val="24"/>
                <w:shd w:val="clear" w:color="auto" w:fill="FFFFFF"/>
                <w:lang w:eastAsia="lv-LV"/>
              </w:rPr>
              <w:t>, 73. panta trešajā daļā,</w:t>
            </w:r>
            <w:r w:rsidR="000B61EA" w:rsidRPr="004C7C46">
              <w:rPr>
                <w:rFonts w:ascii="Times New Roman" w:eastAsia="Times New Roman" w:hAnsi="Times New Roman" w:cs="Times New Roman"/>
                <w:bCs/>
                <w:sz w:val="24"/>
                <w:szCs w:val="24"/>
                <w:shd w:val="clear" w:color="auto" w:fill="FFFFFF"/>
                <w:lang w:eastAsia="lv-LV"/>
              </w:rPr>
              <w:t xml:space="preserve"> </w:t>
            </w:r>
            <w:r w:rsidR="00C97E57" w:rsidRPr="004C7C46">
              <w:rPr>
                <w:rFonts w:ascii="Times New Roman" w:eastAsia="Times New Roman" w:hAnsi="Times New Roman" w:cs="Times New Roman"/>
                <w:bCs/>
                <w:sz w:val="24"/>
                <w:szCs w:val="24"/>
                <w:shd w:val="clear" w:color="auto" w:fill="FFFFFF"/>
                <w:lang w:eastAsia="lv-LV"/>
              </w:rPr>
              <w:t xml:space="preserve">86., </w:t>
            </w:r>
            <w:r w:rsidRPr="004C7C46">
              <w:rPr>
                <w:rFonts w:ascii="Times New Roman" w:eastAsia="Times New Roman" w:hAnsi="Times New Roman" w:cs="Times New Roman"/>
                <w:bCs/>
                <w:sz w:val="24"/>
                <w:szCs w:val="24"/>
                <w:shd w:val="clear" w:color="auto" w:fill="FFFFFF"/>
                <w:lang w:eastAsia="lv-LV"/>
              </w:rPr>
              <w:t xml:space="preserve">98. un 99. pantos izdarīti, lai precizētu normas redakciju </w:t>
            </w:r>
            <w:r w:rsidR="004C7C46" w:rsidRPr="004C7C46">
              <w:rPr>
                <w:rFonts w:ascii="Times New Roman" w:eastAsia="Times New Roman" w:hAnsi="Times New Roman" w:cs="Times New Roman"/>
                <w:bCs/>
                <w:sz w:val="24"/>
                <w:szCs w:val="24"/>
                <w:shd w:val="clear" w:color="auto" w:fill="FFFFFF"/>
                <w:lang w:eastAsia="lv-LV"/>
              </w:rPr>
              <w:t>atbilstoši</w:t>
            </w:r>
            <w:r w:rsidRPr="004C7C46">
              <w:rPr>
                <w:rFonts w:ascii="Times New Roman" w:eastAsia="Times New Roman" w:hAnsi="Times New Roman" w:cs="Times New Roman"/>
                <w:bCs/>
                <w:sz w:val="24"/>
                <w:szCs w:val="24"/>
                <w:shd w:val="clear" w:color="auto" w:fill="FFFFFF"/>
                <w:lang w:eastAsia="lv-LV"/>
              </w:rPr>
              <w:t xml:space="preserve"> Direktīvā 2014/59/ES noteikt</w:t>
            </w:r>
            <w:r w:rsidR="004C7C46" w:rsidRPr="004C7C46">
              <w:rPr>
                <w:rFonts w:ascii="Times New Roman" w:eastAsia="Times New Roman" w:hAnsi="Times New Roman" w:cs="Times New Roman"/>
                <w:bCs/>
                <w:sz w:val="24"/>
                <w:szCs w:val="24"/>
                <w:shd w:val="clear" w:color="auto" w:fill="FFFFFF"/>
                <w:lang w:eastAsia="lv-LV"/>
              </w:rPr>
              <w:t>ajam</w:t>
            </w:r>
            <w:r w:rsidRPr="004C7C46">
              <w:rPr>
                <w:rFonts w:ascii="Times New Roman" w:eastAsia="Times New Roman" w:hAnsi="Times New Roman" w:cs="Times New Roman"/>
                <w:bCs/>
                <w:sz w:val="24"/>
                <w:szCs w:val="24"/>
                <w:shd w:val="clear" w:color="auto" w:fill="FFFFFF"/>
                <w:lang w:eastAsia="lv-LV"/>
              </w:rPr>
              <w:t>.</w:t>
            </w:r>
          </w:p>
          <w:p w:rsidR="0051647E" w:rsidRPr="004C7C46" w:rsidRDefault="007F3A76" w:rsidP="00917584">
            <w:pPr>
              <w:shd w:val="clear" w:color="auto" w:fill="FFFFFF"/>
              <w:spacing w:before="60" w:after="0" w:line="240" w:lineRule="auto"/>
              <w:jc w:val="both"/>
              <w:rPr>
                <w:rFonts w:ascii="Arial" w:hAnsi="Arial" w:cs="Arial"/>
                <w:sz w:val="20"/>
                <w:szCs w:val="20"/>
              </w:rPr>
            </w:pPr>
            <w:r w:rsidRPr="004C7C46">
              <w:rPr>
                <w:rFonts w:ascii="Times New Roman" w:eastAsia="Times New Roman" w:hAnsi="Times New Roman" w:cs="Times New Roman"/>
                <w:bCs/>
                <w:sz w:val="24"/>
                <w:szCs w:val="24"/>
                <w:shd w:val="clear" w:color="auto" w:fill="FFFFFF"/>
                <w:lang w:eastAsia="lv-LV"/>
              </w:rPr>
              <w:t xml:space="preserve">Papildu minētajam likuma </w:t>
            </w:r>
            <w:r w:rsidR="0099599A" w:rsidRPr="004C7C46">
              <w:rPr>
                <w:rFonts w:ascii="Times New Roman" w:eastAsia="Times New Roman" w:hAnsi="Times New Roman" w:cs="Times New Roman"/>
                <w:bCs/>
                <w:sz w:val="24"/>
                <w:szCs w:val="24"/>
                <w:shd w:val="clear" w:color="auto" w:fill="FFFFFF"/>
                <w:lang w:eastAsia="lv-LV"/>
              </w:rPr>
              <w:t>23.</w:t>
            </w:r>
            <w:r w:rsidR="0099599A" w:rsidRPr="004C7C46">
              <w:rPr>
                <w:rFonts w:ascii="Times New Roman" w:eastAsia="Times New Roman" w:hAnsi="Times New Roman" w:cs="Times New Roman"/>
                <w:bCs/>
                <w:sz w:val="24"/>
                <w:szCs w:val="24"/>
                <w:shd w:val="clear" w:color="auto" w:fill="FFFFFF"/>
                <w:vertAlign w:val="superscript"/>
                <w:lang w:eastAsia="lv-LV"/>
              </w:rPr>
              <w:t>5</w:t>
            </w:r>
            <w:r w:rsidR="0099599A" w:rsidRPr="004C7C46">
              <w:rPr>
                <w:rFonts w:ascii="Times New Roman" w:eastAsia="Times New Roman" w:hAnsi="Times New Roman" w:cs="Times New Roman"/>
                <w:bCs/>
                <w:sz w:val="24"/>
                <w:szCs w:val="24"/>
                <w:shd w:val="clear" w:color="auto" w:fill="FFFFFF"/>
                <w:lang w:eastAsia="lv-LV"/>
              </w:rPr>
              <w:t>, 23.</w:t>
            </w:r>
            <w:r w:rsidR="0099599A" w:rsidRPr="004C7C46">
              <w:rPr>
                <w:rFonts w:ascii="Times New Roman" w:eastAsia="Times New Roman" w:hAnsi="Times New Roman" w:cs="Times New Roman"/>
                <w:bCs/>
                <w:sz w:val="24"/>
                <w:szCs w:val="24"/>
                <w:shd w:val="clear" w:color="auto" w:fill="FFFFFF"/>
                <w:vertAlign w:val="superscript"/>
                <w:lang w:eastAsia="lv-LV"/>
              </w:rPr>
              <w:t>6</w:t>
            </w:r>
            <w:r w:rsidR="0099599A" w:rsidRPr="004C7C46">
              <w:rPr>
                <w:rFonts w:ascii="Times New Roman" w:eastAsia="Times New Roman" w:hAnsi="Times New Roman" w:cs="Times New Roman"/>
                <w:bCs/>
                <w:sz w:val="24"/>
                <w:szCs w:val="24"/>
                <w:shd w:val="clear" w:color="auto" w:fill="FFFFFF"/>
                <w:lang w:eastAsia="lv-LV"/>
              </w:rPr>
              <w:t> 39.,</w:t>
            </w:r>
            <w:r w:rsidR="0099599A" w:rsidRPr="004C7C46">
              <w:rPr>
                <w:sz w:val="26"/>
                <w:szCs w:val="26"/>
              </w:rPr>
              <w:t xml:space="preserve"> </w:t>
            </w:r>
            <w:r w:rsidRPr="004C7C46">
              <w:rPr>
                <w:rFonts w:ascii="Times New Roman" w:eastAsia="Times New Roman" w:hAnsi="Times New Roman" w:cs="Times New Roman"/>
                <w:bCs/>
                <w:sz w:val="24"/>
                <w:szCs w:val="24"/>
                <w:shd w:val="clear" w:color="auto" w:fill="FFFFFF"/>
                <w:lang w:eastAsia="lv-LV"/>
              </w:rPr>
              <w:t>41., 45., 47., 50., 56., 66., 69., 85., 88., 90., 104., 105., 107., 119. un 12</w:t>
            </w:r>
            <w:r w:rsidR="00917584">
              <w:rPr>
                <w:rFonts w:ascii="Times New Roman" w:eastAsia="Times New Roman" w:hAnsi="Times New Roman" w:cs="Times New Roman"/>
                <w:bCs/>
                <w:sz w:val="24"/>
                <w:szCs w:val="24"/>
                <w:shd w:val="clear" w:color="auto" w:fill="FFFFFF"/>
                <w:lang w:eastAsia="lv-LV"/>
              </w:rPr>
              <w:t>1.</w:t>
            </w:r>
            <w:r w:rsidR="00917584" w:rsidRPr="00917584">
              <w:rPr>
                <w:rFonts w:ascii="Times New Roman" w:eastAsia="Times New Roman" w:hAnsi="Times New Roman" w:cs="Times New Roman"/>
                <w:bCs/>
                <w:sz w:val="24"/>
                <w:szCs w:val="24"/>
                <w:shd w:val="clear" w:color="auto" w:fill="FFFFFF"/>
                <w:vertAlign w:val="superscript"/>
                <w:lang w:eastAsia="lv-LV"/>
              </w:rPr>
              <w:t>2</w:t>
            </w:r>
            <w:r w:rsidRPr="004C7C46">
              <w:rPr>
                <w:rFonts w:ascii="Times New Roman" w:eastAsia="Times New Roman" w:hAnsi="Times New Roman" w:cs="Times New Roman"/>
                <w:bCs/>
                <w:sz w:val="24"/>
                <w:szCs w:val="24"/>
                <w:shd w:val="clear" w:color="auto" w:fill="FFFFFF"/>
                <w:lang w:eastAsia="lv-LV"/>
              </w:rPr>
              <w:t xml:space="preserve"> pant</w:t>
            </w:r>
            <w:r w:rsidR="0099599A" w:rsidRPr="004C7C46">
              <w:rPr>
                <w:rFonts w:ascii="Times New Roman" w:eastAsia="Times New Roman" w:hAnsi="Times New Roman" w:cs="Times New Roman"/>
                <w:bCs/>
                <w:sz w:val="24"/>
                <w:szCs w:val="24"/>
                <w:shd w:val="clear" w:color="auto" w:fill="FFFFFF"/>
                <w:lang w:eastAsia="lv-LV"/>
              </w:rPr>
              <w:t>ā</w:t>
            </w:r>
            <w:r w:rsidR="00480AEB">
              <w:rPr>
                <w:rFonts w:ascii="Times New Roman" w:eastAsia="Times New Roman" w:hAnsi="Times New Roman" w:cs="Times New Roman"/>
                <w:bCs/>
                <w:sz w:val="24"/>
                <w:szCs w:val="24"/>
                <w:shd w:val="clear" w:color="auto" w:fill="FFFFFF"/>
                <w:lang w:eastAsia="lv-LV"/>
              </w:rPr>
              <w:t xml:space="preserve"> veikti</w:t>
            </w:r>
            <w:r w:rsidR="004C7C46" w:rsidRPr="004C7C46">
              <w:rPr>
                <w:rFonts w:ascii="Times New Roman" w:eastAsia="Times New Roman" w:hAnsi="Times New Roman" w:cs="Times New Roman"/>
                <w:bCs/>
                <w:sz w:val="24"/>
                <w:szCs w:val="24"/>
                <w:shd w:val="clear" w:color="auto" w:fill="FFFFFF"/>
                <w:lang w:eastAsia="lv-LV"/>
              </w:rPr>
              <w:t xml:space="preserve"> </w:t>
            </w:r>
            <w:r w:rsidRPr="004C7C46">
              <w:rPr>
                <w:rFonts w:ascii="Times New Roman" w:eastAsia="Times New Roman" w:hAnsi="Times New Roman" w:cs="Times New Roman"/>
                <w:bCs/>
                <w:sz w:val="24"/>
                <w:szCs w:val="24"/>
                <w:shd w:val="clear" w:color="auto" w:fill="FFFFFF"/>
                <w:lang w:eastAsia="lv-LV"/>
              </w:rPr>
              <w:t>precizējoši</w:t>
            </w:r>
            <w:r w:rsidR="00480AEB">
              <w:rPr>
                <w:rFonts w:ascii="Times New Roman" w:eastAsia="Times New Roman" w:hAnsi="Times New Roman" w:cs="Times New Roman"/>
                <w:bCs/>
                <w:sz w:val="24"/>
                <w:szCs w:val="24"/>
                <w:shd w:val="clear" w:color="auto" w:fill="FFFFFF"/>
                <w:lang w:eastAsia="lv-LV"/>
              </w:rPr>
              <w:t xml:space="preserve"> vai redakcionāli</w:t>
            </w:r>
            <w:r w:rsidRPr="004C7C46">
              <w:rPr>
                <w:rFonts w:ascii="Times New Roman" w:eastAsia="Times New Roman" w:hAnsi="Times New Roman" w:cs="Times New Roman"/>
                <w:bCs/>
                <w:sz w:val="24"/>
                <w:szCs w:val="24"/>
                <w:shd w:val="clear" w:color="auto" w:fill="FFFFFF"/>
                <w:lang w:eastAsia="lv-LV"/>
              </w:rPr>
              <w:t xml:space="preserve"> grozījumi, </w:t>
            </w:r>
            <w:r w:rsidR="00480AEB">
              <w:rPr>
                <w:rFonts w:ascii="Times New Roman" w:eastAsia="Times New Roman" w:hAnsi="Times New Roman" w:cs="Times New Roman"/>
                <w:bCs/>
                <w:sz w:val="24"/>
                <w:szCs w:val="24"/>
                <w:shd w:val="clear" w:color="auto" w:fill="FFFFFF"/>
                <w:lang w:eastAsia="lv-LV"/>
              </w:rPr>
              <w:t>lai novērstu likumā konstatētās neprecizitātes.</w:t>
            </w:r>
          </w:p>
        </w:tc>
      </w:tr>
      <w:tr w:rsidR="003405FF" w:rsidRPr="004C7C46" w:rsidTr="003405FF">
        <w:trPr>
          <w:tblCellSpacing w:w="15" w:type="dxa"/>
        </w:trPr>
        <w:tc>
          <w:tcPr>
            <w:tcW w:w="289" w:type="pct"/>
            <w:hideMark/>
          </w:tcPr>
          <w:p w:rsidR="003405FF" w:rsidRPr="004C7C46" w:rsidRDefault="003405FF" w:rsidP="00B12102">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lastRenderedPageBreak/>
              <w:t>3.</w:t>
            </w:r>
          </w:p>
        </w:tc>
        <w:tc>
          <w:tcPr>
            <w:tcW w:w="1786" w:type="pct"/>
            <w:hideMark/>
          </w:tcPr>
          <w:p w:rsidR="003405FF" w:rsidRPr="004C7C46" w:rsidRDefault="003405FF" w:rsidP="00B12102">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Projekta izstrādē iesaistītās institūcijas un publiskas personas kapitālsabiedrības</w:t>
            </w:r>
          </w:p>
        </w:tc>
        <w:tc>
          <w:tcPr>
            <w:tcW w:w="2859" w:type="pct"/>
            <w:hideMark/>
          </w:tcPr>
          <w:p w:rsidR="003405FF" w:rsidRPr="00992612" w:rsidRDefault="003405FF" w:rsidP="00992612">
            <w:pPr>
              <w:jc w:val="both"/>
              <w:rPr>
                <w:rFonts w:ascii="Times New Roman" w:eastAsia="Times New Roman" w:hAnsi="Times New Roman" w:cs="Times New Roman"/>
                <w:iCs/>
                <w:sz w:val="24"/>
                <w:szCs w:val="24"/>
                <w:highlight w:val="yellow"/>
                <w:lang w:eastAsia="lv-LV"/>
              </w:rPr>
            </w:pPr>
            <w:r w:rsidRPr="00940A96">
              <w:rPr>
                <w:rFonts w:ascii="Times New Roman" w:eastAsia="Times New Roman" w:hAnsi="Times New Roman" w:cs="Times New Roman"/>
                <w:iCs/>
                <w:sz w:val="24"/>
                <w:szCs w:val="24"/>
                <w:lang w:eastAsia="lv-LV"/>
              </w:rPr>
              <w:t>Finanšu ministrija</w:t>
            </w:r>
            <w:r w:rsidR="00992612" w:rsidRPr="00940A96">
              <w:rPr>
                <w:rFonts w:ascii="Times New Roman" w:eastAsia="Times New Roman" w:hAnsi="Times New Roman" w:cs="Times New Roman"/>
                <w:iCs/>
                <w:sz w:val="24"/>
                <w:szCs w:val="24"/>
                <w:lang w:eastAsia="lv-LV"/>
              </w:rPr>
              <w:t>, Finanšu un kapitāla tirgus komisija</w:t>
            </w:r>
            <w:r w:rsidR="000970C6">
              <w:rPr>
                <w:rFonts w:ascii="Times New Roman" w:eastAsia="Times New Roman" w:hAnsi="Times New Roman" w:cs="Times New Roman"/>
                <w:iCs/>
                <w:sz w:val="24"/>
                <w:szCs w:val="24"/>
                <w:lang w:eastAsia="lv-LV"/>
              </w:rPr>
              <w:t>.</w:t>
            </w:r>
          </w:p>
        </w:tc>
      </w:tr>
      <w:tr w:rsidR="003405FF" w:rsidRPr="004C7C46" w:rsidTr="003405FF">
        <w:trPr>
          <w:tblCellSpacing w:w="15" w:type="dxa"/>
        </w:trPr>
        <w:tc>
          <w:tcPr>
            <w:tcW w:w="289" w:type="pct"/>
            <w:hideMark/>
          </w:tcPr>
          <w:p w:rsidR="003405FF" w:rsidRPr="004C7C46" w:rsidRDefault="003405FF" w:rsidP="00B12102">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4.</w:t>
            </w:r>
          </w:p>
        </w:tc>
        <w:tc>
          <w:tcPr>
            <w:tcW w:w="1786" w:type="pct"/>
            <w:hideMark/>
          </w:tcPr>
          <w:p w:rsidR="003405FF" w:rsidRPr="004C7C46" w:rsidRDefault="003405FF" w:rsidP="00B12102">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Cita informācija</w:t>
            </w:r>
          </w:p>
        </w:tc>
        <w:tc>
          <w:tcPr>
            <w:tcW w:w="2859" w:type="pct"/>
            <w:hideMark/>
          </w:tcPr>
          <w:p w:rsidR="003405FF" w:rsidRPr="004C7C46" w:rsidRDefault="003405FF" w:rsidP="00B12102">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sz w:val="24"/>
                <w:szCs w:val="24"/>
                <w:lang w:eastAsia="lv-LV"/>
              </w:rPr>
              <w:t>Nav.</w:t>
            </w:r>
          </w:p>
        </w:tc>
      </w:tr>
    </w:tbl>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C6D96" w:rsidRPr="004C7C4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C7C46" w:rsidRDefault="00E5323B" w:rsidP="00AC0522">
            <w:pPr>
              <w:spacing w:after="0" w:line="240" w:lineRule="auto"/>
              <w:jc w:val="center"/>
              <w:rPr>
                <w:rFonts w:ascii="Times New Roman" w:eastAsia="Times New Roman" w:hAnsi="Times New Roman" w:cs="Times New Roman"/>
                <w:b/>
                <w:bCs/>
                <w:iCs/>
                <w:sz w:val="24"/>
                <w:szCs w:val="24"/>
                <w:lang w:eastAsia="lv-LV"/>
              </w:rPr>
            </w:pPr>
            <w:r w:rsidRPr="004C7C46">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2C6D96" w:rsidRPr="004C7C46" w:rsidTr="00930F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tcPr>
          <w:p w:rsidR="00C270A6" w:rsidRPr="004C7C46" w:rsidRDefault="00100248" w:rsidP="007A6C69">
            <w:pPr>
              <w:pStyle w:val="tv213"/>
              <w:shd w:val="clear" w:color="auto" w:fill="FFFFFF"/>
              <w:spacing w:before="0" w:beforeAutospacing="0" w:after="0" w:afterAutospacing="0" w:line="293" w:lineRule="atLeast"/>
              <w:jc w:val="both"/>
              <w:rPr>
                <w:iCs/>
              </w:rPr>
            </w:pPr>
            <w:r w:rsidRPr="004C7C46">
              <w:rPr>
                <w:iCs/>
              </w:rPr>
              <w:t xml:space="preserve">Kredītiestādes un </w:t>
            </w:r>
            <w:r w:rsidR="007A6C69" w:rsidRPr="004C7C46">
              <w:rPr>
                <w:iCs/>
              </w:rPr>
              <w:t xml:space="preserve">ieguldījumu brokeru sabiedrības, </w:t>
            </w:r>
            <w:r w:rsidR="007A6C69" w:rsidRPr="004C7C46">
              <w:t>ES reģistrētas finanšu pārvaldītājsabiedrībās,</w:t>
            </w:r>
            <w:r w:rsidR="006E0307" w:rsidRPr="004C7C46">
              <w:t xml:space="preserve"> jauktā</w:t>
            </w:r>
            <w:r w:rsidR="007A6C69" w:rsidRPr="004C7C46">
              <w:t>s finanšu pārvaldītājsabiedrības un jauktas darbības pārvaldītājsabiedrības un to meitas sabiedrības, Latvijas Republikas mātes finanšu pārvaldītājsabiedrības, Latvijas Republikā reģistrētas ES mātes finanšu pārvaldītājsabiedrības, Latvijas Republikas mātes jauktas finanšu pārvaldītājsabiedrības, Latvijas Republikā reģistrētas ES mātes jaukas finanšu pārvaldītājsabiedrības un to meitas sabiedrības</w:t>
            </w:r>
            <w:r w:rsidR="0095384F" w:rsidRPr="004C7C46">
              <w:t>, ārvalsts kredītiestāžu un ieguldījumu brokeru sabiedrības filiāles.</w:t>
            </w:r>
          </w:p>
        </w:tc>
      </w:tr>
      <w:tr w:rsidR="002C6D96" w:rsidRPr="004C7C46" w:rsidTr="00381E6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rsidR="006E0307" w:rsidRPr="004C7C46" w:rsidRDefault="006E0307" w:rsidP="00615753">
            <w:pPr>
              <w:spacing w:after="0" w:line="240" w:lineRule="auto"/>
              <w:jc w:val="both"/>
              <w:rPr>
                <w:rFonts w:ascii="Times New Roman" w:eastAsia="Times New Roman" w:hAnsi="Times New Roman" w:cs="Times New Roman"/>
                <w:sz w:val="24"/>
                <w:szCs w:val="24"/>
                <w:lang w:eastAsia="lv-LV"/>
              </w:rPr>
            </w:pPr>
            <w:r w:rsidRPr="004C7C46">
              <w:rPr>
                <w:rFonts w:ascii="Times New Roman" w:eastAsia="Times New Roman" w:hAnsi="Times New Roman" w:cs="Times New Roman"/>
                <w:sz w:val="24"/>
                <w:szCs w:val="24"/>
                <w:lang w:eastAsia="lv-LV"/>
              </w:rPr>
              <w:t>Likumprojektam paredzama pozitīva ietekme uz tautsaimniecības attīstību, jo tajā ietvertais regulējums ir vērsts uz efektīvāku maksātspējas grūtībās nonākušu kredītiestāžu, ieguldījumu brokeru sabiedrību un citu likumu subjektu darbības atjaunošanu un noregulēšanu.</w:t>
            </w:r>
          </w:p>
          <w:p w:rsidR="00962704" w:rsidRPr="004C7C46" w:rsidRDefault="0047484F" w:rsidP="00962704">
            <w:pPr>
              <w:spacing w:before="60" w:after="0" w:line="240" w:lineRule="auto"/>
              <w:jc w:val="both"/>
              <w:rPr>
                <w:rFonts w:ascii="Times New Roman" w:eastAsia="Times New Roman" w:hAnsi="Times New Roman" w:cs="Times New Roman"/>
                <w:sz w:val="24"/>
                <w:szCs w:val="24"/>
                <w:lang w:eastAsia="lv-LV"/>
              </w:rPr>
            </w:pPr>
            <w:r w:rsidRPr="004C7C46">
              <w:rPr>
                <w:rFonts w:ascii="Times New Roman" w:eastAsia="Times New Roman" w:hAnsi="Times New Roman" w:cs="Times New Roman"/>
                <w:sz w:val="24"/>
                <w:szCs w:val="24"/>
                <w:lang w:eastAsia="lv-LV"/>
              </w:rPr>
              <w:t xml:space="preserve">Likumprojekta regulējums </w:t>
            </w:r>
            <w:r w:rsidR="002467E5" w:rsidRPr="004C7C46">
              <w:rPr>
                <w:rFonts w:ascii="Times New Roman" w:eastAsia="Times New Roman" w:hAnsi="Times New Roman" w:cs="Times New Roman"/>
                <w:sz w:val="24"/>
                <w:szCs w:val="24"/>
                <w:lang w:eastAsia="lv-LV"/>
              </w:rPr>
              <w:t xml:space="preserve">tā subjektiem </w:t>
            </w:r>
            <w:r w:rsidRPr="004C7C46">
              <w:rPr>
                <w:rFonts w:ascii="Times New Roman" w:eastAsia="Times New Roman" w:hAnsi="Times New Roman" w:cs="Times New Roman"/>
                <w:sz w:val="24"/>
                <w:szCs w:val="24"/>
                <w:lang w:eastAsia="lv-LV"/>
              </w:rPr>
              <w:t xml:space="preserve">paredz </w:t>
            </w:r>
            <w:r w:rsidR="00962704" w:rsidRPr="004C7C46">
              <w:rPr>
                <w:rFonts w:ascii="Times New Roman" w:eastAsia="Times New Roman" w:hAnsi="Times New Roman" w:cs="Times New Roman"/>
                <w:sz w:val="24"/>
                <w:szCs w:val="24"/>
                <w:lang w:eastAsia="lv-LV"/>
              </w:rPr>
              <w:t>atsevišķus papildu pienākumus</w:t>
            </w:r>
            <w:r w:rsidR="002467E5" w:rsidRPr="004C7C46">
              <w:rPr>
                <w:rFonts w:ascii="Times New Roman" w:eastAsia="Times New Roman" w:hAnsi="Times New Roman" w:cs="Times New Roman"/>
                <w:sz w:val="24"/>
                <w:szCs w:val="24"/>
                <w:lang w:eastAsia="lv-LV"/>
              </w:rPr>
              <w:t>, lai būtu iespējams pilnvērtīgi īstenot likumā noteiktos darbības atjaunošanas un noregulēšanas pasākumus</w:t>
            </w:r>
            <w:r w:rsidR="00962704" w:rsidRPr="004C7C46">
              <w:rPr>
                <w:rFonts w:ascii="Times New Roman" w:eastAsia="Times New Roman" w:hAnsi="Times New Roman" w:cs="Times New Roman"/>
                <w:sz w:val="24"/>
                <w:szCs w:val="24"/>
                <w:lang w:eastAsia="lv-LV"/>
              </w:rPr>
              <w:t>.</w:t>
            </w:r>
            <w:r w:rsidR="005D21D4" w:rsidRPr="004C7C46">
              <w:rPr>
                <w:rFonts w:ascii="Times New Roman" w:eastAsia="Times New Roman" w:hAnsi="Times New Roman" w:cs="Times New Roman"/>
                <w:sz w:val="24"/>
                <w:szCs w:val="24"/>
                <w:lang w:eastAsia="lv-LV"/>
              </w:rPr>
              <w:t xml:space="preserve"> </w:t>
            </w:r>
          </w:p>
          <w:p w:rsidR="00512C0F" w:rsidRPr="004C7C46" w:rsidRDefault="00962704" w:rsidP="00962704">
            <w:pPr>
              <w:spacing w:before="60" w:after="0" w:line="240" w:lineRule="auto"/>
              <w:jc w:val="both"/>
              <w:rPr>
                <w:rFonts w:ascii="Times New Roman" w:eastAsia="Times New Roman" w:hAnsi="Times New Roman" w:cs="Times New Roman"/>
                <w:sz w:val="24"/>
                <w:szCs w:val="24"/>
                <w:lang w:eastAsia="lv-LV"/>
              </w:rPr>
            </w:pPr>
            <w:r w:rsidRPr="004C7C46">
              <w:rPr>
                <w:rFonts w:ascii="Times New Roman" w:eastAsia="Times New Roman" w:hAnsi="Times New Roman" w:cs="Times New Roman"/>
                <w:sz w:val="24"/>
                <w:szCs w:val="24"/>
                <w:lang w:eastAsia="lv-LV"/>
              </w:rPr>
              <w:t xml:space="preserve">Proti, </w:t>
            </w:r>
            <w:r w:rsidR="0018195C" w:rsidRPr="004C7C46">
              <w:rPr>
                <w:rFonts w:ascii="Times New Roman" w:eastAsia="Times New Roman" w:hAnsi="Times New Roman" w:cs="Times New Roman"/>
                <w:sz w:val="24"/>
                <w:szCs w:val="24"/>
                <w:lang w:eastAsia="lv-LV"/>
              </w:rPr>
              <w:t>likuma 64. pant</w:t>
            </w:r>
            <w:r w:rsidR="00433EC5" w:rsidRPr="004C7C46">
              <w:rPr>
                <w:rFonts w:ascii="Times New Roman" w:eastAsia="Times New Roman" w:hAnsi="Times New Roman" w:cs="Times New Roman"/>
                <w:sz w:val="24"/>
                <w:szCs w:val="24"/>
                <w:lang w:eastAsia="lv-LV"/>
              </w:rPr>
              <w:t>a jaunā redakcija iestādēm</w:t>
            </w:r>
            <w:r w:rsidR="007D44F0" w:rsidRPr="004C7C46">
              <w:rPr>
                <w:rFonts w:ascii="Times New Roman" w:eastAsia="Times New Roman" w:hAnsi="Times New Roman" w:cs="Times New Roman"/>
                <w:sz w:val="24"/>
                <w:szCs w:val="24"/>
                <w:lang w:eastAsia="lv-LV"/>
              </w:rPr>
              <w:t xml:space="preserve"> vai finanšu sabiedrībām</w:t>
            </w:r>
            <w:r w:rsidR="00433EC5" w:rsidRPr="004C7C46">
              <w:rPr>
                <w:rFonts w:ascii="Times New Roman" w:eastAsia="Times New Roman" w:hAnsi="Times New Roman" w:cs="Times New Roman"/>
                <w:sz w:val="24"/>
                <w:szCs w:val="24"/>
                <w:lang w:eastAsia="lv-LV"/>
              </w:rPr>
              <w:t>, kurām pastāvīgi ir jānodrošina MREL izpilde, paredz pienākumu</w:t>
            </w:r>
            <w:r w:rsidR="0018195C" w:rsidRPr="004C7C46">
              <w:rPr>
                <w:rFonts w:ascii="Times New Roman" w:eastAsia="Times New Roman" w:hAnsi="Times New Roman" w:cs="Times New Roman"/>
                <w:sz w:val="24"/>
                <w:szCs w:val="24"/>
                <w:lang w:eastAsia="lv-LV"/>
              </w:rPr>
              <w:t xml:space="preserve"> </w:t>
            </w:r>
            <w:r w:rsidR="00512C0F" w:rsidRPr="004C7C46">
              <w:rPr>
                <w:rFonts w:ascii="Times New Roman" w:eastAsia="Times New Roman" w:hAnsi="Times New Roman" w:cs="Times New Roman"/>
                <w:sz w:val="24"/>
                <w:szCs w:val="24"/>
                <w:lang w:eastAsia="lv-LV"/>
              </w:rPr>
              <w:t>vismaz reizi pusgadā</w:t>
            </w:r>
            <w:r w:rsidR="0018195C" w:rsidRPr="004C7C46">
              <w:rPr>
                <w:rFonts w:ascii="Times New Roman" w:eastAsia="Times New Roman" w:hAnsi="Times New Roman" w:cs="Times New Roman"/>
                <w:sz w:val="24"/>
                <w:szCs w:val="24"/>
                <w:lang w:eastAsia="lv-LV"/>
              </w:rPr>
              <w:t xml:space="preserve"> iesniegt </w:t>
            </w:r>
            <w:r w:rsidR="00512C0F" w:rsidRPr="004C7C46">
              <w:rPr>
                <w:rFonts w:ascii="Times New Roman" w:eastAsia="Times New Roman" w:hAnsi="Times New Roman" w:cs="Times New Roman"/>
                <w:sz w:val="24"/>
                <w:szCs w:val="24"/>
                <w:lang w:eastAsia="lv-LV"/>
              </w:rPr>
              <w:t xml:space="preserve">FKTK </w:t>
            </w:r>
            <w:r w:rsidR="0018195C" w:rsidRPr="004C7C46">
              <w:rPr>
                <w:rFonts w:ascii="Times New Roman" w:eastAsia="Times New Roman" w:hAnsi="Times New Roman" w:cs="Times New Roman"/>
                <w:sz w:val="24"/>
                <w:szCs w:val="24"/>
                <w:lang w:eastAsia="lv-LV"/>
              </w:rPr>
              <w:t xml:space="preserve">pārskatus </w:t>
            </w:r>
            <w:r w:rsidR="00512C0F" w:rsidRPr="004C7C46">
              <w:rPr>
                <w:rFonts w:ascii="Times New Roman" w:eastAsia="Times New Roman" w:hAnsi="Times New Roman" w:cs="Times New Roman"/>
                <w:sz w:val="24"/>
                <w:szCs w:val="24"/>
                <w:lang w:eastAsia="lv-LV"/>
              </w:rPr>
              <w:t>par MREL izpildi.</w:t>
            </w:r>
          </w:p>
          <w:p w:rsidR="00962704" w:rsidRPr="004C7C46" w:rsidRDefault="00946047" w:rsidP="00962704">
            <w:pPr>
              <w:spacing w:before="60" w:after="0" w:line="240" w:lineRule="auto"/>
              <w:jc w:val="both"/>
              <w:rPr>
                <w:rFonts w:ascii="Times New Roman" w:eastAsia="Times New Roman" w:hAnsi="Times New Roman" w:cs="Times New Roman"/>
                <w:sz w:val="24"/>
                <w:szCs w:val="24"/>
                <w:lang w:eastAsia="lv-LV"/>
              </w:rPr>
            </w:pPr>
            <w:r w:rsidRPr="004C7C46">
              <w:rPr>
                <w:rFonts w:ascii="Times New Roman" w:eastAsia="Times New Roman" w:hAnsi="Times New Roman" w:cs="Times New Roman"/>
                <w:sz w:val="24"/>
                <w:szCs w:val="24"/>
                <w:lang w:eastAsia="lv-LV"/>
              </w:rPr>
              <w:t>L</w:t>
            </w:r>
            <w:r w:rsidR="0018195C" w:rsidRPr="004C7C46">
              <w:rPr>
                <w:rFonts w:ascii="Times New Roman" w:eastAsia="Times New Roman" w:hAnsi="Times New Roman" w:cs="Times New Roman"/>
                <w:sz w:val="24"/>
                <w:szCs w:val="24"/>
                <w:lang w:eastAsia="lv-LV"/>
              </w:rPr>
              <w:t>ikuma 93.</w:t>
            </w:r>
            <w:r w:rsidR="0018195C" w:rsidRPr="004C7C46">
              <w:rPr>
                <w:rFonts w:ascii="Times New Roman" w:eastAsia="Times New Roman" w:hAnsi="Times New Roman" w:cs="Times New Roman"/>
                <w:sz w:val="24"/>
                <w:szCs w:val="24"/>
                <w:vertAlign w:val="superscript"/>
                <w:lang w:eastAsia="lv-LV"/>
              </w:rPr>
              <w:t>1</w:t>
            </w:r>
            <w:r w:rsidR="0018195C" w:rsidRPr="004C7C46">
              <w:rPr>
                <w:rFonts w:ascii="Times New Roman" w:eastAsia="Times New Roman" w:hAnsi="Times New Roman" w:cs="Times New Roman"/>
                <w:sz w:val="24"/>
                <w:szCs w:val="24"/>
                <w:lang w:eastAsia="lv-LV"/>
              </w:rPr>
              <w:t> pants uzliek</w:t>
            </w:r>
            <w:r w:rsidR="00512C0F" w:rsidRPr="004C7C46">
              <w:rPr>
                <w:rFonts w:ascii="Times New Roman" w:eastAsia="Times New Roman" w:hAnsi="Times New Roman" w:cs="Times New Roman"/>
                <w:sz w:val="24"/>
                <w:szCs w:val="24"/>
                <w:lang w:eastAsia="lv-LV"/>
              </w:rPr>
              <w:t xml:space="preserve"> </w:t>
            </w:r>
            <w:r w:rsidR="00546559" w:rsidRPr="004C7C46">
              <w:rPr>
                <w:rFonts w:ascii="Times New Roman" w:eastAsia="Times New Roman" w:hAnsi="Times New Roman" w:cs="Times New Roman"/>
                <w:sz w:val="24"/>
                <w:szCs w:val="24"/>
                <w:lang w:eastAsia="lv-LV"/>
              </w:rPr>
              <w:t>iestādēm vai finanšu sabiedrībām</w:t>
            </w:r>
            <w:r w:rsidR="0018195C" w:rsidRPr="004C7C46">
              <w:rPr>
                <w:rFonts w:ascii="Times New Roman" w:eastAsia="Times New Roman" w:hAnsi="Times New Roman" w:cs="Times New Roman"/>
                <w:sz w:val="24"/>
                <w:szCs w:val="24"/>
                <w:lang w:eastAsia="lv-LV"/>
              </w:rPr>
              <w:t xml:space="preserve"> pienākumu noslēgto finanšu līgumu </w:t>
            </w:r>
            <w:r w:rsidR="00512C0F" w:rsidRPr="004C7C46">
              <w:rPr>
                <w:rFonts w:ascii="Times New Roman" w:eastAsia="Times New Roman" w:hAnsi="Times New Roman" w:cs="Times New Roman"/>
                <w:sz w:val="24"/>
                <w:szCs w:val="24"/>
                <w:lang w:eastAsia="lv-LV"/>
              </w:rPr>
              <w:t xml:space="preserve">būtiskas </w:t>
            </w:r>
            <w:r w:rsidR="0018195C" w:rsidRPr="004C7C46">
              <w:rPr>
                <w:rFonts w:ascii="Times New Roman" w:eastAsia="Times New Roman" w:hAnsi="Times New Roman" w:cs="Times New Roman"/>
                <w:sz w:val="24"/>
                <w:szCs w:val="24"/>
                <w:lang w:eastAsia="lv-LV"/>
              </w:rPr>
              <w:t>grozīšanas vai jaunu līgumu noslēgšanas gadījum</w:t>
            </w:r>
            <w:r w:rsidR="00512C0F" w:rsidRPr="004C7C46">
              <w:rPr>
                <w:rFonts w:ascii="Times New Roman" w:eastAsia="Times New Roman" w:hAnsi="Times New Roman" w:cs="Times New Roman"/>
                <w:sz w:val="24"/>
                <w:szCs w:val="24"/>
                <w:lang w:eastAsia="lv-LV"/>
              </w:rPr>
              <w:t xml:space="preserve">ā </w:t>
            </w:r>
            <w:r w:rsidR="0018195C" w:rsidRPr="004C7C46">
              <w:rPr>
                <w:rFonts w:ascii="Times New Roman" w:eastAsia="Times New Roman" w:hAnsi="Times New Roman" w:cs="Times New Roman"/>
                <w:sz w:val="24"/>
                <w:szCs w:val="24"/>
                <w:lang w:eastAsia="lv-LV"/>
              </w:rPr>
              <w:t xml:space="preserve"> </w:t>
            </w:r>
            <w:r w:rsidR="00512C0F" w:rsidRPr="004C7C46">
              <w:rPr>
                <w:rFonts w:ascii="Times New Roman" w:eastAsia="Times New Roman" w:hAnsi="Times New Roman" w:cs="Times New Roman"/>
                <w:sz w:val="24"/>
                <w:szCs w:val="24"/>
                <w:lang w:eastAsia="lv-LV"/>
              </w:rPr>
              <w:t>iekļaut</w:t>
            </w:r>
            <w:r w:rsidR="0018195C" w:rsidRPr="004C7C46">
              <w:rPr>
                <w:rFonts w:ascii="Times New Roman" w:eastAsia="Times New Roman" w:hAnsi="Times New Roman" w:cs="Times New Roman"/>
                <w:sz w:val="24"/>
                <w:szCs w:val="24"/>
                <w:lang w:eastAsia="lv-LV"/>
              </w:rPr>
              <w:t xml:space="preserve"> tajos noteikumus par FKTK tiesībām apturēt vai ierobežot tiesību izmantošanu vai saistību izpildi</w:t>
            </w:r>
            <w:r w:rsidR="00512C0F" w:rsidRPr="004C7C46">
              <w:rPr>
                <w:rFonts w:ascii="Times New Roman" w:eastAsia="Times New Roman" w:hAnsi="Times New Roman" w:cs="Times New Roman"/>
                <w:sz w:val="24"/>
                <w:szCs w:val="24"/>
                <w:lang w:eastAsia="lv-LV"/>
              </w:rPr>
              <w:t xml:space="preserve">, kā arī FKTK veikto krīzes novēršanas un vadības pasākumu </w:t>
            </w:r>
            <w:r w:rsidR="0018195C" w:rsidRPr="004C7C46">
              <w:rPr>
                <w:rFonts w:ascii="Times New Roman" w:eastAsia="Times New Roman" w:hAnsi="Times New Roman" w:cs="Times New Roman"/>
                <w:sz w:val="24"/>
                <w:szCs w:val="24"/>
                <w:lang w:eastAsia="lv-LV"/>
              </w:rPr>
              <w:t xml:space="preserve"> </w:t>
            </w:r>
            <w:r w:rsidR="00512C0F" w:rsidRPr="004C7C46">
              <w:rPr>
                <w:rFonts w:ascii="Times New Roman" w:eastAsia="Times New Roman" w:hAnsi="Times New Roman" w:cs="Times New Roman"/>
                <w:sz w:val="24"/>
                <w:szCs w:val="24"/>
                <w:lang w:eastAsia="lv-LV"/>
              </w:rPr>
              <w:t>atzīšanu par saistošiem.</w:t>
            </w:r>
          </w:p>
          <w:p w:rsidR="00F47DBA" w:rsidRPr="004C7C46" w:rsidRDefault="00946047" w:rsidP="00546559">
            <w:pPr>
              <w:spacing w:before="60" w:after="0" w:line="240" w:lineRule="auto"/>
              <w:jc w:val="both"/>
              <w:rPr>
                <w:rFonts w:ascii="Times New Roman" w:eastAsia="Times New Roman" w:hAnsi="Times New Roman" w:cs="Times New Roman"/>
                <w:sz w:val="24"/>
                <w:szCs w:val="24"/>
                <w:lang w:eastAsia="lv-LV"/>
              </w:rPr>
            </w:pPr>
            <w:r w:rsidRPr="004C7C46">
              <w:rPr>
                <w:rFonts w:ascii="Times New Roman" w:eastAsia="Times New Roman" w:hAnsi="Times New Roman" w:cs="Times New Roman"/>
                <w:sz w:val="24"/>
                <w:szCs w:val="24"/>
                <w:lang w:eastAsia="lv-LV"/>
              </w:rPr>
              <w:t xml:space="preserve">Savukārt grozījumi likuma 76. pantā </w:t>
            </w:r>
            <w:r w:rsidR="00546559" w:rsidRPr="004C7C46">
              <w:rPr>
                <w:rFonts w:ascii="Times New Roman" w:eastAsia="Times New Roman" w:hAnsi="Times New Roman" w:cs="Times New Roman"/>
                <w:sz w:val="24"/>
                <w:szCs w:val="24"/>
                <w:lang w:eastAsia="lv-LV"/>
              </w:rPr>
              <w:t>iestādēm vai finanšu sabiedrībām</w:t>
            </w:r>
            <w:r w:rsidRPr="004C7C46">
              <w:rPr>
                <w:rFonts w:ascii="Times New Roman" w:eastAsia="Times New Roman" w:hAnsi="Times New Roman" w:cs="Times New Roman"/>
                <w:sz w:val="24"/>
                <w:szCs w:val="24"/>
                <w:lang w:eastAsia="lv-LV"/>
              </w:rPr>
              <w:t xml:space="preserve"> paredz pienākumu paziņot FKTK, ja tās noslēgtajos līgumos nav iespējams iekļaut noteikumus, kas paredz saistību norakstīšanas vai konvertēšanas īstenošanu.</w:t>
            </w:r>
          </w:p>
        </w:tc>
      </w:tr>
      <w:tr w:rsidR="002C6D96" w:rsidRPr="004C7C46" w:rsidTr="00381E6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rsidR="00E5323B" w:rsidRPr="004C7C46" w:rsidRDefault="00A30E0B" w:rsidP="00592498">
            <w:pPr>
              <w:spacing w:after="0" w:line="240" w:lineRule="auto"/>
              <w:jc w:val="both"/>
              <w:rPr>
                <w:rFonts w:ascii="Times New Roman" w:eastAsia="Times New Roman" w:hAnsi="Times New Roman" w:cs="Times New Roman"/>
                <w:i/>
                <w:iCs/>
                <w:sz w:val="24"/>
                <w:szCs w:val="24"/>
                <w:lang w:eastAsia="lv-LV"/>
              </w:rPr>
            </w:pPr>
            <w:r w:rsidRPr="004C7C46">
              <w:rPr>
                <w:rFonts w:ascii="Times New Roman" w:eastAsia="Times New Roman" w:hAnsi="Times New Roman" w:cs="Times New Roman"/>
                <w:sz w:val="24"/>
                <w:szCs w:val="24"/>
                <w:lang w:eastAsia="lv-LV"/>
              </w:rPr>
              <w:t>Saskaņā ar Centrālās statistikas pārvaldes datiem  mēneša vidējā bruto darba samaksa</w:t>
            </w:r>
            <w:r w:rsidR="00B24050" w:rsidRPr="004C7C46">
              <w:rPr>
                <w:rFonts w:ascii="Times New Roman" w:eastAsia="Times New Roman" w:hAnsi="Times New Roman" w:cs="Times New Roman"/>
                <w:sz w:val="24"/>
                <w:szCs w:val="24"/>
                <w:lang w:eastAsia="lv-LV"/>
              </w:rPr>
              <w:t xml:space="preserve"> privātā sektorā strādājošajiem, kas veic finanšu pakalpojumu</w:t>
            </w:r>
            <w:r w:rsidR="006060B9" w:rsidRPr="004C7C46">
              <w:rPr>
                <w:rFonts w:ascii="Times New Roman" w:eastAsia="Times New Roman" w:hAnsi="Times New Roman" w:cs="Times New Roman"/>
                <w:sz w:val="24"/>
                <w:szCs w:val="24"/>
                <w:lang w:eastAsia="lv-LV"/>
              </w:rPr>
              <w:t>s</w:t>
            </w:r>
            <w:r w:rsidR="00B24050" w:rsidRPr="004C7C46">
              <w:rPr>
                <w:rFonts w:ascii="Times New Roman" w:eastAsia="Times New Roman" w:hAnsi="Times New Roman" w:cs="Times New Roman"/>
                <w:sz w:val="24"/>
                <w:szCs w:val="24"/>
                <w:lang w:eastAsia="lv-LV"/>
              </w:rPr>
              <w:t xml:space="preserve"> papildinošas darbības, 2020.gada 2.ceturksnī</w:t>
            </w:r>
            <w:r w:rsidR="008B6301" w:rsidRPr="004C7C46">
              <w:rPr>
                <w:rFonts w:ascii="Times New Roman" w:eastAsia="Times New Roman" w:hAnsi="Times New Roman" w:cs="Times New Roman"/>
                <w:sz w:val="24"/>
                <w:szCs w:val="24"/>
                <w:lang w:eastAsia="lv-LV"/>
              </w:rPr>
              <w:t xml:space="preserve"> </w:t>
            </w:r>
            <w:r w:rsidRPr="004C7C46">
              <w:rPr>
                <w:rFonts w:ascii="Times New Roman" w:eastAsia="Times New Roman" w:hAnsi="Times New Roman" w:cs="Times New Roman"/>
                <w:sz w:val="24"/>
                <w:szCs w:val="24"/>
                <w:lang w:eastAsia="lv-LV"/>
              </w:rPr>
              <w:t xml:space="preserve">sastāda </w:t>
            </w:r>
            <w:r w:rsidR="006060B9" w:rsidRPr="004C7C46">
              <w:rPr>
                <w:rFonts w:ascii="Times New Roman" w:eastAsia="Times New Roman" w:hAnsi="Times New Roman" w:cs="Times New Roman"/>
                <w:sz w:val="24"/>
                <w:szCs w:val="24"/>
                <w:lang w:eastAsia="lv-LV"/>
              </w:rPr>
              <w:t>2031</w:t>
            </w:r>
            <w:r w:rsidRPr="004C7C46">
              <w:rPr>
                <w:rFonts w:ascii="Times New Roman" w:eastAsia="Times New Roman" w:hAnsi="Times New Roman" w:cs="Times New Roman"/>
                <w:sz w:val="24"/>
                <w:szCs w:val="24"/>
                <w:lang w:eastAsia="lv-LV"/>
              </w:rPr>
              <w:t xml:space="preserve"> </w:t>
            </w:r>
            <w:r w:rsidRPr="004C7C46">
              <w:rPr>
                <w:rFonts w:ascii="Times New Roman" w:eastAsia="Times New Roman" w:hAnsi="Times New Roman" w:cs="Times New Roman"/>
                <w:i/>
                <w:sz w:val="24"/>
                <w:szCs w:val="24"/>
                <w:lang w:eastAsia="lv-LV"/>
              </w:rPr>
              <w:t>euro</w:t>
            </w:r>
            <w:r w:rsidR="008B6301" w:rsidRPr="004C7C46">
              <w:rPr>
                <w:rFonts w:ascii="Times New Roman" w:eastAsia="Times New Roman" w:hAnsi="Times New Roman" w:cs="Times New Roman"/>
                <w:sz w:val="24"/>
                <w:szCs w:val="24"/>
                <w:lang w:eastAsia="lv-LV"/>
              </w:rPr>
              <w:t>. Ievērojot, ka šīs sadaļas 2. punktā norādīto papildu pienākumu izpildei viena</w:t>
            </w:r>
            <w:r w:rsidR="004C7C46" w:rsidRPr="004C7C46">
              <w:rPr>
                <w:rFonts w:ascii="Times New Roman" w:eastAsia="Times New Roman" w:hAnsi="Times New Roman" w:cs="Times New Roman"/>
                <w:sz w:val="24"/>
                <w:szCs w:val="24"/>
                <w:lang w:eastAsia="lv-LV"/>
              </w:rPr>
              <w:t>m darbiniekam būtu jāvelta ap 1,</w:t>
            </w:r>
            <w:r w:rsidR="008B6301" w:rsidRPr="004C7C46">
              <w:rPr>
                <w:rFonts w:ascii="Times New Roman" w:eastAsia="Times New Roman" w:hAnsi="Times New Roman" w:cs="Times New Roman"/>
                <w:sz w:val="24"/>
                <w:szCs w:val="24"/>
                <w:lang w:eastAsia="lv-LV"/>
              </w:rPr>
              <w:t xml:space="preserve">5 mēnešiem, tad no likumprojekta regulējuma izrietošo pienākumu monetārais novērtējums vienam likuma subjektam veido </w:t>
            </w:r>
            <w:r w:rsidR="006060B9" w:rsidRPr="004C7C46">
              <w:rPr>
                <w:rFonts w:ascii="Times New Roman" w:eastAsia="Times New Roman" w:hAnsi="Times New Roman" w:cs="Times New Roman"/>
                <w:sz w:val="24"/>
                <w:szCs w:val="24"/>
                <w:lang w:eastAsia="lv-LV"/>
              </w:rPr>
              <w:t>3046</w:t>
            </w:r>
            <w:r w:rsidR="008B6301" w:rsidRPr="004C7C46">
              <w:rPr>
                <w:rFonts w:ascii="Times New Roman" w:eastAsia="Times New Roman" w:hAnsi="Times New Roman" w:cs="Times New Roman"/>
                <w:sz w:val="24"/>
                <w:szCs w:val="24"/>
                <w:lang w:eastAsia="lv-LV"/>
              </w:rPr>
              <w:t xml:space="preserve"> </w:t>
            </w:r>
            <w:r w:rsidR="008B6301" w:rsidRPr="004C7C46">
              <w:rPr>
                <w:rFonts w:ascii="Times New Roman" w:eastAsia="Times New Roman" w:hAnsi="Times New Roman" w:cs="Times New Roman"/>
                <w:i/>
                <w:sz w:val="24"/>
                <w:szCs w:val="24"/>
                <w:lang w:eastAsia="lv-LV"/>
              </w:rPr>
              <w:t>euro.</w:t>
            </w:r>
            <w:r w:rsidR="007D44F0" w:rsidRPr="004C7C46">
              <w:rPr>
                <w:rFonts w:ascii="Times New Roman" w:eastAsia="Times New Roman" w:hAnsi="Times New Roman" w:cs="Times New Roman"/>
                <w:sz w:val="24"/>
                <w:szCs w:val="24"/>
                <w:lang w:eastAsia="lv-LV"/>
              </w:rPr>
              <w:t xml:space="preserve"> </w:t>
            </w:r>
            <w:r w:rsidR="004C7C46" w:rsidRPr="004C7C46">
              <w:rPr>
                <w:rFonts w:ascii="Times New Roman" w:eastAsia="Times New Roman" w:hAnsi="Times New Roman" w:cs="Times New Roman"/>
                <w:sz w:val="24"/>
                <w:szCs w:val="24"/>
                <w:lang w:eastAsia="lv-LV"/>
              </w:rPr>
              <w:t>Attiecīgi</w:t>
            </w:r>
            <w:r w:rsidR="006060B9" w:rsidRPr="004C7C46">
              <w:rPr>
                <w:rFonts w:ascii="Times New Roman" w:eastAsia="Times New Roman" w:hAnsi="Times New Roman" w:cs="Times New Roman"/>
                <w:sz w:val="24"/>
                <w:szCs w:val="24"/>
                <w:lang w:eastAsia="lv-LV"/>
              </w:rPr>
              <w:t xml:space="preserve"> ar likumprojekta regulējum</w:t>
            </w:r>
            <w:r w:rsidR="00592498">
              <w:rPr>
                <w:rFonts w:ascii="Times New Roman" w:eastAsia="Times New Roman" w:hAnsi="Times New Roman" w:cs="Times New Roman"/>
                <w:sz w:val="24"/>
                <w:szCs w:val="24"/>
                <w:lang w:eastAsia="lv-LV"/>
              </w:rPr>
              <w:t>u</w:t>
            </w:r>
            <w:r w:rsidR="006060B9" w:rsidRPr="004C7C46">
              <w:rPr>
                <w:rFonts w:ascii="Times New Roman" w:eastAsia="Times New Roman" w:hAnsi="Times New Roman" w:cs="Times New Roman"/>
                <w:sz w:val="24"/>
                <w:szCs w:val="24"/>
                <w:lang w:eastAsia="lv-LV"/>
              </w:rPr>
              <w:t xml:space="preserve"> radītās admin</w:t>
            </w:r>
            <w:r w:rsidR="004C7C46" w:rsidRPr="004C7C46">
              <w:rPr>
                <w:rFonts w:ascii="Times New Roman" w:eastAsia="Times New Roman" w:hAnsi="Times New Roman" w:cs="Times New Roman"/>
                <w:sz w:val="24"/>
                <w:szCs w:val="24"/>
                <w:lang w:eastAsia="lv-LV"/>
              </w:rPr>
              <w:t>i</w:t>
            </w:r>
            <w:r w:rsidR="006060B9" w:rsidRPr="004C7C46">
              <w:rPr>
                <w:rFonts w:ascii="Times New Roman" w:eastAsia="Times New Roman" w:hAnsi="Times New Roman" w:cs="Times New Roman"/>
                <w:sz w:val="24"/>
                <w:szCs w:val="24"/>
                <w:lang w:eastAsia="lv-LV"/>
              </w:rPr>
              <w:t>stratīvās izmaksas, ņemot vērā, ka papildu pienākum</w:t>
            </w:r>
            <w:r w:rsidR="004C7C46" w:rsidRPr="004C7C46">
              <w:rPr>
                <w:rFonts w:ascii="Times New Roman" w:eastAsia="Times New Roman" w:hAnsi="Times New Roman" w:cs="Times New Roman"/>
                <w:sz w:val="24"/>
                <w:szCs w:val="24"/>
                <w:lang w:eastAsia="lv-LV"/>
              </w:rPr>
              <w:t>us</w:t>
            </w:r>
            <w:r w:rsidR="006060B9" w:rsidRPr="004C7C46">
              <w:rPr>
                <w:rFonts w:ascii="Times New Roman" w:eastAsia="Times New Roman" w:hAnsi="Times New Roman" w:cs="Times New Roman"/>
                <w:sz w:val="24"/>
                <w:szCs w:val="24"/>
                <w:lang w:eastAsia="lv-LV"/>
              </w:rPr>
              <w:t xml:space="preserve"> </w:t>
            </w:r>
            <w:r w:rsidR="004C7C46" w:rsidRPr="004C7C46">
              <w:rPr>
                <w:rFonts w:ascii="Times New Roman" w:eastAsia="Times New Roman" w:hAnsi="Times New Roman" w:cs="Times New Roman"/>
                <w:sz w:val="24"/>
                <w:szCs w:val="24"/>
                <w:lang w:eastAsia="lv-LV"/>
              </w:rPr>
              <w:t>tas paredz</w:t>
            </w:r>
            <w:r w:rsidR="006060B9" w:rsidRPr="004C7C46">
              <w:rPr>
                <w:rFonts w:ascii="Times New Roman" w:eastAsia="Times New Roman" w:hAnsi="Times New Roman" w:cs="Times New Roman"/>
                <w:sz w:val="24"/>
                <w:szCs w:val="24"/>
                <w:lang w:eastAsia="lv-LV"/>
              </w:rPr>
              <w:t xml:space="preserve"> 13 kredītiestādēm, </w:t>
            </w:r>
            <w:r w:rsidR="004C7C46" w:rsidRPr="004C7C46">
              <w:rPr>
                <w:rFonts w:ascii="Times New Roman" w:eastAsia="Times New Roman" w:hAnsi="Times New Roman" w:cs="Times New Roman"/>
                <w:sz w:val="24"/>
                <w:szCs w:val="24"/>
                <w:lang w:eastAsia="lv-LV"/>
              </w:rPr>
              <w:t xml:space="preserve">kopā </w:t>
            </w:r>
            <w:r w:rsidR="006060B9" w:rsidRPr="004C7C46">
              <w:rPr>
                <w:rFonts w:ascii="Times New Roman" w:eastAsia="Times New Roman" w:hAnsi="Times New Roman" w:cs="Times New Roman"/>
                <w:sz w:val="24"/>
                <w:szCs w:val="24"/>
                <w:lang w:eastAsia="lv-LV"/>
              </w:rPr>
              <w:t xml:space="preserve">sastāda 39604,50 </w:t>
            </w:r>
            <w:r w:rsidR="006060B9" w:rsidRPr="004C7C46">
              <w:rPr>
                <w:rFonts w:ascii="Times New Roman" w:eastAsia="Times New Roman" w:hAnsi="Times New Roman" w:cs="Times New Roman"/>
                <w:i/>
                <w:sz w:val="24"/>
                <w:szCs w:val="24"/>
                <w:lang w:eastAsia="lv-LV"/>
              </w:rPr>
              <w:t>euro.</w:t>
            </w:r>
          </w:p>
        </w:tc>
      </w:tr>
      <w:tr w:rsidR="002C6D96" w:rsidRPr="004C7C46" w:rsidTr="00381E6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rsidR="00E5323B" w:rsidRPr="004C7C46" w:rsidRDefault="008D0EE4"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sz w:val="24"/>
                <w:szCs w:val="24"/>
                <w:lang w:eastAsia="lv-LV"/>
              </w:rPr>
              <w:t>Projekts šo jomu neskar.</w:t>
            </w:r>
          </w:p>
        </w:tc>
      </w:tr>
      <w:tr w:rsidR="002C6D96" w:rsidRPr="004C7C46" w:rsidTr="00381E6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4C7C46" w:rsidRDefault="00B12102"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Nav.</w:t>
            </w:r>
          </w:p>
        </w:tc>
      </w:tr>
    </w:tbl>
    <w:p w:rsidR="00E5323B"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30F51" w:rsidRPr="004C7C46" w:rsidTr="00747C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F51" w:rsidRPr="004C7C46" w:rsidRDefault="00930F51" w:rsidP="00747C7C">
            <w:pPr>
              <w:spacing w:after="0" w:line="240" w:lineRule="auto"/>
              <w:jc w:val="center"/>
              <w:rPr>
                <w:rFonts w:ascii="Times New Roman" w:eastAsia="Times New Roman" w:hAnsi="Times New Roman" w:cs="Times New Roman"/>
                <w:b/>
                <w:bCs/>
                <w:iCs/>
                <w:sz w:val="24"/>
                <w:szCs w:val="24"/>
                <w:lang w:eastAsia="lv-LV"/>
              </w:rPr>
            </w:pPr>
            <w:r w:rsidRPr="004C7C46">
              <w:rPr>
                <w:rFonts w:ascii="Times New Roman" w:eastAsia="Times New Roman" w:hAnsi="Times New Roman" w:cs="Times New Roman"/>
                <w:iCs/>
                <w:sz w:val="24"/>
                <w:szCs w:val="24"/>
                <w:lang w:eastAsia="lv-LV"/>
              </w:rPr>
              <w:t xml:space="preserve">  </w:t>
            </w:r>
            <w:r w:rsidRPr="004C7C46">
              <w:rPr>
                <w:rFonts w:ascii="Times New Roman" w:eastAsia="Times New Roman" w:hAnsi="Times New Roman" w:cs="Times New Roman"/>
                <w:b/>
                <w:bCs/>
                <w:iCs/>
                <w:sz w:val="24"/>
                <w:szCs w:val="24"/>
                <w:lang w:eastAsia="lv-LV"/>
              </w:rPr>
              <w:t>III. Tiesību akta projekta ietekme uz valsts budžetu un pašvaldību budžetiem</w:t>
            </w:r>
          </w:p>
        </w:tc>
      </w:tr>
      <w:tr w:rsidR="00930F51" w:rsidRPr="004C7C46" w:rsidTr="00747C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30F51" w:rsidRPr="004C7C46" w:rsidRDefault="00930F51" w:rsidP="00747C7C">
            <w:pPr>
              <w:spacing w:after="0" w:line="240" w:lineRule="auto"/>
              <w:jc w:val="center"/>
              <w:rPr>
                <w:rFonts w:ascii="Times New Roman" w:eastAsia="Times New Roman" w:hAnsi="Times New Roman" w:cs="Times New Roman"/>
                <w:bCs/>
                <w:iCs/>
                <w:sz w:val="24"/>
                <w:szCs w:val="24"/>
                <w:lang w:eastAsia="lv-LV"/>
              </w:rPr>
            </w:pPr>
            <w:r w:rsidRPr="004C7C46">
              <w:rPr>
                <w:rFonts w:ascii="Times New Roman" w:eastAsia="Times New Roman" w:hAnsi="Times New Roman" w:cs="Times New Roman"/>
                <w:bCs/>
                <w:iCs/>
                <w:sz w:val="24"/>
                <w:szCs w:val="24"/>
                <w:lang w:eastAsia="lv-LV"/>
              </w:rPr>
              <w:t>Projekts šo jomu neskar.</w:t>
            </w:r>
          </w:p>
        </w:tc>
      </w:tr>
    </w:tbl>
    <w:p w:rsidR="00930F51" w:rsidRDefault="00930F51" w:rsidP="00E5323B">
      <w:pPr>
        <w:spacing w:after="0" w:line="240" w:lineRule="auto"/>
        <w:rPr>
          <w:rFonts w:ascii="Times New Roman" w:eastAsia="Times New Roman" w:hAnsi="Times New Roman" w:cs="Times New Roman"/>
          <w:iCs/>
          <w:sz w:val="24"/>
          <w:szCs w:val="24"/>
          <w:lang w:eastAsia="lv-LV"/>
        </w:rPr>
      </w:pPr>
    </w:p>
    <w:p w:rsidR="00CC18AF" w:rsidRDefault="00CC18AF" w:rsidP="00E5323B">
      <w:pPr>
        <w:spacing w:after="0" w:line="240" w:lineRule="auto"/>
        <w:rPr>
          <w:rFonts w:ascii="Times New Roman" w:eastAsia="Times New Roman" w:hAnsi="Times New Roman" w:cs="Times New Roman"/>
          <w:iCs/>
          <w:sz w:val="24"/>
          <w:szCs w:val="24"/>
          <w:lang w:eastAsia="lv-LV"/>
        </w:rPr>
      </w:pPr>
    </w:p>
    <w:p w:rsidR="00CC18AF" w:rsidRDefault="00CC18AF"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C6D96" w:rsidRPr="004C7C4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C7C46" w:rsidRDefault="00E5323B" w:rsidP="005D12ED">
            <w:pPr>
              <w:spacing w:after="0" w:line="240" w:lineRule="auto"/>
              <w:jc w:val="center"/>
              <w:rPr>
                <w:rFonts w:ascii="Times New Roman" w:eastAsia="Times New Roman" w:hAnsi="Times New Roman" w:cs="Times New Roman"/>
                <w:b/>
                <w:bCs/>
                <w:iCs/>
                <w:sz w:val="24"/>
                <w:szCs w:val="24"/>
                <w:lang w:eastAsia="lv-LV"/>
              </w:rPr>
            </w:pPr>
            <w:r w:rsidRPr="004C7C46">
              <w:rPr>
                <w:rFonts w:ascii="Times New Roman" w:eastAsia="Times New Roman" w:hAnsi="Times New Roman" w:cs="Times New Roman"/>
                <w:b/>
                <w:bCs/>
                <w:iCs/>
                <w:sz w:val="24"/>
                <w:szCs w:val="24"/>
                <w:lang w:eastAsia="lv-LV"/>
              </w:rPr>
              <w:lastRenderedPageBreak/>
              <w:t>IV. Tiesību akta projekta ietekme uz spēkā esošo tiesību normu sistēmu</w:t>
            </w:r>
          </w:p>
        </w:tc>
      </w:tr>
      <w:tr w:rsidR="002C6D96" w:rsidRPr="004C7C46" w:rsidTr="00930F5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ED3357" w:rsidRPr="004C7C46" w:rsidRDefault="00ED3357" w:rsidP="00ED3357">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D3357" w:rsidRPr="004C7C46" w:rsidRDefault="00ED3357" w:rsidP="00ED3357">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tcPr>
          <w:p w:rsidR="00100248" w:rsidRPr="004C7C46" w:rsidRDefault="00284DDB" w:rsidP="00106471">
            <w:pPr>
              <w:pStyle w:val="tv213"/>
              <w:shd w:val="clear" w:color="auto" w:fill="FFFFFF"/>
              <w:spacing w:before="0" w:beforeAutospacing="0" w:after="0" w:afterAutospacing="0" w:line="293" w:lineRule="atLeast"/>
              <w:jc w:val="both"/>
              <w:rPr>
                <w:iCs/>
              </w:rPr>
            </w:pPr>
            <w:r>
              <w:rPr>
                <w:iCs/>
              </w:rPr>
              <w:t>Lai pārņemtu Direktīvas</w:t>
            </w:r>
            <w:r w:rsidR="00100248" w:rsidRPr="004C7C46">
              <w:rPr>
                <w:iCs/>
              </w:rPr>
              <w:t xml:space="preserve"> (ES) 2019/879 prasības, ir izstrādāts likumprojekts “Grozījumi Finanšu instrumentu tirgus likumā” un likumprojekts “Grozījumi likumā "Par norēķinu galīgumu maksājumu un finanšu instrumentu norēķinu sistēmās””</w:t>
            </w:r>
            <w:r w:rsidR="00766264" w:rsidRPr="004C7C46">
              <w:rPr>
                <w:iCs/>
              </w:rPr>
              <w:t>.</w:t>
            </w:r>
          </w:p>
        </w:tc>
      </w:tr>
      <w:tr w:rsidR="002C6D96" w:rsidRPr="004C7C46" w:rsidTr="00ED335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ED3357" w:rsidRPr="004C7C46" w:rsidRDefault="00ED3357" w:rsidP="00ED3357">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D3357" w:rsidRPr="004C7C46" w:rsidRDefault="00ED3357" w:rsidP="00ED3357">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rsidR="00ED3357" w:rsidRPr="004C7C46" w:rsidRDefault="008D0EE4" w:rsidP="00465C44">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sz w:val="24"/>
                <w:szCs w:val="24"/>
                <w:lang w:eastAsia="lv-LV"/>
              </w:rPr>
              <w:t>Finanšu ministrija.</w:t>
            </w:r>
          </w:p>
        </w:tc>
      </w:tr>
      <w:tr w:rsidR="002C6D96" w:rsidRPr="004C7C46" w:rsidTr="00ED335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ED3357" w:rsidRPr="004C7C46" w:rsidRDefault="00ED3357" w:rsidP="00ED3357">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D3357" w:rsidRPr="004C7C46" w:rsidRDefault="00ED3357" w:rsidP="00ED3357">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ED3357" w:rsidRPr="004C7C46" w:rsidRDefault="00ED3357" w:rsidP="00ED3357">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sz w:val="24"/>
                <w:szCs w:val="24"/>
                <w:lang w:eastAsia="lv-LV"/>
              </w:rPr>
              <w:t>Nav.</w:t>
            </w:r>
          </w:p>
        </w:tc>
      </w:tr>
    </w:tbl>
    <w:p w:rsidR="00EE4DE9" w:rsidRPr="004C7C46" w:rsidRDefault="00EE4DE9" w:rsidP="00E5323B">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2105"/>
        <w:gridCol w:w="1864"/>
        <w:gridCol w:w="1701"/>
        <w:gridCol w:w="2826"/>
      </w:tblGrid>
      <w:tr w:rsidR="00930F51" w:rsidRPr="004C7C46" w:rsidTr="00575EE6">
        <w:trPr>
          <w:tblCellSpacing w:w="15" w:type="dxa"/>
        </w:trPr>
        <w:tc>
          <w:tcPr>
            <w:tcW w:w="8995" w:type="dxa"/>
            <w:gridSpan w:val="5"/>
            <w:tcBorders>
              <w:top w:val="outset" w:sz="6" w:space="0" w:color="auto"/>
              <w:left w:val="outset" w:sz="6" w:space="0" w:color="auto"/>
              <w:bottom w:val="outset" w:sz="6" w:space="0" w:color="auto"/>
              <w:right w:val="outset" w:sz="6" w:space="0" w:color="auto"/>
            </w:tcBorders>
            <w:vAlign w:val="center"/>
            <w:hideMark/>
          </w:tcPr>
          <w:p w:rsidR="00930F51" w:rsidRPr="004C7C46" w:rsidRDefault="00930F51" w:rsidP="00485847">
            <w:pPr>
              <w:spacing w:after="0" w:line="240" w:lineRule="auto"/>
              <w:rPr>
                <w:rFonts w:ascii="Times New Roman" w:eastAsia="Times New Roman" w:hAnsi="Times New Roman" w:cs="Times New Roman"/>
                <w:b/>
                <w:bCs/>
                <w:iCs/>
                <w:color w:val="000000" w:themeColor="text1"/>
                <w:spacing w:val="-2"/>
                <w:sz w:val="24"/>
                <w:szCs w:val="24"/>
                <w:lang w:eastAsia="lv-LV"/>
              </w:rPr>
            </w:pPr>
            <w:r w:rsidRPr="004C7C46">
              <w:rPr>
                <w:rFonts w:ascii="Times New Roman" w:eastAsia="Times New Roman" w:hAnsi="Times New Roman" w:cs="Times New Roman"/>
                <w:b/>
                <w:bCs/>
                <w:iCs/>
                <w:color w:val="000000" w:themeColor="text1"/>
                <w:spacing w:val="-2"/>
                <w:sz w:val="24"/>
                <w:szCs w:val="24"/>
                <w:lang w:eastAsia="lv-LV"/>
              </w:rPr>
              <w:t>V. Tiesību akta projekta atbilstība Latvijas Republikas starptautiskajām saistībām</w:t>
            </w:r>
          </w:p>
        </w:tc>
      </w:tr>
      <w:tr w:rsidR="00C711A9" w:rsidRPr="004C7C46" w:rsidTr="007529D6">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1.</w:t>
            </w:r>
          </w:p>
        </w:tc>
        <w:tc>
          <w:tcPr>
            <w:tcW w:w="2075" w:type="dxa"/>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Saistības pret Eiropas Savienību</w:t>
            </w:r>
          </w:p>
        </w:tc>
        <w:tc>
          <w:tcPr>
            <w:tcW w:w="6346" w:type="dxa"/>
            <w:gridSpan w:val="3"/>
            <w:tcBorders>
              <w:top w:val="outset" w:sz="6" w:space="0" w:color="auto"/>
              <w:left w:val="outset" w:sz="6" w:space="0" w:color="auto"/>
              <w:bottom w:val="outset" w:sz="6" w:space="0" w:color="auto"/>
              <w:right w:val="outset" w:sz="6" w:space="0" w:color="auto"/>
            </w:tcBorders>
            <w:hideMark/>
          </w:tcPr>
          <w:p w:rsidR="00930F51" w:rsidRPr="004C7C46" w:rsidRDefault="009C482A" w:rsidP="007920AC">
            <w:pPr>
              <w:pStyle w:val="default0"/>
              <w:shd w:val="clear" w:color="auto" w:fill="FFFFFF"/>
              <w:spacing w:before="0" w:beforeAutospacing="0" w:after="0" w:afterAutospacing="0" w:line="254" w:lineRule="atLeast"/>
              <w:jc w:val="both"/>
              <w:rPr>
                <w:color w:val="000000"/>
                <w:sz w:val="27"/>
                <w:szCs w:val="27"/>
              </w:rPr>
            </w:pPr>
            <w:r w:rsidRPr="004C7C46">
              <w:rPr>
                <w:iCs/>
                <w:color w:val="000000" w:themeColor="text1"/>
                <w:spacing w:val="-2"/>
              </w:rPr>
              <w:t>Direktīva (ES) 2019/879. Direktīvas prasības jāpārņem līdz 2020.gada 28.decembrim.</w:t>
            </w:r>
          </w:p>
        </w:tc>
      </w:tr>
      <w:tr w:rsidR="00C711A9" w:rsidRPr="004C7C46" w:rsidTr="007529D6">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2.</w:t>
            </w:r>
          </w:p>
        </w:tc>
        <w:tc>
          <w:tcPr>
            <w:tcW w:w="2075" w:type="dxa"/>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Citas starptautiskās saistības</w:t>
            </w:r>
          </w:p>
        </w:tc>
        <w:tc>
          <w:tcPr>
            <w:tcW w:w="6346" w:type="dxa"/>
            <w:gridSpan w:val="3"/>
            <w:tcBorders>
              <w:top w:val="outset" w:sz="6" w:space="0" w:color="auto"/>
              <w:left w:val="outset" w:sz="6" w:space="0" w:color="auto"/>
              <w:bottom w:val="outset" w:sz="6" w:space="0" w:color="auto"/>
              <w:right w:val="outset" w:sz="6" w:space="0" w:color="auto"/>
            </w:tcBorders>
            <w:hideMark/>
          </w:tcPr>
          <w:p w:rsidR="00930F51" w:rsidRPr="004C7C46" w:rsidRDefault="00930F51" w:rsidP="007920AC">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Projekts šo jomu neskar.</w:t>
            </w:r>
          </w:p>
        </w:tc>
      </w:tr>
      <w:tr w:rsidR="00C711A9" w:rsidRPr="004C7C46" w:rsidTr="007529D6">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3.</w:t>
            </w:r>
          </w:p>
        </w:tc>
        <w:tc>
          <w:tcPr>
            <w:tcW w:w="2075" w:type="dxa"/>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Cita informācija</w:t>
            </w:r>
          </w:p>
        </w:tc>
        <w:tc>
          <w:tcPr>
            <w:tcW w:w="6346" w:type="dxa"/>
            <w:gridSpan w:val="3"/>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ind w:firstLine="284"/>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Nav</w:t>
            </w:r>
          </w:p>
        </w:tc>
      </w:tr>
      <w:tr w:rsidR="00930F51" w:rsidRPr="004C7C46" w:rsidTr="00575EE6">
        <w:trPr>
          <w:tblCellSpacing w:w="15" w:type="dxa"/>
        </w:trPr>
        <w:tc>
          <w:tcPr>
            <w:tcW w:w="8995" w:type="dxa"/>
            <w:gridSpan w:val="5"/>
            <w:tcBorders>
              <w:top w:val="outset" w:sz="6" w:space="0" w:color="auto"/>
              <w:left w:val="outset" w:sz="6" w:space="0" w:color="auto"/>
              <w:bottom w:val="outset" w:sz="6" w:space="0" w:color="auto"/>
              <w:right w:val="outset" w:sz="6" w:space="0" w:color="auto"/>
            </w:tcBorders>
            <w:vAlign w:val="center"/>
            <w:hideMark/>
          </w:tcPr>
          <w:p w:rsidR="00930F51" w:rsidRPr="004C7C46" w:rsidRDefault="00930F51" w:rsidP="00485847">
            <w:pPr>
              <w:spacing w:after="0" w:line="240" w:lineRule="auto"/>
              <w:rPr>
                <w:rFonts w:ascii="Times New Roman" w:eastAsia="Times New Roman" w:hAnsi="Times New Roman" w:cs="Times New Roman"/>
                <w:b/>
                <w:bCs/>
                <w:iCs/>
                <w:color w:val="000000" w:themeColor="text1"/>
                <w:spacing w:val="-2"/>
                <w:sz w:val="24"/>
                <w:szCs w:val="24"/>
                <w:lang w:eastAsia="lv-LV"/>
              </w:rPr>
            </w:pPr>
            <w:r w:rsidRPr="004C7C46">
              <w:rPr>
                <w:rFonts w:ascii="Times New Roman" w:eastAsia="Times New Roman" w:hAnsi="Times New Roman" w:cs="Times New Roman"/>
                <w:b/>
                <w:bCs/>
                <w:iCs/>
                <w:color w:val="000000" w:themeColor="text1"/>
                <w:spacing w:val="-2"/>
                <w:sz w:val="24"/>
                <w:szCs w:val="24"/>
                <w:lang w:eastAsia="lv-LV"/>
              </w:rPr>
              <w:t>1. tabula</w:t>
            </w:r>
            <w:r w:rsidRPr="004C7C46">
              <w:rPr>
                <w:rFonts w:ascii="Times New Roman" w:eastAsia="Times New Roman" w:hAnsi="Times New Roman" w:cs="Times New Roman"/>
                <w:b/>
                <w:bCs/>
                <w:iCs/>
                <w:color w:val="000000" w:themeColor="text1"/>
                <w:spacing w:val="-2"/>
                <w:sz w:val="24"/>
                <w:szCs w:val="24"/>
                <w:lang w:eastAsia="lv-LV"/>
              </w:rPr>
              <w:br/>
              <w:t>Tiesību akta projekta atbilstība ES tiesību aktiem</w:t>
            </w:r>
          </w:p>
        </w:tc>
      </w:tr>
      <w:tr w:rsidR="0007497F"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Attiecīgā ES tiesību akta datums, numurs un nosaukums</w:t>
            </w:r>
          </w:p>
        </w:tc>
        <w:tc>
          <w:tcPr>
            <w:tcW w:w="6346" w:type="dxa"/>
            <w:gridSpan w:val="3"/>
            <w:tcBorders>
              <w:top w:val="outset" w:sz="6" w:space="0" w:color="auto"/>
              <w:left w:val="outset" w:sz="6" w:space="0" w:color="auto"/>
              <w:bottom w:val="outset" w:sz="6" w:space="0" w:color="auto"/>
              <w:right w:val="outset" w:sz="6" w:space="0" w:color="auto"/>
            </w:tcBorders>
            <w:hideMark/>
          </w:tcPr>
          <w:p w:rsidR="00930F51" w:rsidRPr="004C7C46" w:rsidRDefault="00B362A3" w:rsidP="0004235D">
            <w:pPr>
              <w:spacing w:after="0" w:line="240" w:lineRule="auto"/>
              <w:jc w:val="both"/>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spacing w:val="-2"/>
                <w:sz w:val="24"/>
                <w:szCs w:val="27"/>
                <w:lang w:eastAsia="lv-LV"/>
              </w:rPr>
              <w:t>Direktīva (ES) 2019/879</w:t>
            </w:r>
          </w:p>
          <w:p w:rsidR="0004235D" w:rsidRPr="004C7C46" w:rsidRDefault="0004235D" w:rsidP="0004235D">
            <w:pPr>
              <w:spacing w:after="0" w:line="240" w:lineRule="auto"/>
              <w:jc w:val="both"/>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Direktīva 2014/59/ES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vAlign w:val="center"/>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A</w:t>
            </w:r>
          </w:p>
        </w:tc>
        <w:tc>
          <w:tcPr>
            <w:tcW w:w="1834" w:type="dxa"/>
            <w:tcBorders>
              <w:top w:val="outset" w:sz="6" w:space="0" w:color="auto"/>
              <w:left w:val="outset" w:sz="6" w:space="0" w:color="auto"/>
              <w:bottom w:val="outset" w:sz="6" w:space="0" w:color="auto"/>
              <w:right w:val="outset" w:sz="6" w:space="0" w:color="auto"/>
            </w:tcBorders>
            <w:vAlign w:val="center"/>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B</w:t>
            </w:r>
          </w:p>
        </w:tc>
        <w:tc>
          <w:tcPr>
            <w:tcW w:w="1671" w:type="dxa"/>
            <w:tcBorders>
              <w:top w:val="outset" w:sz="6" w:space="0" w:color="auto"/>
              <w:left w:val="outset" w:sz="6" w:space="0" w:color="auto"/>
              <w:bottom w:val="outset" w:sz="6" w:space="0" w:color="auto"/>
              <w:right w:val="outset" w:sz="6" w:space="0" w:color="auto"/>
            </w:tcBorders>
            <w:vAlign w:val="center"/>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C</w:t>
            </w:r>
          </w:p>
        </w:tc>
        <w:tc>
          <w:tcPr>
            <w:tcW w:w="2781" w:type="dxa"/>
            <w:tcBorders>
              <w:top w:val="outset" w:sz="6" w:space="0" w:color="auto"/>
              <w:left w:val="outset" w:sz="6" w:space="0" w:color="auto"/>
              <w:bottom w:val="outset" w:sz="6" w:space="0" w:color="auto"/>
              <w:right w:val="outset" w:sz="6" w:space="0" w:color="auto"/>
            </w:tcBorders>
            <w:vAlign w:val="center"/>
            <w:hideMark/>
          </w:tcPr>
          <w:p w:rsidR="00930F51" w:rsidRPr="004C7C46" w:rsidRDefault="00930F51" w:rsidP="00485847">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D</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930F51" w:rsidRPr="004C7C46"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Attiecīgā ES tiesību akta panta numurs (uzskaitot katru tiesību akta vienību – pantu, daļu, punktu, apakšpunktu)</w:t>
            </w:r>
          </w:p>
        </w:tc>
        <w:tc>
          <w:tcPr>
            <w:tcW w:w="1834" w:type="dxa"/>
            <w:tcBorders>
              <w:top w:val="outset" w:sz="6" w:space="0" w:color="auto"/>
              <w:left w:val="outset" w:sz="6" w:space="0" w:color="auto"/>
              <w:bottom w:val="outset" w:sz="6" w:space="0" w:color="auto"/>
              <w:right w:val="outset" w:sz="6" w:space="0" w:color="auto"/>
            </w:tcBorders>
          </w:tcPr>
          <w:p w:rsidR="00930F51" w:rsidRPr="004C7C46"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Projekta vienība, kas pārņem vai ievieš katru šīs tabulas A ailē minēto ES tiesību akta vienību, vai tiesību akts, kur attiecīgā ES tiesību akta vienība pārņemta vai ieviesta</w:t>
            </w:r>
          </w:p>
        </w:tc>
        <w:tc>
          <w:tcPr>
            <w:tcW w:w="1671" w:type="dxa"/>
            <w:tcBorders>
              <w:top w:val="outset" w:sz="6" w:space="0" w:color="auto"/>
              <w:left w:val="outset" w:sz="6" w:space="0" w:color="auto"/>
              <w:bottom w:val="outset" w:sz="6" w:space="0" w:color="auto"/>
              <w:right w:val="outset" w:sz="6" w:space="0" w:color="auto"/>
            </w:tcBorders>
          </w:tcPr>
          <w:p w:rsidR="00930F51" w:rsidRPr="004C7C46" w:rsidRDefault="00930F51"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Informācija par to, vai šīs tabulas A ailē minētās ES tiesību akta vienības tiek pārņemtas vai ieviestas pilnībā vai daļēji.</w:t>
            </w:r>
            <w:r w:rsidRPr="004C7C46">
              <w:rPr>
                <w:rFonts w:ascii="Times New Roman" w:eastAsia="Times New Roman" w:hAnsi="Times New Roman" w:cs="Times New Roman"/>
                <w:iCs/>
                <w:color w:val="000000" w:themeColor="text1"/>
                <w:spacing w:val="-4"/>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4C7C46">
              <w:rPr>
                <w:rFonts w:ascii="Times New Roman" w:eastAsia="Times New Roman" w:hAnsi="Times New Roman" w:cs="Times New Roman"/>
                <w:iCs/>
                <w:color w:val="000000" w:themeColor="text1"/>
                <w:spacing w:val="-4"/>
                <w:sz w:val="24"/>
                <w:szCs w:val="24"/>
                <w:lang w:eastAsia="lv-LV"/>
              </w:rPr>
              <w:br/>
              <w:t xml:space="preserve">Norāda institūciju, kas ir </w:t>
            </w:r>
            <w:r w:rsidRPr="004C7C46">
              <w:rPr>
                <w:rFonts w:ascii="Times New Roman" w:eastAsia="Times New Roman" w:hAnsi="Times New Roman" w:cs="Times New Roman"/>
                <w:iCs/>
                <w:color w:val="000000" w:themeColor="text1"/>
                <w:spacing w:val="-4"/>
                <w:sz w:val="24"/>
                <w:szCs w:val="24"/>
                <w:lang w:eastAsia="lv-LV"/>
              </w:rPr>
              <w:lastRenderedPageBreak/>
              <w:t>atbildīga par šo saistību izpildi pilnībā</w:t>
            </w:r>
          </w:p>
        </w:tc>
        <w:tc>
          <w:tcPr>
            <w:tcW w:w="2781" w:type="dxa"/>
            <w:tcBorders>
              <w:top w:val="outset" w:sz="6" w:space="0" w:color="auto"/>
              <w:left w:val="outset" w:sz="6" w:space="0" w:color="auto"/>
              <w:bottom w:val="outset" w:sz="6" w:space="0" w:color="auto"/>
              <w:right w:val="outset" w:sz="6" w:space="0" w:color="auto"/>
            </w:tcBorders>
          </w:tcPr>
          <w:p w:rsidR="00930F51" w:rsidRPr="004C7C46" w:rsidRDefault="00930F51" w:rsidP="00485847">
            <w:pPr>
              <w:spacing w:after="0" w:line="240" w:lineRule="auto"/>
              <w:jc w:val="both"/>
              <w:rPr>
                <w:rFonts w:ascii="Times New Roman" w:eastAsia="Times New Roman" w:hAnsi="Times New Roman" w:cs="Times New Roman"/>
                <w:iCs/>
                <w:color w:val="000000" w:themeColor="text1"/>
                <w:spacing w:val="-6"/>
                <w:sz w:val="24"/>
                <w:szCs w:val="24"/>
                <w:lang w:eastAsia="lv-LV"/>
              </w:rPr>
            </w:pPr>
            <w:r w:rsidRPr="004C7C46">
              <w:rPr>
                <w:rFonts w:ascii="Times New Roman" w:eastAsia="Times New Roman" w:hAnsi="Times New Roman" w:cs="Times New Roman"/>
                <w:iCs/>
                <w:color w:val="000000" w:themeColor="text1"/>
                <w:spacing w:val="-6"/>
                <w:sz w:val="24"/>
                <w:szCs w:val="24"/>
                <w:lang w:eastAsia="lv-LV"/>
              </w:rPr>
              <w:lastRenderedPageBreak/>
              <w:t>Informācija par to, vai šīs tabulas B ailē minētās projekta vienības paredz stingrākas prasības nekā šīs tabulas A ailē minētās ES tiesību akta vienības.</w:t>
            </w:r>
            <w:r w:rsidRPr="004C7C46">
              <w:rPr>
                <w:rFonts w:ascii="Times New Roman" w:eastAsia="Times New Roman" w:hAnsi="Times New Roman" w:cs="Times New Roman"/>
                <w:iCs/>
                <w:color w:val="000000" w:themeColor="text1"/>
                <w:spacing w:val="-6"/>
                <w:sz w:val="24"/>
                <w:szCs w:val="24"/>
                <w:lang w:eastAsia="lv-LV"/>
              </w:rPr>
              <w:br/>
              <w:t>Ja projekts satur stingrākas prasības nekā attiecīgais ES tiesību akts, norāda pamatojumu un samērīgumu.</w:t>
            </w:r>
            <w:r w:rsidRPr="004C7C46">
              <w:rPr>
                <w:rFonts w:ascii="Times New Roman" w:eastAsia="Times New Roman" w:hAnsi="Times New Roman" w:cs="Times New Roman"/>
                <w:iCs/>
                <w:color w:val="000000" w:themeColor="text1"/>
                <w:spacing w:val="-6"/>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575EE6" w:rsidRPr="004C7C46" w:rsidTr="00575EE6">
        <w:trPr>
          <w:trHeight w:val="604"/>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483296" w:rsidRPr="004C7C46" w:rsidRDefault="00566EAF"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485847" w:rsidRPr="004C7C46">
              <w:rPr>
                <w:rFonts w:ascii="Times New Roman" w:eastAsia="Times New Roman" w:hAnsi="Times New Roman" w:cs="Times New Roman"/>
                <w:iCs/>
                <w:color w:val="000000" w:themeColor="text1"/>
                <w:spacing w:val="-4"/>
                <w:sz w:val="24"/>
                <w:szCs w:val="24"/>
                <w:lang w:eastAsia="lv-LV"/>
              </w:rPr>
              <w:t>1.</w:t>
            </w:r>
            <w:r w:rsidR="00B40D22" w:rsidRPr="004C7C46">
              <w:rPr>
                <w:rFonts w:ascii="Times New Roman" w:eastAsia="Times New Roman" w:hAnsi="Times New Roman" w:cs="Times New Roman"/>
                <w:iCs/>
                <w:color w:val="000000" w:themeColor="text1"/>
                <w:spacing w:val="-4"/>
                <w:sz w:val="24"/>
                <w:szCs w:val="24"/>
                <w:lang w:eastAsia="lv-LV"/>
              </w:rPr>
              <w:t> </w:t>
            </w:r>
            <w:r w:rsidR="00485847" w:rsidRPr="004C7C46">
              <w:rPr>
                <w:rFonts w:ascii="Times New Roman" w:eastAsia="Times New Roman" w:hAnsi="Times New Roman" w:cs="Times New Roman"/>
                <w:iCs/>
                <w:color w:val="000000" w:themeColor="text1"/>
                <w:spacing w:val="-4"/>
                <w:sz w:val="24"/>
                <w:szCs w:val="24"/>
                <w:lang w:eastAsia="lv-LV"/>
              </w:rPr>
              <w:t>panta 1.punkta a) apakšpunkts</w:t>
            </w:r>
          </w:p>
        </w:tc>
        <w:tc>
          <w:tcPr>
            <w:tcW w:w="1834" w:type="dxa"/>
            <w:tcBorders>
              <w:top w:val="outset" w:sz="6" w:space="0" w:color="auto"/>
              <w:left w:val="outset" w:sz="6" w:space="0" w:color="auto"/>
              <w:bottom w:val="outset" w:sz="6" w:space="0" w:color="auto"/>
              <w:right w:val="outset" w:sz="6" w:space="0" w:color="auto"/>
            </w:tcBorders>
          </w:tcPr>
          <w:p w:rsidR="00483296" w:rsidRPr="004C7C46" w:rsidRDefault="00483296"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w:t>
            </w:r>
            <w:r w:rsidR="00B40D22" w:rsidRPr="004C7C46">
              <w:rPr>
                <w:rFonts w:ascii="Times New Roman" w:eastAsia="Times New Roman" w:hAnsi="Times New Roman" w:cs="Times New Roman"/>
                <w:iCs/>
                <w:color w:val="000000" w:themeColor="text1"/>
                <w:spacing w:val="-4"/>
                <w:sz w:val="24"/>
                <w:szCs w:val="24"/>
                <w:lang w:eastAsia="lv-LV"/>
              </w:rPr>
              <w:t> </w:t>
            </w:r>
            <w:r w:rsidR="00485847" w:rsidRPr="004C7C46">
              <w:rPr>
                <w:rFonts w:ascii="Times New Roman" w:eastAsia="Times New Roman" w:hAnsi="Times New Roman" w:cs="Times New Roman"/>
                <w:iCs/>
                <w:color w:val="000000" w:themeColor="text1"/>
                <w:spacing w:val="-4"/>
                <w:sz w:val="24"/>
                <w:szCs w:val="24"/>
                <w:lang w:eastAsia="lv-LV"/>
              </w:rPr>
              <w:t>pant</w:t>
            </w:r>
            <w:r w:rsidR="003E6C68" w:rsidRPr="004C7C46">
              <w:rPr>
                <w:rFonts w:ascii="Times New Roman" w:eastAsia="Times New Roman" w:hAnsi="Times New Roman" w:cs="Times New Roman"/>
                <w:iCs/>
                <w:color w:val="000000" w:themeColor="text1"/>
                <w:spacing w:val="-4"/>
                <w:sz w:val="24"/>
                <w:szCs w:val="24"/>
                <w:lang w:eastAsia="lv-LV"/>
              </w:rPr>
              <w:t>a</w:t>
            </w:r>
            <w:r w:rsidR="00485847" w:rsidRPr="004C7C46">
              <w:rPr>
                <w:rFonts w:ascii="Times New Roman" w:eastAsia="Times New Roman" w:hAnsi="Times New Roman" w:cs="Times New Roman"/>
                <w:iCs/>
                <w:color w:val="000000" w:themeColor="text1"/>
                <w:spacing w:val="-4"/>
                <w:sz w:val="24"/>
                <w:szCs w:val="24"/>
                <w:lang w:eastAsia="lv-LV"/>
              </w:rPr>
              <w:t xml:space="preserve"> </w:t>
            </w:r>
            <w:r w:rsidR="003E0968" w:rsidRPr="004C7C46">
              <w:rPr>
                <w:rFonts w:ascii="Times New Roman" w:eastAsia="Times New Roman" w:hAnsi="Times New Roman" w:cs="Times New Roman"/>
                <w:iCs/>
                <w:color w:val="000000" w:themeColor="text1"/>
                <w:spacing w:val="-4"/>
                <w:sz w:val="24"/>
                <w:szCs w:val="24"/>
                <w:lang w:eastAsia="lv-LV"/>
              </w:rPr>
              <w:t>piektā</w:t>
            </w:r>
            <w:r w:rsidR="00B7174C"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483296" w:rsidRPr="004C7C46" w:rsidRDefault="00485847"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483296" w:rsidRPr="004C7C46" w:rsidRDefault="00485847" w:rsidP="0048584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8470B" w:rsidRPr="004C7C46" w:rsidRDefault="00566EAF"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D8470B" w:rsidRPr="004C7C46">
              <w:rPr>
                <w:rFonts w:ascii="Times New Roman" w:eastAsia="Times New Roman" w:hAnsi="Times New Roman" w:cs="Times New Roman"/>
                <w:iCs/>
                <w:color w:val="000000" w:themeColor="text1"/>
                <w:spacing w:val="-4"/>
                <w:sz w:val="24"/>
                <w:szCs w:val="24"/>
                <w:lang w:eastAsia="lv-LV"/>
              </w:rPr>
              <w:t>1. panta 1. punkta b) apakšpunkts</w:t>
            </w:r>
          </w:p>
        </w:tc>
        <w:tc>
          <w:tcPr>
            <w:tcW w:w="1834" w:type="dxa"/>
            <w:tcBorders>
              <w:top w:val="outset" w:sz="6" w:space="0" w:color="auto"/>
              <w:left w:val="outset" w:sz="6" w:space="0" w:color="auto"/>
              <w:bottom w:val="outset" w:sz="6" w:space="0" w:color="auto"/>
              <w:right w:val="outset" w:sz="6" w:space="0" w:color="auto"/>
            </w:tcBorders>
          </w:tcPr>
          <w:p w:rsidR="00D8470B" w:rsidRPr="004C7C46" w:rsidRDefault="00B7174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1. panta </w:t>
            </w:r>
            <w:r w:rsidR="003E0968" w:rsidRPr="004C7C46">
              <w:rPr>
                <w:rFonts w:ascii="Times New Roman" w:eastAsia="Times New Roman" w:hAnsi="Times New Roman" w:cs="Times New Roman"/>
                <w:iCs/>
                <w:color w:val="000000" w:themeColor="text1"/>
                <w:spacing w:val="-4"/>
                <w:sz w:val="24"/>
                <w:szCs w:val="24"/>
                <w:lang w:eastAsia="lv-LV"/>
              </w:rPr>
              <w:t>septītā</w:t>
            </w:r>
            <w:r w:rsidRPr="004C7C46">
              <w:rPr>
                <w:rFonts w:ascii="Times New Roman" w:eastAsia="Times New Roman" w:hAnsi="Times New Roman" w:cs="Times New Roman"/>
                <w:iCs/>
                <w:color w:val="000000" w:themeColor="text1"/>
                <w:spacing w:val="-4"/>
                <w:sz w:val="24"/>
                <w:szCs w:val="24"/>
                <w:lang w:eastAsia="lv-LV"/>
              </w:rPr>
              <w:t xml:space="preserve"> daļa</w:t>
            </w:r>
            <w:r w:rsidR="00D8470B"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D8470B" w:rsidRPr="004C7C46" w:rsidRDefault="00D8470B" w:rsidP="00D8470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D8470B" w:rsidRPr="004C7C46" w:rsidRDefault="00D8470B" w:rsidP="00D8470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23703B" w:rsidRPr="004C7C46" w:rsidRDefault="00566EAF"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23703B" w:rsidRPr="004C7C46">
              <w:rPr>
                <w:rFonts w:ascii="Times New Roman" w:eastAsia="Times New Roman" w:hAnsi="Times New Roman" w:cs="Times New Roman"/>
                <w:iCs/>
                <w:color w:val="000000" w:themeColor="text1"/>
                <w:spacing w:val="-4"/>
                <w:sz w:val="24"/>
                <w:szCs w:val="24"/>
                <w:lang w:eastAsia="lv-LV"/>
              </w:rPr>
              <w:t>1. panta 1. punkta d) apakšpunkts</w:t>
            </w:r>
          </w:p>
        </w:tc>
        <w:tc>
          <w:tcPr>
            <w:tcW w:w="1834" w:type="dxa"/>
            <w:tcBorders>
              <w:top w:val="outset" w:sz="6" w:space="0" w:color="auto"/>
              <w:left w:val="outset" w:sz="6" w:space="0" w:color="auto"/>
              <w:bottom w:val="outset" w:sz="6" w:space="0" w:color="auto"/>
              <w:right w:val="outset" w:sz="6" w:space="0" w:color="auto"/>
            </w:tcBorders>
          </w:tcPr>
          <w:p w:rsidR="0023703B" w:rsidRPr="004C7C46" w:rsidRDefault="00D8470B" w:rsidP="00FD7250">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 </w:t>
            </w:r>
            <w:r w:rsidR="00911175" w:rsidRPr="004C7C46">
              <w:rPr>
                <w:rFonts w:ascii="Times New Roman" w:eastAsia="Times New Roman" w:hAnsi="Times New Roman" w:cs="Times New Roman"/>
                <w:iCs/>
                <w:color w:val="000000" w:themeColor="text1"/>
                <w:spacing w:val="-4"/>
                <w:sz w:val="24"/>
                <w:szCs w:val="24"/>
                <w:lang w:eastAsia="lv-LV"/>
              </w:rPr>
              <w:t xml:space="preserve">panta otrā, </w:t>
            </w:r>
            <w:r w:rsidR="00FD7250" w:rsidRPr="004C7C46">
              <w:rPr>
                <w:rFonts w:ascii="Times New Roman" w:eastAsia="Times New Roman" w:hAnsi="Times New Roman" w:cs="Times New Roman"/>
                <w:iCs/>
                <w:color w:val="000000" w:themeColor="text1"/>
                <w:spacing w:val="-4"/>
                <w:sz w:val="24"/>
                <w:szCs w:val="24"/>
                <w:lang w:eastAsia="lv-LV"/>
              </w:rPr>
              <w:t>piektā un devītā</w:t>
            </w:r>
            <w:r w:rsidR="00911175"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23703B" w:rsidRPr="004C7C46" w:rsidRDefault="0023703B" w:rsidP="0023703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3703B" w:rsidRPr="004C7C46" w:rsidRDefault="0023703B" w:rsidP="0023703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EB6D9C" w:rsidRPr="004C7C46" w:rsidRDefault="00566EAF"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EB6D9C" w:rsidRPr="004C7C46">
              <w:rPr>
                <w:rFonts w:ascii="Times New Roman" w:eastAsia="Times New Roman" w:hAnsi="Times New Roman" w:cs="Times New Roman"/>
                <w:iCs/>
                <w:color w:val="000000" w:themeColor="text1"/>
                <w:spacing w:val="-4"/>
                <w:sz w:val="24"/>
                <w:szCs w:val="24"/>
                <w:lang w:eastAsia="lv-LV"/>
              </w:rPr>
              <w:t>1.</w:t>
            </w:r>
            <w:r w:rsidR="003E7533" w:rsidRPr="004C7C46">
              <w:rPr>
                <w:rFonts w:ascii="Times New Roman" w:eastAsia="Times New Roman" w:hAnsi="Times New Roman" w:cs="Times New Roman"/>
                <w:iCs/>
                <w:color w:val="000000" w:themeColor="text1"/>
                <w:spacing w:val="-4"/>
                <w:sz w:val="24"/>
                <w:szCs w:val="24"/>
                <w:lang w:eastAsia="lv-LV"/>
              </w:rPr>
              <w:t> </w:t>
            </w:r>
            <w:r w:rsidR="00EB6D9C" w:rsidRPr="004C7C46">
              <w:rPr>
                <w:rFonts w:ascii="Times New Roman" w:eastAsia="Times New Roman" w:hAnsi="Times New Roman" w:cs="Times New Roman"/>
                <w:iCs/>
                <w:color w:val="000000" w:themeColor="text1"/>
                <w:spacing w:val="-4"/>
                <w:sz w:val="24"/>
                <w:szCs w:val="24"/>
                <w:lang w:eastAsia="lv-LV"/>
              </w:rPr>
              <w:t>panta 1.</w:t>
            </w:r>
            <w:r w:rsidR="003E7533" w:rsidRPr="004C7C46">
              <w:rPr>
                <w:rFonts w:ascii="Times New Roman" w:eastAsia="Times New Roman" w:hAnsi="Times New Roman" w:cs="Times New Roman"/>
                <w:iCs/>
                <w:color w:val="000000" w:themeColor="text1"/>
                <w:spacing w:val="-4"/>
                <w:sz w:val="24"/>
                <w:szCs w:val="24"/>
                <w:lang w:eastAsia="lv-LV"/>
              </w:rPr>
              <w:t> </w:t>
            </w:r>
            <w:r w:rsidR="00EB6D9C" w:rsidRPr="004C7C46">
              <w:rPr>
                <w:rFonts w:ascii="Times New Roman" w:eastAsia="Times New Roman" w:hAnsi="Times New Roman" w:cs="Times New Roman"/>
                <w:iCs/>
                <w:color w:val="000000" w:themeColor="text1"/>
                <w:spacing w:val="-4"/>
                <w:sz w:val="24"/>
                <w:szCs w:val="24"/>
                <w:lang w:eastAsia="lv-LV"/>
              </w:rPr>
              <w:t>punkta e) apakšpunkts</w:t>
            </w:r>
          </w:p>
        </w:tc>
        <w:tc>
          <w:tcPr>
            <w:tcW w:w="1834" w:type="dxa"/>
            <w:tcBorders>
              <w:top w:val="outset" w:sz="6" w:space="0" w:color="auto"/>
              <w:left w:val="outset" w:sz="6" w:space="0" w:color="auto"/>
              <w:bottom w:val="outset" w:sz="6" w:space="0" w:color="auto"/>
              <w:right w:val="outset" w:sz="6" w:space="0" w:color="auto"/>
            </w:tcBorders>
          </w:tcPr>
          <w:p w:rsidR="00EB6D9C" w:rsidRPr="004C7C46" w:rsidRDefault="00EB6D9C" w:rsidP="00FD7250">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 </w:t>
            </w:r>
            <w:r w:rsidR="007F0AED" w:rsidRPr="004C7C46">
              <w:rPr>
                <w:rFonts w:ascii="Times New Roman" w:eastAsia="Times New Roman" w:hAnsi="Times New Roman" w:cs="Times New Roman"/>
                <w:iCs/>
                <w:color w:val="000000" w:themeColor="text1"/>
                <w:spacing w:val="-4"/>
                <w:sz w:val="24"/>
                <w:szCs w:val="24"/>
                <w:lang w:eastAsia="lv-LV"/>
              </w:rPr>
              <w:t>p</w:t>
            </w:r>
            <w:r w:rsidRPr="004C7C46">
              <w:rPr>
                <w:rFonts w:ascii="Times New Roman" w:eastAsia="Times New Roman" w:hAnsi="Times New Roman" w:cs="Times New Roman"/>
                <w:iCs/>
                <w:color w:val="000000" w:themeColor="text1"/>
                <w:spacing w:val="-4"/>
                <w:sz w:val="24"/>
                <w:szCs w:val="24"/>
                <w:lang w:eastAsia="lv-LV"/>
              </w:rPr>
              <w:t>ant</w:t>
            </w:r>
            <w:r w:rsidR="007F0AED" w:rsidRPr="004C7C46">
              <w:rPr>
                <w:rFonts w:ascii="Times New Roman" w:eastAsia="Times New Roman" w:hAnsi="Times New Roman" w:cs="Times New Roman"/>
                <w:iCs/>
                <w:color w:val="000000" w:themeColor="text1"/>
                <w:spacing w:val="-4"/>
                <w:sz w:val="24"/>
                <w:szCs w:val="24"/>
                <w:lang w:eastAsia="lv-LV"/>
              </w:rPr>
              <w:t>a</w:t>
            </w:r>
            <w:r w:rsidR="00FD7250" w:rsidRPr="004C7C46">
              <w:rPr>
                <w:rFonts w:ascii="Times New Roman" w:eastAsia="Times New Roman" w:hAnsi="Times New Roman" w:cs="Times New Roman"/>
                <w:iCs/>
                <w:color w:val="000000" w:themeColor="text1"/>
                <w:spacing w:val="-4"/>
                <w:sz w:val="24"/>
                <w:szCs w:val="24"/>
                <w:lang w:eastAsia="lv-LV"/>
              </w:rPr>
              <w:t xml:space="preserve"> septītā</w:t>
            </w:r>
            <w:r w:rsidR="007F0AED" w:rsidRPr="004C7C46">
              <w:rPr>
                <w:rFonts w:ascii="Times New Roman" w:eastAsia="Times New Roman" w:hAnsi="Times New Roman" w:cs="Times New Roman"/>
                <w:iCs/>
                <w:color w:val="000000" w:themeColor="text1"/>
                <w:spacing w:val="-4"/>
                <w:sz w:val="24"/>
                <w:szCs w:val="24"/>
                <w:lang w:eastAsia="lv-LV"/>
              </w:rPr>
              <w:t xml:space="preserve"> daļa un </w:t>
            </w:r>
            <w:r w:rsidR="00FD7250" w:rsidRPr="004C7C46">
              <w:rPr>
                <w:rFonts w:ascii="Times New Roman" w:eastAsia="Times New Roman" w:hAnsi="Times New Roman" w:cs="Times New Roman"/>
                <w:iCs/>
                <w:color w:val="000000" w:themeColor="text1"/>
                <w:spacing w:val="-4"/>
                <w:sz w:val="24"/>
                <w:szCs w:val="24"/>
                <w:lang w:eastAsia="lv-LV"/>
              </w:rPr>
              <w:t>astotā</w:t>
            </w:r>
            <w:r w:rsidR="007F0AED"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EB6D9C" w:rsidRPr="004C7C46" w:rsidRDefault="00EB6D9C" w:rsidP="00EB6D9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EB6D9C" w:rsidRPr="004C7C46" w:rsidRDefault="00EB6D9C" w:rsidP="00EB6D9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87EAB" w:rsidRPr="004C7C46" w:rsidRDefault="00566EAF"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87EAB" w:rsidRPr="004C7C46">
              <w:rPr>
                <w:rFonts w:ascii="Times New Roman" w:eastAsia="Times New Roman" w:hAnsi="Times New Roman" w:cs="Times New Roman"/>
                <w:iCs/>
                <w:color w:val="000000" w:themeColor="text1"/>
                <w:spacing w:val="-4"/>
                <w:sz w:val="24"/>
                <w:szCs w:val="24"/>
                <w:lang w:eastAsia="lv-LV"/>
              </w:rPr>
              <w:t>1.</w:t>
            </w:r>
            <w:r w:rsidR="003E7533" w:rsidRPr="004C7C46">
              <w:rPr>
                <w:rFonts w:ascii="Times New Roman" w:eastAsia="Times New Roman" w:hAnsi="Times New Roman" w:cs="Times New Roman"/>
                <w:iCs/>
                <w:color w:val="000000" w:themeColor="text1"/>
                <w:spacing w:val="-4"/>
                <w:sz w:val="24"/>
                <w:szCs w:val="24"/>
                <w:lang w:eastAsia="lv-LV"/>
              </w:rPr>
              <w:t> </w:t>
            </w:r>
            <w:r w:rsidR="00A87EAB" w:rsidRPr="004C7C46">
              <w:rPr>
                <w:rFonts w:ascii="Times New Roman" w:eastAsia="Times New Roman" w:hAnsi="Times New Roman" w:cs="Times New Roman"/>
                <w:iCs/>
                <w:color w:val="000000" w:themeColor="text1"/>
                <w:spacing w:val="-4"/>
                <w:sz w:val="24"/>
                <w:szCs w:val="24"/>
                <w:lang w:eastAsia="lv-LV"/>
              </w:rPr>
              <w:t>panta 1.</w:t>
            </w:r>
            <w:r w:rsidR="003E7533" w:rsidRPr="004C7C46">
              <w:rPr>
                <w:rFonts w:ascii="Times New Roman" w:eastAsia="Times New Roman" w:hAnsi="Times New Roman" w:cs="Times New Roman"/>
                <w:iCs/>
                <w:color w:val="000000" w:themeColor="text1"/>
                <w:spacing w:val="-4"/>
                <w:sz w:val="24"/>
                <w:szCs w:val="24"/>
                <w:lang w:eastAsia="lv-LV"/>
              </w:rPr>
              <w:t> </w:t>
            </w:r>
            <w:r w:rsidR="00A87EAB" w:rsidRPr="004C7C46">
              <w:rPr>
                <w:rFonts w:ascii="Times New Roman" w:eastAsia="Times New Roman" w:hAnsi="Times New Roman" w:cs="Times New Roman"/>
                <w:iCs/>
                <w:color w:val="000000" w:themeColor="text1"/>
                <w:spacing w:val="-4"/>
                <w:sz w:val="24"/>
                <w:szCs w:val="24"/>
                <w:lang w:eastAsia="lv-LV"/>
              </w:rPr>
              <w:t>punkta f) apakšpunkts</w:t>
            </w:r>
          </w:p>
        </w:tc>
        <w:tc>
          <w:tcPr>
            <w:tcW w:w="1834" w:type="dxa"/>
            <w:tcBorders>
              <w:top w:val="outset" w:sz="6" w:space="0" w:color="auto"/>
              <w:left w:val="outset" w:sz="6" w:space="0" w:color="auto"/>
              <w:bottom w:val="outset" w:sz="6" w:space="0" w:color="auto"/>
              <w:right w:val="outset" w:sz="6" w:space="0" w:color="auto"/>
            </w:tcBorders>
          </w:tcPr>
          <w:p w:rsidR="00A87EAB" w:rsidRPr="004C7C46" w:rsidRDefault="00A87EA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 </w:t>
            </w:r>
            <w:r w:rsidR="007F0AED" w:rsidRPr="004C7C46">
              <w:rPr>
                <w:rFonts w:ascii="Times New Roman" w:eastAsia="Times New Roman" w:hAnsi="Times New Roman" w:cs="Times New Roman"/>
                <w:iCs/>
                <w:color w:val="000000" w:themeColor="text1"/>
                <w:spacing w:val="-4"/>
                <w:sz w:val="24"/>
                <w:szCs w:val="24"/>
                <w:lang w:eastAsia="lv-LV"/>
              </w:rPr>
              <w:t>p</w:t>
            </w:r>
            <w:r w:rsidRPr="004C7C46">
              <w:rPr>
                <w:rFonts w:ascii="Times New Roman" w:eastAsia="Times New Roman" w:hAnsi="Times New Roman" w:cs="Times New Roman"/>
                <w:iCs/>
                <w:color w:val="000000" w:themeColor="text1"/>
                <w:spacing w:val="-4"/>
                <w:sz w:val="24"/>
                <w:szCs w:val="24"/>
                <w:lang w:eastAsia="lv-LV"/>
              </w:rPr>
              <w:t>ant</w:t>
            </w:r>
            <w:r w:rsidR="007F0AED" w:rsidRPr="004C7C46">
              <w:rPr>
                <w:rFonts w:ascii="Times New Roman" w:eastAsia="Times New Roman" w:hAnsi="Times New Roman" w:cs="Times New Roman"/>
                <w:iCs/>
                <w:color w:val="000000" w:themeColor="text1"/>
                <w:spacing w:val="-4"/>
                <w:sz w:val="24"/>
                <w:szCs w:val="24"/>
                <w:lang w:eastAsia="lv-LV"/>
              </w:rPr>
              <w:t>a pirmā daļa</w:t>
            </w:r>
          </w:p>
        </w:tc>
        <w:tc>
          <w:tcPr>
            <w:tcW w:w="1671" w:type="dxa"/>
            <w:tcBorders>
              <w:top w:val="outset" w:sz="6" w:space="0" w:color="auto"/>
              <w:left w:val="outset" w:sz="6" w:space="0" w:color="auto"/>
              <w:bottom w:val="outset" w:sz="6" w:space="0" w:color="auto"/>
              <w:right w:val="outset" w:sz="6" w:space="0" w:color="auto"/>
            </w:tcBorders>
          </w:tcPr>
          <w:p w:rsidR="00A87EAB" w:rsidRPr="004C7C46" w:rsidRDefault="00A87EAB" w:rsidP="00A87EA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87EAB" w:rsidRPr="004C7C46" w:rsidRDefault="00A87EAB" w:rsidP="00A87EA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5535A8" w:rsidRPr="004C7C46" w:rsidRDefault="00566EAF"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5535A8" w:rsidRPr="004C7C46">
              <w:rPr>
                <w:rFonts w:ascii="Times New Roman" w:eastAsia="Times New Roman" w:hAnsi="Times New Roman" w:cs="Times New Roman"/>
                <w:iCs/>
                <w:color w:val="000000" w:themeColor="text1"/>
                <w:spacing w:val="-4"/>
                <w:sz w:val="24"/>
                <w:szCs w:val="24"/>
                <w:lang w:eastAsia="lv-LV"/>
              </w:rPr>
              <w:t>1.</w:t>
            </w:r>
            <w:r w:rsidR="003E7533" w:rsidRPr="004C7C46">
              <w:rPr>
                <w:rFonts w:ascii="Times New Roman" w:eastAsia="Times New Roman" w:hAnsi="Times New Roman" w:cs="Times New Roman"/>
                <w:iCs/>
                <w:color w:val="000000" w:themeColor="text1"/>
                <w:spacing w:val="-4"/>
                <w:sz w:val="24"/>
                <w:szCs w:val="24"/>
                <w:lang w:eastAsia="lv-LV"/>
              </w:rPr>
              <w:t> </w:t>
            </w:r>
            <w:r w:rsidR="005535A8" w:rsidRPr="004C7C46">
              <w:rPr>
                <w:rFonts w:ascii="Times New Roman" w:eastAsia="Times New Roman" w:hAnsi="Times New Roman" w:cs="Times New Roman"/>
                <w:iCs/>
                <w:color w:val="000000" w:themeColor="text1"/>
                <w:spacing w:val="-4"/>
                <w:sz w:val="24"/>
                <w:szCs w:val="24"/>
                <w:lang w:eastAsia="lv-LV"/>
              </w:rPr>
              <w:t>panta 2.</w:t>
            </w:r>
            <w:r w:rsidR="003E7533" w:rsidRPr="004C7C46">
              <w:rPr>
                <w:rFonts w:ascii="Times New Roman" w:eastAsia="Times New Roman" w:hAnsi="Times New Roman" w:cs="Times New Roman"/>
                <w:iCs/>
                <w:color w:val="000000" w:themeColor="text1"/>
                <w:spacing w:val="-4"/>
                <w:sz w:val="24"/>
                <w:szCs w:val="24"/>
                <w:lang w:eastAsia="lv-LV"/>
              </w:rPr>
              <w:t> </w:t>
            </w:r>
            <w:r w:rsidR="005535A8" w:rsidRPr="004C7C46">
              <w:rPr>
                <w:rFonts w:ascii="Times New Roman" w:eastAsia="Times New Roman" w:hAnsi="Times New Roman" w:cs="Times New Roman"/>
                <w:iCs/>
                <w:color w:val="000000" w:themeColor="text1"/>
                <w:spacing w:val="-4"/>
                <w:sz w:val="24"/>
                <w:szCs w:val="24"/>
                <w:lang w:eastAsia="lv-LV"/>
              </w:rPr>
              <w:t>punkta a) apakšpunkts</w:t>
            </w:r>
          </w:p>
        </w:tc>
        <w:tc>
          <w:tcPr>
            <w:tcW w:w="1834" w:type="dxa"/>
            <w:tcBorders>
              <w:top w:val="outset" w:sz="6" w:space="0" w:color="auto"/>
              <w:left w:val="outset" w:sz="6" w:space="0" w:color="auto"/>
              <w:bottom w:val="outset" w:sz="6" w:space="0" w:color="auto"/>
              <w:right w:val="outset" w:sz="6" w:space="0" w:color="auto"/>
            </w:tcBorders>
          </w:tcPr>
          <w:p w:rsidR="005535A8" w:rsidRPr="004C7C46" w:rsidRDefault="00D8470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3</w:t>
            </w:r>
            <w:r w:rsidR="005535A8" w:rsidRPr="004C7C46">
              <w:rPr>
                <w:rFonts w:ascii="Times New Roman" w:eastAsia="Times New Roman" w:hAnsi="Times New Roman" w:cs="Times New Roman"/>
                <w:iCs/>
                <w:color w:val="000000" w:themeColor="text1"/>
                <w:spacing w:val="-4"/>
                <w:sz w:val="24"/>
                <w:szCs w:val="24"/>
                <w:lang w:eastAsia="lv-LV"/>
              </w:rPr>
              <w:t>. pant</w:t>
            </w:r>
            <w:r w:rsidR="001B50C4" w:rsidRPr="004C7C46">
              <w:rPr>
                <w:rFonts w:ascii="Times New Roman" w:eastAsia="Times New Roman" w:hAnsi="Times New Roman" w:cs="Times New Roman"/>
                <w:iCs/>
                <w:color w:val="000000" w:themeColor="text1"/>
                <w:spacing w:val="-4"/>
                <w:sz w:val="24"/>
                <w:szCs w:val="24"/>
                <w:lang w:eastAsia="lv-LV"/>
              </w:rPr>
              <w:t xml:space="preserve">a </w:t>
            </w:r>
            <w:r w:rsidR="00396D09" w:rsidRPr="004C7C46">
              <w:rPr>
                <w:rFonts w:ascii="Times New Roman" w:eastAsia="Times New Roman" w:hAnsi="Times New Roman" w:cs="Times New Roman"/>
                <w:iCs/>
                <w:color w:val="000000" w:themeColor="text1"/>
                <w:spacing w:val="-4"/>
                <w:sz w:val="24"/>
                <w:szCs w:val="24"/>
                <w:lang w:eastAsia="lv-LV"/>
              </w:rPr>
              <w:t>otrā</w:t>
            </w:r>
            <w:r w:rsidR="001B50C4"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5535A8" w:rsidRPr="004C7C46" w:rsidRDefault="005535A8" w:rsidP="005535A8">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5535A8" w:rsidRPr="004C7C46" w:rsidRDefault="005535A8" w:rsidP="005535A8">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369CD"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369CD" w:rsidRPr="004C7C46">
              <w:rPr>
                <w:rFonts w:ascii="Times New Roman" w:eastAsia="Times New Roman" w:hAnsi="Times New Roman" w:cs="Times New Roman"/>
                <w:iCs/>
                <w:color w:val="000000" w:themeColor="text1"/>
                <w:spacing w:val="-4"/>
                <w:sz w:val="24"/>
                <w:szCs w:val="24"/>
                <w:lang w:eastAsia="lv-LV"/>
              </w:rPr>
              <w:t>1.</w:t>
            </w:r>
            <w:r w:rsidR="003E7533" w:rsidRPr="004C7C46">
              <w:rPr>
                <w:rFonts w:ascii="Times New Roman" w:eastAsia="Times New Roman" w:hAnsi="Times New Roman" w:cs="Times New Roman"/>
                <w:iCs/>
                <w:color w:val="000000" w:themeColor="text1"/>
                <w:spacing w:val="-4"/>
                <w:sz w:val="24"/>
                <w:szCs w:val="24"/>
                <w:lang w:eastAsia="lv-LV"/>
              </w:rPr>
              <w:t> </w:t>
            </w:r>
            <w:r w:rsidR="00B369CD" w:rsidRPr="004C7C46">
              <w:rPr>
                <w:rFonts w:ascii="Times New Roman" w:eastAsia="Times New Roman" w:hAnsi="Times New Roman" w:cs="Times New Roman"/>
                <w:iCs/>
                <w:color w:val="000000" w:themeColor="text1"/>
                <w:spacing w:val="-4"/>
                <w:sz w:val="24"/>
                <w:szCs w:val="24"/>
                <w:lang w:eastAsia="lv-LV"/>
              </w:rPr>
              <w:t>panta 2.</w:t>
            </w:r>
            <w:r w:rsidR="003E7533" w:rsidRPr="004C7C46">
              <w:rPr>
                <w:rFonts w:ascii="Times New Roman" w:eastAsia="Times New Roman" w:hAnsi="Times New Roman" w:cs="Times New Roman"/>
                <w:iCs/>
                <w:color w:val="000000" w:themeColor="text1"/>
                <w:spacing w:val="-4"/>
                <w:sz w:val="24"/>
                <w:szCs w:val="24"/>
                <w:lang w:eastAsia="lv-LV"/>
              </w:rPr>
              <w:t> </w:t>
            </w:r>
            <w:r w:rsidR="00B369CD" w:rsidRPr="004C7C46">
              <w:rPr>
                <w:rFonts w:ascii="Times New Roman" w:eastAsia="Times New Roman" w:hAnsi="Times New Roman" w:cs="Times New Roman"/>
                <w:iCs/>
                <w:color w:val="000000" w:themeColor="text1"/>
                <w:spacing w:val="-4"/>
                <w:sz w:val="24"/>
                <w:szCs w:val="24"/>
                <w:lang w:eastAsia="lv-LV"/>
              </w:rPr>
              <w:t>punkta b) apakšpunkts</w:t>
            </w:r>
          </w:p>
        </w:tc>
        <w:tc>
          <w:tcPr>
            <w:tcW w:w="1834" w:type="dxa"/>
            <w:tcBorders>
              <w:top w:val="outset" w:sz="6" w:space="0" w:color="auto"/>
              <w:left w:val="outset" w:sz="6" w:space="0" w:color="auto"/>
              <w:bottom w:val="outset" w:sz="6" w:space="0" w:color="auto"/>
              <w:right w:val="outset" w:sz="6" w:space="0" w:color="auto"/>
            </w:tcBorders>
          </w:tcPr>
          <w:p w:rsidR="00B369CD" w:rsidRPr="004C7C46" w:rsidRDefault="00B369C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D8470B" w:rsidRPr="004C7C46">
              <w:rPr>
                <w:rFonts w:ascii="Times New Roman" w:eastAsia="Times New Roman" w:hAnsi="Times New Roman" w:cs="Times New Roman"/>
                <w:iCs/>
                <w:color w:val="000000" w:themeColor="text1"/>
                <w:spacing w:val="-4"/>
                <w:sz w:val="24"/>
                <w:szCs w:val="24"/>
                <w:lang w:eastAsia="lv-LV"/>
              </w:rPr>
              <w:t>3</w:t>
            </w:r>
            <w:r w:rsidRPr="004C7C46">
              <w:rPr>
                <w:rFonts w:ascii="Times New Roman" w:eastAsia="Times New Roman" w:hAnsi="Times New Roman" w:cs="Times New Roman"/>
                <w:iCs/>
                <w:color w:val="000000" w:themeColor="text1"/>
                <w:spacing w:val="-4"/>
                <w:sz w:val="24"/>
                <w:szCs w:val="24"/>
                <w:lang w:eastAsia="lv-LV"/>
              </w:rPr>
              <w:t>.</w:t>
            </w:r>
            <w:r w:rsidR="003E7533" w:rsidRPr="004C7C46">
              <w:rPr>
                <w:rFonts w:ascii="Times New Roman" w:eastAsia="Times New Roman" w:hAnsi="Times New Roman" w:cs="Times New Roman"/>
                <w:iCs/>
                <w:color w:val="000000" w:themeColor="text1"/>
                <w:spacing w:val="-4"/>
                <w:sz w:val="24"/>
                <w:szCs w:val="24"/>
                <w:lang w:eastAsia="lv-LV"/>
              </w:rPr>
              <w:t> </w:t>
            </w:r>
            <w:r w:rsidR="001B50C4" w:rsidRPr="004C7C46">
              <w:rPr>
                <w:rFonts w:ascii="Times New Roman" w:eastAsia="Times New Roman" w:hAnsi="Times New Roman" w:cs="Times New Roman"/>
                <w:iCs/>
                <w:color w:val="000000" w:themeColor="text1"/>
                <w:spacing w:val="-4"/>
                <w:sz w:val="24"/>
                <w:szCs w:val="24"/>
                <w:lang w:eastAsia="lv-LV"/>
              </w:rPr>
              <w:t xml:space="preserve">panta </w:t>
            </w:r>
            <w:r w:rsidR="00396D09" w:rsidRPr="004C7C46">
              <w:rPr>
                <w:rFonts w:ascii="Times New Roman" w:eastAsia="Times New Roman" w:hAnsi="Times New Roman" w:cs="Times New Roman"/>
                <w:iCs/>
                <w:color w:val="000000" w:themeColor="text1"/>
                <w:spacing w:val="-4"/>
                <w:sz w:val="24"/>
                <w:szCs w:val="24"/>
                <w:lang w:eastAsia="lv-LV"/>
              </w:rPr>
              <w:t xml:space="preserve">trešā </w:t>
            </w:r>
            <w:r w:rsidR="001B50C4" w:rsidRPr="004C7C46">
              <w:rPr>
                <w:rFonts w:ascii="Times New Roman" w:eastAsia="Times New Roman" w:hAnsi="Times New Roman" w:cs="Times New Roman"/>
                <w:iCs/>
                <w:color w:val="000000" w:themeColor="text1"/>
                <w:spacing w:val="-4"/>
                <w:sz w:val="24"/>
                <w:szCs w:val="24"/>
                <w:lang w:eastAsia="lv-LV"/>
              </w:rPr>
              <w:t>daļa</w:t>
            </w:r>
          </w:p>
        </w:tc>
        <w:tc>
          <w:tcPr>
            <w:tcW w:w="1671" w:type="dxa"/>
            <w:tcBorders>
              <w:top w:val="outset" w:sz="6" w:space="0" w:color="auto"/>
              <w:left w:val="outset" w:sz="6" w:space="0" w:color="auto"/>
              <w:bottom w:val="outset" w:sz="6" w:space="0" w:color="auto"/>
              <w:right w:val="outset" w:sz="6" w:space="0" w:color="auto"/>
            </w:tcBorders>
          </w:tcPr>
          <w:p w:rsidR="00B369CD" w:rsidRPr="004C7C46" w:rsidRDefault="00B369CD" w:rsidP="00B369C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369CD" w:rsidRPr="004C7C46" w:rsidRDefault="00B369CD" w:rsidP="00B369C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8074FA"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8074FA" w:rsidRPr="004C7C46">
              <w:rPr>
                <w:rFonts w:ascii="Times New Roman" w:eastAsia="Times New Roman" w:hAnsi="Times New Roman" w:cs="Times New Roman"/>
                <w:iCs/>
                <w:color w:val="000000" w:themeColor="text1"/>
                <w:spacing w:val="-4"/>
                <w:sz w:val="24"/>
                <w:szCs w:val="24"/>
                <w:lang w:eastAsia="lv-LV"/>
              </w:rPr>
              <w:t>1.</w:t>
            </w:r>
            <w:r w:rsidR="003E7533" w:rsidRPr="004C7C46">
              <w:rPr>
                <w:rFonts w:ascii="Times New Roman" w:eastAsia="Times New Roman" w:hAnsi="Times New Roman" w:cs="Times New Roman"/>
                <w:iCs/>
                <w:color w:val="000000" w:themeColor="text1"/>
                <w:spacing w:val="-4"/>
                <w:sz w:val="24"/>
                <w:szCs w:val="24"/>
                <w:lang w:eastAsia="lv-LV"/>
              </w:rPr>
              <w:t> </w:t>
            </w:r>
            <w:r w:rsidR="008074FA" w:rsidRPr="004C7C46">
              <w:rPr>
                <w:rFonts w:ascii="Times New Roman" w:eastAsia="Times New Roman" w:hAnsi="Times New Roman" w:cs="Times New Roman"/>
                <w:iCs/>
                <w:color w:val="000000" w:themeColor="text1"/>
                <w:spacing w:val="-4"/>
                <w:sz w:val="24"/>
                <w:szCs w:val="24"/>
                <w:lang w:eastAsia="lv-LV"/>
              </w:rPr>
              <w:t>panta 3.</w:t>
            </w:r>
            <w:r w:rsidR="003E7533" w:rsidRPr="004C7C46">
              <w:rPr>
                <w:rFonts w:ascii="Times New Roman" w:eastAsia="Times New Roman" w:hAnsi="Times New Roman" w:cs="Times New Roman"/>
                <w:iCs/>
                <w:color w:val="000000" w:themeColor="text1"/>
                <w:spacing w:val="-4"/>
                <w:sz w:val="24"/>
                <w:szCs w:val="24"/>
                <w:lang w:eastAsia="lv-LV"/>
              </w:rPr>
              <w:t> </w:t>
            </w:r>
            <w:r w:rsidR="008074FA" w:rsidRPr="004C7C46">
              <w:rPr>
                <w:rFonts w:ascii="Times New Roman" w:eastAsia="Times New Roman" w:hAnsi="Times New Roman" w:cs="Times New Roman"/>
                <w:iCs/>
                <w:color w:val="000000" w:themeColor="text1"/>
                <w:spacing w:val="-4"/>
                <w:sz w:val="24"/>
                <w:szCs w:val="24"/>
                <w:lang w:eastAsia="lv-LV"/>
              </w:rPr>
              <w:t>punkta a) apakšpunkts</w:t>
            </w:r>
          </w:p>
        </w:tc>
        <w:tc>
          <w:tcPr>
            <w:tcW w:w="1834" w:type="dxa"/>
            <w:tcBorders>
              <w:top w:val="outset" w:sz="6" w:space="0" w:color="auto"/>
              <w:left w:val="outset" w:sz="6" w:space="0" w:color="auto"/>
              <w:bottom w:val="outset" w:sz="6" w:space="0" w:color="auto"/>
              <w:right w:val="outset" w:sz="6" w:space="0" w:color="auto"/>
            </w:tcBorders>
          </w:tcPr>
          <w:p w:rsidR="008074FA" w:rsidRPr="004C7C46" w:rsidRDefault="008074FA"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D8470B" w:rsidRPr="004C7C46">
              <w:rPr>
                <w:rFonts w:ascii="Times New Roman" w:eastAsia="Times New Roman" w:hAnsi="Times New Roman" w:cs="Times New Roman"/>
                <w:iCs/>
                <w:color w:val="000000" w:themeColor="text1"/>
                <w:spacing w:val="-4"/>
                <w:sz w:val="24"/>
                <w:szCs w:val="24"/>
                <w:lang w:eastAsia="lv-LV"/>
              </w:rPr>
              <w:t>4</w:t>
            </w:r>
            <w:r w:rsidRPr="004C7C46">
              <w:rPr>
                <w:rFonts w:ascii="Times New Roman" w:eastAsia="Times New Roman" w:hAnsi="Times New Roman" w:cs="Times New Roman"/>
                <w:iCs/>
                <w:color w:val="000000" w:themeColor="text1"/>
                <w:spacing w:val="-4"/>
                <w:sz w:val="24"/>
                <w:szCs w:val="24"/>
                <w:lang w:eastAsia="lv-LV"/>
              </w:rPr>
              <w:t>.</w:t>
            </w:r>
            <w:r w:rsidR="003E7533" w:rsidRPr="004C7C46">
              <w:rPr>
                <w:rFonts w:ascii="Times New Roman" w:eastAsia="Times New Roman" w:hAnsi="Times New Roman" w:cs="Times New Roman"/>
                <w:iCs/>
                <w:color w:val="000000" w:themeColor="text1"/>
                <w:spacing w:val="-4"/>
                <w:sz w:val="24"/>
                <w:szCs w:val="24"/>
                <w:lang w:eastAsia="lv-LV"/>
              </w:rPr>
              <w:t> </w:t>
            </w:r>
            <w:r w:rsidRPr="004C7C46">
              <w:rPr>
                <w:rFonts w:ascii="Times New Roman" w:eastAsia="Times New Roman" w:hAnsi="Times New Roman" w:cs="Times New Roman"/>
                <w:iCs/>
                <w:color w:val="000000" w:themeColor="text1"/>
                <w:spacing w:val="-4"/>
                <w:sz w:val="24"/>
                <w:szCs w:val="24"/>
                <w:lang w:eastAsia="lv-LV"/>
              </w:rPr>
              <w:t>pant</w:t>
            </w:r>
            <w:r w:rsidR="001B50C4" w:rsidRPr="004C7C46">
              <w:rPr>
                <w:rFonts w:ascii="Times New Roman" w:eastAsia="Times New Roman" w:hAnsi="Times New Roman" w:cs="Times New Roman"/>
                <w:iCs/>
                <w:color w:val="000000" w:themeColor="text1"/>
                <w:spacing w:val="-4"/>
                <w:sz w:val="24"/>
                <w:szCs w:val="24"/>
                <w:lang w:eastAsia="lv-LV"/>
              </w:rPr>
              <w:t>a pirmā, otrā un trešā daļa</w:t>
            </w:r>
          </w:p>
        </w:tc>
        <w:tc>
          <w:tcPr>
            <w:tcW w:w="1671" w:type="dxa"/>
            <w:tcBorders>
              <w:top w:val="outset" w:sz="6" w:space="0" w:color="auto"/>
              <w:left w:val="outset" w:sz="6" w:space="0" w:color="auto"/>
              <w:bottom w:val="outset" w:sz="6" w:space="0" w:color="auto"/>
              <w:right w:val="outset" w:sz="6" w:space="0" w:color="auto"/>
            </w:tcBorders>
          </w:tcPr>
          <w:p w:rsidR="008074FA" w:rsidRPr="004C7C46" w:rsidRDefault="008074FA" w:rsidP="008074F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8074FA" w:rsidRPr="004C7C46" w:rsidRDefault="008074FA" w:rsidP="008074F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8074FA"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8074FA" w:rsidRPr="004C7C46">
              <w:rPr>
                <w:rFonts w:ascii="Times New Roman" w:eastAsia="Times New Roman" w:hAnsi="Times New Roman" w:cs="Times New Roman"/>
                <w:iCs/>
                <w:color w:val="000000" w:themeColor="text1"/>
                <w:spacing w:val="-4"/>
                <w:sz w:val="24"/>
                <w:szCs w:val="24"/>
                <w:lang w:eastAsia="lv-LV"/>
              </w:rPr>
              <w:t>1.</w:t>
            </w:r>
            <w:r w:rsidR="003E7533" w:rsidRPr="004C7C46">
              <w:rPr>
                <w:rFonts w:ascii="Times New Roman" w:eastAsia="Times New Roman" w:hAnsi="Times New Roman" w:cs="Times New Roman"/>
                <w:iCs/>
                <w:color w:val="000000" w:themeColor="text1"/>
                <w:spacing w:val="-4"/>
                <w:sz w:val="24"/>
                <w:szCs w:val="24"/>
                <w:lang w:eastAsia="lv-LV"/>
              </w:rPr>
              <w:t> </w:t>
            </w:r>
            <w:r w:rsidR="008074FA" w:rsidRPr="004C7C46">
              <w:rPr>
                <w:rFonts w:ascii="Times New Roman" w:eastAsia="Times New Roman" w:hAnsi="Times New Roman" w:cs="Times New Roman"/>
                <w:iCs/>
                <w:color w:val="000000" w:themeColor="text1"/>
                <w:spacing w:val="-4"/>
                <w:sz w:val="24"/>
                <w:szCs w:val="24"/>
                <w:lang w:eastAsia="lv-LV"/>
              </w:rPr>
              <w:t>panta 3.</w:t>
            </w:r>
            <w:r w:rsidR="003E7533" w:rsidRPr="004C7C46">
              <w:rPr>
                <w:rFonts w:ascii="Times New Roman" w:eastAsia="Times New Roman" w:hAnsi="Times New Roman" w:cs="Times New Roman"/>
                <w:iCs/>
                <w:color w:val="000000" w:themeColor="text1"/>
                <w:spacing w:val="-4"/>
                <w:sz w:val="24"/>
                <w:szCs w:val="24"/>
                <w:lang w:eastAsia="lv-LV"/>
              </w:rPr>
              <w:t> </w:t>
            </w:r>
            <w:r w:rsidR="008074FA" w:rsidRPr="004C7C46">
              <w:rPr>
                <w:rFonts w:ascii="Times New Roman" w:eastAsia="Times New Roman" w:hAnsi="Times New Roman" w:cs="Times New Roman"/>
                <w:iCs/>
                <w:color w:val="000000" w:themeColor="text1"/>
                <w:spacing w:val="-4"/>
                <w:sz w:val="24"/>
                <w:szCs w:val="24"/>
                <w:lang w:eastAsia="lv-LV"/>
              </w:rPr>
              <w:t>punkta b) apakšpunkt</w:t>
            </w:r>
            <w:r w:rsidR="00A50078" w:rsidRPr="004C7C46">
              <w:rPr>
                <w:rFonts w:ascii="Times New Roman" w:eastAsia="Times New Roman" w:hAnsi="Times New Roman" w:cs="Times New Roman"/>
                <w:iCs/>
                <w:color w:val="000000" w:themeColor="text1"/>
                <w:spacing w:val="-4"/>
                <w:sz w:val="24"/>
                <w:szCs w:val="24"/>
                <w:lang w:eastAsia="lv-LV"/>
              </w:rPr>
              <w:t>a</w:t>
            </w:r>
            <w:r w:rsidR="008074FA" w:rsidRPr="004C7C46">
              <w:rPr>
                <w:rFonts w:ascii="Times New Roman" w:eastAsia="Times New Roman" w:hAnsi="Times New Roman" w:cs="Times New Roman"/>
                <w:iCs/>
                <w:color w:val="000000" w:themeColor="text1"/>
                <w:spacing w:val="-4"/>
                <w:sz w:val="24"/>
                <w:szCs w:val="24"/>
                <w:lang w:eastAsia="lv-LV"/>
              </w:rPr>
              <w:t xml:space="preserve"> i)</w:t>
            </w:r>
            <w:r w:rsidR="00A50078" w:rsidRPr="004C7C46">
              <w:rPr>
                <w:rFonts w:ascii="Times New Roman" w:eastAsia="Times New Roman" w:hAnsi="Times New Roman" w:cs="Times New Roman"/>
                <w:iCs/>
                <w:color w:val="000000" w:themeColor="text1"/>
                <w:spacing w:val="-4"/>
                <w:sz w:val="24"/>
                <w:szCs w:val="24"/>
                <w:lang w:eastAsia="lv-LV"/>
              </w:rPr>
              <w:t xml:space="preserve"> punkts</w:t>
            </w:r>
          </w:p>
        </w:tc>
        <w:tc>
          <w:tcPr>
            <w:tcW w:w="1834" w:type="dxa"/>
            <w:tcBorders>
              <w:top w:val="outset" w:sz="6" w:space="0" w:color="auto"/>
              <w:left w:val="outset" w:sz="6" w:space="0" w:color="auto"/>
              <w:bottom w:val="outset" w:sz="6" w:space="0" w:color="auto"/>
              <w:right w:val="outset" w:sz="6" w:space="0" w:color="auto"/>
            </w:tcBorders>
          </w:tcPr>
          <w:p w:rsidR="008074FA" w:rsidRPr="004C7C46" w:rsidRDefault="008074FA"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D8470B" w:rsidRPr="004C7C46">
              <w:rPr>
                <w:rFonts w:ascii="Times New Roman" w:eastAsia="Times New Roman" w:hAnsi="Times New Roman" w:cs="Times New Roman"/>
                <w:iCs/>
                <w:color w:val="000000" w:themeColor="text1"/>
                <w:spacing w:val="-4"/>
                <w:sz w:val="24"/>
                <w:szCs w:val="24"/>
                <w:lang w:eastAsia="lv-LV"/>
              </w:rPr>
              <w:t>4</w:t>
            </w:r>
            <w:r w:rsidRPr="004C7C46">
              <w:rPr>
                <w:rFonts w:ascii="Times New Roman" w:eastAsia="Times New Roman" w:hAnsi="Times New Roman" w:cs="Times New Roman"/>
                <w:iCs/>
                <w:color w:val="000000" w:themeColor="text1"/>
                <w:spacing w:val="-4"/>
                <w:sz w:val="24"/>
                <w:szCs w:val="24"/>
                <w:lang w:eastAsia="lv-LV"/>
              </w:rPr>
              <w:t>.</w:t>
            </w:r>
            <w:r w:rsidR="003E7533" w:rsidRPr="004C7C46">
              <w:rPr>
                <w:rFonts w:ascii="Times New Roman" w:eastAsia="Times New Roman" w:hAnsi="Times New Roman" w:cs="Times New Roman"/>
                <w:iCs/>
                <w:color w:val="000000" w:themeColor="text1"/>
                <w:spacing w:val="-4"/>
                <w:sz w:val="24"/>
                <w:szCs w:val="24"/>
                <w:lang w:eastAsia="lv-LV"/>
              </w:rPr>
              <w:t> </w:t>
            </w:r>
            <w:r w:rsidRPr="004C7C46">
              <w:rPr>
                <w:rFonts w:ascii="Times New Roman" w:eastAsia="Times New Roman" w:hAnsi="Times New Roman" w:cs="Times New Roman"/>
                <w:iCs/>
                <w:color w:val="000000" w:themeColor="text1"/>
                <w:spacing w:val="-4"/>
                <w:sz w:val="24"/>
                <w:szCs w:val="24"/>
                <w:lang w:eastAsia="lv-LV"/>
              </w:rPr>
              <w:t>pant</w:t>
            </w:r>
            <w:r w:rsidR="001B50C4" w:rsidRPr="004C7C46">
              <w:rPr>
                <w:rFonts w:ascii="Times New Roman" w:eastAsia="Times New Roman" w:hAnsi="Times New Roman" w:cs="Times New Roman"/>
                <w:iCs/>
                <w:color w:val="000000" w:themeColor="text1"/>
                <w:spacing w:val="-4"/>
                <w:sz w:val="24"/>
                <w:szCs w:val="24"/>
                <w:lang w:eastAsia="lv-LV"/>
              </w:rPr>
              <w:t>a ceturtā daļa</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8074FA" w:rsidRPr="004C7C46" w:rsidRDefault="008074FA" w:rsidP="008074F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8074FA" w:rsidRPr="004C7C46" w:rsidRDefault="008074FA" w:rsidP="008074F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8074FA"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8074FA" w:rsidRPr="004C7C46">
              <w:rPr>
                <w:rFonts w:ascii="Times New Roman" w:eastAsia="Times New Roman" w:hAnsi="Times New Roman" w:cs="Times New Roman"/>
                <w:iCs/>
                <w:color w:val="000000" w:themeColor="text1"/>
                <w:spacing w:val="-4"/>
                <w:sz w:val="24"/>
                <w:szCs w:val="24"/>
                <w:lang w:eastAsia="lv-LV"/>
              </w:rPr>
              <w:t>1.</w:t>
            </w:r>
            <w:r w:rsidR="003E7533" w:rsidRPr="004C7C46">
              <w:rPr>
                <w:rFonts w:ascii="Times New Roman" w:eastAsia="Times New Roman" w:hAnsi="Times New Roman" w:cs="Times New Roman"/>
                <w:iCs/>
                <w:color w:val="000000" w:themeColor="text1"/>
                <w:spacing w:val="-4"/>
                <w:sz w:val="24"/>
                <w:szCs w:val="24"/>
                <w:lang w:eastAsia="lv-LV"/>
              </w:rPr>
              <w:t> </w:t>
            </w:r>
            <w:r w:rsidR="008074FA" w:rsidRPr="004C7C46">
              <w:rPr>
                <w:rFonts w:ascii="Times New Roman" w:eastAsia="Times New Roman" w:hAnsi="Times New Roman" w:cs="Times New Roman"/>
                <w:iCs/>
                <w:color w:val="000000" w:themeColor="text1"/>
                <w:spacing w:val="-4"/>
                <w:sz w:val="24"/>
                <w:szCs w:val="24"/>
                <w:lang w:eastAsia="lv-LV"/>
              </w:rPr>
              <w:t>panta 3.</w:t>
            </w:r>
            <w:r w:rsidR="003E7533" w:rsidRPr="004C7C46">
              <w:rPr>
                <w:rFonts w:ascii="Times New Roman" w:eastAsia="Times New Roman" w:hAnsi="Times New Roman" w:cs="Times New Roman"/>
                <w:iCs/>
                <w:color w:val="000000" w:themeColor="text1"/>
                <w:spacing w:val="-4"/>
                <w:sz w:val="24"/>
                <w:szCs w:val="24"/>
                <w:lang w:eastAsia="lv-LV"/>
              </w:rPr>
              <w:t> </w:t>
            </w:r>
            <w:r w:rsidR="008074FA" w:rsidRPr="004C7C46">
              <w:rPr>
                <w:rFonts w:ascii="Times New Roman" w:eastAsia="Times New Roman" w:hAnsi="Times New Roman" w:cs="Times New Roman"/>
                <w:iCs/>
                <w:color w:val="000000" w:themeColor="text1"/>
                <w:spacing w:val="-4"/>
                <w:sz w:val="24"/>
                <w:szCs w:val="24"/>
                <w:lang w:eastAsia="lv-LV"/>
              </w:rPr>
              <w:t>punkta b) apakšpunkts ii)</w:t>
            </w:r>
            <w:r w:rsidR="00A50078" w:rsidRPr="004C7C46">
              <w:rPr>
                <w:rFonts w:ascii="Times New Roman" w:eastAsia="Times New Roman" w:hAnsi="Times New Roman" w:cs="Times New Roman"/>
                <w:iCs/>
                <w:color w:val="000000" w:themeColor="text1"/>
                <w:spacing w:val="-4"/>
                <w:sz w:val="24"/>
                <w:szCs w:val="24"/>
                <w:lang w:eastAsia="lv-LV"/>
              </w:rPr>
              <w:t xml:space="preserve"> punkts</w:t>
            </w:r>
          </w:p>
        </w:tc>
        <w:tc>
          <w:tcPr>
            <w:tcW w:w="1834" w:type="dxa"/>
            <w:tcBorders>
              <w:top w:val="outset" w:sz="6" w:space="0" w:color="auto"/>
              <w:left w:val="outset" w:sz="6" w:space="0" w:color="auto"/>
              <w:bottom w:val="outset" w:sz="6" w:space="0" w:color="auto"/>
              <w:right w:val="outset" w:sz="6" w:space="0" w:color="auto"/>
            </w:tcBorders>
          </w:tcPr>
          <w:p w:rsidR="008074FA" w:rsidRPr="004C7C46" w:rsidRDefault="008074FA"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D8470B" w:rsidRPr="004C7C46">
              <w:rPr>
                <w:rFonts w:ascii="Times New Roman" w:eastAsia="Times New Roman" w:hAnsi="Times New Roman" w:cs="Times New Roman"/>
                <w:iCs/>
                <w:color w:val="000000" w:themeColor="text1"/>
                <w:spacing w:val="-4"/>
                <w:sz w:val="24"/>
                <w:szCs w:val="24"/>
                <w:lang w:eastAsia="lv-LV"/>
              </w:rPr>
              <w:t>4</w:t>
            </w:r>
            <w:r w:rsidRPr="004C7C46">
              <w:rPr>
                <w:rFonts w:ascii="Times New Roman" w:eastAsia="Times New Roman" w:hAnsi="Times New Roman" w:cs="Times New Roman"/>
                <w:iCs/>
                <w:color w:val="000000" w:themeColor="text1"/>
                <w:spacing w:val="-4"/>
                <w:sz w:val="24"/>
                <w:szCs w:val="24"/>
                <w:lang w:eastAsia="lv-LV"/>
              </w:rPr>
              <w:t>.</w:t>
            </w:r>
            <w:r w:rsidR="00D8470B" w:rsidRPr="004C7C46">
              <w:rPr>
                <w:rFonts w:ascii="Times New Roman" w:eastAsia="Times New Roman" w:hAnsi="Times New Roman" w:cs="Times New Roman"/>
                <w:iCs/>
                <w:color w:val="000000" w:themeColor="text1"/>
                <w:spacing w:val="-4"/>
                <w:sz w:val="24"/>
                <w:szCs w:val="24"/>
                <w:lang w:eastAsia="lv-LV"/>
              </w:rPr>
              <w:t> p</w:t>
            </w:r>
            <w:r w:rsidRPr="004C7C46">
              <w:rPr>
                <w:rFonts w:ascii="Times New Roman" w:eastAsia="Times New Roman" w:hAnsi="Times New Roman" w:cs="Times New Roman"/>
                <w:iCs/>
                <w:color w:val="000000" w:themeColor="text1"/>
                <w:spacing w:val="-4"/>
                <w:sz w:val="24"/>
                <w:szCs w:val="24"/>
                <w:lang w:eastAsia="lv-LV"/>
              </w:rPr>
              <w:t>ant</w:t>
            </w:r>
            <w:r w:rsidR="001B50C4" w:rsidRPr="004C7C46">
              <w:rPr>
                <w:rFonts w:ascii="Times New Roman" w:eastAsia="Times New Roman" w:hAnsi="Times New Roman" w:cs="Times New Roman"/>
                <w:iCs/>
                <w:color w:val="000000" w:themeColor="text1"/>
                <w:spacing w:val="-4"/>
                <w:sz w:val="24"/>
                <w:szCs w:val="24"/>
                <w:lang w:eastAsia="lv-LV"/>
              </w:rPr>
              <w:t>a ceturtā daļa</w:t>
            </w:r>
          </w:p>
        </w:tc>
        <w:tc>
          <w:tcPr>
            <w:tcW w:w="1671" w:type="dxa"/>
            <w:tcBorders>
              <w:top w:val="outset" w:sz="6" w:space="0" w:color="auto"/>
              <w:left w:val="outset" w:sz="6" w:space="0" w:color="auto"/>
              <w:bottom w:val="outset" w:sz="6" w:space="0" w:color="auto"/>
              <w:right w:val="outset" w:sz="6" w:space="0" w:color="auto"/>
            </w:tcBorders>
          </w:tcPr>
          <w:p w:rsidR="008074FA" w:rsidRPr="004C7C46" w:rsidRDefault="008074FA" w:rsidP="008074F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8074FA" w:rsidRPr="004C7C46" w:rsidRDefault="008074FA" w:rsidP="008074F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507E5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507E5B" w:rsidRPr="004C7C46">
              <w:rPr>
                <w:rFonts w:ascii="Times New Roman" w:eastAsia="Times New Roman" w:hAnsi="Times New Roman" w:cs="Times New Roman"/>
                <w:iCs/>
                <w:color w:val="000000" w:themeColor="text1"/>
                <w:spacing w:val="-4"/>
                <w:sz w:val="24"/>
                <w:szCs w:val="24"/>
                <w:lang w:eastAsia="lv-LV"/>
              </w:rPr>
              <w:t>1.</w:t>
            </w:r>
            <w:r w:rsidR="00BE344C" w:rsidRPr="004C7C46">
              <w:rPr>
                <w:rFonts w:ascii="Times New Roman" w:eastAsia="Times New Roman" w:hAnsi="Times New Roman" w:cs="Times New Roman"/>
                <w:iCs/>
                <w:color w:val="000000" w:themeColor="text1"/>
                <w:spacing w:val="-4"/>
                <w:sz w:val="24"/>
                <w:szCs w:val="24"/>
                <w:lang w:eastAsia="lv-LV"/>
              </w:rPr>
              <w:t> </w:t>
            </w:r>
            <w:r w:rsidR="00507E5B" w:rsidRPr="004C7C46">
              <w:rPr>
                <w:rFonts w:ascii="Times New Roman" w:eastAsia="Times New Roman" w:hAnsi="Times New Roman" w:cs="Times New Roman"/>
                <w:iCs/>
                <w:color w:val="000000" w:themeColor="text1"/>
                <w:spacing w:val="-4"/>
                <w:sz w:val="24"/>
                <w:szCs w:val="24"/>
                <w:lang w:eastAsia="lv-LV"/>
              </w:rPr>
              <w:t>panta 4.</w:t>
            </w:r>
            <w:r w:rsidR="00BE344C" w:rsidRPr="004C7C46">
              <w:rPr>
                <w:rFonts w:ascii="Times New Roman" w:eastAsia="Times New Roman" w:hAnsi="Times New Roman" w:cs="Times New Roman"/>
                <w:iCs/>
                <w:color w:val="000000" w:themeColor="text1"/>
                <w:spacing w:val="-4"/>
                <w:sz w:val="24"/>
                <w:szCs w:val="24"/>
                <w:lang w:eastAsia="lv-LV"/>
              </w:rPr>
              <w:t> </w:t>
            </w:r>
            <w:r w:rsidR="00507E5B" w:rsidRPr="004C7C46">
              <w:rPr>
                <w:rFonts w:ascii="Times New Roman" w:eastAsia="Times New Roman" w:hAnsi="Times New Roman" w:cs="Times New Roman"/>
                <w:iCs/>
                <w:color w:val="000000" w:themeColor="text1"/>
                <w:spacing w:val="-4"/>
                <w:sz w:val="24"/>
                <w:szCs w:val="24"/>
                <w:lang w:eastAsia="lv-LV"/>
              </w:rPr>
              <w:t>punkta a) apakšpunkts</w:t>
            </w:r>
          </w:p>
        </w:tc>
        <w:tc>
          <w:tcPr>
            <w:tcW w:w="1834" w:type="dxa"/>
            <w:tcBorders>
              <w:top w:val="outset" w:sz="6" w:space="0" w:color="auto"/>
              <w:left w:val="outset" w:sz="6" w:space="0" w:color="auto"/>
              <w:bottom w:val="outset" w:sz="6" w:space="0" w:color="auto"/>
              <w:right w:val="outset" w:sz="6" w:space="0" w:color="auto"/>
            </w:tcBorders>
          </w:tcPr>
          <w:p w:rsidR="00507E5B" w:rsidRPr="004C7C46" w:rsidRDefault="00507E5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D8470B" w:rsidRPr="004C7C46">
              <w:rPr>
                <w:rFonts w:ascii="Times New Roman" w:eastAsia="Times New Roman" w:hAnsi="Times New Roman" w:cs="Times New Roman"/>
                <w:iCs/>
                <w:color w:val="000000" w:themeColor="text1"/>
                <w:spacing w:val="-4"/>
                <w:sz w:val="24"/>
                <w:szCs w:val="24"/>
                <w:lang w:eastAsia="lv-LV"/>
              </w:rPr>
              <w:t>5</w:t>
            </w:r>
            <w:r w:rsidRPr="004C7C46">
              <w:rPr>
                <w:rFonts w:ascii="Times New Roman" w:eastAsia="Times New Roman" w:hAnsi="Times New Roman" w:cs="Times New Roman"/>
                <w:iCs/>
                <w:color w:val="000000" w:themeColor="text1"/>
                <w:spacing w:val="-4"/>
                <w:sz w:val="24"/>
                <w:szCs w:val="24"/>
                <w:lang w:eastAsia="lv-LV"/>
              </w:rPr>
              <w:t>.</w:t>
            </w:r>
            <w:r w:rsidR="003E7533" w:rsidRPr="004C7C46">
              <w:rPr>
                <w:rFonts w:ascii="Times New Roman" w:eastAsia="Times New Roman" w:hAnsi="Times New Roman" w:cs="Times New Roman"/>
                <w:iCs/>
                <w:color w:val="000000" w:themeColor="text1"/>
                <w:spacing w:val="-4"/>
                <w:sz w:val="24"/>
                <w:szCs w:val="24"/>
                <w:lang w:eastAsia="lv-LV"/>
              </w:rPr>
              <w:t> </w:t>
            </w:r>
            <w:r w:rsidR="006977EB" w:rsidRPr="004C7C46">
              <w:rPr>
                <w:rFonts w:ascii="Times New Roman" w:eastAsia="Times New Roman" w:hAnsi="Times New Roman" w:cs="Times New Roman"/>
                <w:iCs/>
                <w:color w:val="000000" w:themeColor="text1"/>
                <w:spacing w:val="-4"/>
                <w:sz w:val="24"/>
                <w:szCs w:val="24"/>
                <w:lang w:eastAsia="lv-LV"/>
              </w:rPr>
              <w:t>pants</w:t>
            </w:r>
          </w:p>
        </w:tc>
        <w:tc>
          <w:tcPr>
            <w:tcW w:w="1671" w:type="dxa"/>
            <w:tcBorders>
              <w:top w:val="outset" w:sz="6" w:space="0" w:color="auto"/>
              <w:left w:val="outset" w:sz="6" w:space="0" w:color="auto"/>
              <w:bottom w:val="outset" w:sz="6" w:space="0" w:color="auto"/>
              <w:right w:val="outset" w:sz="6" w:space="0" w:color="auto"/>
            </w:tcBorders>
          </w:tcPr>
          <w:p w:rsidR="00507E5B" w:rsidRPr="004C7C46" w:rsidRDefault="00507E5B" w:rsidP="00507E5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507E5B" w:rsidRPr="004C7C46" w:rsidRDefault="00507E5B" w:rsidP="00507E5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507E5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507E5B" w:rsidRPr="004C7C46">
              <w:rPr>
                <w:rFonts w:ascii="Times New Roman" w:eastAsia="Times New Roman" w:hAnsi="Times New Roman" w:cs="Times New Roman"/>
                <w:iCs/>
                <w:color w:val="000000" w:themeColor="text1"/>
                <w:spacing w:val="-4"/>
                <w:sz w:val="24"/>
                <w:szCs w:val="24"/>
                <w:lang w:eastAsia="lv-LV"/>
              </w:rPr>
              <w:t>1.</w:t>
            </w:r>
            <w:r w:rsidR="00BE344C" w:rsidRPr="004C7C46">
              <w:rPr>
                <w:rFonts w:ascii="Times New Roman" w:eastAsia="Times New Roman" w:hAnsi="Times New Roman" w:cs="Times New Roman"/>
                <w:iCs/>
                <w:color w:val="000000" w:themeColor="text1"/>
                <w:spacing w:val="-4"/>
                <w:sz w:val="24"/>
                <w:szCs w:val="24"/>
                <w:lang w:eastAsia="lv-LV"/>
              </w:rPr>
              <w:t> </w:t>
            </w:r>
            <w:r w:rsidR="00507E5B" w:rsidRPr="004C7C46">
              <w:rPr>
                <w:rFonts w:ascii="Times New Roman" w:eastAsia="Times New Roman" w:hAnsi="Times New Roman" w:cs="Times New Roman"/>
                <w:iCs/>
                <w:color w:val="000000" w:themeColor="text1"/>
                <w:spacing w:val="-4"/>
                <w:sz w:val="24"/>
                <w:szCs w:val="24"/>
                <w:lang w:eastAsia="lv-LV"/>
              </w:rPr>
              <w:t>panta 4.</w:t>
            </w:r>
            <w:r w:rsidR="00BE344C" w:rsidRPr="004C7C46">
              <w:rPr>
                <w:rFonts w:ascii="Times New Roman" w:eastAsia="Times New Roman" w:hAnsi="Times New Roman" w:cs="Times New Roman"/>
                <w:iCs/>
                <w:color w:val="000000" w:themeColor="text1"/>
                <w:spacing w:val="-4"/>
                <w:sz w:val="24"/>
                <w:szCs w:val="24"/>
                <w:lang w:eastAsia="lv-LV"/>
              </w:rPr>
              <w:t> </w:t>
            </w:r>
            <w:r w:rsidR="00507E5B" w:rsidRPr="004C7C46">
              <w:rPr>
                <w:rFonts w:ascii="Times New Roman" w:eastAsia="Times New Roman" w:hAnsi="Times New Roman" w:cs="Times New Roman"/>
                <w:iCs/>
                <w:color w:val="000000" w:themeColor="text1"/>
                <w:spacing w:val="-4"/>
                <w:sz w:val="24"/>
                <w:szCs w:val="24"/>
                <w:lang w:eastAsia="lv-LV"/>
              </w:rPr>
              <w:t>punkta b) apakšpunkts</w:t>
            </w:r>
          </w:p>
        </w:tc>
        <w:tc>
          <w:tcPr>
            <w:tcW w:w="1834" w:type="dxa"/>
            <w:tcBorders>
              <w:top w:val="outset" w:sz="6" w:space="0" w:color="auto"/>
              <w:left w:val="outset" w:sz="6" w:space="0" w:color="auto"/>
              <w:bottom w:val="outset" w:sz="6" w:space="0" w:color="auto"/>
              <w:right w:val="outset" w:sz="6" w:space="0" w:color="auto"/>
            </w:tcBorders>
          </w:tcPr>
          <w:p w:rsidR="00507E5B" w:rsidRPr="004C7C46" w:rsidRDefault="00507E5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17255D" w:rsidRPr="004C7C46">
              <w:rPr>
                <w:rFonts w:ascii="Times New Roman" w:eastAsia="Times New Roman" w:hAnsi="Times New Roman" w:cs="Times New Roman"/>
                <w:iCs/>
                <w:color w:val="000000" w:themeColor="text1"/>
                <w:spacing w:val="-4"/>
                <w:sz w:val="24"/>
                <w:szCs w:val="24"/>
                <w:lang w:eastAsia="lv-LV"/>
              </w:rPr>
              <w:t>6</w:t>
            </w:r>
            <w:r w:rsidRPr="004C7C46">
              <w:rPr>
                <w:rFonts w:ascii="Times New Roman" w:eastAsia="Times New Roman" w:hAnsi="Times New Roman" w:cs="Times New Roman"/>
                <w:iCs/>
                <w:color w:val="000000" w:themeColor="text1"/>
                <w:spacing w:val="-4"/>
                <w:sz w:val="24"/>
                <w:szCs w:val="24"/>
                <w:lang w:eastAsia="lv-LV"/>
              </w:rPr>
              <w:t>.</w:t>
            </w:r>
            <w:r w:rsidR="003E7533" w:rsidRPr="004C7C46">
              <w:rPr>
                <w:rFonts w:ascii="Times New Roman" w:eastAsia="Times New Roman" w:hAnsi="Times New Roman" w:cs="Times New Roman"/>
                <w:iCs/>
                <w:color w:val="000000" w:themeColor="text1"/>
                <w:spacing w:val="-4"/>
                <w:sz w:val="24"/>
                <w:szCs w:val="24"/>
                <w:lang w:eastAsia="lv-LV"/>
              </w:rPr>
              <w:t> </w:t>
            </w:r>
            <w:r w:rsidRPr="004C7C46">
              <w:rPr>
                <w:rFonts w:ascii="Times New Roman" w:eastAsia="Times New Roman" w:hAnsi="Times New Roman" w:cs="Times New Roman"/>
                <w:iCs/>
                <w:color w:val="000000" w:themeColor="text1"/>
                <w:spacing w:val="-4"/>
                <w:sz w:val="24"/>
                <w:szCs w:val="24"/>
                <w:lang w:eastAsia="lv-LV"/>
              </w:rPr>
              <w:t>pant</w:t>
            </w:r>
            <w:r w:rsidR="006977EB" w:rsidRPr="004C7C46">
              <w:rPr>
                <w:rFonts w:ascii="Times New Roman" w:eastAsia="Times New Roman" w:hAnsi="Times New Roman" w:cs="Times New Roman"/>
                <w:iCs/>
                <w:color w:val="000000" w:themeColor="text1"/>
                <w:spacing w:val="-4"/>
                <w:sz w:val="24"/>
                <w:szCs w:val="24"/>
                <w:lang w:eastAsia="lv-LV"/>
              </w:rPr>
              <w:t>s</w:t>
            </w:r>
          </w:p>
        </w:tc>
        <w:tc>
          <w:tcPr>
            <w:tcW w:w="1671" w:type="dxa"/>
            <w:tcBorders>
              <w:top w:val="outset" w:sz="6" w:space="0" w:color="auto"/>
              <w:left w:val="outset" w:sz="6" w:space="0" w:color="auto"/>
              <w:bottom w:val="outset" w:sz="6" w:space="0" w:color="auto"/>
              <w:right w:val="outset" w:sz="6" w:space="0" w:color="auto"/>
            </w:tcBorders>
          </w:tcPr>
          <w:p w:rsidR="00507E5B" w:rsidRPr="004C7C46" w:rsidRDefault="00507E5B" w:rsidP="00507E5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507E5B" w:rsidRPr="004C7C46" w:rsidRDefault="00507E5B" w:rsidP="00507E5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4743BD"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4743BD" w:rsidRPr="004C7C46">
              <w:rPr>
                <w:rFonts w:ascii="Times New Roman" w:eastAsia="Times New Roman" w:hAnsi="Times New Roman" w:cs="Times New Roman"/>
                <w:iCs/>
                <w:color w:val="000000" w:themeColor="text1"/>
                <w:spacing w:val="-4"/>
                <w:sz w:val="24"/>
                <w:szCs w:val="24"/>
                <w:lang w:eastAsia="lv-LV"/>
              </w:rPr>
              <w:t>1. panta 5. punkta a) apakšpunkts</w:t>
            </w:r>
          </w:p>
        </w:tc>
        <w:tc>
          <w:tcPr>
            <w:tcW w:w="1834" w:type="dxa"/>
            <w:tcBorders>
              <w:top w:val="outset" w:sz="6" w:space="0" w:color="auto"/>
              <w:left w:val="outset" w:sz="6" w:space="0" w:color="auto"/>
              <w:bottom w:val="outset" w:sz="6" w:space="0" w:color="auto"/>
              <w:right w:val="outset" w:sz="6" w:space="0" w:color="auto"/>
            </w:tcBorders>
          </w:tcPr>
          <w:p w:rsidR="004743BD" w:rsidRPr="004C7C46" w:rsidRDefault="004743B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977EB" w:rsidRPr="004C7C46">
              <w:rPr>
                <w:rFonts w:ascii="Times New Roman" w:eastAsia="Times New Roman" w:hAnsi="Times New Roman" w:cs="Times New Roman"/>
                <w:iCs/>
                <w:color w:val="000000" w:themeColor="text1"/>
                <w:spacing w:val="-4"/>
                <w:sz w:val="24"/>
                <w:szCs w:val="24"/>
                <w:lang w:eastAsia="lv-LV"/>
              </w:rPr>
              <w:t>8</w:t>
            </w:r>
            <w:r w:rsidRPr="004C7C46">
              <w:rPr>
                <w:rFonts w:ascii="Times New Roman" w:eastAsia="Times New Roman" w:hAnsi="Times New Roman" w:cs="Times New Roman"/>
                <w:iCs/>
                <w:color w:val="000000" w:themeColor="text1"/>
                <w:spacing w:val="-4"/>
                <w:sz w:val="24"/>
                <w:szCs w:val="24"/>
                <w:lang w:eastAsia="lv-LV"/>
              </w:rPr>
              <w:t>.</w:t>
            </w:r>
            <w:r w:rsidR="003E7533" w:rsidRPr="004C7C46">
              <w:rPr>
                <w:rFonts w:ascii="Times New Roman" w:eastAsia="Times New Roman" w:hAnsi="Times New Roman" w:cs="Times New Roman"/>
                <w:iCs/>
                <w:color w:val="000000" w:themeColor="text1"/>
                <w:spacing w:val="-4"/>
                <w:sz w:val="24"/>
                <w:szCs w:val="24"/>
                <w:lang w:eastAsia="lv-LV"/>
              </w:rPr>
              <w:t> </w:t>
            </w:r>
            <w:r w:rsidRPr="004C7C46">
              <w:rPr>
                <w:rFonts w:ascii="Times New Roman" w:eastAsia="Times New Roman" w:hAnsi="Times New Roman" w:cs="Times New Roman"/>
                <w:iCs/>
                <w:color w:val="000000" w:themeColor="text1"/>
                <w:spacing w:val="-4"/>
                <w:sz w:val="24"/>
                <w:szCs w:val="24"/>
                <w:lang w:eastAsia="lv-LV"/>
              </w:rPr>
              <w:t>pant</w:t>
            </w:r>
            <w:r w:rsidR="004000C2" w:rsidRPr="004C7C46">
              <w:rPr>
                <w:rFonts w:ascii="Times New Roman" w:eastAsia="Times New Roman" w:hAnsi="Times New Roman" w:cs="Times New Roman"/>
                <w:iCs/>
                <w:color w:val="000000" w:themeColor="text1"/>
                <w:spacing w:val="-4"/>
                <w:sz w:val="24"/>
                <w:szCs w:val="24"/>
                <w:lang w:eastAsia="lv-LV"/>
              </w:rPr>
              <w:t>a pirmā un otrā daļa</w:t>
            </w:r>
          </w:p>
        </w:tc>
        <w:tc>
          <w:tcPr>
            <w:tcW w:w="1671" w:type="dxa"/>
            <w:tcBorders>
              <w:top w:val="outset" w:sz="6" w:space="0" w:color="auto"/>
              <w:left w:val="outset" w:sz="6" w:space="0" w:color="auto"/>
              <w:bottom w:val="outset" w:sz="6" w:space="0" w:color="auto"/>
              <w:right w:val="outset" w:sz="6" w:space="0" w:color="auto"/>
            </w:tcBorders>
          </w:tcPr>
          <w:p w:rsidR="004743BD" w:rsidRPr="004C7C46" w:rsidRDefault="004743BD" w:rsidP="004743B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4743BD" w:rsidRPr="004C7C46" w:rsidRDefault="004743BD" w:rsidP="004743B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3E7533"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lastRenderedPageBreak/>
              <w:t xml:space="preserve">Direktīvas (ES) 2019/879 </w:t>
            </w:r>
            <w:r w:rsidR="003E7533" w:rsidRPr="004C7C46">
              <w:rPr>
                <w:rFonts w:ascii="Times New Roman" w:eastAsia="Times New Roman" w:hAnsi="Times New Roman" w:cs="Times New Roman"/>
                <w:iCs/>
                <w:color w:val="000000" w:themeColor="text1"/>
                <w:spacing w:val="-4"/>
                <w:sz w:val="24"/>
                <w:szCs w:val="24"/>
                <w:lang w:eastAsia="lv-LV"/>
              </w:rPr>
              <w:t>1. panta 5. punkta b) apakšpunkts</w:t>
            </w:r>
          </w:p>
        </w:tc>
        <w:tc>
          <w:tcPr>
            <w:tcW w:w="1834" w:type="dxa"/>
            <w:tcBorders>
              <w:top w:val="outset" w:sz="6" w:space="0" w:color="auto"/>
              <w:left w:val="outset" w:sz="6" w:space="0" w:color="auto"/>
              <w:bottom w:val="outset" w:sz="6" w:space="0" w:color="auto"/>
              <w:right w:val="outset" w:sz="6" w:space="0" w:color="auto"/>
            </w:tcBorders>
          </w:tcPr>
          <w:p w:rsidR="003E7533" w:rsidRPr="004C7C46" w:rsidRDefault="003E753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4000C2" w:rsidRPr="004C7C46">
              <w:rPr>
                <w:rFonts w:ascii="Times New Roman" w:eastAsia="Times New Roman" w:hAnsi="Times New Roman" w:cs="Times New Roman"/>
                <w:iCs/>
                <w:color w:val="000000" w:themeColor="text1"/>
                <w:spacing w:val="-4"/>
                <w:sz w:val="24"/>
                <w:szCs w:val="24"/>
                <w:lang w:eastAsia="lv-LV"/>
              </w:rPr>
              <w:t>8</w:t>
            </w:r>
            <w:r w:rsidRPr="004C7C46">
              <w:rPr>
                <w:rFonts w:ascii="Times New Roman" w:eastAsia="Times New Roman" w:hAnsi="Times New Roman" w:cs="Times New Roman"/>
                <w:iCs/>
                <w:color w:val="000000" w:themeColor="text1"/>
                <w:spacing w:val="-4"/>
                <w:sz w:val="24"/>
                <w:szCs w:val="24"/>
                <w:lang w:eastAsia="lv-LV"/>
              </w:rPr>
              <w:t xml:space="preserve">. panta </w:t>
            </w:r>
            <w:r w:rsidR="004000C2" w:rsidRPr="004C7C46">
              <w:rPr>
                <w:rFonts w:ascii="Times New Roman" w:eastAsia="Times New Roman" w:hAnsi="Times New Roman" w:cs="Times New Roman"/>
                <w:iCs/>
                <w:color w:val="000000" w:themeColor="text1"/>
                <w:spacing w:val="-4"/>
                <w:sz w:val="24"/>
                <w:szCs w:val="24"/>
                <w:lang w:eastAsia="lv-LV"/>
              </w:rPr>
              <w:t>trešā daļa</w:t>
            </w:r>
          </w:p>
        </w:tc>
        <w:tc>
          <w:tcPr>
            <w:tcW w:w="1671" w:type="dxa"/>
            <w:tcBorders>
              <w:top w:val="outset" w:sz="6" w:space="0" w:color="auto"/>
              <w:left w:val="outset" w:sz="6" w:space="0" w:color="auto"/>
              <w:bottom w:val="outset" w:sz="6" w:space="0" w:color="auto"/>
              <w:right w:val="outset" w:sz="6" w:space="0" w:color="auto"/>
            </w:tcBorders>
          </w:tcPr>
          <w:p w:rsidR="003E7533" w:rsidRPr="004C7C46" w:rsidRDefault="003E7533" w:rsidP="003E753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3E7533" w:rsidRPr="004C7C46" w:rsidRDefault="003E7533" w:rsidP="003E753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6101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6. 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9. pants</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0747A1"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0747A1" w:rsidRPr="004C7C46">
              <w:rPr>
                <w:rFonts w:ascii="Times New Roman" w:eastAsia="Times New Roman" w:hAnsi="Times New Roman" w:cs="Times New Roman"/>
                <w:iCs/>
                <w:color w:val="000000" w:themeColor="text1"/>
                <w:spacing w:val="-4"/>
                <w:sz w:val="24"/>
                <w:szCs w:val="24"/>
                <w:lang w:eastAsia="lv-LV"/>
              </w:rPr>
              <w:t>1. panta 7. punkta a) apakšpunkts</w:t>
            </w:r>
          </w:p>
        </w:tc>
        <w:tc>
          <w:tcPr>
            <w:tcW w:w="1834" w:type="dxa"/>
            <w:tcBorders>
              <w:top w:val="outset" w:sz="6" w:space="0" w:color="auto"/>
              <w:left w:val="outset" w:sz="6" w:space="0" w:color="auto"/>
              <w:bottom w:val="outset" w:sz="6" w:space="0" w:color="auto"/>
              <w:right w:val="outset" w:sz="6" w:space="0" w:color="auto"/>
            </w:tcBorders>
          </w:tcPr>
          <w:p w:rsidR="000747A1" w:rsidRPr="004C7C46" w:rsidRDefault="000747A1"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A6101B" w:rsidRPr="004C7C46">
              <w:rPr>
                <w:rFonts w:ascii="Times New Roman" w:eastAsia="Times New Roman" w:hAnsi="Times New Roman" w:cs="Times New Roman"/>
                <w:iCs/>
                <w:color w:val="000000" w:themeColor="text1"/>
                <w:spacing w:val="-4"/>
                <w:sz w:val="24"/>
                <w:szCs w:val="24"/>
                <w:lang w:eastAsia="lv-LV"/>
              </w:rPr>
              <w:t>10. pants</w:t>
            </w:r>
          </w:p>
        </w:tc>
        <w:tc>
          <w:tcPr>
            <w:tcW w:w="1671" w:type="dxa"/>
            <w:tcBorders>
              <w:top w:val="outset" w:sz="6" w:space="0" w:color="auto"/>
              <w:left w:val="outset" w:sz="6" w:space="0" w:color="auto"/>
              <w:bottom w:val="outset" w:sz="6" w:space="0" w:color="auto"/>
              <w:right w:val="outset" w:sz="6" w:space="0" w:color="auto"/>
            </w:tcBorders>
          </w:tcPr>
          <w:p w:rsidR="000747A1" w:rsidRPr="004C7C46" w:rsidRDefault="000747A1" w:rsidP="000747A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0747A1" w:rsidRPr="004C7C46" w:rsidRDefault="000747A1" w:rsidP="000747A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44F24"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44F24" w:rsidRPr="004C7C46">
              <w:rPr>
                <w:rFonts w:ascii="Times New Roman" w:eastAsia="Times New Roman" w:hAnsi="Times New Roman" w:cs="Times New Roman"/>
                <w:iCs/>
                <w:color w:val="000000" w:themeColor="text1"/>
                <w:spacing w:val="-4"/>
                <w:sz w:val="24"/>
                <w:szCs w:val="24"/>
                <w:lang w:eastAsia="lv-LV"/>
              </w:rPr>
              <w:t>1. panta 7. punkta b) apakšpunkts</w:t>
            </w:r>
          </w:p>
        </w:tc>
        <w:tc>
          <w:tcPr>
            <w:tcW w:w="1834" w:type="dxa"/>
            <w:tcBorders>
              <w:top w:val="outset" w:sz="6" w:space="0" w:color="auto"/>
              <w:left w:val="outset" w:sz="6" w:space="0" w:color="auto"/>
              <w:bottom w:val="outset" w:sz="6" w:space="0" w:color="auto"/>
              <w:right w:val="outset" w:sz="6" w:space="0" w:color="auto"/>
            </w:tcBorders>
          </w:tcPr>
          <w:p w:rsidR="00C44F24"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10. pants</w:t>
            </w:r>
          </w:p>
        </w:tc>
        <w:tc>
          <w:tcPr>
            <w:tcW w:w="1671" w:type="dxa"/>
            <w:tcBorders>
              <w:top w:val="outset" w:sz="6" w:space="0" w:color="auto"/>
              <w:left w:val="outset" w:sz="6" w:space="0" w:color="auto"/>
              <w:bottom w:val="outset" w:sz="6" w:space="0" w:color="auto"/>
              <w:right w:val="outset" w:sz="6" w:space="0" w:color="auto"/>
            </w:tcBorders>
          </w:tcPr>
          <w:p w:rsidR="00C44F24" w:rsidRPr="004C7C46" w:rsidRDefault="00C44F24" w:rsidP="00C44F24">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44F24" w:rsidRPr="004C7C46" w:rsidRDefault="00C44F24" w:rsidP="00C44F24">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3B2C6B" w:rsidRPr="004C7C46" w:rsidRDefault="0004235D" w:rsidP="00D70079">
            <w:pPr>
              <w:spacing w:after="0" w:line="240" w:lineRule="auto"/>
              <w:rPr>
                <w:rFonts w:ascii="Times New Roman" w:eastAsia="Times New Roman" w:hAnsi="Times New Roman" w:cs="Times New Roman"/>
                <w:i/>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3B2C6B" w:rsidRPr="004C7C46">
              <w:rPr>
                <w:rFonts w:ascii="Times New Roman" w:eastAsia="Times New Roman" w:hAnsi="Times New Roman" w:cs="Times New Roman"/>
                <w:iCs/>
                <w:color w:val="000000" w:themeColor="text1"/>
                <w:spacing w:val="-4"/>
                <w:sz w:val="24"/>
                <w:szCs w:val="24"/>
                <w:lang w:eastAsia="lv-LV"/>
              </w:rPr>
              <w:t>1. panta 7. punkta c</w:t>
            </w:r>
            <w:r w:rsidR="005A50F5" w:rsidRPr="004C7C46">
              <w:rPr>
                <w:rFonts w:ascii="Times New Roman" w:eastAsia="Times New Roman" w:hAnsi="Times New Roman" w:cs="Times New Roman"/>
                <w:iCs/>
                <w:color w:val="000000" w:themeColor="text1"/>
                <w:spacing w:val="-4"/>
                <w:sz w:val="24"/>
                <w:szCs w:val="24"/>
                <w:lang w:eastAsia="lv-LV"/>
              </w:rPr>
              <w:t>) apakšpunkts</w:t>
            </w:r>
          </w:p>
        </w:tc>
        <w:tc>
          <w:tcPr>
            <w:tcW w:w="1834" w:type="dxa"/>
            <w:tcBorders>
              <w:top w:val="outset" w:sz="6" w:space="0" w:color="auto"/>
              <w:left w:val="outset" w:sz="6" w:space="0" w:color="auto"/>
              <w:bottom w:val="outset" w:sz="6" w:space="0" w:color="auto"/>
              <w:right w:val="outset" w:sz="6" w:space="0" w:color="auto"/>
            </w:tcBorders>
          </w:tcPr>
          <w:p w:rsidR="003B2C6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10. pants</w:t>
            </w:r>
          </w:p>
        </w:tc>
        <w:tc>
          <w:tcPr>
            <w:tcW w:w="1671" w:type="dxa"/>
            <w:tcBorders>
              <w:top w:val="outset" w:sz="6" w:space="0" w:color="auto"/>
              <w:left w:val="outset" w:sz="6" w:space="0" w:color="auto"/>
              <w:bottom w:val="outset" w:sz="6" w:space="0" w:color="auto"/>
              <w:right w:val="outset" w:sz="6" w:space="0" w:color="auto"/>
            </w:tcBorders>
          </w:tcPr>
          <w:p w:rsidR="003B2C6B" w:rsidRPr="004C7C46" w:rsidRDefault="003B2C6B" w:rsidP="003B2C6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3B2C6B" w:rsidRPr="004C7C46" w:rsidRDefault="003B2C6B" w:rsidP="003B2C6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6101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7. punkta d) apakšpunkts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10. pants</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6101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8. 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11</w:t>
            </w:r>
            <w:r w:rsidR="00371FAC" w:rsidRPr="004C7C46">
              <w:rPr>
                <w:rFonts w:ascii="Times New Roman" w:eastAsia="Times New Roman" w:hAnsi="Times New Roman" w:cs="Times New Roman"/>
                <w:iCs/>
                <w:color w:val="000000" w:themeColor="text1"/>
                <w:spacing w:val="-4"/>
                <w:sz w:val="24"/>
                <w:szCs w:val="24"/>
                <w:lang w:eastAsia="lv-LV"/>
              </w:rPr>
              <w:t>. </w:t>
            </w:r>
            <w:r w:rsidR="00197EE5" w:rsidRPr="004C7C46">
              <w:rPr>
                <w:rFonts w:ascii="Times New Roman" w:eastAsia="Times New Roman" w:hAnsi="Times New Roman" w:cs="Times New Roman"/>
                <w:iCs/>
                <w:color w:val="000000" w:themeColor="text1"/>
                <w:spacing w:val="-4"/>
                <w:sz w:val="24"/>
                <w:szCs w:val="24"/>
                <w:lang w:eastAsia="lv-LV"/>
              </w:rPr>
              <w:t>un 12. pants</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6101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9. 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w:t>
            </w:r>
            <w:r w:rsidR="00371FAC" w:rsidRPr="004C7C46">
              <w:rPr>
                <w:rFonts w:ascii="Times New Roman" w:eastAsia="Times New Roman" w:hAnsi="Times New Roman" w:cs="Times New Roman"/>
                <w:iCs/>
                <w:color w:val="000000" w:themeColor="text1"/>
                <w:spacing w:val="-4"/>
                <w:sz w:val="24"/>
                <w:szCs w:val="24"/>
                <w:lang w:eastAsia="lv-LV"/>
              </w:rPr>
              <w:t xml:space="preserve"> 1</w:t>
            </w:r>
            <w:r w:rsidR="00B57300" w:rsidRPr="004C7C46">
              <w:rPr>
                <w:rFonts w:ascii="Times New Roman" w:eastAsia="Times New Roman" w:hAnsi="Times New Roman" w:cs="Times New Roman"/>
                <w:iCs/>
                <w:color w:val="000000" w:themeColor="text1"/>
                <w:spacing w:val="-4"/>
                <w:sz w:val="24"/>
                <w:szCs w:val="24"/>
                <w:lang w:eastAsia="lv-LV"/>
              </w:rPr>
              <w:t>7</w:t>
            </w:r>
            <w:r w:rsidR="003E6C68" w:rsidRPr="004C7C46">
              <w:rPr>
                <w:rFonts w:ascii="Times New Roman" w:eastAsia="Times New Roman" w:hAnsi="Times New Roman" w:cs="Times New Roman"/>
                <w:iCs/>
                <w:color w:val="000000" w:themeColor="text1"/>
                <w:spacing w:val="-4"/>
                <w:sz w:val="24"/>
                <w:szCs w:val="24"/>
                <w:lang w:eastAsia="lv-LV"/>
              </w:rPr>
              <w:t>. panta pirmā daļa</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D97455" w:rsidRPr="004C7C46" w:rsidRDefault="00D97455"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6101B" w:rsidRPr="004C7C46" w:rsidRDefault="0004235D" w:rsidP="00D70079">
            <w:pPr>
              <w:spacing w:after="0" w:line="240" w:lineRule="auto"/>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10. 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w:t>
            </w:r>
            <w:r w:rsidR="00B57300" w:rsidRPr="004C7C46">
              <w:rPr>
                <w:rFonts w:ascii="Times New Roman" w:eastAsia="Times New Roman" w:hAnsi="Times New Roman" w:cs="Times New Roman"/>
                <w:iCs/>
                <w:color w:val="000000" w:themeColor="text1"/>
                <w:spacing w:val="-4"/>
                <w:sz w:val="24"/>
                <w:szCs w:val="24"/>
                <w:lang w:eastAsia="lv-LV"/>
              </w:rPr>
              <w:t>8</w:t>
            </w:r>
            <w:r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6101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11. 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371FA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w:t>
            </w:r>
            <w:r w:rsidR="00B57300" w:rsidRPr="004C7C46">
              <w:rPr>
                <w:rFonts w:ascii="Times New Roman" w:eastAsia="Times New Roman" w:hAnsi="Times New Roman" w:cs="Times New Roman"/>
                <w:iCs/>
                <w:color w:val="000000" w:themeColor="text1"/>
                <w:spacing w:val="-4"/>
                <w:sz w:val="24"/>
                <w:szCs w:val="24"/>
                <w:lang w:eastAsia="lv-LV"/>
              </w:rPr>
              <w:t>9</w:t>
            </w:r>
            <w:r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6101B"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12. 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B57300" w:rsidRPr="004C7C46">
              <w:rPr>
                <w:rFonts w:ascii="Times New Roman" w:eastAsia="Times New Roman" w:hAnsi="Times New Roman" w:cs="Times New Roman"/>
                <w:iCs/>
                <w:color w:val="000000" w:themeColor="text1"/>
                <w:spacing w:val="-4"/>
                <w:sz w:val="24"/>
                <w:szCs w:val="24"/>
                <w:lang w:eastAsia="lv-LV"/>
              </w:rPr>
              <w:t>20</w:t>
            </w:r>
            <w:r w:rsidR="00371FAC"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b/>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b/>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2C2513" w:rsidRPr="004C7C46">
              <w:rPr>
                <w:rFonts w:ascii="Times New Roman" w:eastAsia="Times New Roman" w:hAnsi="Times New Roman" w:cs="Times New Roman"/>
                <w:iCs/>
                <w:color w:val="000000" w:themeColor="text1"/>
                <w:spacing w:val="-4"/>
                <w:sz w:val="24"/>
                <w:szCs w:val="24"/>
                <w:lang w:eastAsia="lv-LV"/>
              </w:rPr>
              <w:t>1. panta 13. punkta</w:t>
            </w:r>
          </w:p>
          <w:p w:rsidR="00A6101B" w:rsidRPr="004C7C46" w:rsidRDefault="002C2513"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 apakšpunkts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2C2513" w:rsidRPr="004C7C46">
              <w:rPr>
                <w:rFonts w:ascii="Times New Roman" w:eastAsia="Times New Roman" w:hAnsi="Times New Roman" w:cs="Times New Roman"/>
                <w:iCs/>
                <w:color w:val="000000" w:themeColor="text1"/>
                <w:spacing w:val="-4"/>
                <w:sz w:val="24"/>
                <w:szCs w:val="24"/>
                <w:lang w:eastAsia="lv-LV"/>
              </w:rPr>
              <w:t>2</w:t>
            </w:r>
            <w:r w:rsidR="00B57300" w:rsidRPr="004C7C46">
              <w:rPr>
                <w:rFonts w:ascii="Times New Roman" w:eastAsia="Times New Roman" w:hAnsi="Times New Roman" w:cs="Times New Roman"/>
                <w:iCs/>
                <w:color w:val="000000" w:themeColor="text1"/>
                <w:spacing w:val="-4"/>
                <w:sz w:val="24"/>
                <w:szCs w:val="24"/>
                <w:lang w:eastAsia="lv-LV"/>
              </w:rPr>
              <w:t>4</w:t>
            </w:r>
            <w:r w:rsidR="007F0AED" w:rsidRPr="004C7C46">
              <w:rPr>
                <w:rFonts w:ascii="Times New Roman" w:eastAsia="Times New Roman" w:hAnsi="Times New Roman" w:cs="Times New Roman"/>
                <w:iCs/>
                <w:color w:val="000000" w:themeColor="text1"/>
                <w:spacing w:val="-4"/>
                <w:sz w:val="24"/>
                <w:szCs w:val="24"/>
                <w:lang w:eastAsia="lv-LV"/>
              </w:rPr>
              <w:t>. panta pirmā daļa</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2C2513" w:rsidRPr="004C7C46">
              <w:rPr>
                <w:rFonts w:ascii="Times New Roman" w:eastAsia="Times New Roman" w:hAnsi="Times New Roman" w:cs="Times New Roman"/>
                <w:iCs/>
                <w:color w:val="000000" w:themeColor="text1"/>
                <w:spacing w:val="-4"/>
                <w:sz w:val="24"/>
                <w:szCs w:val="24"/>
                <w:lang w:eastAsia="lv-LV"/>
              </w:rPr>
              <w:t>1. panta 13. punkt</w:t>
            </w:r>
            <w:r w:rsidR="00A50078" w:rsidRPr="004C7C46">
              <w:rPr>
                <w:rFonts w:ascii="Times New Roman" w:eastAsia="Times New Roman" w:hAnsi="Times New Roman" w:cs="Times New Roman"/>
                <w:iCs/>
                <w:color w:val="000000" w:themeColor="text1"/>
                <w:spacing w:val="-4"/>
                <w:sz w:val="24"/>
                <w:szCs w:val="24"/>
                <w:lang w:eastAsia="lv-LV"/>
              </w:rPr>
              <w:t>a</w:t>
            </w:r>
          </w:p>
          <w:p w:rsidR="002C2513" w:rsidRPr="004C7C46" w:rsidRDefault="002C2513"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w:t>
            </w:r>
            <w:r w:rsidR="00A50078" w:rsidRPr="004C7C46">
              <w:rPr>
                <w:rFonts w:ascii="Times New Roman" w:eastAsia="Times New Roman" w:hAnsi="Times New Roman" w:cs="Times New Roman"/>
                <w:iCs/>
                <w:color w:val="000000" w:themeColor="text1"/>
                <w:spacing w:val="-4"/>
                <w:sz w:val="24"/>
                <w:szCs w:val="24"/>
                <w:lang w:eastAsia="lv-LV"/>
              </w:rPr>
              <w:t xml:space="preserve"> apakšpunkta i)</w:t>
            </w:r>
            <w:r w:rsidRPr="004C7C46">
              <w:rPr>
                <w:rFonts w:ascii="Times New Roman" w:eastAsia="Times New Roman" w:hAnsi="Times New Roman" w:cs="Times New Roman"/>
                <w:iCs/>
                <w:color w:val="000000" w:themeColor="text1"/>
                <w:spacing w:val="-4"/>
                <w:sz w:val="24"/>
                <w:szCs w:val="24"/>
                <w:lang w:eastAsia="lv-LV"/>
              </w:rPr>
              <w:t xml:space="preserve"> punkts</w:t>
            </w:r>
          </w:p>
        </w:tc>
        <w:tc>
          <w:tcPr>
            <w:tcW w:w="1834" w:type="dxa"/>
            <w:tcBorders>
              <w:top w:val="outset" w:sz="6" w:space="0" w:color="auto"/>
              <w:left w:val="outset" w:sz="6" w:space="0" w:color="auto"/>
              <w:bottom w:val="outset" w:sz="6" w:space="0" w:color="auto"/>
              <w:right w:val="outset" w:sz="6" w:space="0" w:color="auto"/>
            </w:tcBorders>
          </w:tcPr>
          <w:p w:rsidR="002C2513" w:rsidRPr="004C7C46" w:rsidRDefault="002C251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w:t>
            </w:r>
            <w:r w:rsidR="003D53CE" w:rsidRPr="004C7C46">
              <w:rPr>
                <w:rFonts w:ascii="Times New Roman" w:eastAsia="Times New Roman" w:hAnsi="Times New Roman" w:cs="Times New Roman"/>
                <w:iCs/>
                <w:color w:val="000000" w:themeColor="text1"/>
                <w:spacing w:val="-4"/>
                <w:sz w:val="24"/>
                <w:szCs w:val="24"/>
                <w:lang w:eastAsia="lv-LV"/>
              </w:rPr>
              <w:t>ikumprojekta 2</w:t>
            </w:r>
            <w:r w:rsidR="00B57300" w:rsidRPr="004C7C46">
              <w:rPr>
                <w:rFonts w:ascii="Times New Roman" w:eastAsia="Times New Roman" w:hAnsi="Times New Roman" w:cs="Times New Roman"/>
                <w:iCs/>
                <w:color w:val="000000" w:themeColor="text1"/>
                <w:spacing w:val="-4"/>
                <w:sz w:val="24"/>
                <w:szCs w:val="24"/>
                <w:lang w:eastAsia="lv-LV"/>
              </w:rPr>
              <w:t>4</w:t>
            </w:r>
            <w:r w:rsidRPr="004C7C46">
              <w:rPr>
                <w:rFonts w:ascii="Times New Roman" w:eastAsia="Times New Roman" w:hAnsi="Times New Roman" w:cs="Times New Roman"/>
                <w:iCs/>
                <w:color w:val="000000" w:themeColor="text1"/>
                <w:spacing w:val="-4"/>
                <w:sz w:val="24"/>
                <w:szCs w:val="24"/>
                <w:lang w:eastAsia="lv-LV"/>
              </w:rPr>
              <w:t xml:space="preserve">. panta </w:t>
            </w:r>
            <w:r w:rsidR="003D53CE" w:rsidRPr="004C7C46">
              <w:rPr>
                <w:rFonts w:ascii="Times New Roman" w:eastAsia="Times New Roman" w:hAnsi="Times New Roman" w:cs="Times New Roman"/>
                <w:iCs/>
                <w:color w:val="000000" w:themeColor="text1"/>
                <w:spacing w:val="-4"/>
                <w:sz w:val="24"/>
                <w:szCs w:val="24"/>
                <w:lang w:eastAsia="lv-LV"/>
              </w:rPr>
              <w:t>otrā un ceturtā daļa</w:t>
            </w:r>
          </w:p>
        </w:tc>
        <w:tc>
          <w:tcPr>
            <w:tcW w:w="1671" w:type="dxa"/>
            <w:tcBorders>
              <w:top w:val="outset" w:sz="6" w:space="0" w:color="auto"/>
              <w:left w:val="outset" w:sz="6" w:space="0" w:color="auto"/>
              <w:bottom w:val="outset" w:sz="6" w:space="0" w:color="auto"/>
              <w:right w:val="outset" w:sz="6" w:space="0" w:color="auto"/>
            </w:tcBorders>
          </w:tcPr>
          <w:p w:rsidR="002C2513" w:rsidRPr="004C7C46" w:rsidRDefault="002C2513" w:rsidP="002C251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C2513" w:rsidRPr="004C7C46" w:rsidRDefault="002C2513" w:rsidP="002C251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3D53CE" w:rsidRPr="004C7C46">
              <w:rPr>
                <w:rFonts w:ascii="Times New Roman" w:eastAsia="Times New Roman" w:hAnsi="Times New Roman" w:cs="Times New Roman"/>
                <w:iCs/>
                <w:color w:val="000000" w:themeColor="text1"/>
                <w:spacing w:val="-4"/>
                <w:sz w:val="24"/>
                <w:szCs w:val="24"/>
                <w:lang w:eastAsia="lv-LV"/>
              </w:rPr>
              <w:t>1. panta 13. punkta</w:t>
            </w:r>
          </w:p>
          <w:p w:rsidR="003D53CE" w:rsidRPr="004C7C46" w:rsidRDefault="003D53CE"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 apakšpunkta ii) punkts</w:t>
            </w:r>
          </w:p>
        </w:tc>
        <w:tc>
          <w:tcPr>
            <w:tcW w:w="1834" w:type="dxa"/>
            <w:tcBorders>
              <w:top w:val="outset" w:sz="6" w:space="0" w:color="auto"/>
              <w:left w:val="outset" w:sz="6" w:space="0" w:color="auto"/>
              <w:bottom w:val="outset" w:sz="6" w:space="0" w:color="auto"/>
              <w:right w:val="outset" w:sz="6" w:space="0" w:color="auto"/>
            </w:tcBorders>
          </w:tcPr>
          <w:p w:rsidR="003D53CE" w:rsidRPr="004C7C46" w:rsidRDefault="003D53CE"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2</w:t>
            </w:r>
            <w:r w:rsidR="00B57300" w:rsidRPr="004C7C46">
              <w:rPr>
                <w:rFonts w:ascii="Times New Roman" w:eastAsia="Times New Roman" w:hAnsi="Times New Roman" w:cs="Times New Roman"/>
                <w:iCs/>
                <w:color w:val="000000" w:themeColor="text1"/>
                <w:spacing w:val="-4"/>
                <w:sz w:val="24"/>
                <w:szCs w:val="24"/>
                <w:lang w:eastAsia="lv-LV"/>
              </w:rPr>
              <w:t>4</w:t>
            </w:r>
            <w:r w:rsidRPr="004C7C46">
              <w:rPr>
                <w:rFonts w:ascii="Times New Roman" w:eastAsia="Times New Roman" w:hAnsi="Times New Roman" w:cs="Times New Roman"/>
                <w:iCs/>
                <w:color w:val="000000" w:themeColor="text1"/>
                <w:spacing w:val="-4"/>
                <w:sz w:val="24"/>
                <w:szCs w:val="24"/>
                <w:lang w:eastAsia="lv-LV"/>
              </w:rPr>
              <w:t>. panta trešā daļa</w:t>
            </w:r>
          </w:p>
        </w:tc>
        <w:tc>
          <w:tcPr>
            <w:tcW w:w="1671" w:type="dxa"/>
            <w:tcBorders>
              <w:top w:val="outset" w:sz="6" w:space="0" w:color="auto"/>
              <w:left w:val="outset" w:sz="6" w:space="0" w:color="auto"/>
              <w:bottom w:val="outset" w:sz="6" w:space="0" w:color="auto"/>
              <w:right w:val="outset" w:sz="6" w:space="0" w:color="auto"/>
            </w:tcBorders>
          </w:tcPr>
          <w:p w:rsidR="003D53CE" w:rsidRPr="004C7C46" w:rsidRDefault="003D53CE" w:rsidP="003D53CE">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3D53CE" w:rsidRPr="004C7C46" w:rsidRDefault="003D53CE" w:rsidP="003D53CE">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2C2513" w:rsidRPr="004C7C46">
              <w:rPr>
                <w:rFonts w:ascii="Times New Roman" w:eastAsia="Times New Roman" w:hAnsi="Times New Roman" w:cs="Times New Roman"/>
                <w:iCs/>
                <w:color w:val="000000" w:themeColor="text1"/>
                <w:spacing w:val="-4"/>
                <w:sz w:val="24"/>
                <w:szCs w:val="24"/>
                <w:lang w:eastAsia="lv-LV"/>
              </w:rPr>
              <w:t>1. panta 13. punkta</w:t>
            </w:r>
          </w:p>
          <w:p w:rsidR="002C2513" w:rsidRPr="004C7C46" w:rsidRDefault="002C2513"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c) apakšpunkts</w:t>
            </w:r>
          </w:p>
        </w:tc>
        <w:tc>
          <w:tcPr>
            <w:tcW w:w="1834" w:type="dxa"/>
            <w:tcBorders>
              <w:top w:val="outset" w:sz="6" w:space="0" w:color="auto"/>
              <w:left w:val="outset" w:sz="6" w:space="0" w:color="auto"/>
              <w:bottom w:val="outset" w:sz="6" w:space="0" w:color="auto"/>
              <w:right w:val="outset" w:sz="6" w:space="0" w:color="auto"/>
            </w:tcBorders>
          </w:tcPr>
          <w:p w:rsidR="002C2513" w:rsidRPr="004C7C46" w:rsidRDefault="002C251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C233A0" w:rsidRPr="004C7C46">
              <w:rPr>
                <w:rFonts w:ascii="Times New Roman" w:eastAsia="Times New Roman" w:hAnsi="Times New Roman" w:cs="Times New Roman"/>
                <w:iCs/>
                <w:color w:val="000000" w:themeColor="text1"/>
                <w:spacing w:val="-4"/>
                <w:sz w:val="24"/>
                <w:szCs w:val="24"/>
                <w:lang w:eastAsia="lv-LV"/>
              </w:rPr>
              <w:t>2</w:t>
            </w:r>
            <w:r w:rsidR="00B76778" w:rsidRPr="004C7C46">
              <w:rPr>
                <w:rFonts w:ascii="Times New Roman" w:eastAsia="Times New Roman" w:hAnsi="Times New Roman" w:cs="Times New Roman"/>
                <w:iCs/>
                <w:color w:val="000000" w:themeColor="text1"/>
                <w:spacing w:val="-4"/>
                <w:sz w:val="24"/>
                <w:szCs w:val="24"/>
                <w:lang w:eastAsia="lv-LV"/>
              </w:rPr>
              <w:t>5</w:t>
            </w:r>
            <w:r w:rsidR="00C233A0" w:rsidRPr="004C7C46">
              <w:rPr>
                <w:rFonts w:ascii="Times New Roman" w:eastAsia="Times New Roman" w:hAnsi="Times New Roman" w:cs="Times New Roman"/>
                <w:iCs/>
                <w:color w:val="000000" w:themeColor="text1"/>
                <w:spacing w:val="-4"/>
                <w:sz w:val="24"/>
                <w:szCs w:val="24"/>
                <w:lang w:eastAsia="lv-LV"/>
              </w:rPr>
              <w:t>. </w:t>
            </w:r>
            <w:r w:rsidR="00122630" w:rsidRPr="004C7C46">
              <w:rPr>
                <w:rFonts w:ascii="Times New Roman" w:eastAsia="Times New Roman" w:hAnsi="Times New Roman" w:cs="Times New Roman"/>
                <w:iCs/>
                <w:color w:val="000000" w:themeColor="text1"/>
                <w:spacing w:val="-4"/>
                <w:sz w:val="24"/>
                <w:szCs w:val="24"/>
                <w:lang w:eastAsia="lv-LV"/>
              </w:rPr>
              <w:t>p</w:t>
            </w:r>
            <w:r w:rsidR="00C233A0" w:rsidRPr="004C7C46">
              <w:rPr>
                <w:rFonts w:ascii="Times New Roman" w:eastAsia="Times New Roman" w:hAnsi="Times New Roman" w:cs="Times New Roman"/>
                <w:iCs/>
                <w:color w:val="000000" w:themeColor="text1"/>
                <w:spacing w:val="-4"/>
                <w:sz w:val="24"/>
                <w:szCs w:val="24"/>
                <w:lang w:eastAsia="lv-LV"/>
              </w:rPr>
              <w:t>ants</w:t>
            </w:r>
          </w:p>
        </w:tc>
        <w:tc>
          <w:tcPr>
            <w:tcW w:w="1671" w:type="dxa"/>
            <w:tcBorders>
              <w:top w:val="outset" w:sz="6" w:space="0" w:color="auto"/>
              <w:left w:val="outset" w:sz="6" w:space="0" w:color="auto"/>
              <w:bottom w:val="outset" w:sz="6" w:space="0" w:color="auto"/>
              <w:right w:val="outset" w:sz="6" w:space="0" w:color="auto"/>
            </w:tcBorders>
          </w:tcPr>
          <w:p w:rsidR="002C2513" w:rsidRPr="004C7C46" w:rsidRDefault="002C2513" w:rsidP="002C251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C2513" w:rsidRPr="004C7C46" w:rsidRDefault="002C2513" w:rsidP="002C251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01B" w:rsidRPr="004C7C46">
              <w:rPr>
                <w:rFonts w:ascii="Times New Roman" w:eastAsia="Times New Roman" w:hAnsi="Times New Roman" w:cs="Times New Roman"/>
                <w:iCs/>
                <w:color w:val="000000" w:themeColor="text1"/>
                <w:spacing w:val="-4"/>
                <w:sz w:val="24"/>
                <w:szCs w:val="24"/>
                <w:lang w:eastAsia="lv-LV"/>
              </w:rPr>
              <w:t>1. panta 14. punkt</w:t>
            </w:r>
            <w:r w:rsidR="003E6C68" w:rsidRPr="004C7C46">
              <w:rPr>
                <w:rFonts w:ascii="Times New Roman" w:eastAsia="Times New Roman" w:hAnsi="Times New Roman" w:cs="Times New Roman"/>
                <w:iCs/>
                <w:color w:val="000000" w:themeColor="text1"/>
                <w:spacing w:val="-4"/>
                <w:sz w:val="24"/>
                <w:szCs w:val="24"/>
                <w:lang w:eastAsia="lv-LV"/>
              </w:rPr>
              <w:t>a</w:t>
            </w:r>
          </w:p>
          <w:p w:rsidR="00A6101B"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 apakšpunkts</w:t>
            </w:r>
          </w:p>
        </w:tc>
        <w:tc>
          <w:tcPr>
            <w:tcW w:w="1834" w:type="dxa"/>
            <w:tcBorders>
              <w:top w:val="outset" w:sz="6" w:space="0" w:color="auto"/>
              <w:left w:val="outset" w:sz="6" w:space="0" w:color="auto"/>
              <w:bottom w:val="outset" w:sz="6" w:space="0" w:color="auto"/>
              <w:right w:val="outset" w:sz="6" w:space="0" w:color="auto"/>
            </w:tcBorders>
          </w:tcPr>
          <w:p w:rsidR="00A6101B" w:rsidRPr="004C7C46" w:rsidRDefault="00A6101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C233A0" w:rsidRPr="004C7C46">
              <w:rPr>
                <w:rFonts w:ascii="Times New Roman" w:eastAsia="Times New Roman" w:hAnsi="Times New Roman" w:cs="Times New Roman"/>
                <w:iCs/>
                <w:color w:val="000000" w:themeColor="text1"/>
                <w:spacing w:val="-4"/>
                <w:sz w:val="24"/>
                <w:szCs w:val="24"/>
                <w:lang w:eastAsia="lv-LV"/>
              </w:rPr>
              <w:t>2</w:t>
            </w:r>
            <w:r w:rsidR="00B57300" w:rsidRPr="004C7C46">
              <w:rPr>
                <w:rFonts w:ascii="Times New Roman" w:eastAsia="Times New Roman" w:hAnsi="Times New Roman" w:cs="Times New Roman"/>
                <w:iCs/>
                <w:color w:val="000000" w:themeColor="text1"/>
                <w:spacing w:val="-4"/>
                <w:sz w:val="24"/>
                <w:szCs w:val="24"/>
                <w:lang w:eastAsia="lv-LV"/>
              </w:rPr>
              <w:t>3</w:t>
            </w:r>
            <w:r w:rsidR="00C233A0" w:rsidRPr="004C7C46">
              <w:rPr>
                <w:rFonts w:ascii="Times New Roman" w:eastAsia="Times New Roman" w:hAnsi="Times New Roman" w:cs="Times New Roman"/>
                <w:iCs/>
                <w:color w:val="000000" w:themeColor="text1"/>
                <w:spacing w:val="-4"/>
                <w:sz w:val="24"/>
                <w:szCs w:val="24"/>
                <w:lang w:eastAsia="lv-LV"/>
              </w:rPr>
              <w:t>. pants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6101B" w:rsidRPr="004C7C46" w:rsidRDefault="00A6101B" w:rsidP="00A6101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lastRenderedPageBreak/>
              <w:t xml:space="preserve">Direktīvas (ES) 2019/879 </w:t>
            </w:r>
            <w:r w:rsidR="003E6C68" w:rsidRPr="004C7C46">
              <w:rPr>
                <w:rFonts w:ascii="Times New Roman" w:eastAsia="Times New Roman" w:hAnsi="Times New Roman" w:cs="Times New Roman"/>
                <w:iCs/>
                <w:color w:val="000000" w:themeColor="text1"/>
                <w:spacing w:val="-4"/>
                <w:sz w:val="24"/>
                <w:szCs w:val="24"/>
                <w:lang w:eastAsia="lv-LV"/>
              </w:rPr>
              <w:t>1. panta 14. punkta</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 apakšpunkts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19041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07497F" w:rsidRPr="004C7C46">
              <w:rPr>
                <w:rFonts w:ascii="Times New Roman" w:eastAsia="Times New Roman" w:hAnsi="Times New Roman" w:cs="Times New Roman"/>
                <w:iCs/>
                <w:color w:val="000000" w:themeColor="text1"/>
                <w:spacing w:val="-4"/>
                <w:sz w:val="24"/>
                <w:szCs w:val="24"/>
                <w:lang w:eastAsia="lv-LV"/>
              </w:rPr>
              <w:t>3</w:t>
            </w:r>
            <w:r w:rsidR="007878F5" w:rsidRPr="004C7C46">
              <w:rPr>
                <w:rFonts w:ascii="Times New Roman" w:eastAsia="Times New Roman" w:hAnsi="Times New Roman" w:cs="Times New Roman"/>
                <w:iCs/>
                <w:color w:val="000000" w:themeColor="text1"/>
                <w:spacing w:val="-4"/>
                <w:sz w:val="24"/>
                <w:szCs w:val="24"/>
                <w:lang w:eastAsia="lv-LV"/>
              </w:rPr>
              <w:t>5</w:t>
            </w:r>
            <w:r w:rsidR="0007497F" w:rsidRPr="004C7C46">
              <w:rPr>
                <w:rFonts w:ascii="Times New Roman" w:eastAsia="Times New Roman" w:hAnsi="Times New Roman" w:cs="Times New Roman"/>
                <w:iCs/>
                <w:color w:val="000000" w:themeColor="text1"/>
                <w:spacing w:val="-4"/>
                <w:sz w:val="24"/>
                <w:szCs w:val="24"/>
                <w:lang w:eastAsia="lv-LV"/>
              </w:rPr>
              <w:t>.</w:t>
            </w:r>
            <w:r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15. punkta</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 apakšpunkt</w:t>
            </w:r>
            <w:r w:rsidR="0019041C" w:rsidRPr="004C7C46">
              <w:rPr>
                <w:rFonts w:ascii="Times New Roman" w:eastAsia="Times New Roman" w:hAnsi="Times New Roman" w:cs="Times New Roman"/>
                <w:iCs/>
                <w:color w:val="000000" w:themeColor="text1"/>
                <w:spacing w:val="-4"/>
                <w:sz w:val="24"/>
                <w:szCs w:val="24"/>
                <w:lang w:eastAsia="lv-LV"/>
              </w:rPr>
              <w:t>a</w:t>
            </w:r>
            <w:r w:rsidRPr="004C7C46">
              <w:rPr>
                <w:rFonts w:ascii="Times New Roman" w:eastAsia="Times New Roman" w:hAnsi="Times New Roman" w:cs="Times New Roman"/>
                <w:iCs/>
                <w:color w:val="000000" w:themeColor="text1"/>
                <w:spacing w:val="-4"/>
                <w:sz w:val="24"/>
                <w:szCs w:val="24"/>
                <w:lang w:eastAsia="lv-LV"/>
              </w:rPr>
              <w:t xml:space="preserve"> i)</w:t>
            </w:r>
            <w:r w:rsidR="0019041C" w:rsidRPr="004C7C46">
              <w:rPr>
                <w:rFonts w:ascii="Times New Roman" w:eastAsia="Times New Roman" w:hAnsi="Times New Roman" w:cs="Times New Roman"/>
                <w:iCs/>
                <w:color w:val="000000" w:themeColor="text1"/>
                <w:spacing w:val="-4"/>
                <w:sz w:val="24"/>
                <w:szCs w:val="24"/>
                <w:lang w:eastAsia="lv-LV"/>
              </w:rPr>
              <w:t xml:space="preserve"> 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07497F" w:rsidRPr="004C7C46">
              <w:rPr>
                <w:rFonts w:ascii="Times New Roman" w:eastAsia="Times New Roman" w:hAnsi="Times New Roman" w:cs="Times New Roman"/>
                <w:iCs/>
                <w:color w:val="000000" w:themeColor="text1"/>
                <w:spacing w:val="-4"/>
                <w:sz w:val="24"/>
                <w:szCs w:val="24"/>
                <w:lang w:eastAsia="lv-LV"/>
              </w:rPr>
              <w:t>3</w:t>
            </w:r>
            <w:r w:rsidR="007878F5" w:rsidRPr="004C7C46">
              <w:rPr>
                <w:rFonts w:ascii="Times New Roman" w:eastAsia="Times New Roman" w:hAnsi="Times New Roman" w:cs="Times New Roman"/>
                <w:iCs/>
                <w:color w:val="000000" w:themeColor="text1"/>
                <w:spacing w:val="-4"/>
                <w:sz w:val="24"/>
                <w:szCs w:val="24"/>
                <w:lang w:eastAsia="lv-LV"/>
              </w:rPr>
              <w:t>3</w:t>
            </w:r>
            <w:r w:rsidR="0019041C" w:rsidRPr="004C7C46">
              <w:rPr>
                <w:rFonts w:ascii="Times New Roman" w:eastAsia="Times New Roman" w:hAnsi="Times New Roman" w:cs="Times New Roman"/>
                <w:iCs/>
                <w:color w:val="000000" w:themeColor="text1"/>
                <w:spacing w:val="-4"/>
                <w:sz w:val="24"/>
                <w:szCs w:val="24"/>
                <w:lang w:eastAsia="lv-LV"/>
              </w:rPr>
              <w:t>. panta pirmā daļa</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15. punkta</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 apakšpunkt</w:t>
            </w:r>
            <w:r w:rsidR="0019041C" w:rsidRPr="004C7C46">
              <w:rPr>
                <w:rFonts w:ascii="Times New Roman" w:eastAsia="Times New Roman" w:hAnsi="Times New Roman" w:cs="Times New Roman"/>
                <w:iCs/>
                <w:color w:val="000000" w:themeColor="text1"/>
                <w:spacing w:val="-4"/>
                <w:sz w:val="24"/>
                <w:szCs w:val="24"/>
                <w:lang w:eastAsia="lv-LV"/>
              </w:rPr>
              <w:t>a</w:t>
            </w:r>
            <w:r w:rsidRPr="004C7C46">
              <w:rPr>
                <w:rFonts w:ascii="Times New Roman" w:eastAsia="Times New Roman" w:hAnsi="Times New Roman" w:cs="Times New Roman"/>
                <w:iCs/>
                <w:color w:val="000000" w:themeColor="text1"/>
                <w:spacing w:val="-4"/>
                <w:sz w:val="24"/>
                <w:szCs w:val="24"/>
                <w:lang w:eastAsia="lv-LV"/>
              </w:rPr>
              <w:t xml:space="preserve"> ii)</w:t>
            </w:r>
            <w:r w:rsidR="0019041C" w:rsidRPr="004C7C46">
              <w:rPr>
                <w:rFonts w:ascii="Times New Roman" w:eastAsia="Times New Roman" w:hAnsi="Times New Roman" w:cs="Times New Roman"/>
                <w:iCs/>
                <w:color w:val="000000" w:themeColor="text1"/>
                <w:spacing w:val="-4"/>
                <w:sz w:val="24"/>
                <w:szCs w:val="24"/>
                <w:lang w:eastAsia="lv-LV"/>
              </w:rPr>
              <w:t xml:space="preserve"> 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19041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61CB3" w:rsidRPr="004C7C46">
              <w:rPr>
                <w:rFonts w:ascii="Times New Roman" w:eastAsia="Times New Roman" w:hAnsi="Times New Roman" w:cs="Times New Roman"/>
                <w:iCs/>
                <w:color w:val="000000" w:themeColor="text1"/>
                <w:spacing w:val="-4"/>
                <w:sz w:val="24"/>
                <w:szCs w:val="24"/>
                <w:lang w:eastAsia="lv-LV"/>
              </w:rPr>
              <w:t>3</w:t>
            </w:r>
            <w:r w:rsidR="007878F5" w:rsidRPr="004C7C46">
              <w:rPr>
                <w:rFonts w:ascii="Times New Roman" w:eastAsia="Times New Roman" w:hAnsi="Times New Roman" w:cs="Times New Roman"/>
                <w:iCs/>
                <w:color w:val="000000" w:themeColor="text1"/>
                <w:spacing w:val="-4"/>
                <w:sz w:val="24"/>
                <w:szCs w:val="24"/>
                <w:lang w:eastAsia="lv-LV"/>
              </w:rPr>
              <w:t>3</w:t>
            </w:r>
            <w:r w:rsidRPr="004C7C46">
              <w:rPr>
                <w:rFonts w:ascii="Times New Roman" w:eastAsia="Times New Roman" w:hAnsi="Times New Roman" w:cs="Times New Roman"/>
                <w:iCs/>
                <w:color w:val="000000" w:themeColor="text1"/>
                <w:spacing w:val="-4"/>
                <w:sz w:val="24"/>
                <w:szCs w:val="24"/>
                <w:lang w:eastAsia="lv-LV"/>
              </w:rPr>
              <w:t>. panta otrā daļa</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233A0"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15. punkta a) apakšpunkt</w:t>
            </w:r>
            <w:r w:rsidR="0019041C" w:rsidRPr="004C7C46">
              <w:rPr>
                <w:rFonts w:ascii="Times New Roman" w:eastAsia="Times New Roman" w:hAnsi="Times New Roman" w:cs="Times New Roman"/>
                <w:iCs/>
                <w:color w:val="000000" w:themeColor="text1"/>
                <w:spacing w:val="-4"/>
                <w:sz w:val="24"/>
                <w:szCs w:val="24"/>
                <w:lang w:eastAsia="lv-LV"/>
              </w:rPr>
              <w:t>a</w:t>
            </w:r>
            <w:r w:rsidR="00C233A0" w:rsidRPr="004C7C46">
              <w:rPr>
                <w:rFonts w:ascii="Times New Roman" w:eastAsia="Times New Roman" w:hAnsi="Times New Roman" w:cs="Times New Roman"/>
                <w:iCs/>
                <w:color w:val="000000" w:themeColor="text1"/>
                <w:spacing w:val="-4"/>
                <w:sz w:val="24"/>
                <w:szCs w:val="24"/>
                <w:lang w:eastAsia="lv-LV"/>
              </w:rPr>
              <w:t xml:space="preserve"> iii)</w:t>
            </w:r>
            <w:r w:rsidR="0019041C" w:rsidRPr="004C7C46">
              <w:rPr>
                <w:rFonts w:ascii="Times New Roman" w:eastAsia="Times New Roman" w:hAnsi="Times New Roman" w:cs="Times New Roman"/>
                <w:iCs/>
                <w:color w:val="000000" w:themeColor="text1"/>
                <w:spacing w:val="-4"/>
                <w:sz w:val="24"/>
                <w:szCs w:val="24"/>
                <w:lang w:eastAsia="lv-LV"/>
              </w:rPr>
              <w:t xml:space="preserve"> 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19041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61CB3" w:rsidRPr="004C7C46">
              <w:rPr>
                <w:rFonts w:ascii="Times New Roman" w:eastAsia="Times New Roman" w:hAnsi="Times New Roman" w:cs="Times New Roman"/>
                <w:iCs/>
                <w:color w:val="000000" w:themeColor="text1"/>
                <w:spacing w:val="-4"/>
                <w:sz w:val="24"/>
                <w:szCs w:val="24"/>
                <w:lang w:eastAsia="lv-LV"/>
              </w:rPr>
              <w:t>3</w:t>
            </w:r>
            <w:r w:rsidR="007878F5" w:rsidRPr="004C7C46">
              <w:rPr>
                <w:rFonts w:ascii="Times New Roman" w:eastAsia="Times New Roman" w:hAnsi="Times New Roman" w:cs="Times New Roman"/>
                <w:iCs/>
                <w:color w:val="000000" w:themeColor="text1"/>
                <w:spacing w:val="-4"/>
                <w:sz w:val="24"/>
                <w:szCs w:val="24"/>
                <w:lang w:eastAsia="lv-LV"/>
              </w:rPr>
              <w:t>3</w:t>
            </w:r>
            <w:r w:rsidRPr="004C7C46">
              <w:rPr>
                <w:rFonts w:ascii="Times New Roman" w:eastAsia="Times New Roman" w:hAnsi="Times New Roman" w:cs="Times New Roman"/>
                <w:iCs/>
                <w:color w:val="000000" w:themeColor="text1"/>
                <w:spacing w:val="-4"/>
                <w:sz w:val="24"/>
                <w:szCs w:val="24"/>
                <w:lang w:eastAsia="lv-LV"/>
              </w:rPr>
              <w:t>. panta trešā daļa</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15. punkta</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b) </w:t>
            </w:r>
            <w:r w:rsidR="00D70079" w:rsidRPr="004C7C46">
              <w:rPr>
                <w:rFonts w:ascii="Times New Roman" w:eastAsia="Times New Roman" w:hAnsi="Times New Roman" w:cs="Times New Roman"/>
                <w:iCs/>
                <w:color w:val="000000" w:themeColor="text1"/>
                <w:spacing w:val="-4"/>
                <w:sz w:val="24"/>
                <w:szCs w:val="24"/>
                <w:lang w:eastAsia="lv-LV"/>
              </w:rPr>
              <w:t>apakšpunkts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61CB3" w:rsidRPr="004C7C46">
              <w:rPr>
                <w:rFonts w:ascii="Times New Roman" w:eastAsia="Times New Roman" w:hAnsi="Times New Roman" w:cs="Times New Roman"/>
                <w:iCs/>
                <w:color w:val="000000" w:themeColor="text1"/>
                <w:spacing w:val="-4"/>
                <w:sz w:val="24"/>
                <w:szCs w:val="24"/>
                <w:lang w:eastAsia="lv-LV"/>
              </w:rPr>
              <w:t>3</w:t>
            </w:r>
            <w:r w:rsidR="007878F5" w:rsidRPr="004C7C46">
              <w:rPr>
                <w:rFonts w:ascii="Times New Roman" w:eastAsia="Times New Roman" w:hAnsi="Times New Roman" w:cs="Times New Roman"/>
                <w:iCs/>
                <w:color w:val="000000" w:themeColor="text1"/>
                <w:spacing w:val="-4"/>
                <w:sz w:val="24"/>
                <w:szCs w:val="24"/>
                <w:lang w:eastAsia="lv-LV"/>
              </w:rPr>
              <w:t>4</w:t>
            </w:r>
            <w:r w:rsidR="0019041C" w:rsidRPr="004C7C46">
              <w:rPr>
                <w:rFonts w:ascii="Times New Roman" w:eastAsia="Times New Roman" w:hAnsi="Times New Roman" w:cs="Times New Roman"/>
                <w:iCs/>
                <w:color w:val="000000" w:themeColor="text1"/>
                <w:spacing w:val="-4"/>
                <w:sz w:val="24"/>
                <w:szCs w:val="24"/>
                <w:lang w:eastAsia="lv-LV"/>
              </w:rPr>
              <w:t>. pants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15. punkta</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c)</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61CB3" w:rsidRPr="004C7C46">
              <w:rPr>
                <w:rFonts w:ascii="Times New Roman" w:eastAsia="Times New Roman" w:hAnsi="Times New Roman" w:cs="Times New Roman"/>
                <w:iCs/>
                <w:color w:val="000000" w:themeColor="text1"/>
                <w:spacing w:val="-4"/>
                <w:sz w:val="24"/>
                <w:szCs w:val="24"/>
                <w:lang w:eastAsia="lv-LV"/>
              </w:rPr>
              <w:t>3</w:t>
            </w:r>
            <w:r w:rsidR="007878F5" w:rsidRPr="004C7C46">
              <w:rPr>
                <w:rFonts w:ascii="Times New Roman" w:eastAsia="Times New Roman" w:hAnsi="Times New Roman" w:cs="Times New Roman"/>
                <w:iCs/>
                <w:color w:val="000000" w:themeColor="text1"/>
                <w:spacing w:val="-4"/>
                <w:sz w:val="24"/>
                <w:szCs w:val="24"/>
                <w:lang w:eastAsia="lv-LV"/>
              </w:rPr>
              <w:t>4</w:t>
            </w:r>
            <w:r w:rsidR="00761CB3" w:rsidRPr="004C7C46">
              <w:rPr>
                <w:rFonts w:ascii="Times New Roman" w:eastAsia="Times New Roman" w:hAnsi="Times New Roman" w:cs="Times New Roman"/>
                <w:iCs/>
                <w:color w:val="000000" w:themeColor="text1"/>
                <w:spacing w:val="-4"/>
                <w:sz w:val="24"/>
                <w:szCs w:val="24"/>
                <w:lang w:eastAsia="lv-LV"/>
              </w:rPr>
              <w:t xml:space="preserve">. </w:t>
            </w:r>
            <w:r w:rsidR="0019041C" w:rsidRPr="004C7C46">
              <w:rPr>
                <w:rFonts w:ascii="Times New Roman" w:eastAsia="Times New Roman" w:hAnsi="Times New Roman" w:cs="Times New Roman"/>
                <w:iCs/>
                <w:color w:val="000000" w:themeColor="text1"/>
                <w:spacing w:val="-4"/>
                <w:sz w:val="24"/>
                <w:szCs w:val="24"/>
                <w:lang w:eastAsia="lv-LV"/>
              </w:rPr>
              <w:t>pants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 xml:space="preserve">1. panta 15. punkta </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d)</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61CB3" w:rsidRPr="004C7C46">
              <w:rPr>
                <w:rFonts w:ascii="Times New Roman" w:eastAsia="Times New Roman" w:hAnsi="Times New Roman" w:cs="Times New Roman"/>
                <w:iCs/>
                <w:color w:val="000000" w:themeColor="text1"/>
                <w:spacing w:val="-4"/>
                <w:sz w:val="24"/>
                <w:szCs w:val="24"/>
                <w:lang w:eastAsia="lv-LV"/>
              </w:rPr>
              <w:t>3</w:t>
            </w:r>
            <w:r w:rsidR="007878F5" w:rsidRPr="004C7C46">
              <w:rPr>
                <w:rFonts w:ascii="Times New Roman" w:eastAsia="Times New Roman" w:hAnsi="Times New Roman" w:cs="Times New Roman"/>
                <w:iCs/>
                <w:color w:val="000000" w:themeColor="text1"/>
                <w:spacing w:val="-4"/>
                <w:sz w:val="24"/>
                <w:szCs w:val="24"/>
                <w:lang w:eastAsia="lv-LV"/>
              </w:rPr>
              <w:t>5</w:t>
            </w:r>
            <w:r w:rsidR="00E11611" w:rsidRPr="004C7C46">
              <w:rPr>
                <w:rFonts w:ascii="Times New Roman" w:eastAsia="Times New Roman" w:hAnsi="Times New Roman" w:cs="Times New Roman"/>
                <w:iCs/>
                <w:color w:val="000000" w:themeColor="text1"/>
                <w:spacing w:val="-4"/>
                <w:sz w:val="24"/>
                <w:szCs w:val="24"/>
                <w:lang w:eastAsia="lv-LV"/>
              </w:rPr>
              <w:t>. panta pirmā daļa</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233A0"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 xml:space="preserve">1. panta 16. punkts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B1B30" w:rsidRPr="004C7C46">
              <w:rPr>
                <w:rFonts w:ascii="Times New Roman" w:eastAsia="Times New Roman" w:hAnsi="Times New Roman" w:cs="Times New Roman"/>
                <w:iCs/>
                <w:color w:val="000000" w:themeColor="text1"/>
                <w:spacing w:val="-4"/>
                <w:sz w:val="24"/>
                <w:szCs w:val="24"/>
                <w:lang w:eastAsia="lv-LV"/>
              </w:rPr>
              <w:t>3</w:t>
            </w:r>
            <w:r w:rsidR="00002EB7" w:rsidRPr="004C7C46">
              <w:rPr>
                <w:rFonts w:ascii="Times New Roman" w:eastAsia="Times New Roman" w:hAnsi="Times New Roman" w:cs="Times New Roman"/>
                <w:iCs/>
                <w:color w:val="000000" w:themeColor="text1"/>
                <w:spacing w:val="-4"/>
                <w:sz w:val="24"/>
                <w:szCs w:val="24"/>
                <w:lang w:eastAsia="lv-LV"/>
              </w:rPr>
              <w:t>8</w:t>
            </w:r>
            <w:r w:rsidR="006B1B30" w:rsidRPr="004C7C46">
              <w:rPr>
                <w:rFonts w:ascii="Times New Roman" w:eastAsia="Times New Roman" w:hAnsi="Times New Roman" w:cs="Times New Roman"/>
                <w:iCs/>
                <w:color w:val="000000" w:themeColor="text1"/>
                <w:spacing w:val="-4"/>
                <w:sz w:val="24"/>
                <w:szCs w:val="24"/>
                <w:lang w:eastAsia="lv-LV"/>
              </w:rPr>
              <w:t>. </w:t>
            </w:r>
            <w:r w:rsidR="00AC198A" w:rsidRPr="004C7C46">
              <w:rPr>
                <w:rFonts w:ascii="Times New Roman" w:eastAsia="Times New Roman" w:hAnsi="Times New Roman" w:cs="Times New Roman"/>
                <w:iCs/>
                <w:color w:val="000000" w:themeColor="text1"/>
                <w:spacing w:val="-4"/>
                <w:sz w:val="24"/>
                <w:szCs w:val="24"/>
                <w:lang w:eastAsia="lv-LV"/>
              </w:rPr>
              <w:t>un 7</w:t>
            </w:r>
            <w:r w:rsidR="00002EB7" w:rsidRPr="004C7C46">
              <w:rPr>
                <w:rFonts w:ascii="Times New Roman" w:eastAsia="Times New Roman" w:hAnsi="Times New Roman" w:cs="Times New Roman"/>
                <w:iCs/>
                <w:color w:val="000000" w:themeColor="text1"/>
                <w:spacing w:val="-4"/>
                <w:sz w:val="24"/>
                <w:szCs w:val="24"/>
                <w:lang w:eastAsia="lv-LV"/>
              </w:rPr>
              <w:t>8</w:t>
            </w:r>
            <w:r w:rsidR="00AC198A" w:rsidRPr="004C7C46">
              <w:rPr>
                <w:rFonts w:ascii="Times New Roman" w:eastAsia="Times New Roman" w:hAnsi="Times New Roman" w:cs="Times New Roman"/>
                <w:iCs/>
                <w:color w:val="000000" w:themeColor="text1"/>
                <w:spacing w:val="-4"/>
                <w:sz w:val="24"/>
                <w:szCs w:val="24"/>
                <w:lang w:eastAsia="lv-LV"/>
              </w:rPr>
              <w:t>. pants</w:t>
            </w:r>
            <w:r w:rsidR="0080576F"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04235D"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Pr="004C7C46">
              <w:rPr>
                <w:rFonts w:ascii="Times New Roman" w:eastAsia="Times New Roman" w:hAnsi="Times New Roman" w:cs="Times New Roman"/>
                <w:iCs/>
                <w:color w:val="000000" w:themeColor="text1"/>
                <w:spacing w:val="-4"/>
                <w:sz w:val="24"/>
                <w:szCs w:val="24"/>
                <w:lang w:eastAsia="lv-LV"/>
              </w:rPr>
              <w:t xml:space="preserve">1. panta 17. punkts </w:t>
            </w:r>
          </w:p>
        </w:tc>
        <w:tc>
          <w:tcPr>
            <w:tcW w:w="1834" w:type="dxa"/>
            <w:tcBorders>
              <w:top w:val="outset" w:sz="6" w:space="0" w:color="auto"/>
              <w:left w:val="outset" w:sz="6" w:space="0" w:color="auto"/>
              <w:bottom w:val="outset" w:sz="6" w:space="0" w:color="auto"/>
              <w:right w:val="outset" w:sz="6" w:space="0" w:color="auto"/>
            </w:tcBorders>
          </w:tcPr>
          <w:p w:rsidR="0004235D" w:rsidRPr="004C7C46" w:rsidRDefault="0004235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3</w:t>
            </w:r>
            <w:r w:rsidR="00002EB7" w:rsidRPr="004C7C46">
              <w:rPr>
                <w:rFonts w:ascii="Times New Roman" w:eastAsia="Times New Roman" w:hAnsi="Times New Roman" w:cs="Times New Roman"/>
                <w:iCs/>
                <w:color w:val="000000" w:themeColor="text1"/>
                <w:spacing w:val="-4"/>
                <w:sz w:val="24"/>
                <w:szCs w:val="24"/>
                <w:lang w:eastAsia="lv-LV"/>
              </w:rPr>
              <w:t>9</w:t>
            </w:r>
            <w:r w:rsidRPr="004C7C46">
              <w:rPr>
                <w:rFonts w:ascii="Times New Roman" w:eastAsia="Times New Roman" w:hAnsi="Times New Roman" w:cs="Times New Roman"/>
                <w:iCs/>
                <w:color w:val="000000" w:themeColor="text1"/>
                <w:spacing w:val="-4"/>
                <w:sz w:val="24"/>
                <w:szCs w:val="24"/>
                <w:lang w:eastAsia="lv-LV"/>
              </w:rPr>
              <w:t>., </w:t>
            </w:r>
            <w:r w:rsidR="00002EB7" w:rsidRPr="004C7C46">
              <w:rPr>
                <w:rFonts w:ascii="Times New Roman" w:eastAsia="Times New Roman" w:hAnsi="Times New Roman" w:cs="Times New Roman"/>
                <w:iCs/>
                <w:color w:val="000000" w:themeColor="text1"/>
                <w:spacing w:val="-4"/>
                <w:sz w:val="24"/>
                <w:szCs w:val="24"/>
                <w:lang w:eastAsia="lv-LV"/>
              </w:rPr>
              <w:t>40</w:t>
            </w:r>
            <w:r w:rsidRPr="004C7C46">
              <w:rPr>
                <w:rFonts w:ascii="Times New Roman" w:eastAsia="Times New Roman" w:hAnsi="Times New Roman" w:cs="Times New Roman"/>
                <w:iCs/>
                <w:color w:val="000000" w:themeColor="text1"/>
                <w:spacing w:val="-4"/>
                <w:sz w:val="24"/>
                <w:szCs w:val="24"/>
                <w:lang w:eastAsia="lv-LV"/>
              </w:rPr>
              <w:t>.,</w:t>
            </w:r>
            <w:r w:rsidR="007878F5" w:rsidRPr="004C7C46">
              <w:rPr>
                <w:rFonts w:ascii="Times New Roman" w:eastAsia="Times New Roman" w:hAnsi="Times New Roman" w:cs="Times New Roman"/>
                <w:iCs/>
                <w:color w:val="000000" w:themeColor="text1"/>
                <w:spacing w:val="-4"/>
                <w:sz w:val="24"/>
                <w:szCs w:val="24"/>
                <w:lang w:eastAsia="lv-LV"/>
              </w:rPr>
              <w:t xml:space="preserve"> </w:t>
            </w:r>
            <w:r w:rsidR="00002EB7" w:rsidRPr="004C7C46">
              <w:rPr>
                <w:rFonts w:ascii="Times New Roman" w:eastAsia="Times New Roman" w:hAnsi="Times New Roman" w:cs="Times New Roman"/>
                <w:iCs/>
                <w:color w:val="000000" w:themeColor="text1"/>
                <w:spacing w:val="-4"/>
                <w:sz w:val="24"/>
                <w:szCs w:val="24"/>
                <w:lang w:eastAsia="lv-LV"/>
              </w:rPr>
              <w:t>41</w:t>
            </w:r>
            <w:r w:rsidR="00690BD4">
              <w:rPr>
                <w:rFonts w:ascii="Times New Roman" w:eastAsia="Times New Roman" w:hAnsi="Times New Roman" w:cs="Times New Roman"/>
                <w:iCs/>
                <w:color w:val="000000" w:themeColor="text1"/>
                <w:spacing w:val="-4"/>
                <w:sz w:val="24"/>
                <w:szCs w:val="24"/>
                <w:lang w:eastAsia="lv-LV"/>
              </w:rPr>
              <w:t>.,</w:t>
            </w:r>
            <w:r w:rsidRPr="004C7C46">
              <w:rPr>
                <w:rFonts w:ascii="Times New Roman" w:eastAsia="Times New Roman" w:hAnsi="Times New Roman" w:cs="Times New Roman"/>
                <w:iCs/>
                <w:color w:val="000000" w:themeColor="text1"/>
                <w:spacing w:val="-4"/>
                <w:sz w:val="24"/>
                <w:szCs w:val="24"/>
                <w:lang w:eastAsia="lv-LV"/>
              </w:rPr>
              <w:t xml:space="preserve"> </w:t>
            </w:r>
            <w:r w:rsidR="007878F5"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2</w:t>
            </w:r>
            <w:r w:rsidRPr="004C7C46">
              <w:rPr>
                <w:rFonts w:ascii="Times New Roman" w:eastAsia="Times New Roman" w:hAnsi="Times New Roman" w:cs="Times New Roman"/>
                <w:iCs/>
                <w:color w:val="000000" w:themeColor="text1"/>
                <w:spacing w:val="-4"/>
                <w:sz w:val="24"/>
                <w:szCs w:val="24"/>
                <w:lang w:eastAsia="lv-LV"/>
              </w:rPr>
              <w:t xml:space="preserve">., </w:t>
            </w:r>
            <w:r w:rsidR="00761CB3"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3</w:t>
            </w:r>
            <w:r w:rsidRPr="004C7C46">
              <w:rPr>
                <w:rFonts w:ascii="Times New Roman" w:eastAsia="Times New Roman" w:hAnsi="Times New Roman" w:cs="Times New Roman"/>
                <w:iCs/>
                <w:color w:val="000000" w:themeColor="text1"/>
                <w:spacing w:val="-4"/>
                <w:sz w:val="24"/>
                <w:szCs w:val="24"/>
                <w:lang w:eastAsia="lv-LV"/>
              </w:rPr>
              <w:t xml:space="preserve">., </w:t>
            </w:r>
            <w:r w:rsidR="007878F5"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4</w:t>
            </w:r>
            <w:r w:rsidRPr="004C7C46">
              <w:rPr>
                <w:rFonts w:ascii="Times New Roman" w:eastAsia="Times New Roman" w:hAnsi="Times New Roman" w:cs="Times New Roman"/>
                <w:iCs/>
                <w:color w:val="000000" w:themeColor="text1"/>
                <w:spacing w:val="-4"/>
                <w:sz w:val="24"/>
                <w:szCs w:val="24"/>
                <w:lang w:eastAsia="lv-LV"/>
              </w:rPr>
              <w:t xml:space="preserve">., </w:t>
            </w:r>
            <w:r w:rsidR="00761CB3"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5</w:t>
            </w:r>
            <w:r w:rsidRPr="004C7C46">
              <w:rPr>
                <w:rFonts w:ascii="Times New Roman" w:eastAsia="Times New Roman" w:hAnsi="Times New Roman" w:cs="Times New Roman"/>
                <w:iCs/>
                <w:color w:val="000000" w:themeColor="text1"/>
                <w:spacing w:val="-4"/>
                <w:sz w:val="24"/>
                <w:szCs w:val="24"/>
                <w:lang w:eastAsia="lv-LV"/>
              </w:rPr>
              <w:t xml:space="preserve">., </w:t>
            </w:r>
            <w:r w:rsidR="00761CB3"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6</w:t>
            </w:r>
            <w:r w:rsidRPr="004C7C46">
              <w:rPr>
                <w:rFonts w:ascii="Times New Roman" w:eastAsia="Times New Roman" w:hAnsi="Times New Roman" w:cs="Times New Roman"/>
                <w:iCs/>
                <w:color w:val="000000" w:themeColor="text1"/>
                <w:spacing w:val="-4"/>
                <w:sz w:val="24"/>
                <w:szCs w:val="24"/>
                <w:lang w:eastAsia="lv-LV"/>
              </w:rPr>
              <w:t xml:space="preserve">., </w:t>
            </w:r>
            <w:r w:rsidR="00761CB3"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7</w:t>
            </w:r>
            <w:r w:rsidRPr="004C7C46">
              <w:rPr>
                <w:rFonts w:ascii="Times New Roman" w:eastAsia="Times New Roman" w:hAnsi="Times New Roman" w:cs="Times New Roman"/>
                <w:iCs/>
                <w:color w:val="000000" w:themeColor="text1"/>
                <w:spacing w:val="-4"/>
                <w:sz w:val="24"/>
                <w:szCs w:val="24"/>
                <w:lang w:eastAsia="lv-LV"/>
              </w:rPr>
              <w:t>. </w:t>
            </w:r>
            <w:r w:rsidR="00AC198A" w:rsidRPr="004C7C46">
              <w:rPr>
                <w:rFonts w:ascii="Times New Roman" w:eastAsia="Times New Roman" w:hAnsi="Times New Roman" w:cs="Times New Roman"/>
                <w:iCs/>
                <w:color w:val="000000" w:themeColor="text1"/>
                <w:spacing w:val="-4"/>
                <w:sz w:val="24"/>
                <w:szCs w:val="24"/>
                <w:lang w:eastAsia="lv-LV"/>
              </w:rPr>
              <w:t>un 7</w:t>
            </w:r>
            <w:r w:rsidR="00002EB7" w:rsidRPr="004C7C46">
              <w:rPr>
                <w:rFonts w:ascii="Times New Roman" w:eastAsia="Times New Roman" w:hAnsi="Times New Roman" w:cs="Times New Roman"/>
                <w:iCs/>
                <w:color w:val="000000" w:themeColor="text1"/>
                <w:spacing w:val="-4"/>
                <w:sz w:val="24"/>
                <w:szCs w:val="24"/>
                <w:lang w:eastAsia="lv-LV"/>
              </w:rPr>
              <w:t>8</w:t>
            </w:r>
            <w:r w:rsidR="00AC198A"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04235D" w:rsidRPr="004C7C46" w:rsidRDefault="0004235D" w:rsidP="0004235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04235D" w:rsidRPr="004C7C46" w:rsidRDefault="0004235D" w:rsidP="0004235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233A0"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 xml:space="preserve">1. panta 18. punkts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2A607E"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8</w:t>
            </w:r>
            <w:r w:rsidR="002A607E"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233A0"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 xml:space="preserve">1. panta 19. punkts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0D13BE" w:rsidRPr="004C7C46">
              <w:rPr>
                <w:rFonts w:ascii="Times New Roman" w:eastAsia="Times New Roman" w:hAnsi="Times New Roman" w:cs="Times New Roman"/>
                <w:iCs/>
                <w:color w:val="000000" w:themeColor="text1"/>
                <w:spacing w:val="-4"/>
                <w:sz w:val="24"/>
                <w:szCs w:val="24"/>
                <w:lang w:eastAsia="lv-LV"/>
              </w:rPr>
              <w:t>4</w:t>
            </w:r>
            <w:r w:rsidR="00002EB7" w:rsidRPr="004C7C46">
              <w:rPr>
                <w:rFonts w:ascii="Times New Roman" w:eastAsia="Times New Roman" w:hAnsi="Times New Roman" w:cs="Times New Roman"/>
                <w:iCs/>
                <w:color w:val="000000" w:themeColor="text1"/>
                <w:spacing w:val="-4"/>
                <w:sz w:val="24"/>
                <w:szCs w:val="24"/>
                <w:lang w:eastAsia="lv-LV"/>
              </w:rPr>
              <w:t>9</w:t>
            </w:r>
            <w:r w:rsidR="000D13BE"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20. punkt</w:t>
            </w:r>
            <w:r w:rsidR="00D70079" w:rsidRPr="004C7C46">
              <w:rPr>
                <w:rFonts w:ascii="Times New Roman" w:eastAsia="Times New Roman" w:hAnsi="Times New Roman" w:cs="Times New Roman"/>
                <w:iCs/>
                <w:color w:val="000000" w:themeColor="text1"/>
                <w:spacing w:val="-4"/>
                <w:sz w:val="24"/>
                <w:szCs w:val="24"/>
                <w:lang w:eastAsia="lv-LV"/>
              </w:rPr>
              <w:t>a</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002EB7" w:rsidRPr="004C7C46">
              <w:rPr>
                <w:rFonts w:ascii="Times New Roman" w:eastAsia="Times New Roman" w:hAnsi="Times New Roman" w:cs="Times New Roman"/>
                <w:iCs/>
                <w:color w:val="000000" w:themeColor="text1"/>
                <w:spacing w:val="-4"/>
                <w:sz w:val="24"/>
                <w:szCs w:val="24"/>
                <w:lang w:eastAsia="lv-LV"/>
              </w:rPr>
              <w:t>50</w:t>
            </w:r>
            <w:r w:rsidR="00B8690F" w:rsidRPr="004C7C46">
              <w:rPr>
                <w:rFonts w:ascii="Times New Roman" w:eastAsia="Times New Roman" w:hAnsi="Times New Roman" w:cs="Times New Roman"/>
                <w:iCs/>
                <w:color w:val="000000" w:themeColor="text1"/>
                <w:spacing w:val="-4"/>
                <w:sz w:val="24"/>
                <w:szCs w:val="24"/>
                <w:lang w:eastAsia="lv-LV"/>
              </w:rPr>
              <w:t>. </w:t>
            </w:r>
            <w:r w:rsidR="008F4DDC" w:rsidRPr="004C7C46">
              <w:rPr>
                <w:rFonts w:ascii="Times New Roman" w:eastAsia="Times New Roman" w:hAnsi="Times New Roman" w:cs="Times New Roman"/>
                <w:iCs/>
                <w:color w:val="000000" w:themeColor="text1"/>
                <w:spacing w:val="-4"/>
                <w:sz w:val="24"/>
                <w:szCs w:val="24"/>
                <w:lang w:eastAsia="lv-LV"/>
              </w:rPr>
              <w:t>p</w:t>
            </w:r>
            <w:r w:rsidR="00B8690F" w:rsidRPr="004C7C46">
              <w:rPr>
                <w:rFonts w:ascii="Times New Roman" w:eastAsia="Times New Roman" w:hAnsi="Times New Roman" w:cs="Times New Roman"/>
                <w:iCs/>
                <w:color w:val="000000" w:themeColor="text1"/>
                <w:spacing w:val="-4"/>
                <w:sz w:val="24"/>
                <w:szCs w:val="24"/>
                <w:lang w:eastAsia="lv-LV"/>
              </w:rPr>
              <w:t>anta</w:t>
            </w:r>
            <w:r w:rsidR="008F4DDC" w:rsidRPr="004C7C46">
              <w:rPr>
                <w:rFonts w:ascii="Times New Roman" w:eastAsia="Times New Roman" w:hAnsi="Times New Roman" w:cs="Times New Roman"/>
                <w:iCs/>
                <w:color w:val="000000" w:themeColor="text1"/>
                <w:spacing w:val="-4"/>
                <w:sz w:val="24"/>
                <w:szCs w:val="24"/>
                <w:lang w:eastAsia="lv-LV"/>
              </w:rPr>
              <w:t xml:space="preserve"> pirmā daļa</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20. punkt</w:t>
            </w:r>
            <w:r w:rsidR="00D70079" w:rsidRPr="004C7C46">
              <w:rPr>
                <w:rFonts w:ascii="Times New Roman" w:eastAsia="Times New Roman" w:hAnsi="Times New Roman" w:cs="Times New Roman"/>
                <w:iCs/>
                <w:color w:val="000000" w:themeColor="text1"/>
                <w:spacing w:val="-4"/>
                <w:sz w:val="24"/>
                <w:szCs w:val="24"/>
                <w:lang w:eastAsia="lv-LV"/>
              </w:rPr>
              <w:t>a</w:t>
            </w:r>
            <w:r w:rsidR="00C233A0" w:rsidRPr="004C7C46">
              <w:rPr>
                <w:rFonts w:ascii="Times New Roman" w:eastAsia="Times New Roman" w:hAnsi="Times New Roman" w:cs="Times New Roman"/>
                <w:iCs/>
                <w:color w:val="000000" w:themeColor="text1"/>
                <w:spacing w:val="-4"/>
                <w:sz w:val="24"/>
                <w:szCs w:val="24"/>
                <w:lang w:eastAsia="lv-LV"/>
              </w:rPr>
              <w:t xml:space="preserve"> </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B8690F" w:rsidP="00CF275B">
            <w:pPr>
              <w:spacing w:after="0" w:line="240" w:lineRule="auto"/>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002EB7" w:rsidRPr="004C7C46">
              <w:rPr>
                <w:rFonts w:ascii="Times New Roman" w:eastAsia="Times New Roman" w:hAnsi="Times New Roman" w:cs="Times New Roman"/>
                <w:iCs/>
                <w:color w:val="000000" w:themeColor="text1"/>
                <w:spacing w:val="-4"/>
                <w:sz w:val="24"/>
                <w:szCs w:val="24"/>
                <w:lang w:eastAsia="lv-LV"/>
              </w:rPr>
              <w:t>5</w:t>
            </w:r>
            <w:r w:rsidR="000B61EA" w:rsidRPr="004C7C46">
              <w:rPr>
                <w:rFonts w:ascii="Times New Roman" w:eastAsia="Times New Roman" w:hAnsi="Times New Roman" w:cs="Times New Roman"/>
                <w:iCs/>
                <w:color w:val="000000" w:themeColor="text1"/>
                <w:spacing w:val="-4"/>
                <w:sz w:val="24"/>
                <w:szCs w:val="24"/>
                <w:lang w:eastAsia="lv-LV"/>
              </w:rPr>
              <w:t>0</w:t>
            </w:r>
            <w:r w:rsidRPr="004C7C46">
              <w:rPr>
                <w:rFonts w:ascii="Times New Roman" w:eastAsia="Times New Roman" w:hAnsi="Times New Roman" w:cs="Times New Roman"/>
                <w:iCs/>
                <w:color w:val="000000" w:themeColor="text1"/>
                <w:spacing w:val="-4"/>
                <w:sz w:val="24"/>
                <w:szCs w:val="24"/>
                <w:lang w:eastAsia="lv-LV"/>
              </w:rPr>
              <w:t>.</w:t>
            </w:r>
            <w:r w:rsidRPr="004C7C46">
              <w:t> </w:t>
            </w:r>
            <w:r w:rsidR="008F4DDC" w:rsidRPr="004C7C46">
              <w:rPr>
                <w:rFonts w:ascii="Times New Roman" w:eastAsia="Times New Roman" w:hAnsi="Times New Roman" w:cs="Times New Roman"/>
                <w:iCs/>
                <w:color w:val="000000" w:themeColor="text1"/>
                <w:spacing w:val="-4"/>
                <w:sz w:val="24"/>
                <w:szCs w:val="24"/>
                <w:lang w:eastAsia="lv-LV"/>
              </w:rPr>
              <w:t>p</w:t>
            </w:r>
            <w:r w:rsidRPr="004C7C46">
              <w:rPr>
                <w:rFonts w:ascii="Times New Roman" w:eastAsia="Times New Roman" w:hAnsi="Times New Roman" w:cs="Times New Roman"/>
                <w:iCs/>
                <w:color w:val="000000" w:themeColor="text1"/>
                <w:spacing w:val="-4"/>
                <w:sz w:val="24"/>
                <w:szCs w:val="24"/>
                <w:lang w:eastAsia="lv-LV"/>
              </w:rPr>
              <w:t>anta</w:t>
            </w:r>
            <w:r w:rsidR="008F4DDC" w:rsidRPr="004C7C46">
              <w:rPr>
                <w:rFonts w:ascii="Times New Roman" w:eastAsia="Times New Roman" w:hAnsi="Times New Roman" w:cs="Times New Roman"/>
                <w:iCs/>
                <w:color w:val="000000" w:themeColor="text1"/>
                <w:spacing w:val="-4"/>
                <w:sz w:val="24"/>
                <w:szCs w:val="24"/>
                <w:lang w:eastAsia="lv-LV"/>
              </w:rPr>
              <w:t xml:space="preserve"> otrā daļa</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 panta 20. punkt</w:t>
            </w:r>
            <w:r w:rsidR="00D70079" w:rsidRPr="004C7C46">
              <w:rPr>
                <w:rFonts w:ascii="Times New Roman" w:eastAsia="Times New Roman" w:hAnsi="Times New Roman" w:cs="Times New Roman"/>
                <w:iCs/>
                <w:color w:val="000000" w:themeColor="text1"/>
                <w:spacing w:val="-4"/>
                <w:sz w:val="24"/>
                <w:szCs w:val="24"/>
                <w:lang w:eastAsia="lv-LV"/>
              </w:rPr>
              <w:t>a</w:t>
            </w:r>
            <w:r w:rsidR="00C233A0" w:rsidRPr="004C7C46">
              <w:rPr>
                <w:rFonts w:ascii="Times New Roman" w:eastAsia="Times New Roman" w:hAnsi="Times New Roman" w:cs="Times New Roman"/>
                <w:iCs/>
                <w:color w:val="000000" w:themeColor="text1"/>
                <w:spacing w:val="-4"/>
                <w:sz w:val="24"/>
                <w:szCs w:val="24"/>
                <w:lang w:eastAsia="lv-LV"/>
              </w:rPr>
              <w:t xml:space="preserve"> </w:t>
            </w:r>
          </w:p>
          <w:p w:rsidR="00C233A0" w:rsidRPr="004C7C46" w:rsidRDefault="00C233A0"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c)</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002EB7" w:rsidRPr="004C7C46">
              <w:rPr>
                <w:rFonts w:ascii="Times New Roman" w:eastAsia="Times New Roman" w:hAnsi="Times New Roman" w:cs="Times New Roman"/>
                <w:iCs/>
                <w:color w:val="000000" w:themeColor="text1"/>
                <w:spacing w:val="-4"/>
                <w:sz w:val="24"/>
                <w:szCs w:val="24"/>
                <w:lang w:eastAsia="lv-LV"/>
              </w:rPr>
              <w:t>50</w:t>
            </w:r>
            <w:r w:rsidR="00B8690F" w:rsidRPr="004C7C46">
              <w:rPr>
                <w:rFonts w:ascii="Times New Roman" w:eastAsia="Times New Roman" w:hAnsi="Times New Roman" w:cs="Times New Roman"/>
                <w:iCs/>
                <w:color w:val="000000" w:themeColor="text1"/>
                <w:spacing w:val="-4"/>
                <w:sz w:val="24"/>
                <w:szCs w:val="24"/>
                <w:lang w:eastAsia="lv-LV"/>
              </w:rPr>
              <w:t>. panta ceturtā daļa</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233A0"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1.</w:t>
            </w:r>
            <w:r w:rsidR="008F4DDC" w:rsidRPr="004C7C46">
              <w:rPr>
                <w:rFonts w:ascii="Times New Roman" w:eastAsia="Times New Roman" w:hAnsi="Times New Roman" w:cs="Times New Roman"/>
                <w:iCs/>
                <w:color w:val="000000" w:themeColor="text1"/>
                <w:spacing w:val="-4"/>
                <w:sz w:val="24"/>
                <w:szCs w:val="24"/>
                <w:lang w:eastAsia="lv-LV"/>
              </w:rPr>
              <w:t> panta 21. punkts</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61CB3"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3</w:t>
            </w:r>
            <w:r w:rsidR="008F4DDC"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233A0"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C233A0" w:rsidRPr="004C7C46">
              <w:rPr>
                <w:rFonts w:ascii="Times New Roman" w:eastAsia="Times New Roman" w:hAnsi="Times New Roman" w:cs="Times New Roman"/>
                <w:iCs/>
                <w:color w:val="000000" w:themeColor="text1"/>
                <w:spacing w:val="-4"/>
                <w:sz w:val="24"/>
                <w:szCs w:val="24"/>
                <w:lang w:eastAsia="lv-LV"/>
              </w:rPr>
              <w:t xml:space="preserve">1. panta 22. punkts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61CB3"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4</w:t>
            </w:r>
            <w:r w:rsidR="008F4DDC"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lastRenderedPageBreak/>
              <w:t xml:space="preserve">Direktīvas (ES) 2019/879 </w:t>
            </w:r>
            <w:r w:rsidR="00485083" w:rsidRPr="004C7C46">
              <w:rPr>
                <w:rFonts w:ascii="Times New Roman" w:eastAsia="Times New Roman" w:hAnsi="Times New Roman" w:cs="Times New Roman"/>
                <w:iCs/>
                <w:color w:val="000000" w:themeColor="text1"/>
                <w:spacing w:val="-4"/>
                <w:sz w:val="24"/>
                <w:szCs w:val="24"/>
                <w:lang w:eastAsia="lv-LV"/>
              </w:rPr>
              <w:t>1. panta 23. punkta</w:t>
            </w:r>
          </w:p>
          <w:p w:rsidR="00C233A0" w:rsidRPr="004C7C46" w:rsidRDefault="00485083"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 apakšpunkts</w:t>
            </w:r>
            <w:r w:rsidR="00C233A0"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5</w:t>
            </w:r>
            <w:r w:rsidR="00485083" w:rsidRPr="004C7C46">
              <w:rPr>
                <w:rFonts w:ascii="Times New Roman" w:eastAsia="Times New Roman" w:hAnsi="Times New Roman" w:cs="Times New Roman"/>
                <w:iCs/>
                <w:color w:val="000000" w:themeColor="text1"/>
                <w:spacing w:val="-4"/>
                <w:sz w:val="24"/>
                <w:szCs w:val="24"/>
                <w:lang w:eastAsia="lv-LV"/>
              </w:rPr>
              <w:t>. panta pirmā, otrā un trešā daļa</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485083" w:rsidRPr="004C7C46">
              <w:rPr>
                <w:rFonts w:ascii="Times New Roman" w:eastAsia="Times New Roman" w:hAnsi="Times New Roman" w:cs="Times New Roman"/>
                <w:iCs/>
                <w:color w:val="000000" w:themeColor="text1"/>
                <w:spacing w:val="-4"/>
                <w:sz w:val="24"/>
                <w:szCs w:val="24"/>
                <w:lang w:eastAsia="lv-LV"/>
              </w:rPr>
              <w:t>1. panta 23. punkta</w:t>
            </w:r>
          </w:p>
          <w:p w:rsidR="00C233A0" w:rsidRPr="004C7C46" w:rsidRDefault="00485083"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c) </w:t>
            </w:r>
            <w:r w:rsidR="00D70079" w:rsidRPr="004C7C46">
              <w:rPr>
                <w:rFonts w:ascii="Times New Roman" w:eastAsia="Times New Roman" w:hAnsi="Times New Roman" w:cs="Times New Roman"/>
                <w:iCs/>
                <w:color w:val="000000" w:themeColor="text1"/>
                <w:spacing w:val="-4"/>
                <w:sz w:val="24"/>
                <w:szCs w:val="24"/>
                <w:lang w:eastAsia="lv-LV"/>
              </w:rPr>
              <w:t>a</w:t>
            </w:r>
            <w:r w:rsidRPr="004C7C46">
              <w:rPr>
                <w:rFonts w:ascii="Times New Roman" w:eastAsia="Times New Roman" w:hAnsi="Times New Roman" w:cs="Times New Roman"/>
                <w:iCs/>
                <w:color w:val="000000" w:themeColor="text1"/>
                <w:spacing w:val="-4"/>
                <w:sz w:val="24"/>
                <w:szCs w:val="24"/>
                <w:lang w:eastAsia="lv-LV"/>
              </w:rPr>
              <w:t>pakšpunkts</w:t>
            </w:r>
            <w:r w:rsidR="00C233A0"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C233A0" w:rsidRPr="004C7C46" w:rsidRDefault="00C233A0"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5</w:t>
            </w:r>
            <w:r w:rsidR="00A61445" w:rsidRPr="004C7C46">
              <w:rPr>
                <w:rFonts w:ascii="Times New Roman" w:eastAsia="Times New Roman" w:hAnsi="Times New Roman" w:cs="Times New Roman"/>
                <w:iCs/>
                <w:color w:val="000000" w:themeColor="text1"/>
                <w:spacing w:val="-4"/>
                <w:sz w:val="24"/>
                <w:szCs w:val="24"/>
                <w:lang w:eastAsia="lv-LV"/>
              </w:rPr>
              <w:t>. </w:t>
            </w:r>
            <w:r w:rsidR="00485083" w:rsidRPr="004C7C46">
              <w:rPr>
                <w:rFonts w:ascii="Times New Roman" w:eastAsia="Times New Roman" w:hAnsi="Times New Roman" w:cs="Times New Roman"/>
                <w:iCs/>
                <w:color w:val="000000" w:themeColor="text1"/>
                <w:spacing w:val="-4"/>
                <w:sz w:val="24"/>
                <w:szCs w:val="24"/>
                <w:lang w:eastAsia="lv-LV"/>
              </w:rPr>
              <w:t>panta trešā daļa</w:t>
            </w:r>
          </w:p>
        </w:tc>
        <w:tc>
          <w:tcPr>
            <w:tcW w:w="167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233A0" w:rsidRPr="004C7C46" w:rsidRDefault="00C233A0" w:rsidP="00C233A0">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D70079" w:rsidRPr="004C7C46">
              <w:rPr>
                <w:rFonts w:ascii="Times New Roman" w:eastAsia="Times New Roman" w:hAnsi="Times New Roman" w:cs="Times New Roman"/>
                <w:iCs/>
                <w:color w:val="000000" w:themeColor="text1"/>
                <w:spacing w:val="-4"/>
                <w:sz w:val="24"/>
                <w:szCs w:val="24"/>
                <w:lang w:eastAsia="lv-LV"/>
              </w:rPr>
              <w:t>1. panta 23. punkta</w:t>
            </w:r>
          </w:p>
          <w:p w:rsidR="00B76962" w:rsidRPr="004C7C46" w:rsidRDefault="00D70079"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d) apak</w:t>
            </w:r>
            <w:r w:rsidR="00B76962" w:rsidRPr="004C7C46">
              <w:rPr>
                <w:rFonts w:ascii="Times New Roman" w:eastAsia="Times New Roman" w:hAnsi="Times New Roman" w:cs="Times New Roman"/>
                <w:iCs/>
                <w:color w:val="000000" w:themeColor="text1"/>
                <w:spacing w:val="-4"/>
                <w:sz w:val="24"/>
                <w:szCs w:val="24"/>
                <w:lang w:eastAsia="lv-LV"/>
              </w:rPr>
              <w:t xml:space="preserve">špunkts </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5</w:t>
            </w:r>
            <w:r w:rsidRPr="004C7C46">
              <w:rPr>
                <w:rFonts w:ascii="Times New Roman" w:eastAsia="Times New Roman" w:hAnsi="Times New Roman" w:cs="Times New Roman"/>
                <w:iCs/>
                <w:color w:val="000000" w:themeColor="text1"/>
                <w:spacing w:val="-4"/>
                <w:sz w:val="24"/>
                <w:szCs w:val="24"/>
                <w:lang w:eastAsia="lv-LV"/>
              </w:rPr>
              <w:t>. panta ceturtā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23.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e)</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5</w:t>
            </w:r>
            <w:r w:rsidRPr="004C7C46">
              <w:rPr>
                <w:rFonts w:ascii="Times New Roman" w:eastAsia="Times New Roman" w:hAnsi="Times New Roman" w:cs="Times New Roman"/>
                <w:iCs/>
                <w:color w:val="000000" w:themeColor="text1"/>
                <w:spacing w:val="-4"/>
                <w:sz w:val="24"/>
                <w:szCs w:val="24"/>
                <w:lang w:eastAsia="lv-LV"/>
              </w:rPr>
              <w:t>. panta ceturtā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w:t>
            </w:r>
            <w:r w:rsidR="00D70079" w:rsidRPr="004C7C46">
              <w:rPr>
                <w:rFonts w:ascii="Times New Roman" w:eastAsia="Times New Roman" w:hAnsi="Times New Roman" w:cs="Times New Roman"/>
                <w:iCs/>
                <w:color w:val="000000" w:themeColor="text1"/>
                <w:spacing w:val="-4"/>
                <w:sz w:val="24"/>
                <w:szCs w:val="24"/>
                <w:lang w:eastAsia="lv-LV"/>
              </w:rPr>
              <w:t>3. punkta</w:t>
            </w:r>
          </w:p>
          <w:p w:rsidR="00B76962" w:rsidRPr="004C7C46" w:rsidRDefault="00D70079"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f)  apakšpunkts</w:t>
            </w:r>
            <w:r w:rsidR="00B76962"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p>
          <w:p w:rsidR="00035607" w:rsidRPr="004C7C46" w:rsidRDefault="0068106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5</w:t>
            </w:r>
            <w:r w:rsidR="00B76962" w:rsidRPr="004C7C46">
              <w:rPr>
                <w:rFonts w:ascii="Times New Roman" w:eastAsia="Times New Roman" w:hAnsi="Times New Roman" w:cs="Times New Roman"/>
                <w:iCs/>
                <w:color w:val="000000" w:themeColor="text1"/>
                <w:spacing w:val="-4"/>
                <w:sz w:val="24"/>
                <w:szCs w:val="24"/>
                <w:lang w:eastAsia="lv-LV"/>
              </w:rPr>
              <w:t>. panta piektā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24.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b/>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b/>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6</w:t>
            </w:r>
            <w:r w:rsidR="00A61445" w:rsidRPr="004C7C46">
              <w:rPr>
                <w:rFonts w:ascii="Times New Roman" w:eastAsia="Times New Roman" w:hAnsi="Times New Roman" w:cs="Times New Roman"/>
                <w:iCs/>
                <w:color w:val="000000" w:themeColor="text1"/>
                <w:spacing w:val="-4"/>
                <w:sz w:val="24"/>
                <w:szCs w:val="24"/>
                <w:lang w:eastAsia="lv-LV"/>
              </w:rPr>
              <w:t>. panta pirmā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b/>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b/>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24.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c)</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w:t>
            </w:r>
            <w:r w:rsidR="002371D3" w:rsidRPr="004C7C46">
              <w:rPr>
                <w:rFonts w:ascii="Times New Roman" w:eastAsia="Times New Roman" w:hAnsi="Times New Roman" w:cs="Times New Roman"/>
                <w:iCs/>
                <w:color w:val="000000" w:themeColor="text1"/>
                <w:spacing w:val="-4"/>
                <w:sz w:val="24"/>
                <w:szCs w:val="24"/>
                <w:lang w:eastAsia="lv-LV"/>
              </w:rPr>
              <w:t xml:space="preserve">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6</w:t>
            </w:r>
            <w:r w:rsidR="002371D3" w:rsidRPr="004C7C46">
              <w:rPr>
                <w:rFonts w:ascii="Times New Roman" w:eastAsia="Times New Roman" w:hAnsi="Times New Roman" w:cs="Times New Roman"/>
                <w:iCs/>
                <w:color w:val="000000" w:themeColor="text1"/>
                <w:spacing w:val="-4"/>
                <w:sz w:val="24"/>
                <w:szCs w:val="24"/>
                <w:lang w:eastAsia="lv-LV"/>
              </w:rPr>
              <w:t>. panta</w:t>
            </w:r>
            <w:r w:rsidRPr="004C7C46">
              <w:rPr>
                <w:rFonts w:ascii="Times New Roman" w:eastAsia="Times New Roman" w:hAnsi="Times New Roman" w:cs="Times New Roman"/>
                <w:iCs/>
                <w:color w:val="000000" w:themeColor="text1"/>
                <w:spacing w:val="-4"/>
                <w:sz w:val="24"/>
                <w:szCs w:val="24"/>
                <w:lang w:eastAsia="lv-LV"/>
              </w:rPr>
              <w:t xml:space="preserve"> </w:t>
            </w:r>
            <w:r w:rsidR="002371D3" w:rsidRPr="004C7C46">
              <w:rPr>
                <w:rFonts w:ascii="Times New Roman" w:eastAsia="Times New Roman" w:hAnsi="Times New Roman" w:cs="Times New Roman"/>
                <w:iCs/>
                <w:color w:val="000000" w:themeColor="text1"/>
                <w:spacing w:val="-4"/>
                <w:sz w:val="24"/>
                <w:szCs w:val="24"/>
                <w:lang w:eastAsia="lv-LV"/>
              </w:rPr>
              <w:t>otrā, trešā, ceturtā un piektā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A61445" w:rsidRPr="004C7C46">
              <w:rPr>
                <w:rFonts w:ascii="Times New Roman" w:eastAsia="Times New Roman" w:hAnsi="Times New Roman" w:cs="Times New Roman"/>
                <w:iCs/>
                <w:color w:val="000000" w:themeColor="text1"/>
                <w:spacing w:val="-4"/>
                <w:sz w:val="24"/>
                <w:szCs w:val="24"/>
                <w:lang w:eastAsia="lv-LV"/>
              </w:rPr>
              <w:t>1. panta 24. punkta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d)</w:t>
            </w:r>
            <w:r w:rsidR="00A61445" w:rsidRPr="004C7C46">
              <w:rPr>
                <w:rFonts w:ascii="Times New Roman" w:eastAsia="Times New Roman" w:hAnsi="Times New Roman" w:cs="Times New Roman"/>
                <w:iCs/>
                <w:color w:val="000000" w:themeColor="text1"/>
                <w:spacing w:val="-4"/>
                <w:sz w:val="24"/>
                <w:szCs w:val="24"/>
                <w:lang w:eastAsia="lv-LV"/>
              </w:rPr>
              <w:t xml:space="preserve"> apakšpunkta i) punkts</w:t>
            </w:r>
            <w:r w:rsidRPr="004C7C46">
              <w:rPr>
                <w:rFonts w:ascii="Times New Roman" w:eastAsia="Times New Roman" w:hAnsi="Times New Roman" w:cs="Times New Roman"/>
                <w:iCs/>
                <w:color w:val="000000" w:themeColor="text1"/>
                <w:spacing w:val="-4"/>
                <w:sz w:val="24"/>
                <w:szCs w:val="24"/>
                <w:lang w:eastAsia="lv-LV"/>
              </w:rPr>
              <w:t xml:space="preserve"> </w:t>
            </w:r>
          </w:p>
        </w:tc>
        <w:tc>
          <w:tcPr>
            <w:tcW w:w="1834" w:type="dxa"/>
            <w:tcBorders>
              <w:top w:val="outset" w:sz="6" w:space="0" w:color="auto"/>
              <w:left w:val="outset" w:sz="6" w:space="0" w:color="auto"/>
              <w:bottom w:val="outset" w:sz="6" w:space="0" w:color="auto"/>
              <w:right w:val="outset" w:sz="6" w:space="0" w:color="auto"/>
            </w:tcBorders>
          </w:tcPr>
          <w:p w:rsidR="00A61445"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6</w:t>
            </w:r>
            <w:r w:rsidR="00A61445" w:rsidRPr="004C7C46">
              <w:rPr>
                <w:rFonts w:ascii="Times New Roman" w:eastAsia="Times New Roman" w:hAnsi="Times New Roman" w:cs="Times New Roman"/>
                <w:iCs/>
                <w:color w:val="000000" w:themeColor="text1"/>
                <w:spacing w:val="-4"/>
                <w:sz w:val="24"/>
                <w:szCs w:val="24"/>
                <w:lang w:eastAsia="lv-LV"/>
              </w:rPr>
              <w:t>.  panta sestā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2371D3" w:rsidRPr="004C7C46">
              <w:rPr>
                <w:rFonts w:ascii="Times New Roman" w:eastAsia="Times New Roman" w:hAnsi="Times New Roman" w:cs="Times New Roman"/>
                <w:iCs/>
                <w:color w:val="000000" w:themeColor="text1"/>
                <w:spacing w:val="-4"/>
                <w:sz w:val="24"/>
                <w:szCs w:val="24"/>
                <w:lang w:eastAsia="lv-LV"/>
              </w:rPr>
              <w:t>1. panta 24. punkta</w:t>
            </w:r>
          </w:p>
          <w:p w:rsidR="002371D3" w:rsidRPr="004C7C46" w:rsidRDefault="002371D3"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d) apakšpunkta ii) punkts </w:t>
            </w:r>
          </w:p>
        </w:tc>
        <w:tc>
          <w:tcPr>
            <w:tcW w:w="1834" w:type="dxa"/>
            <w:tcBorders>
              <w:top w:val="outset" w:sz="6" w:space="0" w:color="auto"/>
              <w:left w:val="outset" w:sz="6" w:space="0" w:color="auto"/>
              <w:bottom w:val="outset" w:sz="6" w:space="0" w:color="auto"/>
              <w:right w:val="outset" w:sz="6" w:space="0" w:color="auto"/>
            </w:tcBorders>
          </w:tcPr>
          <w:p w:rsidR="002371D3" w:rsidRPr="004C7C46" w:rsidRDefault="002371D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6</w:t>
            </w:r>
            <w:r w:rsidRPr="004C7C46">
              <w:rPr>
                <w:rFonts w:ascii="Times New Roman" w:eastAsia="Times New Roman" w:hAnsi="Times New Roman" w:cs="Times New Roman"/>
                <w:iCs/>
                <w:color w:val="000000" w:themeColor="text1"/>
                <w:spacing w:val="-4"/>
                <w:sz w:val="24"/>
                <w:szCs w:val="24"/>
                <w:lang w:eastAsia="lv-LV"/>
              </w:rPr>
              <w:t xml:space="preserve">.  panta </w:t>
            </w:r>
            <w:r w:rsidR="00AF4625" w:rsidRPr="004C7C46">
              <w:rPr>
                <w:rFonts w:ascii="Times New Roman" w:eastAsia="Times New Roman" w:hAnsi="Times New Roman" w:cs="Times New Roman"/>
                <w:iCs/>
                <w:color w:val="000000" w:themeColor="text1"/>
                <w:spacing w:val="-4"/>
                <w:sz w:val="24"/>
                <w:szCs w:val="24"/>
                <w:lang w:eastAsia="lv-LV"/>
              </w:rPr>
              <w:t>astotā</w:t>
            </w:r>
            <w:r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2371D3" w:rsidRPr="004C7C46" w:rsidRDefault="002371D3" w:rsidP="002371D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371D3" w:rsidRPr="004C7C46" w:rsidRDefault="002371D3" w:rsidP="002371D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76962"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 xml:space="preserve">1. panta 25. punkts </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7</w:t>
            </w:r>
            <w:r w:rsidR="009756C8" w:rsidRPr="004C7C46">
              <w:rPr>
                <w:rFonts w:ascii="Times New Roman" w:eastAsia="Times New Roman" w:hAnsi="Times New Roman" w:cs="Times New Roman"/>
                <w:iCs/>
                <w:color w:val="000000" w:themeColor="text1"/>
                <w:spacing w:val="-4"/>
                <w:sz w:val="24"/>
                <w:szCs w:val="24"/>
                <w:lang w:eastAsia="lv-LV"/>
              </w:rPr>
              <w:t>. panta pirmā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26.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023C2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8</w:t>
            </w:r>
            <w:r w:rsidR="009756C8" w:rsidRPr="004C7C46">
              <w:rPr>
                <w:rFonts w:ascii="Times New Roman" w:eastAsia="Times New Roman" w:hAnsi="Times New Roman" w:cs="Times New Roman"/>
                <w:iCs/>
                <w:color w:val="000000" w:themeColor="text1"/>
                <w:spacing w:val="-4"/>
                <w:sz w:val="24"/>
                <w:szCs w:val="24"/>
                <w:lang w:eastAsia="lv-LV"/>
              </w:rPr>
              <w:t>.</w:t>
            </w:r>
            <w:r w:rsidR="000F221C" w:rsidRPr="004C7C46">
              <w:rPr>
                <w:rFonts w:ascii="Times New Roman" w:eastAsia="Times New Roman" w:hAnsi="Times New Roman" w:cs="Times New Roman"/>
                <w:iCs/>
                <w:color w:val="000000" w:themeColor="text1"/>
                <w:spacing w:val="-4"/>
                <w:sz w:val="24"/>
                <w:szCs w:val="24"/>
                <w:lang w:eastAsia="lv-LV"/>
              </w:rPr>
              <w:t> </w:t>
            </w:r>
            <w:r w:rsidR="009756C8" w:rsidRPr="004C7C46">
              <w:rPr>
                <w:rFonts w:ascii="Times New Roman" w:eastAsia="Times New Roman" w:hAnsi="Times New Roman" w:cs="Times New Roman"/>
                <w:iCs/>
                <w:color w:val="000000" w:themeColor="text1"/>
                <w:spacing w:val="-4"/>
                <w:sz w:val="24"/>
                <w:szCs w:val="24"/>
                <w:lang w:eastAsia="lv-LV"/>
              </w:rPr>
              <w:t xml:space="preserve">panta </w:t>
            </w:r>
            <w:r w:rsidR="00362CE5" w:rsidRPr="004C7C46">
              <w:rPr>
                <w:rFonts w:ascii="Times New Roman" w:eastAsia="Times New Roman" w:hAnsi="Times New Roman" w:cs="Times New Roman"/>
                <w:iCs/>
                <w:color w:val="000000" w:themeColor="text1"/>
                <w:spacing w:val="-4"/>
                <w:sz w:val="24"/>
                <w:szCs w:val="24"/>
                <w:lang w:eastAsia="lv-LV"/>
              </w:rPr>
              <w:t>pirmā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26.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8</w:t>
            </w:r>
            <w:r w:rsidR="00362CE5" w:rsidRPr="004C7C46">
              <w:rPr>
                <w:rFonts w:ascii="Times New Roman" w:eastAsia="Times New Roman" w:hAnsi="Times New Roman" w:cs="Times New Roman"/>
                <w:iCs/>
                <w:color w:val="000000" w:themeColor="text1"/>
                <w:spacing w:val="-4"/>
                <w:sz w:val="24"/>
                <w:szCs w:val="24"/>
                <w:lang w:eastAsia="lv-LV"/>
              </w:rPr>
              <w:t>. panta otrā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76962"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27. punkts</w:t>
            </w:r>
          </w:p>
        </w:tc>
        <w:tc>
          <w:tcPr>
            <w:tcW w:w="1834" w:type="dxa"/>
            <w:tcBorders>
              <w:top w:val="outset" w:sz="6" w:space="0" w:color="auto"/>
              <w:left w:val="outset" w:sz="6" w:space="0" w:color="auto"/>
              <w:bottom w:val="outset" w:sz="6" w:space="0" w:color="auto"/>
              <w:right w:val="outset" w:sz="6" w:space="0" w:color="auto"/>
            </w:tcBorders>
          </w:tcPr>
          <w:p w:rsidR="00DB6EA7"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w:t>
            </w:r>
          </w:p>
          <w:p w:rsidR="00B76962" w:rsidRPr="004C7C46" w:rsidRDefault="00002EB7"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60</w:t>
            </w:r>
            <w:r w:rsidR="00952E5E" w:rsidRPr="004C7C46">
              <w:rPr>
                <w:rFonts w:ascii="Times New Roman" w:eastAsia="Times New Roman" w:hAnsi="Times New Roman" w:cs="Times New Roman"/>
                <w:iCs/>
                <w:color w:val="000000" w:themeColor="text1"/>
                <w:spacing w:val="-4"/>
                <w:sz w:val="24"/>
                <w:szCs w:val="24"/>
                <w:lang w:eastAsia="lv-LV"/>
              </w:rPr>
              <w:t xml:space="preserve">. panta </w:t>
            </w:r>
            <w:r w:rsidR="00306860" w:rsidRPr="004C7C46">
              <w:rPr>
                <w:rFonts w:ascii="Times New Roman" w:eastAsia="Times New Roman" w:hAnsi="Times New Roman" w:cs="Times New Roman"/>
                <w:iCs/>
                <w:color w:val="000000" w:themeColor="text1"/>
                <w:spacing w:val="-4"/>
                <w:sz w:val="24"/>
                <w:szCs w:val="24"/>
                <w:lang w:eastAsia="lv-LV"/>
              </w:rPr>
              <w:t>otrā un trešā</w:t>
            </w:r>
            <w:r w:rsidR="00952E5E" w:rsidRPr="004C7C46">
              <w:rPr>
                <w:rFonts w:ascii="Times New Roman" w:eastAsia="Times New Roman" w:hAnsi="Times New Roman" w:cs="Times New Roman"/>
                <w:iCs/>
                <w:color w:val="000000" w:themeColor="text1"/>
                <w:spacing w:val="-4"/>
                <w:sz w:val="24"/>
                <w:szCs w:val="24"/>
                <w:lang w:eastAsia="lv-LV"/>
              </w:rPr>
              <w:t xml:space="preserve"> daļa</w:t>
            </w:r>
            <w:r w:rsidR="00306860" w:rsidRPr="004C7C46">
              <w:rPr>
                <w:rFonts w:ascii="Times New Roman" w:eastAsia="Times New Roman" w:hAnsi="Times New Roman" w:cs="Times New Roman"/>
                <w:iCs/>
                <w:color w:val="000000" w:themeColor="text1"/>
                <w:spacing w:val="-4"/>
                <w:sz w:val="24"/>
                <w:szCs w:val="24"/>
                <w:lang w:eastAsia="lv-LV"/>
              </w:rPr>
              <w:t xml:space="preserve"> </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76962"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952E5E" w:rsidRPr="004C7C46">
              <w:rPr>
                <w:rFonts w:ascii="Times New Roman" w:eastAsia="Times New Roman" w:hAnsi="Times New Roman" w:cs="Times New Roman"/>
                <w:iCs/>
                <w:color w:val="000000" w:themeColor="text1"/>
                <w:spacing w:val="-4"/>
                <w:sz w:val="24"/>
                <w:szCs w:val="24"/>
                <w:lang w:eastAsia="lv-LV"/>
              </w:rPr>
              <w:t>1. panta 28. 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878F5" w:rsidRPr="004C7C46">
              <w:rPr>
                <w:rFonts w:ascii="Times New Roman" w:eastAsia="Times New Roman" w:hAnsi="Times New Roman" w:cs="Times New Roman"/>
                <w:iCs/>
                <w:color w:val="000000" w:themeColor="text1"/>
                <w:spacing w:val="-4"/>
                <w:sz w:val="24"/>
                <w:szCs w:val="24"/>
                <w:lang w:eastAsia="lv-LV"/>
              </w:rPr>
              <w:t>6</w:t>
            </w:r>
            <w:r w:rsidR="00002EB7" w:rsidRPr="004C7C46">
              <w:rPr>
                <w:rFonts w:ascii="Times New Roman" w:eastAsia="Times New Roman" w:hAnsi="Times New Roman" w:cs="Times New Roman"/>
                <w:iCs/>
                <w:color w:val="000000" w:themeColor="text1"/>
                <w:spacing w:val="-4"/>
                <w:sz w:val="24"/>
                <w:szCs w:val="24"/>
                <w:lang w:eastAsia="lv-LV"/>
              </w:rPr>
              <w:t>2</w:t>
            </w:r>
            <w:r w:rsidR="00952E5E"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29.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6</w:t>
            </w:r>
            <w:r w:rsidR="00002EB7" w:rsidRPr="004C7C46">
              <w:rPr>
                <w:rFonts w:ascii="Times New Roman" w:eastAsia="Times New Roman" w:hAnsi="Times New Roman" w:cs="Times New Roman"/>
                <w:iCs/>
                <w:color w:val="000000" w:themeColor="text1"/>
                <w:spacing w:val="-4"/>
                <w:sz w:val="24"/>
                <w:szCs w:val="24"/>
                <w:lang w:eastAsia="lv-LV"/>
              </w:rPr>
              <w:t>3</w:t>
            </w:r>
            <w:r w:rsidR="00952E5E" w:rsidRPr="004C7C46">
              <w:rPr>
                <w:rFonts w:ascii="Times New Roman" w:eastAsia="Times New Roman" w:hAnsi="Times New Roman" w:cs="Times New Roman"/>
                <w:iCs/>
                <w:color w:val="000000" w:themeColor="text1"/>
                <w:spacing w:val="-4"/>
                <w:sz w:val="24"/>
                <w:szCs w:val="24"/>
                <w:lang w:eastAsia="lv-LV"/>
              </w:rPr>
              <w:t>. panta pirmā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lastRenderedPageBreak/>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29.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6</w:t>
            </w:r>
            <w:r w:rsidR="00002EB7" w:rsidRPr="004C7C46">
              <w:rPr>
                <w:rFonts w:ascii="Times New Roman" w:eastAsia="Times New Roman" w:hAnsi="Times New Roman" w:cs="Times New Roman"/>
                <w:iCs/>
                <w:color w:val="000000" w:themeColor="text1"/>
                <w:spacing w:val="-4"/>
                <w:sz w:val="24"/>
                <w:szCs w:val="24"/>
                <w:lang w:eastAsia="lv-LV"/>
              </w:rPr>
              <w:t>3</w:t>
            </w:r>
            <w:r w:rsidRPr="004C7C46">
              <w:rPr>
                <w:rFonts w:ascii="Times New Roman" w:eastAsia="Times New Roman" w:hAnsi="Times New Roman" w:cs="Times New Roman"/>
                <w:iCs/>
                <w:color w:val="000000" w:themeColor="text1"/>
                <w:spacing w:val="-4"/>
                <w:sz w:val="24"/>
                <w:szCs w:val="24"/>
                <w:lang w:eastAsia="lv-LV"/>
              </w:rPr>
              <w:t>.</w:t>
            </w:r>
            <w:r w:rsidR="00952E5E" w:rsidRPr="004C7C46">
              <w:rPr>
                <w:rFonts w:ascii="Times New Roman" w:eastAsia="Times New Roman" w:hAnsi="Times New Roman" w:cs="Times New Roman"/>
                <w:iCs/>
                <w:color w:val="000000" w:themeColor="text1"/>
                <w:spacing w:val="-4"/>
                <w:sz w:val="24"/>
                <w:szCs w:val="24"/>
                <w:lang w:eastAsia="lv-LV"/>
              </w:rPr>
              <w:t> panta trešā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30. punkt</w:t>
            </w:r>
            <w:r w:rsidR="00D70079" w:rsidRPr="004C7C46">
              <w:rPr>
                <w:rFonts w:ascii="Times New Roman" w:eastAsia="Times New Roman" w:hAnsi="Times New Roman" w:cs="Times New Roman"/>
                <w:iCs/>
                <w:color w:val="000000" w:themeColor="text1"/>
                <w:spacing w:val="-4"/>
                <w:sz w:val="24"/>
                <w:szCs w:val="24"/>
                <w:lang w:eastAsia="lv-LV"/>
              </w:rPr>
              <w:t>a</w:t>
            </w:r>
            <w:r w:rsidR="00B76962" w:rsidRPr="004C7C46">
              <w:rPr>
                <w:rFonts w:ascii="Times New Roman" w:eastAsia="Times New Roman" w:hAnsi="Times New Roman" w:cs="Times New Roman"/>
                <w:iCs/>
                <w:color w:val="000000" w:themeColor="text1"/>
                <w:spacing w:val="-4"/>
                <w:sz w:val="24"/>
                <w:szCs w:val="24"/>
                <w:lang w:eastAsia="lv-LV"/>
              </w:rPr>
              <w:t xml:space="preserve"> </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a)</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7878F5" w:rsidRPr="004C7C46">
              <w:rPr>
                <w:rFonts w:ascii="Times New Roman" w:eastAsia="Times New Roman" w:hAnsi="Times New Roman" w:cs="Times New Roman"/>
                <w:iCs/>
                <w:color w:val="000000" w:themeColor="text1"/>
                <w:spacing w:val="-4"/>
                <w:sz w:val="24"/>
                <w:szCs w:val="24"/>
                <w:lang w:eastAsia="lv-LV"/>
              </w:rPr>
              <w:t>5</w:t>
            </w:r>
            <w:r w:rsidR="00002EB7" w:rsidRPr="004C7C46">
              <w:rPr>
                <w:rFonts w:ascii="Times New Roman" w:eastAsia="Times New Roman" w:hAnsi="Times New Roman" w:cs="Times New Roman"/>
                <w:iCs/>
                <w:color w:val="000000" w:themeColor="text1"/>
                <w:spacing w:val="-4"/>
                <w:sz w:val="24"/>
                <w:szCs w:val="24"/>
                <w:lang w:eastAsia="lv-LV"/>
              </w:rPr>
              <w:t>7</w:t>
            </w:r>
            <w:r w:rsidR="000A43F6" w:rsidRPr="004C7C46">
              <w:rPr>
                <w:rFonts w:ascii="Times New Roman" w:eastAsia="Times New Roman" w:hAnsi="Times New Roman" w:cs="Times New Roman"/>
                <w:iCs/>
                <w:color w:val="000000" w:themeColor="text1"/>
                <w:spacing w:val="-4"/>
                <w:sz w:val="24"/>
                <w:szCs w:val="24"/>
                <w:lang w:eastAsia="lv-LV"/>
              </w:rPr>
              <w:t>. panta pirmā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30. punkt</w:t>
            </w:r>
            <w:r w:rsidR="00D70079" w:rsidRPr="004C7C46">
              <w:rPr>
                <w:rFonts w:ascii="Times New Roman" w:eastAsia="Times New Roman" w:hAnsi="Times New Roman" w:cs="Times New Roman"/>
                <w:iCs/>
                <w:color w:val="000000" w:themeColor="text1"/>
                <w:spacing w:val="-4"/>
                <w:sz w:val="24"/>
                <w:szCs w:val="24"/>
                <w:lang w:eastAsia="lv-LV"/>
              </w:rPr>
              <w:t>a</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6</w:t>
            </w:r>
            <w:r w:rsidR="00002EB7" w:rsidRPr="004C7C46">
              <w:rPr>
                <w:rFonts w:ascii="Times New Roman" w:eastAsia="Times New Roman" w:hAnsi="Times New Roman" w:cs="Times New Roman"/>
                <w:iCs/>
                <w:color w:val="000000" w:themeColor="text1"/>
                <w:spacing w:val="-4"/>
                <w:sz w:val="24"/>
                <w:szCs w:val="24"/>
                <w:lang w:eastAsia="lv-LV"/>
              </w:rPr>
              <w:t>5</w:t>
            </w:r>
            <w:r w:rsidR="000A43F6" w:rsidRPr="004C7C46">
              <w:rPr>
                <w:rFonts w:ascii="Times New Roman" w:eastAsia="Times New Roman" w:hAnsi="Times New Roman" w:cs="Times New Roman"/>
                <w:iCs/>
                <w:color w:val="000000" w:themeColor="text1"/>
                <w:spacing w:val="-4"/>
                <w:sz w:val="24"/>
                <w:szCs w:val="24"/>
                <w:lang w:eastAsia="lv-LV"/>
              </w:rPr>
              <w:t>. panta otrā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76962"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31. 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w:t>
            </w:r>
            <w:r w:rsidR="000A43F6" w:rsidRPr="004C7C46">
              <w:rPr>
                <w:rFonts w:ascii="Times New Roman" w:eastAsia="Times New Roman" w:hAnsi="Times New Roman" w:cs="Times New Roman"/>
                <w:iCs/>
                <w:color w:val="000000" w:themeColor="text1"/>
                <w:spacing w:val="-4"/>
                <w:sz w:val="24"/>
                <w:szCs w:val="24"/>
                <w:lang w:eastAsia="lv-LV"/>
              </w:rPr>
              <w:t xml:space="preserve"> </w:t>
            </w:r>
            <w:r w:rsidR="0068106B" w:rsidRPr="004C7C46">
              <w:rPr>
                <w:rFonts w:ascii="Times New Roman" w:eastAsia="Times New Roman" w:hAnsi="Times New Roman" w:cs="Times New Roman"/>
                <w:iCs/>
                <w:color w:val="000000" w:themeColor="text1"/>
                <w:spacing w:val="-4"/>
                <w:sz w:val="24"/>
                <w:szCs w:val="24"/>
                <w:lang w:eastAsia="lv-LV"/>
              </w:rPr>
              <w:t>6</w:t>
            </w:r>
            <w:r w:rsidR="00002EB7" w:rsidRPr="004C7C46">
              <w:rPr>
                <w:rFonts w:ascii="Times New Roman" w:eastAsia="Times New Roman" w:hAnsi="Times New Roman" w:cs="Times New Roman"/>
                <w:iCs/>
                <w:color w:val="000000" w:themeColor="text1"/>
                <w:spacing w:val="-4"/>
                <w:sz w:val="24"/>
                <w:szCs w:val="24"/>
                <w:lang w:eastAsia="lv-LV"/>
              </w:rPr>
              <w:t>6</w:t>
            </w:r>
            <w:r w:rsidR="000A43F6"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76962"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32. 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6</w:t>
            </w:r>
            <w:r w:rsidR="00002EB7" w:rsidRPr="004C7C46">
              <w:rPr>
                <w:rFonts w:ascii="Times New Roman" w:eastAsia="Times New Roman" w:hAnsi="Times New Roman" w:cs="Times New Roman"/>
                <w:iCs/>
                <w:color w:val="000000" w:themeColor="text1"/>
                <w:spacing w:val="-4"/>
                <w:sz w:val="24"/>
                <w:szCs w:val="24"/>
                <w:lang w:eastAsia="lv-LV"/>
              </w:rPr>
              <w:t>7</w:t>
            </w:r>
            <w:r w:rsidR="000A43F6"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76962"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33. 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6</w:t>
            </w:r>
            <w:r w:rsidR="00002EB7" w:rsidRPr="004C7C46">
              <w:rPr>
                <w:rFonts w:ascii="Times New Roman" w:eastAsia="Times New Roman" w:hAnsi="Times New Roman" w:cs="Times New Roman"/>
                <w:iCs/>
                <w:color w:val="000000" w:themeColor="text1"/>
                <w:spacing w:val="-4"/>
                <w:sz w:val="24"/>
                <w:szCs w:val="24"/>
                <w:lang w:eastAsia="lv-LV"/>
              </w:rPr>
              <w:t>8</w:t>
            </w:r>
            <w:r w:rsidR="000A43F6"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70079"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B76962" w:rsidRPr="004C7C46">
              <w:rPr>
                <w:rFonts w:ascii="Times New Roman" w:eastAsia="Times New Roman" w:hAnsi="Times New Roman" w:cs="Times New Roman"/>
                <w:iCs/>
                <w:color w:val="000000" w:themeColor="text1"/>
                <w:spacing w:val="-4"/>
                <w:sz w:val="24"/>
                <w:szCs w:val="24"/>
                <w:lang w:eastAsia="lv-LV"/>
              </w:rPr>
              <w:t>1. panta 34. punkt</w:t>
            </w:r>
            <w:r w:rsidR="00D70079" w:rsidRPr="004C7C46">
              <w:rPr>
                <w:rFonts w:ascii="Times New Roman" w:eastAsia="Times New Roman" w:hAnsi="Times New Roman" w:cs="Times New Roman"/>
                <w:iCs/>
                <w:color w:val="000000" w:themeColor="text1"/>
                <w:spacing w:val="-4"/>
                <w:sz w:val="24"/>
                <w:szCs w:val="24"/>
                <w:lang w:eastAsia="lv-LV"/>
              </w:rPr>
              <w:t>a</w:t>
            </w:r>
            <w:r w:rsidR="00B76962" w:rsidRPr="004C7C46">
              <w:rPr>
                <w:rFonts w:ascii="Times New Roman" w:eastAsia="Times New Roman" w:hAnsi="Times New Roman" w:cs="Times New Roman"/>
                <w:iCs/>
                <w:color w:val="000000" w:themeColor="text1"/>
                <w:spacing w:val="-4"/>
                <w:sz w:val="24"/>
                <w:szCs w:val="24"/>
                <w:lang w:eastAsia="lv-LV"/>
              </w:rPr>
              <w:t xml:space="preserve"> </w:t>
            </w:r>
          </w:p>
          <w:p w:rsidR="00B76962" w:rsidRPr="004C7C46" w:rsidRDefault="00B76962"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b)</w:t>
            </w:r>
            <w:r w:rsidR="00D70079" w:rsidRPr="004C7C46">
              <w:rPr>
                <w:rFonts w:ascii="Times New Roman" w:eastAsia="Times New Roman" w:hAnsi="Times New Roman" w:cs="Times New Roman"/>
                <w:iCs/>
                <w:color w:val="000000" w:themeColor="text1"/>
                <w:spacing w:val="-4"/>
                <w:sz w:val="24"/>
                <w:szCs w:val="24"/>
                <w:lang w:eastAsia="lv-LV"/>
              </w:rPr>
              <w:t xml:space="preserve">  apakšpunkts</w:t>
            </w:r>
          </w:p>
        </w:tc>
        <w:tc>
          <w:tcPr>
            <w:tcW w:w="1834" w:type="dxa"/>
            <w:tcBorders>
              <w:top w:val="outset" w:sz="6" w:space="0" w:color="auto"/>
              <w:left w:val="outset" w:sz="6" w:space="0" w:color="auto"/>
              <w:bottom w:val="outset" w:sz="6" w:space="0" w:color="auto"/>
              <w:right w:val="outset" w:sz="6" w:space="0" w:color="auto"/>
            </w:tcBorders>
          </w:tcPr>
          <w:p w:rsidR="00B76962" w:rsidRPr="004C7C46" w:rsidRDefault="00B76962"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7</w:t>
            </w:r>
            <w:r w:rsidR="00002EB7" w:rsidRPr="004C7C46">
              <w:rPr>
                <w:rFonts w:ascii="Times New Roman" w:eastAsia="Times New Roman" w:hAnsi="Times New Roman" w:cs="Times New Roman"/>
                <w:iCs/>
                <w:color w:val="000000" w:themeColor="text1"/>
                <w:spacing w:val="-4"/>
                <w:sz w:val="24"/>
                <w:szCs w:val="24"/>
                <w:lang w:eastAsia="lv-LV"/>
              </w:rPr>
              <w:t>4</w:t>
            </w:r>
            <w:r w:rsidR="00466B32" w:rsidRPr="004C7C46">
              <w:rPr>
                <w:rFonts w:ascii="Times New Roman" w:eastAsia="Times New Roman" w:hAnsi="Times New Roman" w:cs="Times New Roman"/>
                <w:iCs/>
                <w:color w:val="000000" w:themeColor="text1"/>
                <w:spacing w:val="-4"/>
                <w:sz w:val="24"/>
                <w:szCs w:val="24"/>
                <w:lang w:eastAsia="lv-LV"/>
              </w:rPr>
              <w:t>. panta pirmā daļa</w:t>
            </w:r>
          </w:p>
        </w:tc>
        <w:tc>
          <w:tcPr>
            <w:tcW w:w="167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76962" w:rsidRPr="004C7C46" w:rsidRDefault="00B76962" w:rsidP="00B76962">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5A60B1" w:rsidRPr="004C7C46" w:rsidRDefault="0004235D" w:rsidP="00D70079">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spacing w:val="-2"/>
                <w:sz w:val="24"/>
                <w:szCs w:val="27"/>
                <w:lang w:eastAsia="lv-LV"/>
              </w:rPr>
              <w:t xml:space="preserve">Direktīvas (ES) 2019/879 </w:t>
            </w:r>
            <w:r w:rsidR="005A60B1" w:rsidRPr="004C7C46">
              <w:rPr>
                <w:rFonts w:ascii="Times New Roman" w:eastAsia="Times New Roman" w:hAnsi="Times New Roman" w:cs="Times New Roman"/>
                <w:iCs/>
                <w:color w:val="000000" w:themeColor="text1"/>
                <w:spacing w:val="-4"/>
                <w:sz w:val="24"/>
                <w:szCs w:val="24"/>
                <w:lang w:eastAsia="lv-LV"/>
              </w:rPr>
              <w:t>1. panta 35. punkts</w:t>
            </w:r>
          </w:p>
        </w:tc>
        <w:tc>
          <w:tcPr>
            <w:tcW w:w="1834" w:type="dxa"/>
            <w:tcBorders>
              <w:top w:val="outset" w:sz="6" w:space="0" w:color="auto"/>
              <w:left w:val="outset" w:sz="6" w:space="0" w:color="auto"/>
              <w:bottom w:val="outset" w:sz="6" w:space="0" w:color="auto"/>
              <w:right w:val="outset" w:sz="6" w:space="0" w:color="auto"/>
            </w:tcBorders>
          </w:tcPr>
          <w:p w:rsidR="005A60B1" w:rsidRPr="004C7C46" w:rsidRDefault="005A60B1"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68106B" w:rsidRPr="004C7C46">
              <w:rPr>
                <w:rFonts w:ascii="Times New Roman" w:eastAsia="Times New Roman" w:hAnsi="Times New Roman" w:cs="Times New Roman"/>
                <w:iCs/>
                <w:color w:val="000000" w:themeColor="text1"/>
                <w:spacing w:val="-4"/>
                <w:sz w:val="24"/>
                <w:szCs w:val="24"/>
                <w:lang w:eastAsia="lv-LV"/>
              </w:rPr>
              <w:t>7</w:t>
            </w:r>
            <w:r w:rsidR="00002EB7" w:rsidRPr="004C7C46">
              <w:rPr>
                <w:rFonts w:ascii="Times New Roman" w:eastAsia="Times New Roman" w:hAnsi="Times New Roman" w:cs="Times New Roman"/>
                <w:iCs/>
                <w:color w:val="000000" w:themeColor="text1"/>
                <w:spacing w:val="-4"/>
                <w:sz w:val="24"/>
                <w:szCs w:val="24"/>
                <w:lang w:eastAsia="lv-LV"/>
              </w:rPr>
              <w:t>5</w:t>
            </w:r>
            <w:r w:rsidRPr="004C7C46">
              <w:rPr>
                <w:rFonts w:ascii="Times New Roman" w:eastAsia="Times New Roman" w:hAnsi="Times New Roman" w:cs="Times New Roman"/>
                <w:iCs/>
                <w:color w:val="000000" w:themeColor="text1"/>
                <w:spacing w:val="-4"/>
                <w:sz w:val="24"/>
                <w:szCs w:val="24"/>
                <w:lang w:eastAsia="lv-LV"/>
              </w:rPr>
              <w:t>. pants</w:t>
            </w:r>
          </w:p>
        </w:tc>
        <w:tc>
          <w:tcPr>
            <w:tcW w:w="1671" w:type="dxa"/>
            <w:tcBorders>
              <w:top w:val="outset" w:sz="6" w:space="0" w:color="auto"/>
              <w:left w:val="outset" w:sz="6" w:space="0" w:color="auto"/>
              <w:bottom w:val="outset" w:sz="6" w:space="0" w:color="auto"/>
              <w:right w:val="outset" w:sz="6" w:space="0" w:color="auto"/>
            </w:tcBorders>
          </w:tcPr>
          <w:p w:rsidR="005A60B1" w:rsidRPr="004C7C46" w:rsidRDefault="005A60B1" w:rsidP="005A60B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5A60B1" w:rsidRPr="004C7C46" w:rsidRDefault="005A60B1" w:rsidP="005A60B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396D09" w:rsidRPr="004C7C46" w:rsidRDefault="00396D09" w:rsidP="00396D09">
            <w:pPr>
              <w:spacing w:after="0" w:line="240" w:lineRule="auto"/>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Direktīvas 2014/59/ES 1. panta 91. punkts</w:t>
            </w:r>
          </w:p>
        </w:tc>
        <w:tc>
          <w:tcPr>
            <w:tcW w:w="1834" w:type="dxa"/>
            <w:tcBorders>
              <w:top w:val="outset" w:sz="6" w:space="0" w:color="auto"/>
              <w:left w:val="outset" w:sz="6" w:space="0" w:color="auto"/>
              <w:bottom w:val="outset" w:sz="6" w:space="0" w:color="auto"/>
              <w:right w:val="outset" w:sz="6" w:space="0" w:color="auto"/>
            </w:tcBorders>
          </w:tcPr>
          <w:p w:rsidR="00396D09" w:rsidRPr="004C7C46" w:rsidRDefault="00396D09"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 panta trešā daļa</w:t>
            </w:r>
          </w:p>
        </w:tc>
        <w:tc>
          <w:tcPr>
            <w:tcW w:w="1671" w:type="dxa"/>
            <w:tcBorders>
              <w:top w:val="outset" w:sz="6" w:space="0" w:color="auto"/>
              <w:left w:val="outset" w:sz="6" w:space="0" w:color="auto"/>
              <w:bottom w:val="outset" w:sz="6" w:space="0" w:color="auto"/>
              <w:right w:val="outset" w:sz="6" w:space="0" w:color="auto"/>
            </w:tcBorders>
          </w:tcPr>
          <w:p w:rsidR="00396D09" w:rsidRPr="004C7C46" w:rsidRDefault="00396D09" w:rsidP="00396D09">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396D09" w:rsidRPr="004C7C46" w:rsidRDefault="00396D09" w:rsidP="00396D09">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396D09" w:rsidRPr="004C7C46" w:rsidRDefault="00396D09" w:rsidP="00396D09">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97074C" w:rsidRPr="004C7C46" w:rsidRDefault="0097074C" w:rsidP="0097074C">
            <w:pPr>
              <w:spacing w:after="0" w:line="240" w:lineRule="auto"/>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Direktīvas 2014/59/ES 15. panta 1. punkts</w:t>
            </w:r>
          </w:p>
        </w:tc>
        <w:tc>
          <w:tcPr>
            <w:tcW w:w="1834" w:type="dxa"/>
            <w:tcBorders>
              <w:top w:val="outset" w:sz="6" w:space="0" w:color="auto"/>
              <w:left w:val="outset" w:sz="6" w:space="0" w:color="auto"/>
              <w:bottom w:val="outset" w:sz="6" w:space="0" w:color="auto"/>
              <w:right w:val="outset" w:sz="6" w:space="0" w:color="auto"/>
            </w:tcBorders>
          </w:tcPr>
          <w:p w:rsidR="0097074C" w:rsidRPr="004C7C46" w:rsidRDefault="0097074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7. panta pirmā daļa</w:t>
            </w:r>
          </w:p>
        </w:tc>
        <w:tc>
          <w:tcPr>
            <w:tcW w:w="1671" w:type="dxa"/>
            <w:tcBorders>
              <w:top w:val="outset" w:sz="6" w:space="0" w:color="auto"/>
              <w:left w:val="outset" w:sz="6" w:space="0" w:color="auto"/>
              <w:bottom w:val="outset" w:sz="6" w:space="0" w:color="auto"/>
              <w:right w:val="outset" w:sz="6" w:space="0" w:color="auto"/>
            </w:tcBorders>
          </w:tcPr>
          <w:p w:rsidR="0097074C" w:rsidRPr="004C7C46" w:rsidRDefault="0097074C" w:rsidP="0097074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97074C" w:rsidRPr="004C7C46" w:rsidRDefault="0097074C" w:rsidP="0097074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97074C" w:rsidRPr="004C7C46" w:rsidRDefault="0097074C" w:rsidP="0097074C">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D81374" w:rsidRPr="004C7C46" w:rsidRDefault="00D81374" w:rsidP="00D81374">
            <w:pPr>
              <w:spacing w:after="0" w:line="240" w:lineRule="auto"/>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Direktīvas 2014/59/ES 16. panta 1. punkts</w:t>
            </w:r>
          </w:p>
        </w:tc>
        <w:tc>
          <w:tcPr>
            <w:tcW w:w="1834" w:type="dxa"/>
            <w:tcBorders>
              <w:top w:val="outset" w:sz="6" w:space="0" w:color="auto"/>
              <w:left w:val="outset" w:sz="6" w:space="0" w:color="auto"/>
              <w:bottom w:val="outset" w:sz="6" w:space="0" w:color="auto"/>
              <w:right w:val="outset" w:sz="6" w:space="0" w:color="auto"/>
            </w:tcBorders>
          </w:tcPr>
          <w:p w:rsidR="00D81374" w:rsidRPr="004C7C46" w:rsidRDefault="00D81374"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8. panta pirmā daļa</w:t>
            </w:r>
          </w:p>
        </w:tc>
        <w:tc>
          <w:tcPr>
            <w:tcW w:w="1671" w:type="dxa"/>
            <w:tcBorders>
              <w:top w:val="outset" w:sz="6" w:space="0" w:color="auto"/>
              <w:left w:val="outset" w:sz="6" w:space="0" w:color="auto"/>
              <w:bottom w:val="outset" w:sz="6" w:space="0" w:color="auto"/>
              <w:right w:val="outset" w:sz="6" w:space="0" w:color="auto"/>
            </w:tcBorders>
          </w:tcPr>
          <w:p w:rsidR="00D81374" w:rsidRPr="004C7C46" w:rsidRDefault="00D81374" w:rsidP="00D81374">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D81374" w:rsidRPr="004C7C46" w:rsidRDefault="00D81374" w:rsidP="00D81374">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D81374" w:rsidRPr="004C7C46" w:rsidRDefault="00D81374" w:rsidP="00D81374">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8F65F6" w:rsidRPr="004C7C46" w:rsidRDefault="009F0549" w:rsidP="008F65F6">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w:t>
            </w:r>
          </w:p>
          <w:p w:rsidR="009F0549" w:rsidRPr="004C7C46" w:rsidRDefault="009F0549" w:rsidP="008F65F6">
            <w:pPr>
              <w:spacing w:after="0" w:line="240" w:lineRule="auto"/>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27. panta ievaddaļa</w:t>
            </w:r>
          </w:p>
        </w:tc>
        <w:tc>
          <w:tcPr>
            <w:tcW w:w="1834" w:type="dxa"/>
            <w:tcBorders>
              <w:top w:val="outset" w:sz="6" w:space="0" w:color="auto"/>
              <w:left w:val="outset" w:sz="6" w:space="0" w:color="auto"/>
              <w:bottom w:val="outset" w:sz="6" w:space="0" w:color="auto"/>
              <w:right w:val="outset" w:sz="6" w:space="0" w:color="auto"/>
            </w:tcBorders>
          </w:tcPr>
          <w:p w:rsidR="008F65F6" w:rsidRPr="004C7C46" w:rsidRDefault="008F65F6"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16. panta pirmā daļa</w:t>
            </w:r>
          </w:p>
        </w:tc>
        <w:tc>
          <w:tcPr>
            <w:tcW w:w="1671" w:type="dxa"/>
            <w:tcBorders>
              <w:top w:val="outset" w:sz="6" w:space="0" w:color="auto"/>
              <w:left w:val="outset" w:sz="6" w:space="0" w:color="auto"/>
              <w:bottom w:val="outset" w:sz="6" w:space="0" w:color="auto"/>
              <w:right w:val="outset" w:sz="6" w:space="0" w:color="auto"/>
            </w:tcBorders>
          </w:tcPr>
          <w:p w:rsidR="008F65F6" w:rsidRPr="004C7C46" w:rsidRDefault="008F65F6" w:rsidP="008F65F6">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8F65F6" w:rsidRPr="004C7C46" w:rsidRDefault="008F65F6" w:rsidP="008F65F6">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8F65F6" w:rsidRPr="004C7C46" w:rsidRDefault="008F65F6" w:rsidP="008F65F6">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9F0549" w:rsidRPr="004C7C46" w:rsidRDefault="009F0549" w:rsidP="009F0549">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w:t>
            </w:r>
          </w:p>
          <w:p w:rsidR="009F0549" w:rsidRPr="004C7C46" w:rsidRDefault="009F0549" w:rsidP="009F0549">
            <w:pPr>
              <w:spacing w:after="0" w:line="240" w:lineRule="auto"/>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27. panta 1. punkta g) apakšpunkts</w:t>
            </w:r>
          </w:p>
        </w:tc>
        <w:tc>
          <w:tcPr>
            <w:tcW w:w="1834" w:type="dxa"/>
            <w:tcBorders>
              <w:top w:val="outset" w:sz="6" w:space="0" w:color="auto"/>
              <w:left w:val="outset" w:sz="6" w:space="0" w:color="auto"/>
              <w:bottom w:val="outset" w:sz="6" w:space="0" w:color="auto"/>
              <w:right w:val="outset" w:sz="6" w:space="0" w:color="auto"/>
            </w:tcBorders>
          </w:tcPr>
          <w:p w:rsidR="009F0549" w:rsidRPr="004C7C46" w:rsidRDefault="009F0549"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16. panta trešā daļa</w:t>
            </w:r>
          </w:p>
        </w:tc>
        <w:tc>
          <w:tcPr>
            <w:tcW w:w="1671" w:type="dxa"/>
            <w:tcBorders>
              <w:top w:val="outset" w:sz="6" w:space="0" w:color="auto"/>
              <w:left w:val="outset" w:sz="6" w:space="0" w:color="auto"/>
              <w:bottom w:val="outset" w:sz="6" w:space="0" w:color="auto"/>
              <w:right w:val="outset" w:sz="6" w:space="0" w:color="auto"/>
            </w:tcBorders>
          </w:tcPr>
          <w:p w:rsidR="009F0549" w:rsidRPr="004C7C46" w:rsidRDefault="009F0549" w:rsidP="009F0549">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9F0549" w:rsidRPr="004C7C46" w:rsidRDefault="009F0549" w:rsidP="009F0549">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9F0549" w:rsidRPr="004C7C46" w:rsidRDefault="009F0549" w:rsidP="009F0549">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330C9A" w:rsidRPr="004C7C46" w:rsidRDefault="00330C9A" w:rsidP="00330C9A">
            <w:pPr>
              <w:spacing w:after="0" w:line="240" w:lineRule="auto"/>
              <w:rPr>
                <w:rFonts w:ascii="Times New Roman" w:eastAsia="Times New Roman" w:hAnsi="Times New Roman" w:cs="Times New Roman"/>
                <w:spacing w:val="-2"/>
                <w:sz w:val="24"/>
                <w:szCs w:val="27"/>
                <w:lang w:eastAsia="lv-LV"/>
              </w:rPr>
            </w:pPr>
            <w:r w:rsidRPr="004C7C46">
              <w:rPr>
                <w:rFonts w:ascii="Times New Roman" w:eastAsia="Times New Roman" w:hAnsi="Times New Roman" w:cs="Times New Roman"/>
                <w:bCs/>
                <w:sz w:val="24"/>
                <w:szCs w:val="24"/>
                <w:shd w:val="clear" w:color="auto" w:fill="FFFFFF"/>
                <w:lang w:eastAsia="lv-LV"/>
              </w:rPr>
              <w:t>Direktīvas 2014/59/ES 32. panta 4. punkts</w:t>
            </w:r>
          </w:p>
        </w:tc>
        <w:tc>
          <w:tcPr>
            <w:tcW w:w="1834" w:type="dxa"/>
            <w:tcBorders>
              <w:top w:val="outset" w:sz="6" w:space="0" w:color="auto"/>
              <w:left w:val="outset" w:sz="6" w:space="0" w:color="auto"/>
              <w:bottom w:val="outset" w:sz="6" w:space="0" w:color="auto"/>
              <w:right w:val="outset" w:sz="6" w:space="0" w:color="auto"/>
            </w:tcBorders>
          </w:tcPr>
          <w:p w:rsidR="00330C9A" w:rsidRPr="004C7C46" w:rsidRDefault="00330C9A"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17. panta otrā un trešā daļa</w:t>
            </w:r>
          </w:p>
        </w:tc>
        <w:tc>
          <w:tcPr>
            <w:tcW w:w="1671" w:type="dxa"/>
            <w:tcBorders>
              <w:top w:val="outset" w:sz="6" w:space="0" w:color="auto"/>
              <w:left w:val="outset" w:sz="6" w:space="0" w:color="auto"/>
              <w:bottom w:val="outset" w:sz="6" w:space="0" w:color="auto"/>
              <w:right w:val="outset" w:sz="6" w:space="0" w:color="auto"/>
            </w:tcBorders>
          </w:tcPr>
          <w:p w:rsidR="00330C9A" w:rsidRPr="004C7C46" w:rsidRDefault="00330C9A" w:rsidP="00330C9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330C9A" w:rsidRPr="004C7C46" w:rsidRDefault="00330C9A" w:rsidP="00330C9A">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330C9A" w:rsidRPr="004C7C46" w:rsidRDefault="00330C9A" w:rsidP="00330C9A">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367B38" w:rsidRPr="004C7C46" w:rsidRDefault="00367B38" w:rsidP="00D55AC1">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 xml:space="preserve">Direktīvas 2014/59/ES 38. panta </w:t>
            </w:r>
            <w:r w:rsidR="00D55AC1" w:rsidRPr="004C7C46">
              <w:rPr>
                <w:rFonts w:ascii="Times New Roman" w:eastAsia="Times New Roman" w:hAnsi="Times New Roman" w:cs="Times New Roman"/>
                <w:bCs/>
                <w:sz w:val="24"/>
                <w:szCs w:val="24"/>
                <w:shd w:val="clear" w:color="auto" w:fill="FFFFFF"/>
                <w:lang w:eastAsia="lv-LV"/>
              </w:rPr>
              <w:t>5</w:t>
            </w:r>
            <w:r w:rsidRPr="004C7C46">
              <w:rPr>
                <w:rFonts w:ascii="Times New Roman" w:eastAsia="Times New Roman" w:hAnsi="Times New Roman" w:cs="Times New Roman"/>
                <w:bCs/>
                <w:sz w:val="24"/>
                <w:szCs w:val="24"/>
                <w:shd w:val="clear" w:color="auto" w:fill="FFFFFF"/>
                <w:lang w:eastAsia="lv-LV"/>
              </w:rPr>
              <w:t xml:space="preserve">. punkts </w:t>
            </w:r>
          </w:p>
        </w:tc>
        <w:tc>
          <w:tcPr>
            <w:tcW w:w="1834" w:type="dxa"/>
            <w:tcBorders>
              <w:top w:val="outset" w:sz="6" w:space="0" w:color="auto"/>
              <w:left w:val="outset" w:sz="6" w:space="0" w:color="auto"/>
              <w:bottom w:val="outset" w:sz="6" w:space="0" w:color="auto"/>
              <w:right w:val="outset" w:sz="6" w:space="0" w:color="auto"/>
            </w:tcBorders>
          </w:tcPr>
          <w:p w:rsidR="00367B38" w:rsidRPr="004C7C46" w:rsidRDefault="00367B38"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27. panta </w:t>
            </w:r>
            <w:r w:rsidR="00DD7B65">
              <w:rPr>
                <w:rFonts w:ascii="Times New Roman" w:eastAsia="Times New Roman" w:hAnsi="Times New Roman" w:cs="Times New Roman"/>
                <w:iCs/>
                <w:color w:val="000000" w:themeColor="text1"/>
                <w:spacing w:val="-4"/>
                <w:sz w:val="24"/>
                <w:szCs w:val="24"/>
                <w:lang w:eastAsia="lv-LV"/>
              </w:rPr>
              <w:t>pirmā</w:t>
            </w:r>
            <w:r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367B38" w:rsidRPr="004C7C46" w:rsidRDefault="00367B38" w:rsidP="00367B38">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367B38" w:rsidRPr="004C7C46" w:rsidRDefault="00367B38" w:rsidP="00367B38">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367B38" w:rsidRPr="004C7C46" w:rsidRDefault="00367B38" w:rsidP="00367B38">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A6797" w:rsidRPr="004C7C46" w:rsidRDefault="00AA6797" w:rsidP="00AA6797">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 xml:space="preserve">Direktīvas 2014/59/ES 38. panta 6. punkts </w:t>
            </w:r>
          </w:p>
        </w:tc>
        <w:tc>
          <w:tcPr>
            <w:tcW w:w="1834" w:type="dxa"/>
            <w:tcBorders>
              <w:top w:val="outset" w:sz="6" w:space="0" w:color="auto"/>
              <w:left w:val="outset" w:sz="6" w:space="0" w:color="auto"/>
              <w:bottom w:val="outset" w:sz="6" w:space="0" w:color="auto"/>
              <w:right w:val="outset" w:sz="6" w:space="0" w:color="auto"/>
            </w:tcBorders>
          </w:tcPr>
          <w:p w:rsidR="00AA6797" w:rsidRPr="004C7C46" w:rsidRDefault="00DD7B65" w:rsidP="00CF275B">
            <w:pPr>
              <w:spacing w:after="0" w:line="240" w:lineRule="auto"/>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 xml:space="preserve">Likumprojekta 27. panta otrā </w:t>
            </w:r>
            <w:r w:rsidR="00AA6797" w:rsidRPr="004C7C46">
              <w:rPr>
                <w:rFonts w:ascii="Times New Roman" w:eastAsia="Times New Roman" w:hAnsi="Times New Roman" w:cs="Times New Roman"/>
                <w:iCs/>
                <w:color w:val="000000" w:themeColor="text1"/>
                <w:spacing w:val="-4"/>
                <w:sz w:val="24"/>
                <w:szCs w:val="24"/>
                <w:lang w:eastAsia="lv-LV"/>
              </w:rPr>
              <w:t>daļa</w:t>
            </w:r>
          </w:p>
        </w:tc>
        <w:tc>
          <w:tcPr>
            <w:tcW w:w="1671" w:type="dxa"/>
            <w:tcBorders>
              <w:top w:val="outset" w:sz="6" w:space="0" w:color="auto"/>
              <w:left w:val="outset" w:sz="6" w:space="0" w:color="auto"/>
              <w:bottom w:val="outset" w:sz="6" w:space="0" w:color="auto"/>
              <w:right w:val="outset" w:sz="6" w:space="0" w:color="auto"/>
            </w:tcBorders>
          </w:tcPr>
          <w:p w:rsidR="00AA6797" w:rsidRPr="004C7C46" w:rsidRDefault="00AA6797" w:rsidP="00AA679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A6797" w:rsidRPr="004C7C46" w:rsidRDefault="00AA6797" w:rsidP="00AA679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AA6797" w:rsidRPr="004C7C46" w:rsidRDefault="00AA6797" w:rsidP="00AA6797">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F25651" w:rsidRPr="004C7C46" w:rsidRDefault="00F25651" w:rsidP="00F25651">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lastRenderedPageBreak/>
              <w:t xml:space="preserve">Direktīvas 2014/59/ES 38. panta 7. punkts </w:t>
            </w:r>
          </w:p>
        </w:tc>
        <w:tc>
          <w:tcPr>
            <w:tcW w:w="1834" w:type="dxa"/>
            <w:tcBorders>
              <w:top w:val="outset" w:sz="6" w:space="0" w:color="auto"/>
              <w:left w:val="outset" w:sz="6" w:space="0" w:color="auto"/>
              <w:bottom w:val="outset" w:sz="6" w:space="0" w:color="auto"/>
              <w:right w:val="outset" w:sz="6" w:space="0" w:color="auto"/>
            </w:tcBorders>
          </w:tcPr>
          <w:p w:rsidR="00F25651" w:rsidRPr="004C7C46" w:rsidRDefault="00DD7B65" w:rsidP="00CF275B">
            <w:pPr>
              <w:spacing w:after="0" w:line="240" w:lineRule="auto"/>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 xml:space="preserve">Likumprojekta 27. panta trešā </w:t>
            </w:r>
            <w:r w:rsidR="00612331" w:rsidRPr="004C7C46">
              <w:rPr>
                <w:rFonts w:ascii="Times New Roman" w:eastAsia="Times New Roman" w:hAnsi="Times New Roman" w:cs="Times New Roman"/>
                <w:iCs/>
                <w:color w:val="000000" w:themeColor="text1"/>
                <w:spacing w:val="-4"/>
                <w:sz w:val="24"/>
                <w:szCs w:val="24"/>
                <w:lang w:eastAsia="lv-LV"/>
              </w:rPr>
              <w:t>daļa</w:t>
            </w:r>
          </w:p>
        </w:tc>
        <w:tc>
          <w:tcPr>
            <w:tcW w:w="1671" w:type="dxa"/>
            <w:tcBorders>
              <w:top w:val="outset" w:sz="6" w:space="0" w:color="auto"/>
              <w:left w:val="outset" w:sz="6" w:space="0" w:color="auto"/>
              <w:bottom w:val="outset" w:sz="6" w:space="0" w:color="auto"/>
              <w:right w:val="outset" w:sz="6" w:space="0" w:color="auto"/>
            </w:tcBorders>
          </w:tcPr>
          <w:p w:rsidR="00F25651" w:rsidRPr="004C7C46" w:rsidRDefault="00F25651" w:rsidP="00F2565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F25651" w:rsidRPr="004C7C46" w:rsidRDefault="00F25651" w:rsidP="00F2565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F25651" w:rsidRPr="004C7C46" w:rsidRDefault="00F25651" w:rsidP="00F25651">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38. panta 9. punkta b) apakšpunkts</w:t>
            </w:r>
          </w:p>
        </w:tc>
        <w:tc>
          <w:tcPr>
            <w:tcW w:w="1834" w:type="dxa"/>
            <w:tcBorders>
              <w:top w:val="outset" w:sz="6" w:space="0" w:color="auto"/>
              <w:left w:val="outset" w:sz="6" w:space="0" w:color="auto"/>
              <w:bottom w:val="outset" w:sz="6" w:space="0" w:color="auto"/>
              <w:right w:val="outset" w:sz="6" w:space="0" w:color="auto"/>
            </w:tcBorders>
          </w:tcPr>
          <w:p w:rsidR="00612331" w:rsidRPr="004C7C46" w:rsidRDefault="00DD7B65" w:rsidP="00CF275B">
            <w:pPr>
              <w:spacing w:after="0" w:line="240" w:lineRule="auto"/>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 xml:space="preserve">Likumprojekta 27. panta ceturtā </w:t>
            </w:r>
            <w:r w:rsidR="00612331" w:rsidRPr="004C7C46">
              <w:rPr>
                <w:rFonts w:ascii="Times New Roman" w:eastAsia="Times New Roman" w:hAnsi="Times New Roman" w:cs="Times New Roman"/>
                <w:iCs/>
                <w:color w:val="000000" w:themeColor="text1"/>
                <w:spacing w:val="-4"/>
                <w:sz w:val="24"/>
                <w:szCs w:val="24"/>
                <w:lang w:eastAsia="lv-LV"/>
              </w:rPr>
              <w:t>daļa</w:t>
            </w:r>
          </w:p>
        </w:tc>
        <w:tc>
          <w:tcPr>
            <w:tcW w:w="1671" w:type="dxa"/>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38. panta 9. punkta c) apakšpunkts</w:t>
            </w:r>
          </w:p>
        </w:tc>
        <w:tc>
          <w:tcPr>
            <w:tcW w:w="1834" w:type="dxa"/>
            <w:tcBorders>
              <w:top w:val="outset" w:sz="6" w:space="0" w:color="auto"/>
              <w:left w:val="outset" w:sz="6" w:space="0" w:color="auto"/>
              <w:bottom w:val="outset" w:sz="6" w:space="0" w:color="auto"/>
              <w:right w:val="outset" w:sz="6" w:space="0" w:color="auto"/>
            </w:tcBorders>
          </w:tcPr>
          <w:p w:rsidR="00612331" w:rsidRPr="004C7C46" w:rsidRDefault="00612331"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w:t>
            </w:r>
            <w:r w:rsidR="00DD7B65">
              <w:rPr>
                <w:rFonts w:ascii="Times New Roman" w:eastAsia="Times New Roman" w:hAnsi="Times New Roman" w:cs="Times New Roman"/>
                <w:iCs/>
                <w:color w:val="000000" w:themeColor="text1"/>
                <w:spacing w:val="-4"/>
                <w:sz w:val="24"/>
                <w:szCs w:val="24"/>
                <w:lang w:eastAsia="lv-LV"/>
              </w:rPr>
              <w:t>27. panta ceturtā</w:t>
            </w:r>
            <w:r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38. panta 12. punkts</w:t>
            </w:r>
          </w:p>
        </w:tc>
        <w:tc>
          <w:tcPr>
            <w:tcW w:w="1834" w:type="dxa"/>
            <w:tcBorders>
              <w:top w:val="outset" w:sz="6" w:space="0" w:color="auto"/>
              <w:left w:val="outset" w:sz="6" w:space="0" w:color="auto"/>
              <w:bottom w:val="outset" w:sz="6" w:space="0" w:color="auto"/>
              <w:right w:val="outset" w:sz="6" w:space="0" w:color="auto"/>
            </w:tcBorders>
          </w:tcPr>
          <w:p w:rsidR="00612331" w:rsidRPr="004C7C46" w:rsidRDefault="00DD7B65" w:rsidP="00CF275B">
            <w:pPr>
              <w:spacing w:after="0" w:line="240" w:lineRule="auto"/>
              <w:rPr>
                <w:rFonts w:ascii="Times New Roman" w:eastAsia="Times New Roman" w:hAnsi="Times New Roman" w:cs="Times New Roman"/>
                <w:iCs/>
                <w:color w:val="000000" w:themeColor="text1"/>
                <w:spacing w:val="-4"/>
                <w:sz w:val="24"/>
                <w:szCs w:val="24"/>
                <w:lang w:eastAsia="lv-LV"/>
              </w:rPr>
            </w:pPr>
            <w:r>
              <w:rPr>
                <w:rFonts w:ascii="Times New Roman" w:eastAsia="Times New Roman" w:hAnsi="Times New Roman" w:cs="Times New Roman"/>
                <w:iCs/>
                <w:color w:val="000000" w:themeColor="text1"/>
                <w:spacing w:val="-4"/>
                <w:sz w:val="24"/>
                <w:szCs w:val="24"/>
                <w:lang w:eastAsia="lv-LV"/>
              </w:rPr>
              <w:t xml:space="preserve">Likumprojekta 27. panta sestā </w:t>
            </w:r>
            <w:r w:rsidR="00612331" w:rsidRPr="004C7C46">
              <w:rPr>
                <w:rFonts w:ascii="Times New Roman" w:eastAsia="Times New Roman" w:hAnsi="Times New Roman" w:cs="Times New Roman"/>
                <w:iCs/>
                <w:color w:val="000000" w:themeColor="text1"/>
                <w:spacing w:val="-4"/>
                <w:sz w:val="24"/>
                <w:szCs w:val="24"/>
                <w:lang w:eastAsia="lv-LV"/>
              </w:rPr>
              <w:t>daļa</w:t>
            </w:r>
          </w:p>
        </w:tc>
        <w:tc>
          <w:tcPr>
            <w:tcW w:w="1671" w:type="dxa"/>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612331" w:rsidRPr="004C7C46" w:rsidRDefault="00612331" w:rsidP="00612331">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39. panta 1. punkts</w:t>
            </w:r>
          </w:p>
        </w:tc>
        <w:tc>
          <w:tcPr>
            <w:tcW w:w="1834" w:type="dxa"/>
            <w:tcBorders>
              <w:top w:val="outset" w:sz="6" w:space="0" w:color="auto"/>
              <w:left w:val="outset" w:sz="6" w:space="0" w:color="auto"/>
              <w:bottom w:val="outset" w:sz="6" w:space="0" w:color="auto"/>
              <w:right w:val="outset" w:sz="6" w:space="0" w:color="auto"/>
            </w:tcBorders>
          </w:tcPr>
          <w:p w:rsidR="002412BB" w:rsidRPr="004C7C46" w:rsidRDefault="002412B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28. panta pirmā daļa</w:t>
            </w:r>
          </w:p>
        </w:tc>
        <w:tc>
          <w:tcPr>
            <w:tcW w:w="1671" w:type="dxa"/>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39. panta 2. punkts</w:t>
            </w:r>
          </w:p>
        </w:tc>
        <w:tc>
          <w:tcPr>
            <w:tcW w:w="1834" w:type="dxa"/>
            <w:tcBorders>
              <w:top w:val="outset" w:sz="6" w:space="0" w:color="auto"/>
              <w:left w:val="outset" w:sz="6" w:space="0" w:color="auto"/>
              <w:bottom w:val="outset" w:sz="6" w:space="0" w:color="auto"/>
              <w:right w:val="outset" w:sz="6" w:space="0" w:color="auto"/>
            </w:tcBorders>
          </w:tcPr>
          <w:p w:rsidR="002412BB" w:rsidRPr="004C7C46" w:rsidRDefault="002412B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28. panta otrā daļa</w:t>
            </w:r>
          </w:p>
        </w:tc>
        <w:tc>
          <w:tcPr>
            <w:tcW w:w="1671" w:type="dxa"/>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39. panta 3. punkts</w:t>
            </w:r>
          </w:p>
        </w:tc>
        <w:tc>
          <w:tcPr>
            <w:tcW w:w="1834" w:type="dxa"/>
            <w:tcBorders>
              <w:top w:val="outset" w:sz="6" w:space="0" w:color="auto"/>
              <w:left w:val="outset" w:sz="6" w:space="0" w:color="auto"/>
              <w:bottom w:val="outset" w:sz="6" w:space="0" w:color="auto"/>
              <w:right w:val="outset" w:sz="6" w:space="0" w:color="auto"/>
            </w:tcBorders>
          </w:tcPr>
          <w:p w:rsidR="002412BB" w:rsidRPr="004C7C46" w:rsidRDefault="002412B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28. panta trešā daļa</w:t>
            </w:r>
          </w:p>
        </w:tc>
        <w:tc>
          <w:tcPr>
            <w:tcW w:w="1671" w:type="dxa"/>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2412BB" w:rsidRPr="004C7C46" w:rsidRDefault="002412BB" w:rsidP="002412BB">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E35493" w:rsidRPr="004C7C46" w:rsidRDefault="00E35493" w:rsidP="00E35493">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40. panta otrā daļa</w:t>
            </w:r>
          </w:p>
        </w:tc>
        <w:tc>
          <w:tcPr>
            <w:tcW w:w="1834" w:type="dxa"/>
            <w:tcBorders>
              <w:top w:val="outset" w:sz="6" w:space="0" w:color="auto"/>
              <w:left w:val="outset" w:sz="6" w:space="0" w:color="auto"/>
              <w:bottom w:val="outset" w:sz="6" w:space="0" w:color="auto"/>
              <w:right w:val="outset" w:sz="6" w:space="0" w:color="auto"/>
            </w:tcBorders>
          </w:tcPr>
          <w:p w:rsidR="00E35493" w:rsidRPr="004C7C46" w:rsidRDefault="00E3549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29. panta pirmā daļa</w:t>
            </w:r>
          </w:p>
        </w:tc>
        <w:tc>
          <w:tcPr>
            <w:tcW w:w="1671" w:type="dxa"/>
            <w:tcBorders>
              <w:top w:val="outset" w:sz="6" w:space="0" w:color="auto"/>
              <w:left w:val="outset" w:sz="6" w:space="0" w:color="auto"/>
              <w:bottom w:val="outset" w:sz="6" w:space="0" w:color="auto"/>
              <w:right w:val="outset" w:sz="6" w:space="0" w:color="auto"/>
            </w:tcBorders>
          </w:tcPr>
          <w:p w:rsidR="00E35493" w:rsidRPr="004C7C46" w:rsidRDefault="00E35493" w:rsidP="00E3549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E35493" w:rsidRPr="004C7C46" w:rsidRDefault="00E35493" w:rsidP="00E3549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E35493" w:rsidRPr="004C7C46" w:rsidRDefault="00E35493" w:rsidP="00E35493">
            <w:pPr>
              <w:spacing w:after="0" w:line="240" w:lineRule="auto"/>
              <w:jc w:val="both"/>
              <w:rPr>
                <w:rFonts w:ascii="Times New Roman" w:eastAsia="Times New Roman" w:hAnsi="Times New Roman" w:cs="Times New Roman"/>
                <w:iCs/>
                <w:color w:val="000000" w:themeColor="text1"/>
                <w:spacing w:val="-4"/>
                <w:sz w:val="24"/>
                <w:szCs w:val="24"/>
                <w:lang w:eastAsia="lv-LV"/>
              </w:rPr>
            </w:pPr>
          </w:p>
          <w:p w:rsidR="00A92221" w:rsidRPr="004C7C46" w:rsidRDefault="00A92221" w:rsidP="00E35493">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870077" w:rsidRPr="004C7C46" w:rsidRDefault="00870077" w:rsidP="00870077">
            <w:pPr>
              <w:spacing w:after="0" w:line="240" w:lineRule="auto"/>
            </w:pPr>
            <w:r w:rsidRPr="004C7C46">
              <w:rPr>
                <w:rFonts w:ascii="Times New Roman" w:eastAsia="Times New Roman" w:hAnsi="Times New Roman" w:cs="Times New Roman"/>
                <w:bCs/>
                <w:sz w:val="24"/>
                <w:szCs w:val="24"/>
                <w:shd w:val="clear" w:color="auto" w:fill="FFFFFF"/>
                <w:lang w:eastAsia="lv-LV"/>
              </w:rPr>
              <w:t xml:space="preserve">Direktīvas 2014/59/ES 41. panta </w:t>
            </w:r>
            <w:r w:rsidRPr="004C7C46">
              <w:rPr>
                <w:rFonts w:ascii="Times New Roman" w:eastAsia="Times New Roman" w:hAnsi="Times New Roman" w:cs="Times New Roman"/>
                <w:iCs/>
                <w:color w:val="000000" w:themeColor="text1"/>
                <w:spacing w:val="-4"/>
                <w:sz w:val="24"/>
                <w:szCs w:val="24"/>
                <w:lang w:eastAsia="lv-LV"/>
              </w:rPr>
              <w:t>6. punkts</w:t>
            </w:r>
          </w:p>
        </w:tc>
        <w:tc>
          <w:tcPr>
            <w:tcW w:w="1834" w:type="dxa"/>
            <w:tcBorders>
              <w:top w:val="outset" w:sz="6" w:space="0" w:color="auto"/>
              <w:left w:val="outset" w:sz="6" w:space="0" w:color="auto"/>
              <w:bottom w:val="outset" w:sz="6" w:space="0" w:color="auto"/>
              <w:right w:val="outset" w:sz="6" w:space="0" w:color="auto"/>
            </w:tcBorders>
          </w:tcPr>
          <w:p w:rsidR="00870077" w:rsidRPr="004C7C46" w:rsidRDefault="00870077"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30. panta otrā daļa</w:t>
            </w:r>
          </w:p>
        </w:tc>
        <w:tc>
          <w:tcPr>
            <w:tcW w:w="1671" w:type="dxa"/>
            <w:tcBorders>
              <w:top w:val="outset" w:sz="6" w:space="0" w:color="auto"/>
              <w:left w:val="outset" w:sz="6" w:space="0" w:color="auto"/>
              <w:bottom w:val="outset" w:sz="6" w:space="0" w:color="auto"/>
              <w:right w:val="outset" w:sz="6" w:space="0" w:color="auto"/>
            </w:tcBorders>
          </w:tcPr>
          <w:p w:rsidR="00870077" w:rsidRPr="004C7C46" w:rsidRDefault="00870077" w:rsidP="0087007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870077" w:rsidRPr="004C7C46" w:rsidRDefault="00870077" w:rsidP="0087007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870077" w:rsidRPr="004C7C46" w:rsidRDefault="00870077" w:rsidP="00870077">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92221" w:rsidRPr="004C7C46" w:rsidRDefault="00A92221" w:rsidP="00A92221">
            <w:pPr>
              <w:spacing w:after="0" w:line="240" w:lineRule="auto"/>
            </w:pPr>
            <w:r w:rsidRPr="004C7C46">
              <w:rPr>
                <w:rFonts w:ascii="Times New Roman" w:eastAsia="Times New Roman" w:hAnsi="Times New Roman" w:cs="Times New Roman"/>
                <w:bCs/>
                <w:sz w:val="24"/>
                <w:szCs w:val="24"/>
                <w:shd w:val="clear" w:color="auto" w:fill="FFFFFF"/>
                <w:lang w:eastAsia="lv-LV"/>
              </w:rPr>
              <w:t xml:space="preserve">Direktīvas 2014/59/ES 42. panta </w:t>
            </w:r>
            <w:r w:rsidRPr="004C7C46">
              <w:rPr>
                <w:rFonts w:ascii="Times New Roman" w:eastAsia="Times New Roman" w:hAnsi="Times New Roman" w:cs="Times New Roman"/>
                <w:iCs/>
                <w:color w:val="000000" w:themeColor="text1"/>
                <w:spacing w:val="-4"/>
                <w:sz w:val="24"/>
                <w:szCs w:val="24"/>
                <w:lang w:eastAsia="lv-LV"/>
              </w:rPr>
              <w:t>8. punkts</w:t>
            </w:r>
          </w:p>
        </w:tc>
        <w:tc>
          <w:tcPr>
            <w:tcW w:w="1834" w:type="dxa"/>
            <w:tcBorders>
              <w:top w:val="outset" w:sz="6" w:space="0" w:color="auto"/>
              <w:left w:val="outset" w:sz="6" w:space="0" w:color="auto"/>
              <w:bottom w:val="outset" w:sz="6" w:space="0" w:color="auto"/>
              <w:right w:val="outset" w:sz="6" w:space="0" w:color="auto"/>
            </w:tcBorders>
          </w:tcPr>
          <w:p w:rsidR="00A92221" w:rsidRPr="004C7C46" w:rsidRDefault="00A92221"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31. panta </w:t>
            </w:r>
            <w:r w:rsidR="004D1616" w:rsidRPr="004C7C46">
              <w:rPr>
                <w:rFonts w:ascii="Times New Roman" w:eastAsia="Times New Roman" w:hAnsi="Times New Roman" w:cs="Times New Roman"/>
                <w:iCs/>
                <w:color w:val="000000" w:themeColor="text1"/>
                <w:spacing w:val="-4"/>
                <w:sz w:val="24"/>
                <w:szCs w:val="24"/>
                <w:lang w:eastAsia="lv-LV"/>
              </w:rPr>
              <w:t>pirmā</w:t>
            </w:r>
            <w:r w:rsidRPr="004C7C46">
              <w:rPr>
                <w:rFonts w:ascii="Times New Roman" w:eastAsia="Times New Roman" w:hAnsi="Times New Roman" w:cs="Times New Roman"/>
                <w:iCs/>
                <w:color w:val="000000" w:themeColor="text1"/>
                <w:spacing w:val="-4"/>
                <w:sz w:val="24"/>
                <w:szCs w:val="24"/>
                <w:lang w:eastAsia="lv-LV"/>
              </w:rPr>
              <w:t xml:space="preserve"> daļa</w:t>
            </w:r>
          </w:p>
        </w:tc>
        <w:tc>
          <w:tcPr>
            <w:tcW w:w="1671" w:type="dxa"/>
            <w:tcBorders>
              <w:top w:val="outset" w:sz="6" w:space="0" w:color="auto"/>
              <w:left w:val="outset" w:sz="6" w:space="0" w:color="auto"/>
              <w:bottom w:val="outset" w:sz="6" w:space="0" w:color="auto"/>
              <w:right w:val="outset" w:sz="6" w:space="0" w:color="auto"/>
            </w:tcBorders>
          </w:tcPr>
          <w:p w:rsidR="00A92221" w:rsidRPr="004C7C46" w:rsidRDefault="00A92221" w:rsidP="00A9222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92221" w:rsidRPr="004C7C46" w:rsidRDefault="00A92221" w:rsidP="00A9222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A92221" w:rsidRPr="004C7C46" w:rsidRDefault="00A92221" w:rsidP="00A92221">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A92221" w:rsidRPr="004C7C46" w:rsidRDefault="00A92221" w:rsidP="00A92221">
            <w:pPr>
              <w:spacing w:after="0" w:line="240" w:lineRule="auto"/>
            </w:pPr>
            <w:r w:rsidRPr="004C7C46">
              <w:rPr>
                <w:rFonts w:ascii="Times New Roman" w:eastAsia="Times New Roman" w:hAnsi="Times New Roman" w:cs="Times New Roman"/>
                <w:bCs/>
                <w:sz w:val="24"/>
                <w:szCs w:val="24"/>
                <w:shd w:val="clear" w:color="auto" w:fill="FFFFFF"/>
                <w:lang w:eastAsia="lv-LV"/>
              </w:rPr>
              <w:t xml:space="preserve">Direktīvas 2014/59/ES 42. panta </w:t>
            </w:r>
            <w:r w:rsidRPr="004C7C46">
              <w:rPr>
                <w:rFonts w:ascii="Times New Roman" w:eastAsia="Times New Roman" w:hAnsi="Times New Roman" w:cs="Times New Roman"/>
                <w:iCs/>
                <w:color w:val="000000" w:themeColor="text1"/>
                <w:spacing w:val="-4"/>
                <w:sz w:val="24"/>
                <w:szCs w:val="24"/>
                <w:lang w:eastAsia="lv-LV"/>
              </w:rPr>
              <w:t>9. punkts</w:t>
            </w:r>
          </w:p>
        </w:tc>
        <w:tc>
          <w:tcPr>
            <w:tcW w:w="1834" w:type="dxa"/>
            <w:tcBorders>
              <w:top w:val="outset" w:sz="6" w:space="0" w:color="auto"/>
              <w:left w:val="outset" w:sz="6" w:space="0" w:color="auto"/>
              <w:bottom w:val="outset" w:sz="6" w:space="0" w:color="auto"/>
              <w:right w:val="outset" w:sz="6" w:space="0" w:color="auto"/>
            </w:tcBorders>
          </w:tcPr>
          <w:p w:rsidR="00A92221" w:rsidRPr="004C7C46" w:rsidRDefault="00A92221"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31. panta </w:t>
            </w:r>
            <w:r w:rsidR="004D1616" w:rsidRPr="004C7C46">
              <w:rPr>
                <w:rFonts w:ascii="Times New Roman" w:eastAsia="Times New Roman" w:hAnsi="Times New Roman" w:cs="Times New Roman"/>
                <w:iCs/>
                <w:color w:val="000000" w:themeColor="text1"/>
                <w:spacing w:val="-4"/>
                <w:sz w:val="24"/>
                <w:szCs w:val="24"/>
                <w:lang w:eastAsia="lv-LV"/>
              </w:rPr>
              <w:t xml:space="preserve">pirmā </w:t>
            </w:r>
            <w:r w:rsidRPr="004C7C46">
              <w:rPr>
                <w:rFonts w:ascii="Times New Roman" w:eastAsia="Times New Roman" w:hAnsi="Times New Roman" w:cs="Times New Roman"/>
                <w:iCs/>
                <w:color w:val="000000" w:themeColor="text1"/>
                <w:spacing w:val="-4"/>
                <w:sz w:val="24"/>
                <w:szCs w:val="24"/>
                <w:lang w:eastAsia="lv-LV"/>
              </w:rPr>
              <w:t>daļa</w:t>
            </w:r>
          </w:p>
        </w:tc>
        <w:tc>
          <w:tcPr>
            <w:tcW w:w="1671" w:type="dxa"/>
            <w:tcBorders>
              <w:top w:val="outset" w:sz="6" w:space="0" w:color="auto"/>
              <w:left w:val="outset" w:sz="6" w:space="0" w:color="auto"/>
              <w:bottom w:val="outset" w:sz="6" w:space="0" w:color="auto"/>
              <w:right w:val="outset" w:sz="6" w:space="0" w:color="auto"/>
            </w:tcBorders>
          </w:tcPr>
          <w:p w:rsidR="00A92221" w:rsidRPr="004C7C46" w:rsidRDefault="00A92221" w:rsidP="00A9222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A92221" w:rsidRPr="004C7C46" w:rsidRDefault="00A92221" w:rsidP="00A92221">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A92221" w:rsidRPr="004C7C46" w:rsidRDefault="00A92221" w:rsidP="00A92221">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023C23" w:rsidRPr="004C7C46" w:rsidRDefault="00023C23" w:rsidP="00023C23">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w:t>
            </w:r>
          </w:p>
          <w:p w:rsidR="00023C23" w:rsidRPr="004C7C46" w:rsidRDefault="00023C23" w:rsidP="00023C23">
            <w:pPr>
              <w:spacing w:after="0" w:line="240" w:lineRule="auto"/>
            </w:pPr>
            <w:r w:rsidRPr="004C7C46">
              <w:rPr>
                <w:rFonts w:ascii="Times New Roman" w:eastAsia="Times New Roman" w:hAnsi="Times New Roman" w:cs="Times New Roman"/>
                <w:bCs/>
                <w:sz w:val="24"/>
                <w:szCs w:val="24"/>
                <w:shd w:val="clear" w:color="auto" w:fill="FFFFFF"/>
                <w:lang w:eastAsia="lv-LV"/>
              </w:rPr>
              <w:t xml:space="preserve">43. panta 2. punkta a) apakšpunkts </w:t>
            </w:r>
          </w:p>
        </w:tc>
        <w:tc>
          <w:tcPr>
            <w:tcW w:w="1834" w:type="dxa"/>
            <w:tcBorders>
              <w:top w:val="outset" w:sz="6" w:space="0" w:color="auto"/>
              <w:left w:val="outset" w:sz="6" w:space="0" w:color="auto"/>
              <w:bottom w:val="outset" w:sz="6" w:space="0" w:color="auto"/>
              <w:right w:val="outset" w:sz="6" w:space="0" w:color="auto"/>
            </w:tcBorders>
          </w:tcPr>
          <w:p w:rsidR="00023C23" w:rsidRPr="004C7C46" w:rsidRDefault="00023C2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32. panta pirmā daļa</w:t>
            </w:r>
          </w:p>
        </w:tc>
        <w:tc>
          <w:tcPr>
            <w:tcW w:w="1671" w:type="dxa"/>
            <w:tcBorders>
              <w:top w:val="outset" w:sz="6" w:space="0" w:color="auto"/>
              <w:left w:val="outset" w:sz="6" w:space="0" w:color="auto"/>
              <w:bottom w:val="outset" w:sz="6" w:space="0" w:color="auto"/>
              <w:right w:val="outset" w:sz="6" w:space="0" w:color="auto"/>
            </w:tcBorders>
          </w:tcPr>
          <w:p w:rsidR="00023C23" w:rsidRPr="004C7C46" w:rsidRDefault="00023C23" w:rsidP="00023C2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023C23" w:rsidRPr="004C7C46" w:rsidRDefault="00023C23" w:rsidP="00023C2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023C23" w:rsidRPr="004C7C46" w:rsidRDefault="00023C23" w:rsidP="00023C23">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023C23" w:rsidRPr="004C7C46" w:rsidRDefault="00023C23" w:rsidP="00023C23">
            <w:pPr>
              <w:spacing w:after="0" w:line="240" w:lineRule="auto"/>
            </w:pPr>
            <w:r w:rsidRPr="004C7C46">
              <w:rPr>
                <w:rFonts w:ascii="Times New Roman" w:eastAsia="Times New Roman" w:hAnsi="Times New Roman" w:cs="Times New Roman"/>
                <w:bCs/>
                <w:sz w:val="24"/>
                <w:szCs w:val="24"/>
                <w:shd w:val="clear" w:color="auto" w:fill="FFFFFF"/>
                <w:lang w:eastAsia="lv-LV"/>
              </w:rPr>
              <w:t xml:space="preserve">Direktīvas 2014/59/ES 43. panta trešā punkta otrā daļa </w:t>
            </w:r>
          </w:p>
        </w:tc>
        <w:tc>
          <w:tcPr>
            <w:tcW w:w="1834" w:type="dxa"/>
            <w:tcBorders>
              <w:top w:val="outset" w:sz="6" w:space="0" w:color="auto"/>
              <w:left w:val="outset" w:sz="6" w:space="0" w:color="auto"/>
              <w:bottom w:val="outset" w:sz="6" w:space="0" w:color="auto"/>
              <w:right w:val="outset" w:sz="6" w:space="0" w:color="auto"/>
            </w:tcBorders>
          </w:tcPr>
          <w:p w:rsidR="00023C23" w:rsidRPr="004C7C46" w:rsidRDefault="00023C23"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32. panta otrā daļa</w:t>
            </w:r>
          </w:p>
        </w:tc>
        <w:tc>
          <w:tcPr>
            <w:tcW w:w="1671" w:type="dxa"/>
            <w:tcBorders>
              <w:top w:val="outset" w:sz="6" w:space="0" w:color="auto"/>
              <w:left w:val="outset" w:sz="6" w:space="0" w:color="auto"/>
              <w:bottom w:val="outset" w:sz="6" w:space="0" w:color="auto"/>
              <w:right w:val="outset" w:sz="6" w:space="0" w:color="auto"/>
            </w:tcBorders>
          </w:tcPr>
          <w:p w:rsidR="00023C23" w:rsidRPr="004C7C46" w:rsidRDefault="00023C23" w:rsidP="00023C2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023C23" w:rsidRPr="004C7C46" w:rsidRDefault="00023C23" w:rsidP="00023C23">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023C23" w:rsidRPr="004C7C46" w:rsidRDefault="00023C23" w:rsidP="00023C23">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002EB7" w:rsidRPr="004C7C46" w:rsidRDefault="00002EB7" w:rsidP="00002EB7">
            <w:pPr>
              <w:spacing w:after="0" w:line="240" w:lineRule="auto"/>
            </w:pPr>
            <w:r w:rsidRPr="004C7C46">
              <w:rPr>
                <w:rFonts w:ascii="Times New Roman" w:eastAsia="Times New Roman" w:hAnsi="Times New Roman" w:cs="Times New Roman"/>
                <w:bCs/>
                <w:sz w:val="24"/>
                <w:szCs w:val="24"/>
                <w:shd w:val="clear" w:color="auto" w:fill="FFFFFF"/>
                <w:lang w:eastAsia="lv-LV"/>
              </w:rPr>
              <w:t xml:space="preserve">Direktīvas 2014/59/ES 44. panta 12. punkts </w:t>
            </w:r>
          </w:p>
        </w:tc>
        <w:tc>
          <w:tcPr>
            <w:tcW w:w="1834" w:type="dxa"/>
            <w:tcBorders>
              <w:top w:val="outset" w:sz="6" w:space="0" w:color="auto"/>
              <w:left w:val="outset" w:sz="6" w:space="0" w:color="auto"/>
              <w:bottom w:val="outset" w:sz="6" w:space="0" w:color="auto"/>
              <w:right w:val="outset" w:sz="6" w:space="0" w:color="auto"/>
            </w:tcBorders>
          </w:tcPr>
          <w:p w:rsidR="00002EB7" w:rsidRPr="004C7C46" w:rsidRDefault="00002EB7"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37. pants </w:t>
            </w:r>
          </w:p>
        </w:tc>
        <w:tc>
          <w:tcPr>
            <w:tcW w:w="1671" w:type="dxa"/>
            <w:tcBorders>
              <w:top w:val="outset" w:sz="6" w:space="0" w:color="auto"/>
              <w:left w:val="outset" w:sz="6" w:space="0" w:color="auto"/>
              <w:bottom w:val="outset" w:sz="6" w:space="0" w:color="auto"/>
              <w:right w:val="outset" w:sz="6" w:space="0" w:color="auto"/>
            </w:tcBorders>
          </w:tcPr>
          <w:p w:rsidR="00002EB7" w:rsidRPr="004C7C46" w:rsidRDefault="00002EB7" w:rsidP="00002EB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002EB7" w:rsidRPr="004C7C46" w:rsidRDefault="00002EB7" w:rsidP="00002EB7">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002EB7" w:rsidRPr="004C7C46" w:rsidRDefault="00002EB7" w:rsidP="00002EB7">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2B4FEC" w:rsidRPr="004C7C46" w:rsidRDefault="002B4FEC" w:rsidP="002B4FEC">
            <w:pPr>
              <w:spacing w:after="0" w:line="240" w:lineRule="auto"/>
            </w:pPr>
            <w:r w:rsidRPr="004C7C46">
              <w:rPr>
                <w:rFonts w:ascii="Times New Roman" w:eastAsia="Times New Roman" w:hAnsi="Times New Roman" w:cs="Times New Roman"/>
                <w:bCs/>
                <w:sz w:val="24"/>
                <w:szCs w:val="24"/>
                <w:shd w:val="clear" w:color="auto" w:fill="FFFFFF"/>
                <w:lang w:eastAsia="lv-LV"/>
              </w:rPr>
              <w:t xml:space="preserve">Direktīvas 2014/59/ES 46. panta 2. punkta pirmā daļa </w:t>
            </w:r>
          </w:p>
        </w:tc>
        <w:tc>
          <w:tcPr>
            <w:tcW w:w="1834" w:type="dxa"/>
            <w:tcBorders>
              <w:top w:val="outset" w:sz="6" w:space="0" w:color="auto"/>
              <w:left w:val="outset" w:sz="6" w:space="0" w:color="auto"/>
              <w:bottom w:val="outset" w:sz="6" w:space="0" w:color="auto"/>
              <w:right w:val="outset" w:sz="6" w:space="0" w:color="auto"/>
            </w:tcBorders>
          </w:tcPr>
          <w:p w:rsidR="002B4FEC" w:rsidRPr="004C7C46" w:rsidRDefault="002B4FE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48. panta otrā daļa </w:t>
            </w:r>
          </w:p>
        </w:tc>
        <w:tc>
          <w:tcPr>
            <w:tcW w:w="1671" w:type="dxa"/>
            <w:tcBorders>
              <w:top w:val="outset" w:sz="6" w:space="0" w:color="auto"/>
              <w:left w:val="outset" w:sz="6" w:space="0" w:color="auto"/>
              <w:bottom w:val="outset" w:sz="6" w:space="0" w:color="auto"/>
              <w:right w:val="outset" w:sz="6" w:space="0" w:color="auto"/>
            </w:tcBorders>
          </w:tcPr>
          <w:p w:rsidR="002B4FEC" w:rsidRPr="004C7C46" w:rsidRDefault="002B4FEC" w:rsidP="002B4FE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2B4FEC" w:rsidRPr="004C7C46" w:rsidRDefault="002B4FEC" w:rsidP="002B4FE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2B4FEC" w:rsidRPr="004C7C46" w:rsidRDefault="002B4FEC" w:rsidP="002B4FEC">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pPr>
            <w:r w:rsidRPr="004C7C46">
              <w:rPr>
                <w:rFonts w:ascii="Times New Roman" w:eastAsia="Times New Roman" w:hAnsi="Times New Roman" w:cs="Times New Roman"/>
                <w:bCs/>
                <w:sz w:val="24"/>
                <w:szCs w:val="24"/>
                <w:shd w:val="clear" w:color="auto" w:fill="FFFFFF"/>
                <w:lang w:eastAsia="lv-LV"/>
              </w:rPr>
              <w:lastRenderedPageBreak/>
              <w:t xml:space="preserve">Direktīvas 2014/59/ES 47. panta 1. punkta otrā daļa </w:t>
            </w:r>
          </w:p>
        </w:tc>
        <w:tc>
          <w:tcPr>
            <w:tcW w:w="1834" w:type="dxa"/>
            <w:tcBorders>
              <w:top w:val="outset" w:sz="6" w:space="0" w:color="auto"/>
              <w:left w:val="outset" w:sz="6" w:space="0" w:color="auto"/>
              <w:bottom w:val="outset" w:sz="6" w:space="0" w:color="auto"/>
              <w:right w:val="outset" w:sz="6" w:space="0" w:color="auto"/>
            </w:tcBorders>
          </w:tcPr>
          <w:p w:rsidR="00C4791D" w:rsidRPr="004C7C46" w:rsidRDefault="00C4791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49. panta otrā daļa </w:t>
            </w:r>
          </w:p>
        </w:tc>
        <w:tc>
          <w:tcPr>
            <w:tcW w:w="167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3E535D" w:rsidRPr="004C7C46" w:rsidRDefault="003E535D" w:rsidP="003E535D">
            <w:pPr>
              <w:spacing w:after="0" w:line="240" w:lineRule="auto"/>
            </w:pPr>
            <w:r w:rsidRPr="004C7C46">
              <w:rPr>
                <w:rFonts w:ascii="Times New Roman" w:eastAsia="Times New Roman" w:hAnsi="Times New Roman" w:cs="Times New Roman"/>
                <w:bCs/>
                <w:sz w:val="24"/>
                <w:szCs w:val="24"/>
                <w:shd w:val="clear" w:color="auto" w:fill="FFFFFF"/>
                <w:lang w:eastAsia="lv-LV"/>
              </w:rPr>
              <w:t>Direktīvas 2014/59/ES 47. panta 3. punkts</w:t>
            </w:r>
          </w:p>
        </w:tc>
        <w:tc>
          <w:tcPr>
            <w:tcW w:w="1834" w:type="dxa"/>
            <w:tcBorders>
              <w:top w:val="outset" w:sz="6" w:space="0" w:color="auto"/>
              <w:left w:val="outset" w:sz="6" w:space="0" w:color="auto"/>
              <w:bottom w:val="outset" w:sz="6" w:space="0" w:color="auto"/>
              <w:right w:val="outset" w:sz="6" w:space="0" w:color="auto"/>
            </w:tcBorders>
          </w:tcPr>
          <w:p w:rsidR="003E535D" w:rsidRPr="004C7C46" w:rsidRDefault="003E535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49. panta trešā daļa </w:t>
            </w:r>
          </w:p>
        </w:tc>
        <w:tc>
          <w:tcPr>
            <w:tcW w:w="1671" w:type="dxa"/>
            <w:tcBorders>
              <w:top w:val="outset" w:sz="6" w:space="0" w:color="auto"/>
              <w:left w:val="outset" w:sz="6" w:space="0" w:color="auto"/>
              <w:bottom w:val="outset" w:sz="6" w:space="0" w:color="auto"/>
              <w:right w:val="outset" w:sz="6" w:space="0" w:color="auto"/>
            </w:tcBorders>
          </w:tcPr>
          <w:p w:rsidR="003E535D" w:rsidRPr="004C7C46" w:rsidRDefault="003E535D" w:rsidP="003E535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3E535D" w:rsidRPr="004C7C46" w:rsidRDefault="003E535D" w:rsidP="003E535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3E535D" w:rsidRPr="004C7C46" w:rsidRDefault="003E535D" w:rsidP="003E535D">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BC770C" w:rsidRPr="004C7C46" w:rsidRDefault="00BC770C" w:rsidP="00BC770C">
            <w:pPr>
              <w:spacing w:after="0" w:line="240" w:lineRule="auto"/>
            </w:pPr>
            <w:r w:rsidRPr="004C7C46">
              <w:rPr>
                <w:rFonts w:ascii="Times New Roman" w:eastAsia="Times New Roman" w:hAnsi="Times New Roman" w:cs="Times New Roman"/>
                <w:bCs/>
                <w:sz w:val="24"/>
                <w:szCs w:val="24"/>
                <w:shd w:val="clear" w:color="auto" w:fill="FFFFFF"/>
                <w:lang w:eastAsia="lv-LV"/>
              </w:rPr>
              <w:t>Direktīvas 2014/59/ES 51. panta 1. punkts</w:t>
            </w:r>
          </w:p>
        </w:tc>
        <w:tc>
          <w:tcPr>
            <w:tcW w:w="1834" w:type="dxa"/>
            <w:tcBorders>
              <w:top w:val="outset" w:sz="6" w:space="0" w:color="auto"/>
              <w:left w:val="outset" w:sz="6" w:space="0" w:color="auto"/>
              <w:bottom w:val="outset" w:sz="6" w:space="0" w:color="auto"/>
              <w:right w:val="outset" w:sz="6" w:space="0" w:color="auto"/>
            </w:tcBorders>
          </w:tcPr>
          <w:p w:rsidR="00BC770C" w:rsidRPr="004C7C46" w:rsidRDefault="00BC770C"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51. pants </w:t>
            </w:r>
          </w:p>
        </w:tc>
        <w:tc>
          <w:tcPr>
            <w:tcW w:w="1671" w:type="dxa"/>
            <w:tcBorders>
              <w:top w:val="outset" w:sz="6" w:space="0" w:color="auto"/>
              <w:left w:val="outset" w:sz="6" w:space="0" w:color="auto"/>
              <w:bottom w:val="outset" w:sz="6" w:space="0" w:color="auto"/>
              <w:right w:val="outset" w:sz="6" w:space="0" w:color="auto"/>
            </w:tcBorders>
          </w:tcPr>
          <w:p w:rsidR="00BC770C" w:rsidRPr="004C7C46" w:rsidRDefault="00BC770C" w:rsidP="00BC770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BC770C" w:rsidRPr="004C7C46" w:rsidRDefault="00BC770C" w:rsidP="00BC770C">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BC770C" w:rsidRPr="004C7C46" w:rsidRDefault="00BC770C" w:rsidP="00BC770C">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1508B" w:rsidRPr="004C7C46" w:rsidRDefault="00C1508B" w:rsidP="00C1508B">
            <w:pPr>
              <w:spacing w:after="0" w:line="240" w:lineRule="auto"/>
            </w:pPr>
            <w:r w:rsidRPr="004C7C46">
              <w:rPr>
                <w:rFonts w:ascii="Times New Roman" w:eastAsia="Times New Roman" w:hAnsi="Times New Roman" w:cs="Times New Roman"/>
                <w:bCs/>
                <w:sz w:val="24"/>
                <w:szCs w:val="24"/>
                <w:shd w:val="clear" w:color="auto" w:fill="FFFFFF"/>
                <w:lang w:eastAsia="lv-LV"/>
              </w:rPr>
              <w:t>Direktīvas 2014/59/ES 52. panta 3. punkts</w:t>
            </w:r>
          </w:p>
        </w:tc>
        <w:tc>
          <w:tcPr>
            <w:tcW w:w="1834" w:type="dxa"/>
            <w:tcBorders>
              <w:top w:val="outset" w:sz="6" w:space="0" w:color="auto"/>
              <w:left w:val="outset" w:sz="6" w:space="0" w:color="auto"/>
              <w:bottom w:val="outset" w:sz="6" w:space="0" w:color="auto"/>
              <w:right w:val="outset" w:sz="6" w:space="0" w:color="auto"/>
            </w:tcBorders>
          </w:tcPr>
          <w:p w:rsidR="00C1508B" w:rsidRPr="004C7C46" w:rsidRDefault="00C1508B"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 xml:space="preserve">Likumprojekta 52. panta </w:t>
            </w:r>
            <w:r w:rsidR="005625EC" w:rsidRPr="004C7C46">
              <w:rPr>
                <w:rFonts w:ascii="Times New Roman" w:eastAsia="Times New Roman" w:hAnsi="Times New Roman" w:cs="Times New Roman"/>
                <w:iCs/>
                <w:color w:val="000000" w:themeColor="text1"/>
                <w:spacing w:val="-4"/>
                <w:sz w:val="24"/>
                <w:szCs w:val="24"/>
                <w:lang w:eastAsia="lv-LV"/>
              </w:rPr>
              <w:t>trešā</w:t>
            </w:r>
            <w:r w:rsidRPr="004C7C46">
              <w:rPr>
                <w:rFonts w:ascii="Times New Roman" w:eastAsia="Times New Roman" w:hAnsi="Times New Roman" w:cs="Times New Roman"/>
                <w:iCs/>
                <w:color w:val="000000" w:themeColor="text1"/>
                <w:spacing w:val="-4"/>
                <w:sz w:val="24"/>
                <w:szCs w:val="24"/>
                <w:lang w:eastAsia="lv-LV"/>
              </w:rPr>
              <w:t xml:space="preserve"> daļa </w:t>
            </w:r>
          </w:p>
        </w:tc>
        <w:tc>
          <w:tcPr>
            <w:tcW w:w="1671" w:type="dxa"/>
            <w:tcBorders>
              <w:top w:val="outset" w:sz="6" w:space="0" w:color="auto"/>
              <w:left w:val="outset" w:sz="6" w:space="0" w:color="auto"/>
              <w:bottom w:val="outset" w:sz="6" w:space="0" w:color="auto"/>
              <w:right w:val="outset" w:sz="6" w:space="0" w:color="auto"/>
            </w:tcBorders>
          </w:tcPr>
          <w:p w:rsidR="00C1508B" w:rsidRPr="004C7C46" w:rsidRDefault="00C1508B" w:rsidP="00C1508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1508B" w:rsidRPr="004C7C46" w:rsidRDefault="00C1508B" w:rsidP="00C1508B">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C1508B" w:rsidRPr="004C7C46" w:rsidRDefault="00C1508B" w:rsidP="00C1508B">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w:t>
            </w:r>
          </w:p>
          <w:p w:rsidR="00C4791D" w:rsidRPr="004C7C46" w:rsidRDefault="00C4791D" w:rsidP="00C4791D">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bCs/>
                <w:sz w:val="24"/>
                <w:szCs w:val="24"/>
                <w:shd w:val="clear" w:color="auto" w:fill="FFFFFF"/>
                <w:lang w:eastAsia="lv-LV"/>
              </w:rPr>
              <w:t xml:space="preserve">60. panta 4. punkts </w:t>
            </w:r>
          </w:p>
        </w:tc>
        <w:tc>
          <w:tcPr>
            <w:tcW w:w="1834" w:type="dxa"/>
            <w:tcBorders>
              <w:top w:val="outset" w:sz="6" w:space="0" w:color="auto"/>
              <w:left w:val="outset" w:sz="6" w:space="0" w:color="auto"/>
              <w:bottom w:val="outset" w:sz="6" w:space="0" w:color="auto"/>
              <w:right w:val="outset" w:sz="6" w:space="0" w:color="auto"/>
            </w:tcBorders>
          </w:tcPr>
          <w:p w:rsidR="00C4791D" w:rsidRPr="004C7C46" w:rsidRDefault="00C4791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56. panta devītā daļa.</w:t>
            </w:r>
          </w:p>
        </w:tc>
        <w:tc>
          <w:tcPr>
            <w:tcW w:w="167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w:t>
            </w:r>
          </w:p>
          <w:p w:rsidR="00C4791D" w:rsidRPr="004C7C46" w:rsidRDefault="00C4791D" w:rsidP="00C4791D">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bCs/>
                <w:sz w:val="24"/>
                <w:szCs w:val="24"/>
                <w:shd w:val="clear" w:color="auto" w:fill="FFFFFF"/>
                <w:lang w:eastAsia="lv-LV"/>
              </w:rPr>
              <w:t xml:space="preserve">64. panta 1. punkta c) apakšpunkts </w:t>
            </w:r>
          </w:p>
        </w:tc>
        <w:tc>
          <w:tcPr>
            <w:tcW w:w="1834" w:type="dxa"/>
            <w:tcBorders>
              <w:top w:val="outset" w:sz="6" w:space="0" w:color="auto"/>
              <w:left w:val="outset" w:sz="6" w:space="0" w:color="auto"/>
              <w:bottom w:val="outset" w:sz="6" w:space="0" w:color="auto"/>
              <w:right w:val="outset" w:sz="6" w:space="0" w:color="auto"/>
            </w:tcBorders>
          </w:tcPr>
          <w:p w:rsidR="00C4791D" w:rsidRPr="004C7C46" w:rsidRDefault="00C4791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61.  pants</w:t>
            </w:r>
          </w:p>
        </w:tc>
        <w:tc>
          <w:tcPr>
            <w:tcW w:w="167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w:t>
            </w:r>
            <w:r w:rsidR="00CF275B" w:rsidRPr="004C7C46">
              <w:rPr>
                <w:rFonts w:ascii="Times New Roman" w:eastAsia="Times New Roman" w:hAnsi="Times New Roman" w:cs="Times New Roman"/>
                <w:bCs/>
                <w:sz w:val="24"/>
                <w:szCs w:val="24"/>
                <w:shd w:val="clear" w:color="auto" w:fill="FFFFFF"/>
                <w:lang w:eastAsia="lv-LV"/>
              </w:rPr>
              <w:t>s 2014/59/ES 76.panta 1. punkts</w:t>
            </w:r>
          </w:p>
        </w:tc>
        <w:tc>
          <w:tcPr>
            <w:tcW w:w="1834" w:type="dxa"/>
            <w:tcBorders>
              <w:top w:val="outset" w:sz="6" w:space="0" w:color="auto"/>
              <w:left w:val="outset" w:sz="6" w:space="0" w:color="auto"/>
              <w:bottom w:val="outset" w:sz="6" w:space="0" w:color="auto"/>
              <w:right w:val="outset" w:sz="6" w:space="0" w:color="auto"/>
            </w:tcBorders>
          </w:tcPr>
          <w:p w:rsidR="00C4791D" w:rsidRPr="004C7C46" w:rsidRDefault="00C4791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69.panta pirmā daļa</w:t>
            </w:r>
          </w:p>
        </w:tc>
        <w:tc>
          <w:tcPr>
            <w:tcW w:w="167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76.panta 3. punkta b) apakšpunkts</w:t>
            </w:r>
          </w:p>
        </w:tc>
        <w:tc>
          <w:tcPr>
            <w:tcW w:w="1834" w:type="dxa"/>
            <w:tcBorders>
              <w:top w:val="outset" w:sz="6" w:space="0" w:color="auto"/>
              <w:left w:val="outset" w:sz="6" w:space="0" w:color="auto"/>
              <w:bottom w:val="outset" w:sz="6" w:space="0" w:color="auto"/>
              <w:right w:val="outset" w:sz="6" w:space="0" w:color="auto"/>
            </w:tcBorders>
          </w:tcPr>
          <w:p w:rsidR="00C4791D" w:rsidRPr="004C7C46" w:rsidRDefault="00C4791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69.panta</w:t>
            </w:r>
            <w:r w:rsidR="00CF275B" w:rsidRPr="004C7C46">
              <w:rPr>
                <w:rFonts w:ascii="Times New Roman" w:eastAsia="Times New Roman" w:hAnsi="Times New Roman" w:cs="Times New Roman"/>
                <w:iCs/>
                <w:color w:val="000000" w:themeColor="text1"/>
                <w:spacing w:val="-4"/>
                <w:sz w:val="24"/>
                <w:szCs w:val="24"/>
                <w:lang w:eastAsia="lv-LV"/>
              </w:rPr>
              <w:t xml:space="preserve"> </w:t>
            </w:r>
            <w:r w:rsidRPr="004C7C46">
              <w:rPr>
                <w:rFonts w:ascii="Times New Roman" w:eastAsia="Times New Roman" w:hAnsi="Times New Roman" w:cs="Times New Roman"/>
                <w:iCs/>
                <w:color w:val="000000" w:themeColor="text1"/>
                <w:spacing w:val="-4"/>
                <w:sz w:val="24"/>
                <w:szCs w:val="24"/>
                <w:lang w:eastAsia="lv-LV"/>
              </w:rPr>
              <w:t>otrā daļa</w:t>
            </w:r>
          </w:p>
        </w:tc>
        <w:tc>
          <w:tcPr>
            <w:tcW w:w="167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575EE6"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rPr>
                <w:rFonts w:ascii="Times New Roman" w:eastAsia="Times New Roman" w:hAnsi="Times New Roman" w:cs="Times New Roman"/>
                <w:bCs/>
                <w:sz w:val="24"/>
                <w:szCs w:val="24"/>
                <w:shd w:val="clear" w:color="auto" w:fill="FFFFFF"/>
                <w:lang w:eastAsia="lv-LV"/>
              </w:rPr>
            </w:pPr>
            <w:r w:rsidRPr="004C7C46">
              <w:rPr>
                <w:rFonts w:ascii="Times New Roman" w:eastAsia="Times New Roman" w:hAnsi="Times New Roman" w:cs="Times New Roman"/>
                <w:bCs/>
                <w:sz w:val="24"/>
                <w:szCs w:val="24"/>
                <w:shd w:val="clear" w:color="auto" w:fill="FFFFFF"/>
                <w:lang w:eastAsia="lv-LV"/>
              </w:rPr>
              <w:t>Direktīvas 2014/59/ES 77. panta 1. punkts</w:t>
            </w:r>
          </w:p>
        </w:tc>
        <w:tc>
          <w:tcPr>
            <w:tcW w:w="1834" w:type="dxa"/>
            <w:tcBorders>
              <w:top w:val="outset" w:sz="6" w:space="0" w:color="auto"/>
              <w:left w:val="outset" w:sz="6" w:space="0" w:color="auto"/>
              <w:bottom w:val="outset" w:sz="6" w:space="0" w:color="auto"/>
              <w:right w:val="outset" w:sz="6" w:space="0" w:color="auto"/>
            </w:tcBorders>
          </w:tcPr>
          <w:p w:rsidR="00C4791D" w:rsidRPr="004C7C46" w:rsidRDefault="00C4791D" w:rsidP="00CF275B">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Likumprojekta 70. pants</w:t>
            </w:r>
          </w:p>
        </w:tc>
        <w:tc>
          <w:tcPr>
            <w:tcW w:w="167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Pārņemts pilnībā</w:t>
            </w:r>
          </w:p>
        </w:tc>
        <w:tc>
          <w:tcPr>
            <w:tcW w:w="2781" w:type="dxa"/>
            <w:tcBorders>
              <w:top w:val="outset" w:sz="6" w:space="0" w:color="auto"/>
              <w:left w:val="outset" w:sz="6" w:space="0" w:color="auto"/>
              <w:bottom w:val="outset" w:sz="6" w:space="0" w:color="auto"/>
              <w:right w:val="outset" w:sz="6" w:space="0" w:color="auto"/>
            </w:tcBorders>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Neparedz stingrākas prasības</w:t>
            </w:r>
          </w:p>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p>
        </w:tc>
      </w:tr>
      <w:tr w:rsidR="00C4791D"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hideMark/>
          </w:tcPr>
          <w:p w:rsidR="00C4791D" w:rsidRPr="004C7C46" w:rsidRDefault="00C4791D" w:rsidP="00C4791D">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Kā ir izmantota ES tiesību aktā paredzētā rīcības brīvība dalībvalstij pārņemt vai ieviest noteiktas ES tiesību akta normas? Kādēļ?</w:t>
            </w:r>
          </w:p>
        </w:tc>
        <w:tc>
          <w:tcPr>
            <w:tcW w:w="6346" w:type="dxa"/>
            <w:gridSpan w:val="3"/>
            <w:tcBorders>
              <w:top w:val="outset" w:sz="6" w:space="0" w:color="auto"/>
              <w:left w:val="outset" w:sz="6" w:space="0" w:color="auto"/>
              <w:bottom w:val="outset" w:sz="6" w:space="0" w:color="auto"/>
              <w:right w:val="outset" w:sz="6" w:space="0" w:color="auto"/>
            </w:tcBorders>
            <w:hideMark/>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Nav attiecināms.</w:t>
            </w:r>
          </w:p>
        </w:tc>
      </w:tr>
      <w:tr w:rsidR="00C4791D"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hideMark/>
          </w:tcPr>
          <w:p w:rsidR="00C4791D" w:rsidRPr="004C7C46" w:rsidRDefault="00C4791D" w:rsidP="00C4791D">
            <w:pPr>
              <w:spacing w:after="0" w:line="240" w:lineRule="auto"/>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346" w:type="dxa"/>
            <w:gridSpan w:val="3"/>
            <w:tcBorders>
              <w:top w:val="outset" w:sz="6" w:space="0" w:color="auto"/>
              <w:left w:val="outset" w:sz="6" w:space="0" w:color="auto"/>
              <w:bottom w:val="outset" w:sz="6" w:space="0" w:color="auto"/>
              <w:right w:val="outset" w:sz="6" w:space="0" w:color="auto"/>
            </w:tcBorders>
            <w:hideMark/>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4"/>
                <w:sz w:val="24"/>
                <w:szCs w:val="24"/>
                <w:lang w:eastAsia="lv-LV"/>
              </w:rPr>
            </w:pPr>
            <w:r w:rsidRPr="004C7C46">
              <w:rPr>
                <w:rFonts w:ascii="Times New Roman" w:eastAsia="Times New Roman" w:hAnsi="Times New Roman" w:cs="Times New Roman"/>
                <w:iCs/>
                <w:color w:val="000000" w:themeColor="text1"/>
                <w:spacing w:val="-4"/>
                <w:sz w:val="24"/>
                <w:szCs w:val="24"/>
                <w:lang w:eastAsia="lv-LV"/>
              </w:rPr>
              <w:t>Nav attiecināms.</w:t>
            </w:r>
          </w:p>
        </w:tc>
      </w:tr>
      <w:tr w:rsidR="00C4791D" w:rsidRPr="004C7C46" w:rsidTr="00575EE6">
        <w:trPr>
          <w:tblCellSpacing w:w="15" w:type="dxa"/>
        </w:trPr>
        <w:tc>
          <w:tcPr>
            <w:tcW w:w="2619" w:type="dxa"/>
            <w:gridSpan w:val="2"/>
            <w:tcBorders>
              <w:top w:val="outset" w:sz="6" w:space="0" w:color="auto"/>
              <w:left w:val="outset" w:sz="6" w:space="0" w:color="auto"/>
              <w:bottom w:val="outset" w:sz="6" w:space="0" w:color="auto"/>
              <w:right w:val="outset" w:sz="6" w:space="0" w:color="auto"/>
            </w:tcBorders>
            <w:hideMark/>
          </w:tcPr>
          <w:p w:rsidR="00C4791D" w:rsidRPr="004C7C46" w:rsidRDefault="00C4791D" w:rsidP="00C4791D">
            <w:pPr>
              <w:spacing w:after="0" w:line="240" w:lineRule="auto"/>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Cita informācija</w:t>
            </w:r>
          </w:p>
        </w:tc>
        <w:tc>
          <w:tcPr>
            <w:tcW w:w="6346" w:type="dxa"/>
            <w:gridSpan w:val="3"/>
            <w:tcBorders>
              <w:top w:val="outset" w:sz="6" w:space="0" w:color="auto"/>
              <w:left w:val="outset" w:sz="6" w:space="0" w:color="auto"/>
              <w:bottom w:val="outset" w:sz="6" w:space="0" w:color="auto"/>
              <w:right w:val="outset" w:sz="6" w:space="0" w:color="auto"/>
            </w:tcBorders>
            <w:hideMark/>
          </w:tcPr>
          <w:p w:rsidR="00C4791D" w:rsidRPr="004C7C46" w:rsidRDefault="00C4791D" w:rsidP="00C4791D">
            <w:pPr>
              <w:spacing w:after="0" w:line="240" w:lineRule="auto"/>
              <w:jc w:val="both"/>
              <w:rPr>
                <w:rFonts w:ascii="Times New Roman" w:eastAsia="Times New Roman" w:hAnsi="Times New Roman" w:cs="Times New Roman"/>
                <w:iCs/>
                <w:color w:val="000000" w:themeColor="text1"/>
                <w:spacing w:val="-2"/>
                <w:sz w:val="24"/>
                <w:szCs w:val="24"/>
                <w:lang w:eastAsia="lv-LV"/>
              </w:rPr>
            </w:pPr>
            <w:r w:rsidRPr="004C7C46">
              <w:rPr>
                <w:rFonts w:ascii="Times New Roman" w:eastAsia="Times New Roman" w:hAnsi="Times New Roman" w:cs="Times New Roman"/>
                <w:iCs/>
                <w:color w:val="000000" w:themeColor="text1"/>
                <w:spacing w:val="-2"/>
                <w:sz w:val="24"/>
                <w:szCs w:val="24"/>
                <w:lang w:eastAsia="lv-LV"/>
              </w:rPr>
              <w:t>Nav</w:t>
            </w:r>
          </w:p>
        </w:tc>
      </w:tr>
      <w:tr w:rsidR="00C4791D" w:rsidRPr="004C7C46" w:rsidTr="00575EE6">
        <w:trPr>
          <w:tblCellSpacing w:w="15" w:type="dxa"/>
        </w:trPr>
        <w:tc>
          <w:tcPr>
            <w:tcW w:w="8995" w:type="dxa"/>
            <w:gridSpan w:val="5"/>
            <w:tcBorders>
              <w:top w:val="outset" w:sz="6" w:space="0" w:color="auto"/>
              <w:left w:val="outset" w:sz="6" w:space="0" w:color="auto"/>
              <w:bottom w:val="outset" w:sz="6" w:space="0" w:color="auto"/>
              <w:right w:val="outset" w:sz="6" w:space="0" w:color="auto"/>
            </w:tcBorders>
            <w:vAlign w:val="center"/>
            <w:hideMark/>
          </w:tcPr>
          <w:p w:rsidR="00C4791D" w:rsidRPr="004C7C46" w:rsidRDefault="00C4791D" w:rsidP="00C4791D">
            <w:pPr>
              <w:spacing w:after="0" w:line="240" w:lineRule="auto"/>
              <w:rPr>
                <w:rFonts w:ascii="Times New Roman" w:eastAsia="Times New Roman" w:hAnsi="Times New Roman" w:cs="Times New Roman"/>
                <w:b/>
                <w:bCs/>
                <w:iCs/>
                <w:color w:val="000000" w:themeColor="text1"/>
                <w:spacing w:val="-2"/>
                <w:sz w:val="24"/>
                <w:szCs w:val="24"/>
                <w:lang w:eastAsia="lv-LV"/>
              </w:rPr>
            </w:pPr>
            <w:r w:rsidRPr="004C7C46">
              <w:rPr>
                <w:rFonts w:ascii="Times New Roman" w:eastAsia="Times New Roman" w:hAnsi="Times New Roman" w:cs="Times New Roman"/>
                <w:b/>
                <w:bCs/>
                <w:iCs/>
                <w:color w:val="000000" w:themeColor="text1"/>
                <w:spacing w:val="-2"/>
                <w:sz w:val="24"/>
                <w:szCs w:val="24"/>
                <w:lang w:eastAsia="lv-LV"/>
              </w:rPr>
              <w:t>2. tabula</w:t>
            </w:r>
            <w:r w:rsidRPr="004C7C46">
              <w:rPr>
                <w:rFonts w:ascii="Times New Roman" w:eastAsia="Times New Roman" w:hAnsi="Times New Roman" w:cs="Times New Roman"/>
                <w:b/>
                <w:bCs/>
                <w:iCs/>
                <w:color w:val="000000" w:themeColor="text1"/>
                <w:spacing w:val="-2"/>
                <w:sz w:val="24"/>
                <w:szCs w:val="24"/>
                <w:lang w:eastAsia="lv-LV"/>
              </w:rPr>
              <w:br/>
              <w:t xml:space="preserve">Ar tiesību akta projektu izpildītās vai uzņemtās saistības, kas izriet no starptautiskajiem </w:t>
            </w:r>
            <w:r w:rsidRPr="004C7C46">
              <w:rPr>
                <w:rFonts w:ascii="Times New Roman" w:eastAsia="Times New Roman" w:hAnsi="Times New Roman" w:cs="Times New Roman"/>
                <w:b/>
                <w:bCs/>
                <w:iCs/>
                <w:color w:val="000000" w:themeColor="text1"/>
                <w:spacing w:val="-2"/>
                <w:sz w:val="24"/>
                <w:szCs w:val="24"/>
                <w:lang w:eastAsia="lv-LV"/>
              </w:rPr>
              <w:lastRenderedPageBreak/>
              <w:t>tiesību aktiem vai starptautiskas institūcijas vai organizācijas dokumentiem.</w:t>
            </w:r>
            <w:r w:rsidRPr="004C7C46">
              <w:rPr>
                <w:rFonts w:ascii="Times New Roman" w:eastAsia="Times New Roman" w:hAnsi="Times New Roman" w:cs="Times New Roman"/>
                <w:b/>
                <w:bCs/>
                <w:iCs/>
                <w:color w:val="000000" w:themeColor="text1"/>
                <w:spacing w:val="-2"/>
                <w:sz w:val="24"/>
                <w:szCs w:val="24"/>
                <w:lang w:eastAsia="lv-LV"/>
              </w:rPr>
              <w:br/>
              <w:t>Pasākumi šo saistību izpildei</w:t>
            </w:r>
          </w:p>
        </w:tc>
      </w:tr>
      <w:tr w:rsidR="00C4791D" w:rsidRPr="004C7C46" w:rsidTr="00575EE6">
        <w:trPr>
          <w:tblCellSpacing w:w="15" w:type="dxa"/>
        </w:trPr>
        <w:tc>
          <w:tcPr>
            <w:tcW w:w="8995" w:type="dxa"/>
            <w:gridSpan w:val="5"/>
            <w:tcBorders>
              <w:top w:val="outset" w:sz="6" w:space="0" w:color="auto"/>
              <w:left w:val="outset" w:sz="6" w:space="0" w:color="auto"/>
              <w:bottom w:val="outset" w:sz="6" w:space="0" w:color="auto"/>
              <w:right w:val="outset" w:sz="6" w:space="0" w:color="auto"/>
            </w:tcBorders>
            <w:vAlign w:val="center"/>
          </w:tcPr>
          <w:p w:rsidR="00C4791D" w:rsidRPr="004C7C46" w:rsidRDefault="00C4791D" w:rsidP="00C4791D">
            <w:pPr>
              <w:spacing w:after="0" w:line="240" w:lineRule="auto"/>
              <w:jc w:val="center"/>
              <w:rPr>
                <w:rFonts w:ascii="Times New Roman" w:eastAsia="Times New Roman" w:hAnsi="Times New Roman" w:cs="Times New Roman"/>
                <w:bCs/>
                <w:iCs/>
                <w:color w:val="000000" w:themeColor="text1"/>
                <w:spacing w:val="-2"/>
                <w:sz w:val="24"/>
                <w:szCs w:val="24"/>
                <w:lang w:eastAsia="lv-LV"/>
              </w:rPr>
            </w:pPr>
            <w:r w:rsidRPr="004C7C46">
              <w:rPr>
                <w:rFonts w:ascii="Times New Roman" w:eastAsia="Times New Roman" w:hAnsi="Times New Roman" w:cs="Times New Roman"/>
                <w:bCs/>
                <w:iCs/>
                <w:color w:val="000000" w:themeColor="text1"/>
                <w:spacing w:val="-2"/>
                <w:sz w:val="24"/>
                <w:szCs w:val="24"/>
                <w:lang w:eastAsia="lv-LV"/>
              </w:rPr>
              <w:lastRenderedPageBreak/>
              <w:t>Projekts šo jomu neskar.</w:t>
            </w:r>
          </w:p>
        </w:tc>
      </w:tr>
    </w:tbl>
    <w:p w:rsidR="00930F51" w:rsidRPr="004C7C46" w:rsidRDefault="00930F51"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70"/>
        <w:gridCol w:w="3161"/>
        <w:gridCol w:w="5424"/>
      </w:tblGrid>
      <w:tr w:rsidR="0054649C" w:rsidRPr="004C7C46" w:rsidTr="005A3E06">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rsidR="0054649C" w:rsidRPr="004C7C46" w:rsidRDefault="0054649C" w:rsidP="00747C7C">
            <w:pPr>
              <w:spacing w:after="0" w:line="240" w:lineRule="auto"/>
              <w:jc w:val="center"/>
              <w:rPr>
                <w:rFonts w:ascii="Times New Roman" w:eastAsia="Times New Roman" w:hAnsi="Times New Roman" w:cs="Times New Roman"/>
                <w:b/>
                <w:bCs/>
                <w:iCs/>
                <w:sz w:val="24"/>
                <w:szCs w:val="24"/>
                <w:lang w:eastAsia="lv-LV"/>
              </w:rPr>
            </w:pPr>
            <w:r w:rsidRPr="004C7C46">
              <w:rPr>
                <w:rFonts w:ascii="Times New Roman" w:eastAsia="Times New Roman" w:hAnsi="Times New Roman" w:cs="Times New Roman"/>
                <w:b/>
                <w:bCs/>
                <w:iCs/>
                <w:sz w:val="24"/>
                <w:szCs w:val="24"/>
                <w:lang w:eastAsia="lv-LV"/>
              </w:rPr>
              <w:t>VI. Sabiedrības līdzdalība un komunikācijas aktivitātes</w:t>
            </w:r>
          </w:p>
        </w:tc>
      </w:tr>
      <w:tr w:rsidR="0054649C" w:rsidRPr="004C7C46"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rsidR="0054649C" w:rsidRPr="004C7C46" w:rsidRDefault="0054649C" w:rsidP="00747C7C">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1.</w:t>
            </w:r>
          </w:p>
        </w:tc>
        <w:tc>
          <w:tcPr>
            <w:tcW w:w="3131" w:type="dxa"/>
            <w:tcBorders>
              <w:top w:val="outset" w:sz="6" w:space="0" w:color="auto"/>
              <w:left w:val="outset" w:sz="6" w:space="0" w:color="auto"/>
              <w:bottom w:val="outset" w:sz="6" w:space="0" w:color="auto"/>
              <w:right w:val="outset" w:sz="6" w:space="0" w:color="auto"/>
            </w:tcBorders>
            <w:hideMark/>
          </w:tcPr>
          <w:p w:rsidR="0054649C" w:rsidRPr="004C7C46" w:rsidRDefault="0054649C" w:rsidP="00747C7C">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379" w:type="dxa"/>
            <w:tcBorders>
              <w:top w:val="outset" w:sz="6" w:space="0" w:color="auto"/>
              <w:left w:val="outset" w:sz="6" w:space="0" w:color="auto"/>
              <w:bottom w:val="outset" w:sz="6" w:space="0" w:color="auto"/>
              <w:right w:val="outset" w:sz="6" w:space="0" w:color="auto"/>
            </w:tcBorders>
          </w:tcPr>
          <w:p w:rsidR="00813429" w:rsidRPr="004C7C46" w:rsidRDefault="00306FB8" w:rsidP="00D16B08">
            <w:pPr>
              <w:spacing w:after="0" w:line="240" w:lineRule="auto"/>
              <w:jc w:val="both"/>
            </w:pPr>
            <w:bookmarkStart w:id="0" w:name="_GoBack"/>
            <w:r w:rsidRPr="004C7C46">
              <w:rPr>
                <w:rFonts w:ascii="Times New Roman" w:eastAsia="Times New Roman" w:hAnsi="Times New Roman" w:cs="Times New Roman"/>
                <w:iCs/>
                <w:spacing w:val="-2"/>
                <w:sz w:val="24"/>
                <w:szCs w:val="24"/>
                <w:lang w:eastAsia="lv-LV"/>
              </w:rPr>
              <w:t xml:space="preserve">Informācija par projekta izstrādi publicēta Finanšu ministrijas tīmekļvietnē sadaļā </w:t>
            </w:r>
            <w:r w:rsidRPr="004C7C46">
              <w:rPr>
                <w:rFonts w:ascii="Times New Roman" w:eastAsia="Times New Roman" w:hAnsi="Times New Roman" w:cs="Times New Roman"/>
                <w:bCs/>
                <w:iCs/>
                <w:spacing w:val="-2"/>
                <w:sz w:val="24"/>
                <w:szCs w:val="24"/>
                <w:lang w:eastAsia="lv-LV"/>
              </w:rPr>
              <w:t>„</w:t>
            </w:r>
            <w:r w:rsidRPr="004C7C46">
              <w:rPr>
                <w:rFonts w:ascii="Times New Roman" w:eastAsia="Times New Roman" w:hAnsi="Times New Roman" w:cs="Times New Roman"/>
                <w:iCs/>
                <w:spacing w:val="-2"/>
                <w:sz w:val="24"/>
                <w:szCs w:val="24"/>
                <w:lang w:eastAsia="lv-LV"/>
              </w:rPr>
              <w:t xml:space="preserve">Sabiedrības līdzdalība” – </w:t>
            </w:r>
            <w:r w:rsidRPr="004C7C46">
              <w:rPr>
                <w:rFonts w:ascii="Times New Roman" w:eastAsia="Times New Roman" w:hAnsi="Times New Roman" w:cs="Times New Roman"/>
                <w:bCs/>
                <w:iCs/>
                <w:spacing w:val="-2"/>
                <w:sz w:val="24"/>
                <w:szCs w:val="24"/>
                <w:lang w:eastAsia="lv-LV"/>
              </w:rPr>
              <w:t>„</w:t>
            </w:r>
            <w:r w:rsidRPr="004C7C46">
              <w:rPr>
                <w:rFonts w:ascii="Times New Roman" w:eastAsia="Times New Roman" w:hAnsi="Times New Roman" w:cs="Times New Roman"/>
                <w:iCs/>
                <w:spacing w:val="-2"/>
                <w:sz w:val="24"/>
                <w:szCs w:val="24"/>
                <w:lang w:eastAsia="lv-LV"/>
              </w:rPr>
              <w:t xml:space="preserve">Tiesību aktu projekti” – </w:t>
            </w:r>
            <w:r w:rsidRPr="004C7C46">
              <w:rPr>
                <w:rFonts w:ascii="Times New Roman" w:eastAsia="Times New Roman" w:hAnsi="Times New Roman" w:cs="Times New Roman"/>
                <w:bCs/>
                <w:iCs/>
                <w:spacing w:val="-2"/>
                <w:sz w:val="24"/>
                <w:szCs w:val="24"/>
                <w:lang w:eastAsia="lv-LV"/>
              </w:rPr>
              <w:t>„</w:t>
            </w:r>
            <w:r w:rsidRPr="004C7C46">
              <w:rPr>
                <w:rFonts w:ascii="Times New Roman" w:eastAsia="Times New Roman" w:hAnsi="Times New Roman" w:cs="Times New Roman"/>
                <w:iCs/>
                <w:spacing w:val="-2"/>
                <w:sz w:val="24"/>
                <w:szCs w:val="24"/>
                <w:lang w:eastAsia="lv-LV"/>
              </w:rPr>
              <w:t xml:space="preserve">Finanšu tirgus politika”. </w:t>
            </w:r>
            <w:r w:rsidR="00176A8F">
              <w:rPr>
                <w:rFonts w:ascii="Times New Roman" w:eastAsia="Times New Roman" w:hAnsi="Times New Roman" w:cs="Times New Roman"/>
                <w:iCs/>
                <w:spacing w:val="-2"/>
                <w:sz w:val="24"/>
                <w:szCs w:val="24"/>
                <w:lang w:eastAsia="lv-LV"/>
              </w:rPr>
              <w:t>Papildus iepriekš minētajam, projekt</w:t>
            </w:r>
            <w:r w:rsidR="00D16B08">
              <w:rPr>
                <w:rFonts w:ascii="Times New Roman" w:eastAsia="Times New Roman" w:hAnsi="Times New Roman" w:cs="Times New Roman"/>
                <w:iCs/>
                <w:spacing w:val="-2"/>
                <w:sz w:val="24"/>
                <w:szCs w:val="24"/>
                <w:lang w:eastAsia="lv-LV"/>
              </w:rPr>
              <w:t>a izstrādes gaitā ir notikušas</w:t>
            </w:r>
            <w:r w:rsidR="00176A8F">
              <w:rPr>
                <w:rFonts w:ascii="Times New Roman" w:eastAsia="Times New Roman" w:hAnsi="Times New Roman" w:cs="Times New Roman"/>
                <w:iCs/>
                <w:spacing w:val="-2"/>
                <w:sz w:val="24"/>
                <w:szCs w:val="24"/>
                <w:lang w:eastAsia="lv-LV"/>
              </w:rPr>
              <w:t xml:space="preserve"> konsultācij</w:t>
            </w:r>
            <w:r w:rsidR="00D16B08">
              <w:rPr>
                <w:rFonts w:ascii="Times New Roman" w:eastAsia="Times New Roman" w:hAnsi="Times New Roman" w:cs="Times New Roman"/>
                <w:iCs/>
                <w:spacing w:val="-2"/>
                <w:sz w:val="24"/>
                <w:szCs w:val="24"/>
                <w:lang w:eastAsia="lv-LV"/>
              </w:rPr>
              <w:t>as</w:t>
            </w:r>
            <w:r w:rsidR="00176A8F">
              <w:rPr>
                <w:rFonts w:ascii="Times New Roman" w:eastAsia="Times New Roman" w:hAnsi="Times New Roman" w:cs="Times New Roman"/>
                <w:iCs/>
                <w:spacing w:val="-2"/>
                <w:sz w:val="24"/>
                <w:szCs w:val="24"/>
                <w:lang w:eastAsia="lv-LV"/>
              </w:rPr>
              <w:t xml:space="preserve"> ar Latvi</w:t>
            </w:r>
            <w:r w:rsidR="00D16B08">
              <w:rPr>
                <w:rFonts w:ascii="Times New Roman" w:eastAsia="Times New Roman" w:hAnsi="Times New Roman" w:cs="Times New Roman"/>
                <w:iCs/>
                <w:spacing w:val="-2"/>
                <w:sz w:val="24"/>
                <w:szCs w:val="24"/>
                <w:lang w:eastAsia="lv-LV"/>
              </w:rPr>
              <w:t xml:space="preserve">jas Finanšu nozares asociāciju. Ir izstrādāta un ar Latvijas Finanšu nozares asociāciju ir saskaņota pozīcija par normatīvā akta projekta izstrādi, kurā ietverti direktīvas prasību normatīvā regulējuma elementi. </w:t>
            </w:r>
            <w:r w:rsidR="00176A8F">
              <w:rPr>
                <w:rFonts w:ascii="Times New Roman" w:eastAsia="Times New Roman" w:hAnsi="Times New Roman" w:cs="Times New Roman"/>
                <w:iCs/>
                <w:spacing w:val="-2"/>
                <w:sz w:val="24"/>
                <w:szCs w:val="24"/>
                <w:lang w:eastAsia="lv-LV"/>
              </w:rPr>
              <w:t>Sa</w:t>
            </w:r>
            <w:r w:rsidRPr="004C7C46">
              <w:rPr>
                <w:rFonts w:ascii="Times New Roman" w:eastAsia="Times New Roman" w:hAnsi="Times New Roman" w:cs="Times New Roman"/>
                <w:iCs/>
                <w:spacing w:val="-2"/>
                <w:sz w:val="24"/>
                <w:szCs w:val="24"/>
                <w:lang w:eastAsia="lv-LV"/>
              </w:rPr>
              <w:t xml:space="preserve">biedrības pārstāvji varēs sniegt viedokļus par projektu </w:t>
            </w:r>
            <w:r w:rsidR="00176A8F">
              <w:rPr>
                <w:rFonts w:ascii="Times New Roman" w:eastAsia="Times New Roman" w:hAnsi="Times New Roman" w:cs="Times New Roman"/>
                <w:iCs/>
                <w:spacing w:val="-2"/>
                <w:sz w:val="24"/>
                <w:szCs w:val="24"/>
                <w:lang w:eastAsia="lv-LV"/>
              </w:rPr>
              <w:t xml:space="preserve">arī </w:t>
            </w:r>
            <w:r w:rsidRPr="004C7C46">
              <w:rPr>
                <w:rFonts w:ascii="Times New Roman" w:eastAsia="Times New Roman" w:hAnsi="Times New Roman" w:cs="Times New Roman"/>
                <w:iCs/>
                <w:spacing w:val="-2"/>
                <w:sz w:val="24"/>
                <w:szCs w:val="24"/>
                <w:lang w:eastAsia="lv-LV"/>
              </w:rPr>
              <w:t xml:space="preserve">pēc tā izsludināšanas </w:t>
            </w:r>
            <w:r w:rsidR="00176A8F">
              <w:rPr>
                <w:rFonts w:ascii="Times New Roman" w:eastAsia="Times New Roman" w:hAnsi="Times New Roman" w:cs="Times New Roman"/>
                <w:iCs/>
                <w:spacing w:val="-2"/>
                <w:sz w:val="24"/>
                <w:szCs w:val="24"/>
                <w:lang w:eastAsia="lv-LV"/>
              </w:rPr>
              <w:t>v</w:t>
            </w:r>
            <w:r w:rsidRPr="004C7C46">
              <w:rPr>
                <w:rFonts w:ascii="Times New Roman" w:eastAsia="Times New Roman" w:hAnsi="Times New Roman" w:cs="Times New Roman"/>
                <w:iCs/>
                <w:spacing w:val="-2"/>
                <w:sz w:val="24"/>
                <w:szCs w:val="24"/>
                <w:lang w:eastAsia="lv-LV"/>
              </w:rPr>
              <w:t>alsts sekretāru sanāksmē.</w:t>
            </w:r>
            <w:bookmarkEnd w:id="0"/>
          </w:p>
        </w:tc>
      </w:tr>
      <w:tr w:rsidR="00802448" w:rsidRPr="004C7C46"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rsidR="00802448" w:rsidRPr="004C7C46" w:rsidRDefault="00802448" w:rsidP="00802448">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2.</w:t>
            </w:r>
          </w:p>
        </w:tc>
        <w:tc>
          <w:tcPr>
            <w:tcW w:w="3131" w:type="dxa"/>
            <w:tcBorders>
              <w:top w:val="outset" w:sz="6" w:space="0" w:color="auto"/>
              <w:left w:val="outset" w:sz="6" w:space="0" w:color="auto"/>
              <w:bottom w:val="outset" w:sz="6" w:space="0" w:color="auto"/>
              <w:right w:val="outset" w:sz="6" w:space="0" w:color="auto"/>
            </w:tcBorders>
            <w:hideMark/>
          </w:tcPr>
          <w:p w:rsidR="00802448" w:rsidRPr="004C7C46" w:rsidRDefault="00802448" w:rsidP="00802448">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Sabiedrības līdzdalība projekta izstrādē</w:t>
            </w:r>
          </w:p>
        </w:tc>
        <w:tc>
          <w:tcPr>
            <w:tcW w:w="5379" w:type="dxa"/>
            <w:tcBorders>
              <w:top w:val="outset" w:sz="6" w:space="0" w:color="auto"/>
              <w:left w:val="outset" w:sz="6" w:space="0" w:color="auto"/>
              <w:bottom w:val="outset" w:sz="6" w:space="0" w:color="auto"/>
              <w:right w:val="outset" w:sz="6" w:space="0" w:color="auto"/>
            </w:tcBorders>
          </w:tcPr>
          <w:p w:rsidR="00802448" w:rsidRPr="004C7C46" w:rsidRDefault="00D16B08" w:rsidP="0080244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802448" w:rsidRPr="004C7C46"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rsidR="00802448" w:rsidRPr="004C7C46" w:rsidRDefault="00802448" w:rsidP="00802448">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3.</w:t>
            </w:r>
          </w:p>
        </w:tc>
        <w:tc>
          <w:tcPr>
            <w:tcW w:w="3131" w:type="dxa"/>
            <w:tcBorders>
              <w:top w:val="outset" w:sz="6" w:space="0" w:color="auto"/>
              <w:left w:val="outset" w:sz="6" w:space="0" w:color="auto"/>
              <w:bottom w:val="outset" w:sz="6" w:space="0" w:color="auto"/>
              <w:right w:val="outset" w:sz="6" w:space="0" w:color="auto"/>
            </w:tcBorders>
            <w:hideMark/>
          </w:tcPr>
          <w:p w:rsidR="00802448" w:rsidRPr="004C7C46" w:rsidRDefault="00802448" w:rsidP="00802448">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Sabiedrības līdzdalības rezultāti</w:t>
            </w:r>
          </w:p>
        </w:tc>
        <w:tc>
          <w:tcPr>
            <w:tcW w:w="5379" w:type="dxa"/>
            <w:tcBorders>
              <w:top w:val="outset" w:sz="6" w:space="0" w:color="auto"/>
              <w:left w:val="outset" w:sz="6" w:space="0" w:color="auto"/>
              <w:bottom w:val="outset" w:sz="6" w:space="0" w:color="auto"/>
              <w:right w:val="outset" w:sz="6" w:space="0" w:color="auto"/>
            </w:tcBorders>
          </w:tcPr>
          <w:p w:rsidR="00802448" w:rsidRPr="004C7C46" w:rsidRDefault="00D16B08" w:rsidP="0080244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r w:rsidR="00675015" w:rsidRPr="004C7C46" w:rsidTr="00802448">
        <w:trPr>
          <w:tblCellSpacing w:w="15" w:type="dxa"/>
        </w:trPr>
        <w:tc>
          <w:tcPr>
            <w:tcW w:w="425" w:type="dxa"/>
            <w:tcBorders>
              <w:top w:val="outset" w:sz="6" w:space="0" w:color="auto"/>
              <w:left w:val="outset" w:sz="6" w:space="0" w:color="auto"/>
              <w:bottom w:val="outset" w:sz="6" w:space="0" w:color="auto"/>
              <w:right w:val="outset" w:sz="6" w:space="0" w:color="auto"/>
            </w:tcBorders>
            <w:hideMark/>
          </w:tcPr>
          <w:p w:rsidR="00675015" w:rsidRPr="004C7C46" w:rsidRDefault="00675015" w:rsidP="00675015">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4.</w:t>
            </w:r>
          </w:p>
        </w:tc>
        <w:tc>
          <w:tcPr>
            <w:tcW w:w="3131" w:type="dxa"/>
            <w:tcBorders>
              <w:top w:val="outset" w:sz="6" w:space="0" w:color="auto"/>
              <w:left w:val="outset" w:sz="6" w:space="0" w:color="auto"/>
              <w:bottom w:val="outset" w:sz="6" w:space="0" w:color="auto"/>
              <w:right w:val="outset" w:sz="6" w:space="0" w:color="auto"/>
            </w:tcBorders>
            <w:hideMark/>
          </w:tcPr>
          <w:p w:rsidR="00675015" w:rsidRPr="004C7C46" w:rsidRDefault="00675015" w:rsidP="00675015">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Cita informācija</w:t>
            </w:r>
          </w:p>
        </w:tc>
        <w:tc>
          <w:tcPr>
            <w:tcW w:w="5379" w:type="dxa"/>
            <w:tcBorders>
              <w:top w:val="outset" w:sz="6" w:space="0" w:color="auto"/>
              <w:left w:val="outset" w:sz="6" w:space="0" w:color="auto"/>
              <w:bottom w:val="outset" w:sz="6" w:space="0" w:color="auto"/>
              <w:right w:val="outset" w:sz="6" w:space="0" w:color="auto"/>
            </w:tcBorders>
            <w:hideMark/>
          </w:tcPr>
          <w:p w:rsidR="00675015" w:rsidRPr="004C7C46" w:rsidRDefault="00675015" w:rsidP="00675015">
            <w:pPr>
              <w:spacing w:after="0" w:line="240" w:lineRule="auto"/>
              <w:jc w:val="both"/>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sz w:val="24"/>
                <w:szCs w:val="24"/>
                <w:lang w:eastAsia="lv-LV"/>
              </w:rPr>
              <w:t>Nav.</w:t>
            </w:r>
          </w:p>
        </w:tc>
      </w:tr>
    </w:tbl>
    <w:p w:rsidR="00675015"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C6D96" w:rsidRPr="004C7C46"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4C7C46" w:rsidRDefault="00E5323B" w:rsidP="003A621B">
            <w:pPr>
              <w:spacing w:after="0" w:line="240" w:lineRule="auto"/>
              <w:jc w:val="center"/>
              <w:rPr>
                <w:rFonts w:ascii="Times New Roman" w:eastAsia="Times New Roman" w:hAnsi="Times New Roman" w:cs="Times New Roman"/>
                <w:b/>
                <w:bCs/>
                <w:iCs/>
                <w:sz w:val="24"/>
                <w:szCs w:val="24"/>
                <w:lang w:eastAsia="lv-LV"/>
              </w:rPr>
            </w:pPr>
            <w:r w:rsidRPr="004C7C46">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C6D96" w:rsidRPr="004C7C4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4C7C46" w:rsidRDefault="004816F6" w:rsidP="00AF65E4">
            <w:pPr>
              <w:spacing w:after="0" w:line="240" w:lineRule="auto"/>
              <w:jc w:val="both"/>
              <w:rPr>
                <w:rFonts w:ascii="Times New Roman" w:eastAsia="Times New Roman" w:hAnsi="Times New Roman" w:cs="Times New Roman"/>
                <w:iCs/>
                <w:sz w:val="24"/>
                <w:szCs w:val="24"/>
                <w:lang w:eastAsia="lv-LV"/>
              </w:rPr>
            </w:pPr>
            <w:r w:rsidRPr="004C7C46">
              <w:rPr>
                <w:rFonts w:ascii="Times New Roman" w:eastAsia="SimSun" w:hAnsi="Times New Roman" w:cs="Times New Roman"/>
                <w:sz w:val="24"/>
                <w:szCs w:val="24"/>
                <w:lang w:eastAsia="zh-CN"/>
              </w:rPr>
              <w:t>Finanšu un kapitāla tirgus komisija.</w:t>
            </w:r>
          </w:p>
        </w:tc>
      </w:tr>
      <w:tr w:rsidR="002C6D96" w:rsidRPr="004C7C4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DA226F"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Projekta izpildes ietekme uz pārvaldes funkcijām un institucionālo struktūru.</w:t>
            </w:r>
            <w:r w:rsidRPr="004C7C46">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4C7C46" w:rsidRDefault="002C6D96" w:rsidP="005367D9">
            <w:pPr>
              <w:spacing w:after="0" w:line="240" w:lineRule="auto"/>
              <w:jc w:val="both"/>
              <w:rPr>
                <w:rFonts w:ascii="Times New Roman" w:eastAsia="Times New Roman" w:hAnsi="Times New Roman" w:cs="Times New Roman"/>
                <w:sz w:val="24"/>
                <w:szCs w:val="24"/>
                <w:lang w:eastAsia="lv-LV"/>
              </w:rPr>
            </w:pPr>
            <w:r w:rsidRPr="004C7C46">
              <w:rPr>
                <w:rFonts w:ascii="Times New Roman" w:eastAsia="Times New Roman" w:hAnsi="Times New Roman" w:cs="Times New Roman"/>
                <w:sz w:val="24"/>
                <w:szCs w:val="24"/>
                <w:lang w:eastAsia="lv-LV"/>
              </w:rPr>
              <w:t>Nav plānota jaunu institūciju izveide, esošu institūciju likvidācija vai reorganizācija</w:t>
            </w:r>
            <w:r w:rsidR="003A621B" w:rsidRPr="004C7C46">
              <w:rPr>
                <w:rFonts w:ascii="Times New Roman" w:eastAsia="Times New Roman" w:hAnsi="Times New Roman" w:cs="Times New Roman"/>
                <w:sz w:val="24"/>
                <w:szCs w:val="24"/>
                <w:lang w:eastAsia="lv-LV"/>
              </w:rPr>
              <w:t>, kā arī paplašināt vai sašaurināt iesaistīto institūciju funkcijas un uzdevumus.</w:t>
            </w:r>
          </w:p>
          <w:p w:rsidR="00EE5469" w:rsidRPr="004C7C46" w:rsidRDefault="00286E6F" w:rsidP="003A621B">
            <w:pPr>
              <w:spacing w:after="0" w:line="240" w:lineRule="auto"/>
              <w:jc w:val="both"/>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sz w:val="24"/>
                <w:szCs w:val="24"/>
                <w:lang w:eastAsia="lv-LV"/>
              </w:rPr>
              <w:t xml:space="preserve">Projekts tiks realizēts esošo </w:t>
            </w:r>
            <w:r w:rsidR="00EE5469" w:rsidRPr="004C7C46">
              <w:rPr>
                <w:rFonts w:ascii="Times New Roman" w:eastAsia="Times New Roman" w:hAnsi="Times New Roman" w:cs="Times New Roman"/>
                <w:sz w:val="24"/>
                <w:szCs w:val="24"/>
                <w:lang w:eastAsia="lv-LV"/>
              </w:rPr>
              <w:t>cilvēk</w:t>
            </w:r>
            <w:r w:rsidRPr="004C7C46">
              <w:rPr>
                <w:rFonts w:ascii="Times New Roman" w:eastAsia="Times New Roman" w:hAnsi="Times New Roman" w:cs="Times New Roman"/>
                <w:sz w:val="24"/>
                <w:szCs w:val="24"/>
                <w:lang w:eastAsia="lv-LV"/>
              </w:rPr>
              <w:t>resursu ietvaros.</w:t>
            </w:r>
          </w:p>
        </w:tc>
      </w:tr>
      <w:tr w:rsidR="002C6D96" w:rsidRPr="004C7C46"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4C7C46" w:rsidRDefault="00E5323B" w:rsidP="00E5323B">
            <w:pPr>
              <w:spacing w:after="0" w:line="240" w:lineRule="auto"/>
              <w:rPr>
                <w:rFonts w:ascii="Times New Roman" w:eastAsia="Times New Roman" w:hAnsi="Times New Roman" w:cs="Times New Roman"/>
                <w:iCs/>
                <w:sz w:val="24"/>
                <w:szCs w:val="24"/>
                <w:lang w:eastAsia="lv-LV"/>
              </w:rPr>
            </w:pPr>
            <w:r w:rsidRPr="004C7C46">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4C7C46" w:rsidRDefault="00D4694E" w:rsidP="00DB02A6">
            <w:pPr>
              <w:spacing w:after="0" w:line="240" w:lineRule="auto"/>
              <w:jc w:val="both"/>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sz w:val="24"/>
                <w:szCs w:val="24"/>
                <w:lang w:eastAsia="lv-LV"/>
              </w:rPr>
              <w:t>Nav.</w:t>
            </w:r>
          </w:p>
        </w:tc>
      </w:tr>
    </w:tbl>
    <w:p w:rsidR="00F82274" w:rsidRPr="004C7C46" w:rsidRDefault="00F82274" w:rsidP="00894C55">
      <w:pPr>
        <w:spacing w:after="0" w:line="240" w:lineRule="auto"/>
        <w:rPr>
          <w:rFonts w:ascii="Times New Roman" w:hAnsi="Times New Roman" w:cs="Times New Roman"/>
          <w:sz w:val="24"/>
          <w:szCs w:val="24"/>
        </w:rPr>
      </w:pPr>
    </w:p>
    <w:p w:rsidR="00271CD3" w:rsidRPr="004C7C46" w:rsidRDefault="00271CD3" w:rsidP="00894C55">
      <w:pPr>
        <w:spacing w:after="0" w:line="240" w:lineRule="auto"/>
        <w:rPr>
          <w:rFonts w:ascii="Times New Roman" w:hAnsi="Times New Roman" w:cs="Times New Roman"/>
          <w:sz w:val="24"/>
          <w:szCs w:val="24"/>
        </w:rPr>
      </w:pPr>
    </w:p>
    <w:p w:rsidR="002C6D96" w:rsidRPr="004C7C46" w:rsidRDefault="00056408" w:rsidP="002C6D96">
      <w:pPr>
        <w:tabs>
          <w:tab w:val="left" w:pos="7513"/>
        </w:tabs>
        <w:spacing w:after="0" w:line="240" w:lineRule="auto"/>
        <w:rPr>
          <w:rFonts w:ascii="Times New Roman" w:hAnsi="Times New Roman" w:cs="Times New Roman"/>
          <w:color w:val="000000" w:themeColor="text1"/>
          <w:sz w:val="24"/>
          <w:szCs w:val="24"/>
        </w:rPr>
      </w:pPr>
      <w:r w:rsidRPr="004C7C46">
        <w:rPr>
          <w:rFonts w:ascii="Times New Roman" w:hAnsi="Times New Roman" w:cs="Times New Roman"/>
          <w:color w:val="000000" w:themeColor="text1"/>
          <w:sz w:val="24"/>
          <w:szCs w:val="24"/>
        </w:rPr>
        <w:t>Finanšu ministrs</w:t>
      </w:r>
      <w:r w:rsidRPr="004C7C46">
        <w:rPr>
          <w:rFonts w:ascii="Times New Roman" w:hAnsi="Times New Roman" w:cs="Times New Roman"/>
          <w:color w:val="000000" w:themeColor="text1"/>
          <w:sz w:val="24"/>
          <w:szCs w:val="24"/>
        </w:rPr>
        <w:tab/>
        <w:t xml:space="preserve">        J.</w:t>
      </w:r>
      <w:r w:rsidR="00547342" w:rsidRPr="004C7C46">
        <w:rPr>
          <w:rFonts w:ascii="Times New Roman" w:hAnsi="Times New Roman" w:cs="Times New Roman"/>
          <w:color w:val="000000" w:themeColor="text1"/>
          <w:sz w:val="24"/>
          <w:szCs w:val="24"/>
        </w:rPr>
        <w:t xml:space="preserve"> </w:t>
      </w:r>
      <w:r w:rsidRPr="004C7C46">
        <w:rPr>
          <w:rFonts w:ascii="Times New Roman" w:hAnsi="Times New Roman" w:cs="Times New Roman"/>
          <w:color w:val="000000" w:themeColor="text1"/>
          <w:sz w:val="24"/>
          <w:szCs w:val="24"/>
        </w:rPr>
        <w:t>Reirs</w:t>
      </w:r>
    </w:p>
    <w:p w:rsidR="00E439C7" w:rsidRPr="004C7C46" w:rsidRDefault="00E439C7" w:rsidP="002C6D96">
      <w:pPr>
        <w:tabs>
          <w:tab w:val="left" w:pos="6237"/>
        </w:tabs>
        <w:spacing w:after="0" w:line="240" w:lineRule="auto"/>
        <w:rPr>
          <w:rFonts w:ascii="Times New Roman" w:hAnsi="Times New Roman" w:cs="Times New Roman"/>
          <w:color w:val="000000" w:themeColor="text1"/>
          <w:sz w:val="24"/>
          <w:szCs w:val="24"/>
        </w:rPr>
      </w:pPr>
    </w:p>
    <w:p w:rsidR="00C66828" w:rsidRPr="004C7C46" w:rsidRDefault="00C66828" w:rsidP="003566B9">
      <w:pPr>
        <w:tabs>
          <w:tab w:val="left" w:pos="6237"/>
        </w:tabs>
        <w:spacing w:after="0" w:line="240" w:lineRule="auto"/>
        <w:rPr>
          <w:rFonts w:ascii="Times New Roman" w:hAnsi="Times New Roman" w:cs="Times New Roman"/>
          <w:color w:val="000000" w:themeColor="text1"/>
          <w:sz w:val="20"/>
          <w:szCs w:val="20"/>
        </w:rPr>
      </w:pPr>
    </w:p>
    <w:p w:rsidR="00F804AC" w:rsidRPr="004C7C46" w:rsidRDefault="00F804AC" w:rsidP="003566B9">
      <w:pPr>
        <w:tabs>
          <w:tab w:val="left" w:pos="6237"/>
        </w:tabs>
        <w:spacing w:after="0" w:line="240" w:lineRule="auto"/>
        <w:rPr>
          <w:rFonts w:ascii="Times New Roman" w:hAnsi="Times New Roman" w:cs="Times New Roman"/>
          <w:color w:val="000000" w:themeColor="text1"/>
          <w:sz w:val="20"/>
          <w:szCs w:val="20"/>
        </w:rPr>
      </w:pPr>
    </w:p>
    <w:p w:rsidR="003566B9" w:rsidRPr="004C7C46" w:rsidRDefault="0069085E" w:rsidP="003566B9">
      <w:pPr>
        <w:tabs>
          <w:tab w:val="left" w:pos="6237"/>
        </w:tabs>
        <w:spacing w:after="0" w:line="240" w:lineRule="auto"/>
        <w:rPr>
          <w:rFonts w:ascii="Times New Roman" w:hAnsi="Times New Roman" w:cs="Times New Roman"/>
          <w:color w:val="000000" w:themeColor="text1"/>
          <w:sz w:val="20"/>
          <w:szCs w:val="20"/>
        </w:rPr>
      </w:pPr>
      <w:r w:rsidRPr="004C7C46">
        <w:rPr>
          <w:rFonts w:ascii="Times New Roman" w:hAnsi="Times New Roman" w:cs="Times New Roman"/>
          <w:color w:val="000000" w:themeColor="text1"/>
          <w:sz w:val="20"/>
          <w:szCs w:val="20"/>
        </w:rPr>
        <w:t>Čevers</w:t>
      </w:r>
      <w:r w:rsidR="003566B9" w:rsidRPr="004C7C46">
        <w:rPr>
          <w:rFonts w:ascii="Times New Roman" w:hAnsi="Times New Roman" w:cs="Times New Roman"/>
          <w:color w:val="000000" w:themeColor="text1"/>
          <w:sz w:val="20"/>
          <w:szCs w:val="20"/>
        </w:rPr>
        <w:t>, 67095</w:t>
      </w:r>
      <w:r w:rsidRPr="004C7C46">
        <w:rPr>
          <w:rFonts w:ascii="Times New Roman" w:hAnsi="Times New Roman" w:cs="Times New Roman"/>
          <w:color w:val="000000" w:themeColor="text1"/>
          <w:sz w:val="20"/>
          <w:szCs w:val="20"/>
        </w:rPr>
        <w:t>490</w:t>
      </w:r>
    </w:p>
    <w:p w:rsidR="00BD79CB" w:rsidRPr="004C7C46" w:rsidRDefault="00B56865" w:rsidP="00391D28">
      <w:pPr>
        <w:tabs>
          <w:tab w:val="left" w:pos="5165"/>
        </w:tabs>
        <w:spacing w:after="0" w:line="240" w:lineRule="auto"/>
        <w:rPr>
          <w:rFonts w:ascii="Times New Roman" w:hAnsi="Times New Roman" w:cs="Times New Roman"/>
          <w:color w:val="000000" w:themeColor="text1"/>
          <w:sz w:val="20"/>
          <w:szCs w:val="20"/>
        </w:rPr>
      </w:pPr>
      <w:r w:rsidRPr="004C7C46">
        <w:rPr>
          <w:rFonts w:ascii="Times New Roman" w:hAnsi="Times New Roman" w:cs="Times New Roman"/>
          <w:sz w:val="20"/>
          <w:szCs w:val="20"/>
        </w:rPr>
        <w:t>Miks.Cevers</w:t>
      </w:r>
      <w:r w:rsidR="003566B9" w:rsidRPr="004C7C46">
        <w:rPr>
          <w:rFonts w:ascii="Times New Roman" w:hAnsi="Times New Roman" w:cs="Times New Roman"/>
          <w:sz w:val="20"/>
          <w:szCs w:val="20"/>
        </w:rPr>
        <w:t>@fm.gov.lv</w:t>
      </w:r>
      <w:r w:rsidR="00391D28" w:rsidRPr="004C7C46">
        <w:rPr>
          <w:rFonts w:ascii="Times New Roman" w:hAnsi="Times New Roman" w:cs="Times New Roman"/>
          <w:sz w:val="20"/>
          <w:szCs w:val="20"/>
        </w:rPr>
        <w:tab/>
      </w:r>
    </w:p>
    <w:sectPr w:rsidR="00BD79CB" w:rsidRPr="004C7C46" w:rsidSect="007B1BB8">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BD" w:rsidRDefault="002B4FBD" w:rsidP="00894C55">
      <w:pPr>
        <w:spacing w:after="0" w:line="240" w:lineRule="auto"/>
      </w:pPr>
      <w:r>
        <w:separator/>
      </w:r>
    </w:p>
  </w:endnote>
  <w:endnote w:type="continuationSeparator" w:id="0">
    <w:p w:rsidR="002B4FBD" w:rsidRDefault="002B4FB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B2B" w:rsidRPr="00DE58D0" w:rsidRDefault="00F50B2B" w:rsidP="00013DEE">
    <w:pPr>
      <w:pStyle w:val="Footer"/>
    </w:pPr>
    <w:r>
      <w:rPr>
        <w:rFonts w:ascii="Times New Roman" w:hAnsi="Times New Roman" w:cs="Times New Roman"/>
        <w:sz w:val="20"/>
        <w:szCs w:val="20"/>
      </w:rPr>
      <w:t>FMA</w:t>
    </w:r>
    <w:r w:rsidRPr="00DE58D0">
      <w:rPr>
        <w:rFonts w:ascii="Times New Roman" w:hAnsi="Times New Roman" w:cs="Times New Roman"/>
        <w:sz w:val="20"/>
        <w:szCs w:val="20"/>
      </w:rPr>
      <w:t>not_</w:t>
    </w:r>
    <w:r w:rsidR="00DF4256">
      <w:rPr>
        <w:rFonts w:ascii="Times New Roman" w:hAnsi="Times New Roman" w:cs="Times New Roman"/>
        <w:sz w:val="20"/>
        <w:szCs w:val="20"/>
      </w:rPr>
      <w:t>30</w:t>
    </w:r>
    <w:r>
      <w:rPr>
        <w:rFonts w:ascii="Times New Roman" w:hAnsi="Times New Roman" w:cs="Times New Roman"/>
        <w:sz w:val="20"/>
        <w:szCs w:val="20"/>
      </w:rPr>
      <w:t>1020</w:t>
    </w:r>
    <w:r w:rsidRPr="00DE58D0">
      <w:rPr>
        <w:rFonts w:ascii="Times New Roman" w:hAnsi="Times New Roman" w:cs="Times New Roman"/>
        <w:sz w:val="20"/>
        <w:szCs w:val="20"/>
      </w:rPr>
      <w:t>_</w:t>
    </w:r>
    <w:r>
      <w:rPr>
        <w:rFonts w:ascii="Times New Roman" w:hAnsi="Times New Roman" w:cs="Times New Roman"/>
        <w:sz w:val="20"/>
        <w:szCs w:val="20"/>
      </w:rPr>
      <w:t>noregulejums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B2B" w:rsidRDefault="00F50B2B" w:rsidP="00A90F5D">
    <w:pPr>
      <w:pStyle w:val="Footer"/>
      <w:rPr>
        <w:rFonts w:ascii="Times New Roman" w:hAnsi="Times New Roman" w:cs="Times New Roman"/>
        <w:sz w:val="20"/>
        <w:szCs w:val="20"/>
      </w:rPr>
    </w:pPr>
  </w:p>
  <w:p w:rsidR="00F50B2B" w:rsidRPr="00DE58D0" w:rsidRDefault="00F50B2B" w:rsidP="00A90F5D">
    <w:pPr>
      <w:pStyle w:val="Footer"/>
    </w:pPr>
    <w:r>
      <w:rPr>
        <w:rFonts w:ascii="Times New Roman" w:hAnsi="Times New Roman" w:cs="Times New Roman"/>
        <w:sz w:val="20"/>
        <w:szCs w:val="20"/>
      </w:rPr>
      <w:t>FMA</w:t>
    </w:r>
    <w:r w:rsidRPr="00DE58D0">
      <w:rPr>
        <w:rFonts w:ascii="Times New Roman" w:hAnsi="Times New Roman" w:cs="Times New Roman"/>
        <w:sz w:val="20"/>
        <w:szCs w:val="20"/>
      </w:rPr>
      <w:t>not_</w:t>
    </w:r>
    <w:r w:rsidR="00DF4256">
      <w:rPr>
        <w:rFonts w:ascii="Times New Roman" w:hAnsi="Times New Roman" w:cs="Times New Roman"/>
        <w:sz w:val="20"/>
        <w:szCs w:val="20"/>
      </w:rPr>
      <w:t>30</w:t>
    </w:r>
    <w:r>
      <w:rPr>
        <w:rFonts w:ascii="Times New Roman" w:hAnsi="Times New Roman" w:cs="Times New Roman"/>
        <w:sz w:val="20"/>
        <w:szCs w:val="20"/>
      </w:rPr>
      <w:t>1020</w:t>
    </w:r>
    <w:r w:rsidRPr="00DE58D0">
      <w:rPr>
        <w:rFonts w:ascii="Times New Roman" w:hAnsi="Times New Roman" w:cs="Times New Roman"/>
        <w:sz w:val="20"/>
        <w:szCs w:val="20"/>
      </w:rPr>
      <w:t>_</w:t>
    </w:r>
    <w:r>
      <w:rPr>
        <w:rFonts w:ascii="Times New Roman" w:hAnsi="Times New Roman" w:cs="Times New Roman"/>
        <w:sz w:val="20"/>
        <w:szCs w:val="20"/>
      </w:rPr>
      <w:t>noregulejums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BD" w:rsidRDefault="002B4FBD" w:rsidP="00894C55">
      <w:pPr>
        <w:spacing w:after="0" w:line="240" w:lineRule="auto"/>
      </w:pPr>
      <w:r>
        <w:separator/>
      </w:r>
    </w:p>
  </w:footnote>
  <w:footnote w:type="continuationSeparator" w:id="0">
    <w:p w:rsidR="002B4FBD" w:rsidRDefault="002B4FBD"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F50B2B" w:rsidRPr="00C25B49" w:rsidRDefault="00F50B2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16B08">
          <w:rPr>
            <w:rFonts w:ascii="Times New Roman" w:hAnsi="Times New Roman" w:cs="Times New Roman"/>
            <w:noProof/>
            <w:sz w:val="24"/>
            <w:szCs w:val="20"/>
          </w:rPr>
          <w:t>17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A7E"/>
    <w:multiLevelType w:val="hybridMultilevel"/>
    <w:tmpl w:val="72163E28"/>
    <w:lvl w:ilvl="0" w:tplc="F9A260A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C84837"/>
    <w:multiLevelType w:val="hybridMultilevel"/>
    <w:tmpl w:val="F8764808"/>
    <w:lvl w:ilvl="0" w:tplc="5F9EC0D8">
      <w:start w:val="1"/>
      <w:numFmt w:val="decimal"/>
      <w:lvlText w:val="%1."/>
      <w:lvlJc w:val="left"/>
      <w:pPr>
        <w:ind w:left="360" w:hanging="360"/>
      </w:pPr>
      <w:rPr>
        <w:rFonts w:ascii="Times New Roman" w:eastAsia="Calibri" w:hAnsi="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952DEB"/>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92A04D8"/>
    <w:multiLevelType w:val="hybridMultilevel"/>
    <w:tmpl w:val="00B09E56"/>
    <w:lvl w:ilvl="0" w:tplc="4DCC1B56">
      <w:start w:val="2"/>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9649C3"/>
    <w:multiLevelType w:val="hybridMultilevel"/>
    <w:tmpl w:val="E5209F18"/>
    <w:lvl w:ilvl="0" w:tplc="920E90AE">
      <w:start w:val="500"/>
      <w:numFmt w:val="bullet"/>
      <w:lvlText w:val="-"/>
      <w:lvlJc w:val="left"/>
      <w:pPr>
        <w:ind w:left="720" w:hanging="360"/>
      </w:pPr>
      <w:rPr>
        <w:rFonts w:ascii="Times New Roman" w:eastAsia="Times New Roman"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84166A"/>
    <w:multiLevelType w:val="hybridMultilevel"/>
    <w:tmpl w:val="AAA644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EDF"/>
    <w:multiLevelType w:val="hybridMultilevel"/>
    <w:tmpl w:val="2618CE06"/>
    <w:lvl w:ilvl="0" w:tplc="4BDA3A9E">
      <w:start w:val="1"/>
      <w:numFmt w:val="decimal"/>
      <w:lvlText w:val="%1."/>
      <w:lvlJc w:val="left"/>
      <w:pPr>
        <w:ind w:left="632" w:hanging="360"/>
      </w:pPr>
      <w:rPr>
        <w:rFonts w:hint="default"/>
      </w:rPr>
    </w:lvl>
    <w:lvl w:ilvl="1" w:tplc="04260019" w:tentative="1">
      <w:start w:val="1"/>
      <w:numFmt w:val="lowerLetter"/>
      <w:lvlText w:val="%2."/>
      <w:lvlJc w:val="left"/>
      <w:pPr>
        <w:ind w:left="1352" w:hanging="360"/>
      </w:pPr>
    </w:lvl>
    <w:lvl w:ilvl="2" w:tplc="0426001B" w:tentative="1">
      <w:start w:val="1"/>
      <w:numFmt w:val="lowerRoman"/>
      <w:lvlText w:val="%3."/>
      <w:lvlJc w:val="right"/>
      <w:pPr>
        <w:ind w:left="2072" w:hanging="180"/>
      </w:pPr>
    </w:lvl>
    <w:lvl w:ilvl="3" w:tplc="0426000F" w:tentative="1">
      <w:start w:val="1"/>
      <w:numFmt w:val="decimal"/>
      <w:lvlText w:val="%4."/>
      <w:lvlJc w:val="left"/>
      <w:pPr>
        <w:ind w:left="2792" w:hanging="360"/>
      </w:pPr>
    </w:lvl>
    <w:lvl w:ilvl="4" w:tplc="04260019" w:tentative="1">
      <w:start w:val="1"/>
      <w:numFmt w:val="lowerLetter"/>
      <w:lvlText w:val="%5."/>
      <w:lvlJc w:val="left"/>
      <w:pPr>
        <w:ind w:left="3512" w:hanging="360"/>
      </w:pPr>
    </w:lvl>
    <w:lvl w:ilvl="5" w:tplc="0426001B" w:tentative="1">
      <w:start w:val="1"/>
      <w:numFmt w:val="lowerRoman"/>
      <w:lvlText w:val="%6."/>
      <w:lvlJc w:val="right"/>
      <w:pPr>
        <w:ind w:left="4232" w:hanging="180"/>
      </w:pPr>
    </w:lvl>
    <w:lvl w:ilvl="6" w:tplc="0426000F" w:tentative="1">
      <w:start w:val="1"/>
      <w:numFmt w:val="decimal"/>
      <w:lvlText w:val="%7."/>
      <w:lvlJc w:val="left"/>
      <w:pPr>
        <w:ind w:left="4952" w:hanging="360"/>
      </w:pPr>
    </w:lvl>
    <w:lvl w:ilvl="7" w:tplc="04260019" w:tentative="1">
      <w:start w:val="1"/>
      <w:numFmt w:val="lowerLetter"/>
      <w:lvlText w:val="%8."/>
      <w:lvlJc w:val="left"/>
      <w:pPr>
        <w:ind w:left="5672" w:hanging="360"/>
      </w:pPr>
    </w:lvl>
    <w:lvl w:ilvl="8" w:tplc="0426001B" w:tentative="1">
      <w:start w:val="1"/>
      <w:numFmt w:val="lowerRoman"/>
      <w:lvlText w:val="%9."/>
      <w:lvlJc w:val="right"/>
      <w:pPr>
        <w:ind w:left="6392" w:hanging="180"/>
      </w:pPr>
    </w:lvl>
  </w:abstractNum>
  <w:abstractNum w:abstractNumId="7" w15:restartNumberingAfterBreak="0">
    <w:nsid w:val="2B0104A9"/>
    <w:multiLevelType w:val="hybridMultilevel"/>
    <w:tmpl w:val="E59C18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DE2F1D"/>
    <w:multiLevelType w:val="hybridMultilevel"/>
    <w:tmpl w:val="C720B2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735B16"/>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0" w15:restartNumberingAfterBreak="0">
    <w:nsid w:val="34C064FD"/>
    <w:multiLevelType w:val="hybridMultilevel"/>
    <w:tmpl w:val="86D4F5EA"/>
    <w:lvl w:ilvl="0" w:tplc="5C9AE3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7950303"/>
    <w:multiLevelType w:val="hybridMultilevel"/>
    <w:tmpl w:val="18AE2EF6"/>
    <w:lvl w:ilvl="0" w:tplc="0666EFA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BDA4C42"/>
    <w:multiLevelType w:val="hybridMultilevel"/>
    <w:tmpl w:val="0B0E8454"/>
    <w:lvl w:ilvl="0" w:tplc="21260292">
      <w:start w:val="1"/>
      <w:numFmt w:val="decimal"/>
      <w:lvlText w:val="%1."/>
      <w:lvlJc w:val="left"/>
      <w:pPr>
        <w:ind w:left="720" w:hanging="360"/>
      </w:pPr>
      <w:rPr>
        <w:rFonts w:eastAsia="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02583D"/>
    <w:multiLevelType w:val="hybridMultilevel"/>
    <w:tmpl w:val="B91018A2"/>
    <w:lvl w:ilvl="0" w:tplc="0B0E7A56">
      <w:start w:val="1"/>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E32EF2"/>
    <w:multiLevelType w:val="multilevel"/>
    <w:tmpl w:val="8B885EDA"/>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5" w15:restartNumberingAfterBreak="0">
    <w:nsid w:val="6BCA7F02"/>
    <w:multiLevelType w:val="hybridMultilevel"/>
    <w:tmpl w:val="8EBC45A2"/>
    <w:lvl w:ilvl="0" w:tplc="88BE488C">
      <w:start w:val="1"/>
      <w:numFmt w:val="bullet"/>
      <w:lvlText w:val="-"/>
      <w:lvlJc w:val="left"/>
      <w:pPr>
        <w:ind w:left="1146" w:hanging="360"/>
      </w:pPr>
      <w:rPr>
        <w:rFonts w:ascii="Times New Roman" w:eastAsia="Times New Roman" w:hAnsi="Times New Roman" w:cs="Times New Roman"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6C374B33"/>
    <w:multiLevelType w:val="hybridMultilevel"/>
    <w:tmpl w:val="644E61BE"/>
    <w:lvl w:ilvl="0" w:tplc="9F34FCDE">
      <w:start w:val="4"/>
      <w:numFmt w:val="bullet"/>
      <w:lvlText w:val="-"/>
      <w:lvlJc w:val="left"/>
      <w:pPr>
        <w:ind w:left="720" w:hanging="360"/>
      </w:pPr>
      <w:rPr>
        <w:rFonts w:ascii="Calibri" w:eastAsia="Times New Roman" w:hAnsi="Calibri" w:cs="Calibri" w:hint="default"/>
        <w:color w:val="000000" w:themeColor="text1"/>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ED7AFF"/>
    <w:multiLevelType w:val="hybridMultilevel"/>
    <w:tmpl w:val="1E7C0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4DD0518"/>
    <w:multiLevelType w:val="hybridMultilevel"/>
    <w:tmpl w:val="96ACAF78"/>
    <w:lvl w:ilvl="0" w:tplc="2AF08658">
      <w:start w:val="1"/>
      <w:numFmt w:val="decimal"/>
      <w:lvlText w:val="%1)"/>
      <w:lvlJc w:val="left"/>
      <w:pPr>
        <w:ind w:left="720" w:hanging="360"/>
      </w:pPr>
      <w:rPr>
        <w:rFonts w:ascii="Times New Roman" w:eastAsia="Times New Roman" w:hAnsi="Times New Roman" w:cs="Times New Roman"/>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A613BFE"/>
    <w:multiLevelType w:val="hybridMultilevel"/>
    <w:tmpl w:val="D0FE395A"/>
    <w:lvl w:ilvl="0" w:tplc="65283982">
      <w:start w:val="1"/>
      <w:numFmt w:val="bullet"/>
      <w:lvlText w:val=""/>
      <w:lvlJc w:val="left"/>
      <w:pPr>
        <w:ind w:left="1680" w:hanging="360"/>
      </w:pPr>
      <w:rPr>
        <w:rFonts w:ascii="Symbol" w:hAnsi="Symbol"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num w:numId="1">
    <w:abstractNumId w:val="6"/>
  </w:num>
  <w:num w:numId="2">
    <w:abstractNumId w:val="15"/>
  </w:num>
  <w:num w:numId="3">
    <w:abstractNumId w:val="18"/>
  </w:num>
  <w:num w:numId="4">
    <w:abstractNumId w:val="19"/>
  </w:num>
  <w:num w:numId="5">
    <w:abstractNumId w:val="0"/>
  </w:num>
  <w:num w:numId="6">
    <w:abstractNumId w:val="9"/>
  </w:num>
  <w:num w:numId="7">
    <w:abstractNumId w:val="5"/>
  </w:num>
  <w:num w:numId="8">
    <w:abstractNumId w:val="4"/>
  </w:num>
  <w:num w:numId="9">
    <w:abstractNumId w:val="13"/>
  </w:num>
  <w:num w:numId="10">
    <w:abstractNumId w:val="11"/>
  </w:num>
  <w:num w:numId="11">
    <w:abstractNumId w:val="17"/>
  </w:num>
  <w:num w:numId="12">
    <w:abstractNumId w:val="12"/>
  </w:num>
  <w:num w:numId="13">
    <w:abstractNumId w:val="14"/>
  </w:num>
  <w:num w:numId="14">
    <w:abstractNumId w:val="2"/>
  </w:num>
  <w:num w:numId="15">
    <w:abstractNumId w:val="1"/>
  </w:num>
  <w:num w:numId="16">
    <w:abstractNumId w:val="16"/>
  </w:num>
  <w:num w:numId="17">
    <w:abstractNumId w:val="3"/>
  </w:num>
  <w:num w:numId="18">
    <w:abstractNumId w:val="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2CCD"/>
    <w:rsid w:val="00002EB7"/>
    <w:rsid w:val="000033C0"/>
    <w:rsid w:val="0000568F"/>
    <w:rsid w:val="00005D7F"/>
    <w:rsid w:val="0000723E"/>
    <w:rsid w:val="000127D2"/>
    <w:rsid w:val="00013DEE"/>
    <w:rsid w:val="00016CC9"/>
    <w:rsid w:val="00023C23"/>
    <w:rsid w:val="000272D9"/>
    <w:rsid w:val="00027CBD"/>
    <w:rsid w:val="00030B4A"/>
    <w:rsid w:val="00035607"/>
    <w:rsid w:val="00040E1F"/>
    <w:rsid w:val="0004235D"/>
    <w:rsid w:val="00042DD2"/>
    <w:rsid w:val="00043CFB"/>
    <w:rsid w:val="0004568C"/>
    <w:rsid w:val="00052086"/>
    <w:rsid w:val="00054059"/>
    <w:rsid w:val="00055A4F"/>
    <w:rsid w:val="00056408"/>
    <w:rsid w:val="00066438"/>
    <w:rsid w:val="000747A1"/>
    <w:rsid w:val="0007497F"/>
    <w:rsid w:val="000758B2"/>
    <w:rsid w:val="00076143"/>
    <w:rsid w:val="00082330"/>
    <w:rsid w:val="00085161"/>
    <w:rsid w:val="00086205"/>
    <w:rsid w:val="00087209"/>
    <w:rsid w:val="000920E4"/>
    <w:rsid w:val="00095EC3"/>
    <w:rsid w:val="000970C6"/>
    <w:rsid w:val="000A1AD3"/>
    <w:rsid w:val="000A3F5B"/>
    <w:rsid w:val="000A43F6"/>
    <w:rsid w:val="000A4578"/>
    <w:rsid w:val="000A51A0"/>
    <w:rsid w:val="000A70EA"/>
    <w:rsid w:val="000B61EA"/>
    <w:rsid w:val="000C0056"/>
    <w:rsid w:val="000C0FA4"/>
    <w:rsid w:val="000D13BE"/>
    <w:rsid w:val="000E13BF"/>
    <w:rsid w:val="000E62BF"/>
    <w:rsid w:val="000E6390"/>
    <w:rsid w:val="000F221C"/>
    <w:rsid w:val="00100248"/>
    <w:rsid w:val="00104261"/>
    <w:rsid w:val="00106471"/>
    <w:rsid w:val="00107031"/>
    <w:rsid w:val="00117CF4"/>
    <w:rsid w:val="00122630"/>
    <w:rsid w:val="00124113"/>
    <w:rsid w:val="00130C3F"/>
    <w:rsid w:val="00133156"/>
    <w:rsid w:val="00135E75"/>
    <w:rsid w:val="00137128"/>
    <w:rsid w:val="00137F84"/>
    <w:rsid w:val="00142FCD"/>
    <w:rsid w:val="001477EE"/>
    <w:rsid w:val="00150DCD"/>
    <w:rsid w:val="00154574"/>
    <w:rsid w:val="00161740"/>
    <w:rsid w:val="001636C9"/>
    <w:rsid w:val="00163F4F"/>
    <w:rsid w:val="00164D9C"/>
    <w:rsid w:val="0016683A"/>
    <w:rsid w:val="00166E9E"/>
    <w:rsid w:val="0017255D"/>
    <w:rsid w:val="00175805"/>
    <w:rsid w:val="00176A8F"/>
    <w:rsid w:val="00176C60"/>
    <w:rsid w:val="0018046E"/>
    <w:rsid w:val="0018195C"/>
    <w:rsid w:val="00181BEB"/>
    <w:rsid w:val="00184575"/>
    <w:rsid w:val="00184EBD"/>
    <w:rsid w:val="00185203"/>
    <w:rsid w:val="0018774A"/>
    <w:rsid w:val="0019041C"/>
    <w:rsid w:val="00196813"/>
    <w:rsid w:val="00196870"/>
    <w:rsid w:val="00196EBF"/>
    <w:rsid w:val="00197EE5"/>
    <w:rsid w:val="001A1E43"/>
    <w:rsid w:val="001B50C4"/>
    <w:rsid w:val="001B7DA0"/>
    <w:rsid w:val="001C09BE"/>
    <w:rsid w:val="001C5D46"/>
    <w:rsid w:val="001C7006"/>
    <w:rsid w:val="001D3F0C"/>
    <w:rsid w:val="001D50DE"/>
    <w:rsid w:val="001E426B"/>
    <w:rsid w:val="001F5BFC"/>
    <w:rsid w:val="001F64F5"/>
    <w:rsid w:val="001F6F9E"/>
    <w:rsid w:val="00201E30"/>
    <w:rsid w:val="00202131"/>
    <w:rsid w:val="00203CC8"/>
    <w:rsid w:val="00206543"/>
    <w:rsid w:val="0020677C"/>
    <w:rsid w:val="0021078D"/>
    <w:rsid w:val="002127D6"/>
    <w:rsid w:val="00222362"/>
    <w:rsid w:val="00222539"/>
    <w:rsid w:val="002225AD"/>
    <w:rsid w:val="00232ED5"/>
    <w:rsid w:val="0023703B"/>
    <w:rsid w:val="002371D3"/>
    <w:rsid w:val="00237756"/>
    <w:rsid w:val="002412BB"/>
    <w:rsid w:val="002417B0"/>
    <w:rsid w:val="00243426"/>
    <w:rsid w:val="002467E5"/>
    <w:rsid w:val="0024706C"/>
    <w:rsid w:val="00251FDD"/>
    <w:rsid w:val="002535A0"/>
    <w:rsid w:val="00255C4F"/>
    <w:rsid w:val="002605ED"/>
    <w:rsid w:val="002607D7"/>
    <w:rsid w:val="00260AB8"/>
    <w:rsid w:val="0026185D"/>
    <w:rsid w:val="00262189"/>
    <w:rsid w:val="00263D5F"/>
    <w:rsid w:val="0026666D"/>
    <w:rsid w:val="0027045C"/>
    <w:rsid w:val="00271CD3"/>
    <w:rsid w:val="00273051"/>
    <w:rsid w:val="0027452E"/>
    <w:rsid w:val="00275433"/>
    <w:rsid w:val="00280724"/>
    <w:rsid w:val="00282CFD"/>
    <w:rsid w:val="00283653"/>
    <w:rsid w:val="00283F1D"/>
    <w:rsid w:val="00284099"/>
    <w:rsid w:val="00284DDB"/>
    <w:rsid w:val="00284FA3"/>
    <w:rsid w:val="00285B3E"/>
    <w:rsid w:val="00286165"/>
    <w:rsid w:val="0028631E"/>
    <w:rsid w:val="00286B1F"/>
    <w:rsid w:val="00286E6F"/>
    <w:rsid w:val="0029089F"/>
    <w:rsid w:val="002A1F03"/>
    <w:rsid w:val="002A607E"/>
    <w:rsid w:val="002B18DF"/>
    <w:rsid w:val="002B2132"/>
    <w:rsid w:val="002B4207"/>
    <w:rsid w:val="002B4FBD"/>
    <w:rsid w:val="002B4FEC"/>
    <w:rsid w:val="002B60D3"/>
    <w:rsid w:val="002C2513"/>
    <w:rsid w:val="002C6D96"/>
    <w:rsid w:val="002D0BD5"/>
    <w:rsid w:val="002E15DF"/>
    <w:rsid w:val="002E1C05"/>
    <w:rsid w:val="002E7F29"/>
    <w:rsid w:val="002F4D01"/>
    <w:rsid w:val="0030590A"/>
    <w:rsid w:val="00306860"/>
    <w:rsid w:val="00306FB8"/>
    <w:rsid w:val="00311B03"/>
    <w:rsid w:val="00311E02"/>
    <w:rsid w:val="00321C5A"/>
    <w:rsid w:val="00325F3D"/>
    <w:rsid w:val="00330C9A"/>
    <w:rsid w:val="00335200"/>
    <w:rsid w:val="003405FF"/>
    <w:rsid w:val="003407D3"/>
    <w:rsid w:val="00343664"/>
    <w:rsid w:val="003478C0"/>
    <w:rsid w:val="0035301E"/>
    <w:rsid w:val="00354C28"/>
    <w:rsid w:val="003566B9"/>
    <w:rsid w:val="0035774E"/>
    <w:rsid w:val="00362861"/>
    <w:rsid w:val="00362CE5"/>
    <w:rsid w:val="0036462E"/>
    <w:rsid w:val="00366B0B"/>
    <w:rsid w:val="00367B38"/>
    <w:rsid w:val="00371FAC"/>
    <w:rsid w:val="003730A5"/>
    <w:rsid w:val="00375816"/>
    <w:rsid w:val="0037754E"/>
    <w:rsid w:val="0038003E"/>
    <w:rsid w:val="00381E6D"/>
    <w:rsid w:val="003833BE"/>
    <w:rsid w:val="003904D8"/>
    <w:rsid w:val="00391D28"/>
    <w:rsid w:val="00394EBB"/>
    <w:rsid w:val="003969FE"/>
    <w:rsid w:val="00396D09"/>
    <w:rsid w:val="003A2B52"/>
    <w:rsid w:val="003A3B0E"/>
    <w:rsid w:val="003A4F40"/>
    <w:rsid w:val="003A621B"/>
    <w:rsid w:val="003A691C"/>
    <w:rsid w:val="003B0BF9"/>
    <w:rsid w:val="003B2C6B"/>
    <w:rsid w:val="003B5BF3"/>
    <w:rsid w:val="003C1E84"/>
    <w:rsid w:val="003C507D"/>
    <w:rsid w:val="003C5395"/>
    <w:rsid w:val="003C7511"/>
    <w:rsid w:val="003D3612"/>
    <w:rsid w:val="003D53CE"/>
    <w:rsid w:val="003D5608"/>
    <w:rsid w:val="003D6EF2"/>
    <w:rsid w:val="003E0791"/>
    <w:rsid w:val="003E0968"/>
    <w:rsid w:val="003E3F49"/>
    <w:rsid w:val="003E51F5"/>
    <w:rsid w:val="003E535D"/>
    <w:rsid w:val="003E63EE"/>
    <w:rsid w:val="003E6C68"/>
    <w:rsid w:val="003E704B"/>
    <w:rsid w:val="003E7533"/>
    <w:rsid w:val="003F1B63"/>
    <w:rsid w:val="003F28AC"/>
    <w:rsid w:val="004000C2"/>
    <w:rsid w:val="00410969"/>
    <w:rsid w:val="00416C6C"/>
    <w:rsid w:val="00417FFB"/>
    <w:rsid w:val="00433EC5"/>
    <w:rsid w:val="00435C0C"/>
    <w:rsid w:val="00436837"/>
    <w:rsid w:val="004454FE"/>
    <w:rsid w:val="00456A4B"/>
    <w:rsid w:val="00456E40"/>
    <w:rsid w:val="0046063F"/>
    <w:rsid w:val="00461D9E"/>
    <w:rsid w:val="00465C44"/>
    <w:rsid w:val="00466B32"/>
    <w:rsid w:val="00470D11"/>
    <w:rsid w:val="00470D76"/>
    <w:rsid w:val="00471F27"/>
    <w:rsid w:val="004743BD"/>
    <w:rsid w:val="0047484F"/>
    <w:rsid w:val="00480AEB"/>
    <w:rsid w:val="004816F6"/>
    <w:rsid w:val="00483296"/>
    <w:rsid w:val="00485083"/>
    <w:rsid w:val="00485847"/>
    <w:rsid w:val="00492DAF"/>
    <w:rsid w:val="00492DF7"/>
    <w:rsid w:val="00495638"/>
    <w:rsid w:val="004A15D2"/>
    <w:rsid w:val="004C21A0"/>
    <w:rsid w:val="004C41E6"/>
    <w:rsid w:val="004C7C46"/>
    <w:rsid w:val="004D1616"/>
    <w:rsid w:val="004D2F8E"/>
    <w:rsid w:val="004E17EB"/>
    <w:rsid w:val="004E2C5A"/>
    <w:rsid w:val="004E7D98"/>
    <w:rsid w:val="004F0CE9"/>
    <w:rsid w:val="004F114A"/>
    <w:rsid w:val="004F2272"/>
    <w:rsid w:val="004F732F"/>
    <w:rsid w:val="004F7401"/>
    <w:rsid w:val="00500564"/>
    <w:rsid w:val="0050178F"/>
    <w:rsid w:val="00501875"/>
    <w:rsid w:val="005072B8"/>
    <w:rsid w:val="00507E5B"/>
    <w:rsid w:val="005123F4"/>
    <w:rsid w:val="00512AA2"/>
    <w:rsid w:val="00512C0F"/>
    <w:rsid w:val="00514243"/>
    <w:rsid w:val="0051647E"/>
    <w:rsid w:val="005167FB"/>
    <w:rsid w:val="0053452E"/>
    <w:rsid w:val="005367D9"/>
    <w:rsid w:val="005452C3"/>
    <w:rsid w:val="0054649C"/>
    <w:rsid w:val="00546559"/>
    <w:rsid w:val="00547342"/>
    <w:rsid w:val="00547AC0"/>
    <w:rsid w:val="00550730"/>
    <w:rsid w:val="005535A8"/>
    <w:rsid w:val="005600E4"/>
    <w:rsid w:val="005625EC"/>
    <w:rsid w:val="00566EAF"/>
    <w:rsid w:val="00570CE9"/>
    <w:rsid w:val="00575EE6"/>
    <w:rsid w:val="005809A1"/>
    <w:rsid w:val="00582F0B"/>
    <w:rsid w:val="005864E3"/>
    <w:rsid w:val="00587B0F"/>
    <w:rsid w:val="00592498"/>
    <w:rsid w:val="00597B5E"/>
    <w:rsid w:val="005A3338"/>
    <w:rsid w:val="005A3A5B"/>
    <w:rsid w:val="005A3E06"/>
    <w:rsid w:val="005A50F5"/>
    <w:rsid w:val="005A60B1"/>
    <w:rsid w:val="005A7688"/>
    <w:rsid w:val="005B20DF"/>
    <w:rsid w:val="005C0A50"/>
    <w:rsid w:val="005C728C"/>
    <w:rsid w:val="005D12ED"/>
    <w:rsid w:val="005D21D4"/>
    <w:rsid w:val="005E20DF"/>
    <w:rsid w:val="005E5E93"/>
    <w:rsid w:val="005F56A2"/>
    <w:rsid w:val="006032CB"/>
    <w:rsid w:val="00603424"/>
    <w:rsid w:val="006060B9"/>
    <w:rsid w:val="00612331"/>
    <w:rsid w:val="00614515"/>
    <w:rsid w:val="00615753"/>
    <w:rsid w:val="00615BAA"/>
    <w:rsid w:val="00616F5C"/>
    <w:rsid w:val="006219E4"/>
    <w:rsid w:val="00632097"/>
    <w:rsid w:val="00644B75"/>
    <w:rsid w:val="00652E8D"/>
    <w:rsid w:val="006534B7"/>
    <w:rsid w:val="00654161"/>
    <w:rsid w:val="00655F2C"/>
    <w:rsid w:val="00660235"/>
    <w:rsid w:val="006639C8"/>
    <w:rsid w:val="006732EB"/>
    <w:rsid w:val="00674CA8"/>
    <w:rsid w:val="00675015"/>
    <w:rsid w:val="00675D9F"/>
    <w:rsid w:val="0068011B"/>
    <w:rsid w:val="0068106B"/>
    <w:rsid w:val="006872A5"/>
    <w:rsid w:val="0069085E"/>
    <w:rsid w:val="00690BD4"/>
    <w:rsid w:val="00690CB6"/>
    <w:rsid w:val="006923E4"/>
    <w:rsid w:val="006930A8"/>
    <w:rsid w:val="00695C3C"/>
    <w:rsid w:val="00696B50"/>
    <w:rsid w:val="006977EB"/>
    <w:rsid w:val="006A1536"/>
    <w:rsid w:val="006A24CD"/>
    <w:rsid w:val="006A2B71"/>
    <w:rsid w:val="006B1A18"/>
    <w:rsid w:val="006B1B30"/>
    <w:rsid w:val="006B1B47"/>
    <w:rsid w:val="006B5D33"/>
    <w:rsid w:val="006C0C52"/>
    <w:rsid w:val="006C23DC"/>
    <w:rsid w:val="006C590B"/>
    <w:rsid w:val="006C5F8A"/>
    <w:rsid w:val="006C7289"/>
    <w:rsid w:val="006D5467"/>
    <w:rsid w:val="006D6404"/>
    <w:rsid w:val="006E0307"/>
    <w:rsid w:val="006E1081"/>
    <w:rsid w:val="006E5B57"/>
    <w:rsid w:val="006E6344"/>
    <w:rsid w:val="006F2544"/>
    <w:rsid w:val="006F350E"/>
    <w:rsid w:val="007017B4"/>
    <w:rsid w:val="00702F10"/>
    <w:rsid w:val="00705AE6"/>
    <w:rsid w:val="007064ED"/>
    <w:rsid w:val="00711A06"/>
    <w:rsid w:val="0071246A"/>
    <w:rsid w:val="0071582E"/>
    <w:rsid w:val="00715A76"/>
    <w:rsid w:val="00720585"/>
    <w:rsid w:val="0072122E"/>
    <w:rsid w:val="00721517"/>
    <w:rsid w:val="0072328F"/>
    <w:rsid w:val="007248EE"/>
    <w:rsid w:val="00727B4F"/>
    <w:rsid w:val="00727F8B"/>
    <w:rsid w:val="00734082"/>
    <w:rsid w:val="00735155"/>
    <w:rsid w:val="00740544"/>
    <w:rsid w:val="00743FCE"/>
    <w:rsid w:val="00744D8A"/>
    <w:rsid w:val="00747C7C"/>
    <w:rsid w:val="00750E69"/>
    <w:rsid w:val="007529D6"/>
    <w:rsid w:val="00757920"/>
    <w:rsid w:val="00761CB3"/>
    <w:rsid w:val="00766264"/>
    <w:rsid w:val="00766B83"/>
    <w:rsid w:val="00771085"/>
    <w:rsid w:val="0077265D"/>
    <w:rsid w:val="00773AF6"/>
    <w:rsid w:val="007772CE"/>
    <w:rsid w:val="007862E4"/>
    <w:rsid w:val="007878F5"/>
    <w:rsid w:val="007920AC"/>
    <w:rsid w:val="00793046"/>
    <w:rsid w:val="00795F71"/>
    <w:rsid w:val="007A3312"/>
    <w:rsid w:val="007A3D85"/>
    <w:rsid w:val="007A4F6A"/>
    <w:rsid w:val="007A6A56"/>
    <w:rsid w:val="007A6C69"/>
    <w:rsid w:val="007B039A"/>
    <w:rsid w:val="007B0BD8"/>
    <w:rsid w:val="007B1BB8"/>
    <w:rsid w:val="007B3684"/>
    <w:rsid w:val="007B73FB"/>
    <w:rsid w:val="007B7C6A"/>
    <w:rsid w:val="007C077D"/>
    <w:rsid w:val="007C0A04"/>
    <w:rsid w:val="007C2B8B"/>
    <w:rsid w:val="007C65FF"/>
    <w:rsid w:val="007D1A3A"/>
    <w:rsid w:val="007D385E"/>
    <w:rsid w:val="007D44F0"/>
    <w:rsid w:val="007E0A81"/>
    <w:rsid w:val="007E244B"/>
    <w:rsid w:val="007E2665"/>
    <w:rsid w:val="007E4094"/>
    <w:rsid w:val="007E5F7A"/>
    <w:rsid w:val="007E73AB"/>
    <w:rsid w:val="007F0AED"/>
    <w:rsid w:val="007F244C"/>
    <w:rsid w:val="007F3A76"/>
    <w:rsid w:val="007F3EA7"/>
    <w:rsid w:val="007F69B6"/>
    <w:rsid w:val="00801765"/>
    <w:rsid w:val="00802448"/>
    <w:rsid w:val="00803ABA"/>
    <w:rsid w:val="0080576F"/>
    <w:rsid w:val="008074B4"/>
    <w:rsid w:val="008074FA"/>
    <w:rsid w:val="00813429"/>
    <w:rsid w:val="00816C11"/>
    <w:rsid w:val="0082050F"/>
    <w:rsid w:val="00826E79"/>
    <w:rsid w:val="008329C4"/>
    <w:rsid w:val="00832E7C"/>
    <w:rsid w:val="0083413B"/>
    <w:rsid w:val="00834BE3"/>
    <w:rsid w:val="00840748"/>
    <w:rsid w:val="00850C80"/>
    <w:rsid w:val="00851CF5"/>
    <w:rsid w:val="00856980"/>
    <w:rsid w:val="00870077"/>
    <w:rsid w:val="008700AA"/>
    <w:rsid w:val="00871110"/>
    <w:rsid w:val="00872388"/>
    <w:rsid w:val="00872AE0"/>
    <w:rsid w:val="0087700E"/>
    <w:rsid w:val="0089001B"/>
    <w:rsid w:val="00891ED5"/>
    <w:rsid w:val="00894C55"/>
    <w:rsid w:val="008A0231"/>
    <w:rsid w:val="008A06A8"/>
    <w:rsid w:val="008A1BAF"/>
    <w:rsid w:val="008B6301"/>
    <w:rsid w:val="008C008F"/>
    <w:rsid w:val="008C3A05"/>
    <w:rsid w:val="008D06B4"/>
    <w:rsid w:val="008D0EE4"/>
    <w:rsid w:val="008D3F30"/>
    <w:rsid w:val="008D5AB6"/>
    <w:rsid w:val="008E30CD"/>
    <w:rsid w:val="008E5031"/>
    <w:rsid w:val="008F4DDC"/>
    <w:rsid w:val="008F547E"/>
    <w:rsid w:val="008F65F6"/>
    <w:rsid w:val="008F6DC7"/>
    <w:rsid w:val="00902158"/>
    <w:rsid w:val="00911175"/>
    <w:rsid w:val="009161EF"/>
    <w:rsid w:val="00917584"/>
    <w:rsid w:val="009209DC"/>
    <w:rsid w:val="00923CF0"/>
    <w:rsid w:val="00924CE2"/>
    <w:rsid w:val="00930F51"/>
    <w:rsid w:val="00932E1D"/>
    <w:rsid w:val="0093562B"/>
    <w:rsid w:val="00940A96"/>
    <w:rsid w:val="00946047"/>
    <w:rsid w:val="00946D34"/>
    <w:rsid w:val="00946D5F"/>
    <w:rsid w:val="00952E5E"/>
    <w:rsid w:val="0095384F"/>
    <w:rsid w:val="0095390D"/>
    <w:rsid w:val="00953987"/>
    <w:rsid w:val="0095427C"/>
    <w:rsid w:val="00955715"/>
    <w:rsid w:val="00962704"/>
    <w:rsid w:val="009640D5"/>
    <w:rsid w:val="00964FB9"/>
    <w:rsid w:val="0097074C"/>
    <w:rsid w:val="0097183A"/>
    <w:rsid w:val="00971D60"/>
    <w:rsid w:val="00971E5F"/>
    <w:rsid w:val="009756C8"/>
    <w:rsid w:val="00975FF2"/>
    <w:rsid w:val="0098036E"/>
    <w:rsid w:val="009876CF"/>
    <w:rsid w:val="00992612"/>
    <w:rsid w:val="00993FE2"/>
    <w:rsid w:val="0099599A"/>
    <w:rsid w:val="00997B46"/>
    <w:rsid w:val="009A0B85"/>
    <w:rsid w:val="009A2654"/>
    <w:rsid w:val="009A5ECC"/>
    <w:rsid w:val="009C482A"/>
    <w:rsid w:val="009C5557"/>
    <w:rsid w:val="009C7AB2"/>
    <w:rsid w:val="009D1183"/>
    <w:rsid w:val="009D1D50"/>
    <w:rsid w:val="009D44B5"/>
    <w:rsid w:val="009E1D79"/>
    <w:rsid w:val="009E604D"/>
    <w:rsid w:val="009F0549"/>
    <w:rsid w:val="009F0C6E"/>
    <w:rsid w:val="009F468A"/>
    <w:rsid w:val="00A04656"/>
    <w:rsid w:val="00A10FC3"/>
    <w:rsid w:val="00A1416B"/>
    <w:rsid w:val="00A178F8"/>
    <w:rsid w:val="00A20BBA"/>
    <w:rsid w:val="00A25FE6"/>
    <w:rsid w:val="00A30E0B"/>
    <w:rsid w:val="00A33F9F"/>
    <w:rsid w:val="00A44BA2"/>
    <w:rsid w:val="00A50078"/>
    <w:rsid w:val="00A50407"/>
    <w:rsid w:val="00A51E22"/>
    <w:rsid w:val="00A52191"/>
    <w:rsid w:val="00A55C9D"/>
    <w:rsid w:val="00A6073E"/>
    <w:rsid w:val="00A6101B"/>
    <w:rsid w:val="00A61445"/>
    <w:rsid w:val="00A64D74"/>
    <w:rsid w:val="00A65C9C"/>
    <w:rsid w:val="00A73F50"/>
    <w:rsid w:val="00A748CD"/>
    <w:rsid w:val="00A74F26"/>
    <w:rsid w:val="00A81D1B"/>
    <w:rsid w:val="00A83D5C"/>
    <w:rsid w:val="00A87EAB"/>
    <w:rsid w:val="00A904A4"/>
    <w:rsid w:val="00A90F5D"/>
    <w:rsid w:val="00A92221"/>
    <w:rsid w:val="00A95474"/>
    <w:rsid w:val="00AA116A"/>
    <w:rsid w:val="00AA4B18"/>
    <w:rsid w:val="00AA6797"/>
    <w:rsid w:val="00AC0522"/>
    <w:rsid w:val="00AC198A"/>
    <w:rsid w:val="00AC2B30"/>
    <w:rsid w:val="00AC363F"/>
    <w:rsid w:val="00AC5CB8"/>
    <w:rsid w:val="00AC5DEA"/>
    <w:rsid w:val="00AC6C0A"/>
    <w:rsid w:val="00AD0F51"/>
    <w:rsid w:val="00AD0FE4"/>
    <w:rsid w:val="00AD4667"/>
    <w:rsid w:val="00AE5567"/>
    <w:rsid w:val="00AE67C0"/>
    <w:rsid w:val="00AE73AC"/>
    <w:rsid w:val="00AF1239"/>
    <w:rsid w:val="00AF4625"/>
    <w:rsid w:val="00AF65E4"/>
    <w:rsid w:val="00B11297"/>
    <w:rsid w:val="00B12102"/>
    <w:rsid w:val="00B16480"/>
    <w:rsid w:val="00B2165C"/>
    <w:rsid w:val="00B217C5"/>
    <w:rsid w:val="00B24050"/>
    <w:rsid w:val="00B27730"/>
    <w:rsid w:val="00B308FA"/>
    <w:rsid w:val="00B30F20"/>
    <w:rsid w:val="00B31336"/>
    <w:rsid w:val="00B34CAC"/>
    <w:rsid w:val="00B362A3"/>
    <w:rsid w:val="00B369CD"/>
    <w:rsid w:val="00B37939"/>
    <w:rsid w:val="00B40D22"/>
    <w:rsid w:val="00B422DB"/>
    <w:rsid w:val="00B43020"/>
    <w:rsid w:val="00B45797"/>
    <w:rsid w:val="00B46B21"/>
    <w:rsid w:val="00B478F4"/>
    <w:rsid w:val="00B56865"/>
    <w:rsid w:val="00B5700F"/>
    <w:rsid w:val="00B57300"/>
    <w:rsid w:val="00B71432"/>
    <w:rsid w:val="00B7174C"/>
    <w:rsid w:val="00B72069"/>
    <w:rsid w:val="00B76778"/>
    <w:rsid w:val="00B76962"/>
    <w:rsid w:val="00B8690F"/>
    <w:rsid w:val="00B9302E"/>
    <w:rsid w:val="00B9310A"/>
    <w:rsid w:val="00B945DD"/>
    <w:rsid w:val="00BA20AA"/>
    <w:rsid w:val="00BA2F77"/>
    <w:rsid w:val="00BA568C"/>
    <w:rsid w:val="00BA683D"/>
    <w:rsid w:val="00BB1E10"/>
    <w:rsid w:val="00BB43FC"/>
    <w:rsid w:val="00BB4BE9"/>
    <w:rsid w:val="00BB528F"/>
    <w:rsid w:val="00BC2608"/>
    <w:rsid w:val="00BC5462"/>
    <w:rsid w:val="00BC55FF"/>
    <w:rsid w:val="00BC770C"/>
    <w:rsid w:val="00BD4425"/>
    <w:rsid w:val="00BD79CB"/>
    <w:rsid w:val="00BE18FC"/>
    <w:rsid w:val="00BE344C"/>
    <w:rsid w:val="00BE522E"/>
    <w:rsid w:val="00BF3D9D"/>
    <w:rsid w:val="00C070CC"/>
    <w:rsid w:val="00C0755C"/>
    <w:rsid w:val="00C1488F"/>
    <w:rsid w:val="00C14D4C"/>
    <w:rsid w:val="00C1508B"/>
    <w:rsid w:val="00C233A0"/>
    <w:rsid w:val="00C25B49"/>
    <w:rsid w:val="00C270A6"/>
    <w:rsid w:val="00C32E2C"/>
    <w:rsid w:val="00C43A02"/>
    <w:rsid w:val="00C44F24"/>
    <w:rsid w:val="00C4710B"/>
    <w:rsid w:val="00C4791D"/>
    <w:rsid w:val="00C51066"/>
    <w:rsid w:val="00C6512E"/>
    <w:rsid w:val="00C65F66"/>
    <w:rsid w:val="00C66828"/>
    <w:rsid w:val="00C7016E"/>
    <w:rsid w:val="00C705BA"/>
    <w:rsid w:val="00C711A9"/>
    <w:rsid w:val="00C71EFE"/>
    <w:rsid w:val="00C77C15"/>
    <w:rsid w:val="00C800B8"/>
    <w:rsid w:val="00C81BDF"/>
    <w:rsid w:val="00C833B2"/>
    <w:rsid w:val="00C852E8"/>
    <w:rsid w:val="00C8583D"/>
    <w:rsid w:val="00C9075B"/>
    <w:rsid w:val="00C93CD6"/>
    <w:rsid w:val="00C940D3"/>
    <w:rsid w:val="00C955E4"/>
    <w:rsid w:val="00C97E57"/>
    <w:rsid w:val="00CA0159"/>
    <w:rsid w:val="00CA17A4"/>
    <w:rsid w:val="00CB09D6"/>
    <w:rsid w:val="00CB2501"/>
    <w:rsid w:val="00CB454C"/>
    <w:rsid w:val="00CB5295"/>
    <w:rsid w:val="00CC0D2D"/>
    <w:rsid w:val="00CC18AF"/>
    <w:rsid w:val="00CC78FE"/>
    <w:rsid w:val="00CD02F9"/>
    <w:rsid w:val="00CD056D"/>
    <w:rsid w:val="00CD296A"/>
    <w:rsid w:val="00CD3001"/>
    <w:rsid w:val="00CD3184"/>
    <w:rsid w:val="00CD5B72"/>
    <w:rsid w:val="00CD6099"/>
    <w:rsid w:val="00CD66E5"/>
    <w:rsid w:val="00CD698D"/>
    <w:rsid w:val="00CE5657"/>
    <w:rsid w:val="00CE6623"/>
    <w:rsid w:val="00CE775E"/>
    <w:rsid w:val="00CF10FD"/>
    <w:rsid w:val="00CF275B"/>
    <w:rsid w:val="00CF4CAA"/>
    <w:rsid w:val="00CF659B"/>
    <w:rsid w:val="00CF6A0C"/>
    <w:rsid w:val="00CF6C11"/>
    <w:rsid w:val="00D1200A"/>
    <w:rsid w:val="00D133F8"/>
    <w:rsid w:val="00D14A3E"/>
    <w:rsid w:val="00D16B08"/>
    <w:rsid w:val="00D20C7E"/>
    <w:rsid w:val="00D37501"/>
    <w:rsid w:val="00D404A5"/>
    <w:rsid w:val="00D4088A"/>
    <w:rsid w:val="00D408EC"/>
    <w:rsid w:val="00D4544B"/>
    <w:rsid w:val="00D4694E"/>
    <w:rsid w:val="00D52AEB"/>
    <w:rsid w:val="00D5380E"/>
    <w:rsid w:val="00D55AC1"/>
    <w:rsid w:val="00D62367"/>
    <w:rsid w:val="00D6340F"/>
    <w:rsid w:val="00D63DD2"/>
    <w:rsid w:val="00D66347"/>
    <w:rsid w:val="00D70079"/>
    <w:rsid w:val="00D7171E"/>
    <w:rsid w:val="00D71B91"/>
    <w:rsid w:val="00D73B51"/>
    <w:rsid w:val="00D742E3"/>
    <w:rsid w:val="00D8031B"/>
    <w:rsid w:val="00D81374"/>
    <w:rsid w:val="00D84074"/>
    <w:rsid w:val="00D8470B"/>
    <w:rsid w:val="00D86FA2"/>
    <w:rsid w:val="00D91657"/>
    <w:rsid w:val="00D91844"/>
    <w:rsid w:val="00D928CE"/>
    <w:rsid w:val="00D942A7"/>
    <w:rsid w:val="00D9461C"/>
    <w:rsid w:val="00D9621F"/>
    <w:rsid w:val="00D96ED4"/>
    <w:rsid w:val="00D97455"/>
    <w:rsid w:val="00D97F48"/>
    <w:rsid w:val="00DA226F"/>
    <w:rsid w:val="00DB02A6"/>
    <w:rsid w:val="00DB126B"/>
    <w:rsid w:val="00DB5B59"/>
    <w:rsid w:val="00DB6EA7"/>
    <w:rsid w:val="00DC229D"/>
    <w:rsid w:val="00DC2822"/>
    <w:rsid w:val="00DC3F30"/>
    <w:rsid w:val="00DC6F13"/>
    <w:rsid w:val="00DD3865"/>
    <w:rsid w:val="00DD39D3"/>
    <w:rsid w:val="00DD3ABD"/>
    <w:rsid w:val="00DD7B65"/>
    <w:rsid w:val="00DE15AA"/>
    <w:rsid w:val="00DE3011"/>
    <w:rsid w:val="00DE58D0"/>
    <w:rsid w:val="00DE5E0A"/>
    <w:rsid w:val="00DE7D29"/>
    <w:rsid w:val="00DF0851"/>
    <w:rsid w:val="00DF0DA1"/>
    <w:rsid w:val="00DF4256"/>
    <w:rsid w:val="00DF433A"/>
    <w:rsid w:val="00DF4DEB"/>
    <w:rsid w:val="00E0246C"/>
    <w:rsid w:val="00E0382F"/>
    <w:rsid w:val="00E046B3"/>
    <w:rsid w:val="00E0513F"/>
    <w:rsid w:val="00E10676"/>
    <w:rsid w:val="00E11611"/>
    <w:rsid w:val="00E1179D"/>
    <w:rsid w:val="00E1470B"/>
    <w:rsid w:val="00E218CD"/>
    <w:rsid w:val="00E22E72"/>
    <w:rsid w:val="00E33CF3"/>
    <w:rsid w:val="00E35493"/>
    <w:rsid w:val="00E3716B"/>
    <w:rsid w:val="00E439C7"/>
    <w:rsid w:val="00E4431F"/>
    <w:rsid w:val="00E47182"/>
    <w:rsid w:val="00E5323B"/>
    <w:rsid w:val="00E556DE"/>
    <w:rsid w:val="00E602CD"/>
    <w:rsid w:val="00E67D76"/>
    <w:rsid w:val="00E67FA0"/>
    <w:rsid w:val="00E70DF5"/>
    <w:rsid w:val="00E71B94"/>
    <w:rsid w:val="00E73360"/>
    <w:rsid w:val="00E74285"/>
    <w:rsid w:val="00E8403C"/>
    <w:rsid w:val="00E84E67"/>
    <w:rsid w:val="00E8749E"/>
    <w:rsid w:val="00E90C01"/>
    <w:rsid w:val="00E9115E"/>
    <w:rsid w:val="00E97131"/>
    <w:rsid w:val="00EA3E97"/>
    <w:rsid w:val="00EA486E"/>
    <w:rsid w:val="00EA558A"/>
    <w:rsid w:val="00EA6CE5"/>
    <w:rsid w:val="00EB13BB"/>
    <w:rsid w:val="00EB3BC8"/>
    <w:rsid w:val="00EB431D"/>
    <w:rsid w:val="00EB51D7"/>
    <w:rsid w:val="00EB57B1"/>
    <w:rsid w:val="00EB6228"/>
    <w:rsid w:val="00EB6D9C"/>
    <w:rsid w:val="00EC16D9"/>
    <w:rsid w:val="00EC5664"/>
    <w:rsid w:val="00EC6A31"/>
    <w:rsid w:val="00ED3357"/>
    <w:rsid w:val="00ED78DE"/>
    <w:rsid w:val="00EE017F"/>
    <w:rsid w:val="00EE2FC2"/>
    <w:rsid w:val="00EE4DE9"/>
    <w:rsid w:val="00EE5469"/>
    <w:rsid w:val="00EE5DEF"/>
    <w:rsid w:val="00EE66E8"/>
    <w:rsid w:val="00EE6F72"/>
    <w:rsid w:val="00EE7FA7"/>
    <w:rsid w:val="00EF49C7"/>
    <w:rsid w:val="00F02153"/>
    <w:rsid w:val="00F137B6"/>
    <w:rsid w:val="00F155A7"/>
    <w:rsid w:val="00F25651"/>
    <w:rsid w:val="00F36E72"/>
    <w:rsid w:val="00F46794"/>
    <w:rsid w:val="00F47DBA"/>
    <w:rsid w:val="00F50AF4"/>
    <w:rsid w:val="00F50B2B"/>
    <w:rsid w:val="00F57B0C"/>
    <w:rsid w:val="00F616B8"/>
    <w:rsid w:val="00F66C64"/>
    <w:rsid w:val="00F70B55"/>
    <w:rsid w:val="00F76528"/>
    <w:rsid w:val="00F804AC"/>
    <w:rsid w:val="00F82274"/>
    <w:rsid w:val="00F85551"/>
    <w:rsid w:val="00F858D5"/>
    <w:rsid w:val="00F86AB5"/>
    <w:rsid w:val="00F87618"/>
    <w:rsid w:val="00F907DD"/>
    <w:rsid w:val="00F95341"/>
    <w:rsid w:val="00F95531"/>
    <w:rsid w:val="00F97C3C"/>
    <w:rsid w:val="00F97CAB"/>
    <w:rsid w:val="00F97D89"/>
    <w:rsid w:val="00FA1907"/>
    <w:rsid w:val="00FA2DAB"/>
    <w:rsid w:val="00FA3EC7"/>
    <w:rsid w:val="00FA42F8"/>
    <w:rsid w:val="00FB1F30"/>
    <w:rsid w:val="00FB2985"/>
    <w:rsid w:val="00FB380B"/>
    <w:rsid w:val="00FB40E8"/>
    <w:rsid w:val="00FC12C4"/>
    <w:rsid w:val="00FC36E6"/>
    <w:rsid w:val="00FD6705"/>
    <w:rsid w:val="00FD7250"/>
    <w:rsid w:val="00FE15A5"/>
    <w:rsid w:val="00FF159D"/>
    <w:rsid w:val="00FF23C1"/>
    <w:rsid w:val="00FF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6CE2"/>
  <w15:docId w15:val="{9315C976-FF8F-4FCE-8CB6-F326F9F5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F468A"/>
    <w:pPr>
      <w:keepNext/>
      <w:spacing w:after="0" w:line="240" w:lineRule="auto"/>
      <w:ind w:firstLine="720"/>
      <w:jc w:val="both"/>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aliases w:val="2,Strip,H&amp;P List Paragraph"/>
    <w:basedOn w:val="Normal"/>
    <w:link w:val="ListParagraphChar"/>
    <w:uiPriority w:val="34"/>
    <w:qFormat/>
    <w:rsid w:val="00B12102"/>
    <w:pPr>
      <w:ind w:left="720"/>
      <w:contextualSpacing/>
    </w:pPr>
  </w:style>
  <w:style w:type="character" w:styleId="CommentReference">
    <w:name w:val="annotation reference"/>
    <w:basedOn w:val="DefaultParagraphFont"/>
    <w:uiPriority w:val="99"/>
    <w:semiHidden/>
    <w:unhideWhenUsed/>
    <w:rsid w:val="00EE017F"/>
    <w:rPr>
      <w:sz w:val="16"/>
      <w:szCs w:val="16"/>
    </w:rPr>
  </w:style>
  <w:style w:type="paragraph" w:styleId="CommentText">
    <w:name w:val="annotation text"/>
    <w:basedOn w:val="Normal"/>
    <w:link w:val="CommentTextChar"/>
    <w:uiPriority w:val="99"/>
    <w:unhideWhenUsed/>
    <w:rsid w:val="00EE017F"/>
    <w:pPr>
      <w:spacing w:line="240" w:lineRule="auto"/>
    </w:pPr>
    <w:rPr>
      <w:sz w:val="20"/>
      <w:szCs w:val="20"/>
    </w:rPr>
  </w:style>
  <w:style w:type="character" w:customStyle="1" w:styleId="CommentTextChar">
    <w:name w:val="Comment Text Char"/>
    <w:basedOn w:val="DefaultParagraphFont"/>
    <w:link w:val="CommentText"/>
    <w:uiPriority w:val="99"/>
    <w:rsid w:val="00EE017F"/>
    <w:rPr>
      <w:sz w:val="20"/>
      <w:szCs w:val="20"/>
    </w:rPr>
  </w:style>
  <w:style w:type="paragraph" w:styleId="CommentSubject">
    <w:name w:val="annotation subject"/>
    <w:basedOn w:val="CommentText"/>
    <w:next w:val="CommentText"/>
    <w:link w:val="CommentSubjectChar"/>
    <w:uiPriority w:val="99"/>
    <w:semiHidden/>
    <w:unhideWhenUsed/>
    <w:rsid w:val="00EE017F"/>
    <w:rPr>
      <w:b/>
      <w:bCs/>
    </w:rPr>
  </w:style>
  <w:style w:type="character" w:customStyle="1" w:styleId="CommentSubjectChar">
    <w:name w:val="Comment Subject Char"/>
    <w:basedOn w:val="CommentTextChar"/>
    <w:link w:val="CommentSubject"/>
    <w:uiPriority w:val="99"/>
    <w:semiHidden/>
    <w:rsid w:val="00EE017F"/>
    <w:rPr>
      <w:b/>
      <w:bCs/>
      <w:sz w:val="20"/>
      <w:szCs w:val="20"/>
    </w:rPr>
  </w:style>
  <w:style w:type="character" w:customStyle="1" w:styleId="Heading3Char">
    <w:name w:val="Heading 3 Char"/>
    <w:basedOn w:val="DefaultParagraphFont"/>
    <w:link w:val="Heading3"/>
    <w:rsid w:val="009F468A"/>
    <w:rPr>
      <w:rFonts w:ascii="Times New Roman" w:eastAsia="Times New Roman" w:hAnsi="Times New Roman" w:cs="Times New Roman"/>
      <w:sz w:val="28"/>
      <w:szCs w:val="20"/>
    </w:rPr>
  </w:style>
  <w:style w:type="paragraph" w:customStyle="1" w:styleId="tv213">
    <w:name w:val="tv213"/>
    <w:basedOn w:val="Normal"/>
    <w:rsid w:val="009F46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
    <w:basedOn w:val="Normal"/>
    <w:link w:val="FootnoteTextChar"/>
    <w:uiPriority w:val="99"/>
    <w:rsid w:val="009F0C6E"/>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w:basedOn w:val="DefaultParagraphFont"/>
    <w:link w:val="FootnoteText"/>
    <w:uiPriority w:val="99"/>
    <w:rsid w:val="009F0C6E"/>
    <w:rPr>
      <w:rFonts w:ascii="Times New Roman" w:eastAsia="Times New Roman" w:hAnsi="Times New Roman" w:cs="Times New Roman"/>
      <w:sz w:val="20"/>
      <w:szCs w:val="20"/>
      <w:lang w:eastAsia="lv-LV"/>
    </w:rPr>
  </w:style>
  <w:style w:type="character" w:styleId="FootnoteReference">
    <w:name w:val="footnote reference"/>
    <w:aliases w:val="Footnote Reference Number"/>
    <w:uiPriority w:val="99"/>
    <w:rsid w:val="009F0C6E"/>
    <w:rPr>
      <w:vertAlign w:val="superscript"/>
    </w:rPr>
  </w:style>
  <w:style w:type="paragraph" w:styleId="NormalWeb">
    <w:name w:val="Normal (Web)"/>
    <w:basedOn w:val="Normal"/>
    <w:uiPriority w:val="99"/>
    <w:rsid w:val="009F0C6E"/>
    <w:pPr>
      <w:spacing w:before="75" w:after="75" w:line="240" w:lineRule="auto"/>
      <w:ind w:firstLine="375"/>
      <w:jc w:val="both"/>
    </w:pPr>
    <w:rPr>
      <w:rFonts w:ascii="Times New Roman" w:eastAsia="SimSun" w:hAnsi="Times New Roman" w:cs="Times New Roman"/>
      <w:sz w:val="24"/>
      <w:szCs w:val="24"/>
      <w:lang w:eastAsia="zh-CN"/>
    </w:rPr>
  </w:style>
  <w:style w:type="character" w:customStyle="1" w:styleId="ListParagraphChar">
    <w:name w:val="List Paragraph Char"/>
    <w:aliases w:val="2 Char,Strip Char,H&amp;P List Paragraph Char"/>
    <w:link w:val="ListParagraph"/>
    <w:locked/>
    <w:rsid w:val="009F0C6E"/>
  </w:style>
  <w:style w:type="paragraph" w:styleId="BodyText">
    <w:name w:val="Body Text"/>
    <w:basedOn w:val="Normal"/>
    <w:link w:val="BodyTextChar"/>
    <w:uiPriority w:val="99"/>
    <w:unhideWhenUsed/>
    <w:rsid w:val="009F0C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9F0C6E"/>
    <w:rPr>
      <w:rFonts w:ascii="Times New Roman" w:eastAsia="Times New Roman" w:hAnsi="Times New Roman" w:cs="Times New Roman"/>
      <w:sz w:val="24"/>
      <w:szCs w:val="24"/>
      <w:lang w:eastAsia="lv-LV"/>
    </w:rPr>
  </w:style>
  <w:style w:type="character" w:styleId="Strong">
    <w:name w:val="Strong"/>
    <w:uiPriority w:val="22"/>
    <w:qFormat/>
    <w:rsid w:val="00DB02A6"/>
    <w:rPr>
      <w:b/>
      <w:bCs/>
    </w:rPr>
  </w:style>
  <w:style w:type="character" w:customStyle="1" w:styleId="UnresolvedMention1">
    <w:name w:val="Unresolved Mention1"/>
    <w:basedOn w:val="DefaultParagraphFont"/>
    <w:uiPriority w:val="99"/>
    <w:semiHidden/>
    <w:unhideWhenUsed/>
    <w:rsid w:val="00D96ED4"/>
    <w:rPr>
      <w:color w:val="605E5C"/>
      <w:shd w:val="clear" w:color="auto" w:fill="E1DFDD"/>
    </w:rPr>
  </w:style>
  <w:style w:type="paragraph" w:customStyle="1" w:styleId="naisf">
    <w:name w:val="naisf"/>
    <w:basedOn w:val="Normal"/>
    <w:rsid w:val="00260AB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Revision">
    <w:name w:val="Revision"/>
    <w:hidden/>
    <w:uiPriority w:val="99"/>
    <w:semiHidden/>
    <w:rsid w:val="00840748"/>
    <w:pPr>
      <w:spacing w:after="0" w:line="240" w:lineRule="auto"/>
    </w:pPr>
  </w:style>
  <w:style w:type="character" w:customStyle="1" w:styleId="UnresolvedMention2">
    <w:name w:val="Unresolved Mention2"/>
    <w:basedOn w:val="DefaultParagraphFont"/>
    <w:uiPriority w:val="99"/>
    <w:semiHidden/>
    <w:unhideWhenUsed/>
    <w:rsid w:val="00924CE2"/>
    <w:rPr>
      <w:color w:val="605E5C"/>
      <w:shd w:val="clear" w:color="auto" w:fill="E1DFDD"/>
    </w:rPr>
  </w:style>
  <w:style w:type="paragraph" w:customStyle="1" w:styleId="naisc">
    <w:name w:val="naisc"/>
    <w:basedOn w:val="Normal"/>
    <w:rsid w:val="00924CE2"/>
    <w:pPr>
      <w:spacing w:before="75" w:after="75" w:line="240" w:lineRule="auto"/>
      <w:jc w:val="center"/>
    </w:pPr>
    <w:rPr>
      <w:rFonts w:ascii="Times New Roman" w:eastAsia="Times New Roman" w:hAnsi="Times New Roman" w:cs="Times New Roman"/>
      <w:sz w:val="24"/>
      <w:szCs w:val="24"/>
      <w:lang w:eastAsia="lv-LV"/>
    </w:rPr>
  </w:style>
  <w:style w:type="paragraph" w:customStyle="1" w:styleId="Default">
    <w:name w:val="Default"/>
    <w:rsid w:val="00DF0DA1"/>
    <w:pPr>
      <w:autoSpaceDE w:val="0"/>
      <w:autoSpaceDN w:val="0"/>
      <w:adjustRightInd w:val="0"/>
      <w:spacing w:after="0" w:line="240" w:lineRule="auto"/>
    </w:pPr>
    <w:rPr>
      <w:rFonts w:ascii="Cambria" w:hAnsi="Cambria" w:cs="Cambria"/>
      <w:color w:val="000000"/>
      <w:sz w:val="24"/>
      <w:szCs w:val="24"/>
    </w:rPr>
  </w:style>
  <w:style w:type="paragraph" w:customStyle="1" w:styleId="Normal1">
    <w:name w:val="Normal1"/>
    <w:basedOn w:val="Normal"/>
    <w:rsid w:val="00747C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basedOn w:val="DefaultParagraphFont"/>
    <w:rsid w:val="00747C7C"/>
  </w:style>
  <w:style w:type="paragraph" w:customStyle="1" w:styleId="doc-ti">
    <w:name w:val="doc-ti"/>
    <w:basedOn w:val="Normal"/>
    <w:rsid w:val="00FB38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Normal"/>
    <w:rsid w:val="003E51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3E51F5"/>
  </w:style>
  <w:style w:type="paragraph" w:customStyle="1" w:styleId="default0">
    <w:name w:val="default"/>
    <w:basedOn w:val="Normal"/>
    <w:rsid w:val="009C482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87069436">
      <w:bodyDiv w:val="1"/>
      <w:marLeft w:val="0"/>
      <w:marRight w:val="0"/>
      <w:marTop w:val="0"/>
      <w:marBottom w:val="0"/>
      <w:divBdr>
        <w:top w:val="none" w:sz="0" w:space="0" w:color="auto"/>
        <w:left w:val="none" w:sz="0" w:space="0" w:color="auto"/>
        <w:bottom w:val="none" w:sz="0" w:space="0" w:color="auto"/>
        <w:right w:val="none" w:sz="0" w:space="0" w:color="auto"/>
      </w:divBdr>
    </w:div>
    <w:div w:id="189413312">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8832678">
      <w:bodyDiv w:val="1"/>
      <w:marLeft w:val="0"/>
      <w:marRight w:val="0"/>
      <w:marTop w:val="0"/>
      <w:marBottom w:val="0"/>
      <w:divBdr>
        <w:top w:val="none" w:sz="0" w:space="0" w:color="auto"/>
        <w:left w:val="none" w:sz="0" w:space="0" w:color="auto"/>
        <w:bottom w:val="none" w:sz="0" w:space="0" w:color="auto"/>
        <w:right w:val="none" w:sz="0" w:space="0" w:color="auto"/>
      </w:divBdr>
      <w:divsChild>
        <w:div w:id="440029470">
          <w:marLeft w:val="0"/>
          <w:marRight w:val="0"/>
          <w:marTop w:val="0"/>
          <w:marBottom w:val="0"/>
          <w:divBdr>
            <w:top w:val="none" w:sz="0" w:space="0" w:color="auto"/>
            <w:left w:val="none" w:sz="0" w:space="0" w:color="auto"/>
            <w:bottom w:val="none" w:sz="0" w:space="0" w:color="auto"/>
            <w:right w:val="none" w:sz="0" w:space="0" w:color="auto"/>
          </w:divBdr>
        </w:div>
        <w:div w:id="466240501">
          <w:marLeft w:val="0"/>
          <w:marRight w:val="0"/>
          <w:marTop w:val="0"/>
          <w:marBottom w:val="0"/>
          <w:divBdr>
            <w:top w:val="none" w:sz="0" w:space="0" w:color="auto"/>
            <w:left w:val="none" w:sz="0" w:space="0" w:color="auto"/>
            <w:bottom w:val="none" w:sz="0" w:space="0" w:color="auto"/>
            <w:right w:val="none" w:sz="0" w:space="0" w:color="auto"/>
          </w:divBdr>
        </w:div>
        <w:div w:id="691682963">
          <w:marLeft w:val="0"/>
          <w:marRight w:val="0"/>
          <w:marTop w:val="0"/>
          <w:marBottom w:val="0"/>
          <w:divBdr>
            <w:top w:val="none" w:sz="0" w:space="0" w:color="auto"/>
            <w:left w:val="none" w:sz="0" w:space="0" w:color="auto"/>
            <w:bottom w:val="none" w:sz="0" w:space="0" w:color="auto"/>
            <w:right w:val="none" w:sz="0" w:space="0" w:color="auto"/>
          </w:divBdr>
        </w:div>
        <w:div w:id="880628272">
          <w:marLeft w:val="0"/>
          <w:marRight w:val="0"/>
          <w:marTop w:val="0"/>
          <w:marBottom w:val="0"/>
          <w:divBdr>
            <w:top w:val="none" w:sz="0" w:space="0" w:color="auto"/>
            <w:left w:val="none" w:sz="0" w:space="0" w:color="auto"/>
            <w:bottom w:val="none" w:sz="0" w:space="0" w:color="auto"/>
            <w:right w:val="none" w:sz="0" w:space="0" w:color="auto"/>
          </w:divBdr>
        </w:div>
      </w:divsChild>
    </w:div>
    <w:div w:id="482088530">
      <w:bodyDiv w:val="1"/>
      <w:marLeft w:val="0"/>
      <w:marRight w:val="0"/>
      <w:marTop w:val="0"/>
      <w:marBottom w:val="0"/>
      <w:divBdr>
        <w:top w:val="none" w:sz="0" w:space="0" w:color="auto"/>
        <w:left w:val="none" w:sz="0" w:space="0" w:color="auto"/>
        <w:bottom w:val="none" w:sz="0" w:space="0" w:color="auto"/>
        <w:right w:val="none" w:sz="0" w:space="0" w:color="auto"/>
      </w:divBdr>
    </w:div>
    <w:div w:id="495464095">
      <w:bodyDiv w:val="1"/>
      <w:marLeft w:val="0"/>
      <w:marRight w:val="0"/>
      <w:marTop w:val="0"/>
      <w:marBottom w:val="0"/>
      <w:divBdr>
        <w:top w:val="none" w:sz="0" w:space="0" w:color="auto"/>
        <w:left w:val="none" w:sz="0" w:space="0" w:color="auto"/>
        <w:bottom w:val="none" w:sz="0" w:space="0" w:color="auto"/>
        <w:right w:val="none" w:sz="0" w:space="0" w:color="auto"/>
      </w:divBdr>
      <w:divsChild>
        <w:div w:id="700473913">
          <w:marLeft w:val="0"/>
          <w:marRight w:val="0"/>
          <w:marTop w:val="480"/>
          <w:marBottom w:val="240"/>
          <w:divBdr>
            <w:top w:val="none" w:sz="0" w:space="0" w:color="auto"/>
            <w:left w:val="none" w:sz="0" w:space="0" w:color="auto"/>
            <w:bottom w:val="none" w:sz="0" w:space="0" w:color="auto"/>
            <w:right w:val="none" w:sz="0" w:space="0" w:color="auto"/>
          </w:divBdr>
        </w:div>
        <w:div w:id="1477408277">
          <w:marLeft w:val="0"/>
          <w:marRight w:val="0"/>
          <w:marTop w:val="0"/>
          <w:marBottom w:val="567"/>
          <w:divBdr>
            <w:top w:val="none" w:sz="0" w:space="0" w:color="auto"/>
            <w:left w:val="none" w:sz="0" w:space="0" w:color="auto"/>
            <w:bottom w:val="none" w:sz="0" w:space="0" w:color="auto"/>
            <w:right w:val="none" w:sz="0" w:space="0" w:color="auto"/>
          </w:divBdr>
        </w:div>
      </w:divsChild>
    </w:div>
    <w:div w:id="553194856">
      <w:bodyDiv w:val="1"/>
      <w:marLeft w:val="0"/>
      <w:marRight w:val="0"/>
      <w:marTop w:val="0"/>
      <w:marBottom w:val="0"/>
      <w:divBdr>
        <w:top w:val="none" w:sz="0" w:space="0" w:color="auto"/>
        <w:left w:val="none" w:sz="0" w:space="0" w:color="auto"/>
        <w:bottom w:val="none" w:sz="0" w:space="0" w:color="auto"/>
        <w:right w:val="none" w:sz="0" w:space="0" w:color="auto"/>
      </w:divBdr>
    </w:div>
    <w:div w:id="811555667">
      <w:bodyDiv w:val="1"/>
      <w:marLeft w:val="0"/>
      <w:marRight w:val="0"/>
      <w:marTop w:val="0"/>
      <w:marBottom w:val="0"/>
      <w:divBdr>
        <w:top w:val="none" w:sz="0" w:space="0" w:color="auto"/>
        <w:left w:val="none" w:sz="0" w:space="0" w:color="auto"/>
        <w:bottom w:val="none" w:sz="0" w:space="0" w:color="auto"/>
        <w:right w:val="none" w:sz="0" w:space="0" w:color="auto"/>
      </w:divBdr>
    </w:div>
    <w:div w:id="1014650041">
      <w:bodyDiv w:val="1"/>
      <w:marLeft w:val="0"/>
      <w:marRight w:val="0"/>
      <w:marTop w:val="0"/>
      <w:marBottom w:val="0"/>
      <w:divBdr>
        <w:top w:val="none" w:sz="0" w:space="0" w:color="auto"/>
        <w:left w:val="none" w:sz="0" w:space="0" w:color="auto"/>
        <w:bottom w:val="none" w:sz="0" w:space="0" w:color="auto"/>
        <w:right w:val="none" w:sz="0" w:space="0" w:color="auto"/>
      </w:divBdr>
    </w:div>
    <w:div w:id="121191576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36886816">
      <w:bodyDiv w:val="1"/>
      <w:marLeft w:val="0"/>
      <w:marRight w:val="0"/>
      <w:marTop w:val="0"/>
      <w:marBottom w:val="0"/>
      <w:divBdr>
        <w:top w:val="none" w:sz="0" w:space="0" w:color="auto"/>
        <w:left w:val="none" w:sz="0" w:space="0" w:color="auto"/>
        <w:bottom w:val="none" w:sz="0" w:space="0" w:color="auto"/>
        <w:right w:val="none" w:sz="0" w:space="0" w:color="auto"/>
      </w:divBdr>
    </w:div>
    <w:div w:id="1562908048">
      <w:bodyDiv w:val="1"/>
      <w:marLeft w:val="0"/>
      <w:marRight w:val="0"/>
      <w:marTop w:val="0"/>
      <w:marBottom w:val="0"/>
      <w:divBdr>
        <w:top w:val="none" w:sz="0" w:space="0" w:color="auto"/>
        <w:left w:val="none" w:sz="0" w:space="0" w:color="auto"/>
        <w:bottom w:val="none" w:sz="0" w:space="0" w:color="auto"/>
        <w:right w:val="none" w:sz="0" w:space="0" w:color="auto"/>
      </w:divBdr>
    </w:div>
    <w:div w:id="1712533162">
      <w:bodyDiv w:val="1"/>
      <w:marLeft w:val="0"/>
      <w:marRight w:val="0"/>
      <w:marTop w:val="0"/>
      <w:marBottom w:val="0"/>
      <w:divBdr>
        <w:top w:val="none" w:sz="0" w:space="0" w:color="auto"/>
        <w:left w:val="none" w:sz="0" w:space="0" w:color="auto"/>
        <w:bottom w:val="none" w:sz="0" w:space="0" w:color="auto"/>
        <w:right w:val="none" w:sz="0" w:space="0" w:color="auto"/>
      </w:divBdr>
    </w:div>
    <w:div w:id="17568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94C1-39FC-4797-88C7-5BC6ACCE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22857</Words>
  <Characters>13030</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“Grozījumi Kredītiestāžu un ieguldījumu brokeru sabiedrību darbības atjaunošanas un noregulējuma likumā” sākotnējās ietekmes novērtējuma ziņojums (anotācija)</vt:lpstr>
      <vt:lpstr>Likumprojekta „Grozījumi Ēku energoefektivitātes likumā” sākotnējās ietekmes novērtējuma ziņojums </vt:lpstr>
    </vt:vector>
  </TitlesOfParts>
  <Company>Finanšu ministrija</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Kredītiestāžu un ieguldījumu brokeru sabiedrību darbības atjaunošanas un noregulējuma likumā” sākotnējās ietekmes novērtējuma ziņojums (anotācija)</dc:title>
  <dc:subject>Anotācija</dc:subject>
  <dc:creator>Miks Čevers</dc:creator>
  <dc:description>67095490, miks.cevers@fm.gov.lv</dc:description>
  <cp:lastModifiedBy>Dina Buse</cp:lastModifiedBy>
  <cp:revision>2</cp:revision>
  <cp:lastPrinted>2020-09-16T07:41:00Z</cp:lastPrinted>
  <dcterms:created xsi:type="dcterms:W3CDTF">2020-11-02T15:04:00Z</dcterms:created>
  <dcterms:modified xsi:type="dcterms:W3CDTF">2020-11-02T15:04:00Z</dcterms:modified>
</cp:coreProperties>
</file>