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203CD" w14:textId="77777777" w:rsidR="002C5D01" w:rsidRPr="002C5D01" w:rsidRDefault="002C5D01" w:rsidP="002C5D01">
      <w:pPr>
        <w:jc w:val="center"/>
        <w:rPr>
          <w:rFonts w:ascii="Times New Roman" w:hAnsi="Times New Roman" w:cs="Times New Roman"/>
          <w:b/>
        </w:rPr>
      </w:pPr>
      <w:bookmarkStart w:id="0" w:name="_Toc203989234"/>
      <w:bookmarkStart w:id="1" w:name="_Toc440473092"/>
    </w:p>
    <w:p w14:paraId="0688BF45" w14:textId="77777777" w:rsidR="00866865" w:rsidRDefault="002C5D01" w:rsidP="002C5D01">
      <w:pPr>
        <w:jc w:val="center"/>
        <w:rPr>
          <w:rFonts w:ascii="Times New Roman" w:hAnsi="Times New Roman" w:cs="Times New Roman"/>
          <w:b/>
        </w:rPr>
      </w:pPr>
      <w:r w:rsidRPr="002C5D01">
        <w:rPr>
          <w:rFonts w:ascii="Times New Roman" w:hAnsi="Times New Roman" w:cs="Times New Roman"/>
          <w:b/>
        </w:rPr>
        <w:tab/>
      </w:r>
      <w:r w:rsidRPr="002C5D01">
        <w:rPr>
          <w:rFonts w:ascii="Times New Roman" w:hAnsi="Times New Roman" w:cs="Times New Roman"/>
          <w:b/>
        </w:rPr>
        <w:tab/>
      </w:r>
      <w:r w:rsidRPr="002C5D01">
        <w:rPr>
          <w:rFonts w:ascii="Times New Roman" w:hAnsi="Times New Roman" w:cs="Times New Roman"/>
          <w:b/>
        </w:rPr>
        <w:tab/>
      </w:r>
      <w:r w:rsidRPr="002C5D01">
        <w:rPr>
          <w:rFonts w:ascii="Times New Roman" w:hAnsi="Times New Roman" w:cs="Times New Roman"/>
          <w:b/>
        </w:rPr>
        <w:tab/>
      </w:r>
      <w:r w:rsidRPr="002C5D01">
        <w:rPr>
          <w:rFonts w:ascii="Times New Roman" w:hAnsi="Times New Roman" w:cs="Times New Roman"/>
          <w:b/>
        </w:rPr>
        <w:tab/>
      </w:r>
      <w:r w:rsidRPr="002C5D01">
        <w:rPr>
          <w:rFonts w:ascii="Times New Roman" w:hAnsi="Times New Roman" w:cs="Times New Roman"/>
          <w:b/>
        </w:rPr>
        <w:tab/>
      </w:r>
      <w:r w:rsidRPr="002C5D01">
        <w:rPr>
          <w:rFonts w:ascii="Times New Roman" w:hAnsi="Times New Roman" w:cs="Times New Roman"/>
          <w:b/>
        </w:rPr>
        <w:tab/>
      </w:r>
      <w:r w:rsidRPr="002C5D01">
        <w:rPr>
          <w:rFonts w:ascii="Times New Roman" w:hAnsi="Times New Roman" w:cs="Times New Roman"/>
          <w:b/>
        </w:rPr>
        <w:tab/>
      </w:r>
    </w:p>
    <w:p w14:paraId="471E6DD7" w14:textId="77777777" w:rsidR="00866865" w:rsidRDefault="00866865" w:rsidP="002C5D01">
      <w:pPr>
        <w:jc w:val="center"/>
        <w:rPr>
          <w:rFonts w:ascii="Times New Roman" w:hAnsi="Times New Roman" w:cs="Times New Roman"/>
          <w:b/>
        </w:rPr>
      </w:pPr>
    </w:p>
    <w:p w14:paraId="7568BEA6" w14:textId="77777777" w:rsidR="00866865" w:rsidRDefault="00866865" w:rsidP="002C5D01">
      <w:pPr>
        <w:jc w:val="center"/>
        <w:rPr>
          <w:rFonts w:ascii="Times New Roman" w:hAnsi="Times New Roman" w:cs="Times New Roman"/>
          <w:b/>
        </w:rPr>
      </w:pPr>
    </w:p>
    <w:p w14:paraId="4E66D593" w14:textId="77777777" w:rsidR="00A178A4" w:rsidRDefault="00A178A4" w:rsidP="002C5D01">
      <w:pPr>
        <w:jc w:val="center"/>
        <w:rPr>
          <w:rFonts w:ascii="Times New Roman" w:hAnsi="Times New Roman" w:cs="Times New Roman"/>
          <w:b/>
        </w:rPr>
      </w:pPr>
    </w:p>
    <w:p w14:paraId="5A1C3833" w14:textId="77777777" w:rsidR="00A178A4" w:rsidRDefault="00A178A4" w:rsidP="002C5D01">
      <w:pPr>
        <w:jc w:val="center"/>
        <w:rPr>
          <w:rFonts w:ascii="Times New Roman" w:hAnsi="Times New Roman" w:cs="Times New Roman"/>
          <w:b/>
        </w:rPr>
      </w:pPr>
    </w:p>
    <w:p w14:paraId="07A4E787" w14:textId="77777777" w:rsidR="00A178A4" w:rsidRDefault="00A178A4" w:rsidP="002C5D01">
      <w:pPr>
        <w:jc w:val="center"/>
        <w:rPr>
          <w:rFonts w:ascii="Times New Roman" w:hAnsi="Times New Roman" w:cs="Times New Roman"/>
          <w:b/>
        </w:rPr>
      </w:pPr>
    </w:p>
    <w:p w14:paraId="5C52E834" w14:textId="77777777" w:rsidR="00A178A4" w:rsidRDefault="00A178A4" w:rsidP="002C5D01">
      <w:pPr>
        <w:jc w:val="center"/>
        <w:rPr>
          <w:rFonts w:ascii="Times New Roman" w:hAnsi="Times New Roman" w:cs="Times New Roman"/>
          <w:b/>
        </w:rPr>
      </w:pPr>
    </w:p>
    <w:p w14:paraId="73A2FBA3" w14:textId="77777777" w:rsidR="00A178A4" w:rsidRDefault="00A178A4" w:rsidP="002C5D01">
      <w:pPr>
        <w:jc w:val="center"/>
        <w:rPr>
          <w:rFonts w:ascii="Times New Roman" w:hAnsi="Times New Roman" w:cs="Times New Roman"/>
          <w:b/>
        </w:rPr>
      </w:pPr>
    </w:p>
    <w:p w14:paraId="4E9C99DE" w14:textId="77777777" w:rsidR="00866865" w:rsidRDefault="00866865" w:rsidP="002C5D01">
      <w:pPr>
        <w:jc w:val="center"/>
        <w:rPr>
          <w:rFonts w:ascii="Times New Roman" w:hAnsi="Times New Roman" w:cs="Times New Roman"/>
          <w:b/>
        </w:rPr>
      </w:pPr>
    </w:p>
    <w:p w14:paraId="68C7CB03" w14:textId="77777777" w:rsidR="00866865" w:rsidRDefault="00866865" w:rsidP="002C5D01">
      <w:pPr>
        <w:jc w:val="center"/>
        <w:rPr>
          <w:rFonts w:ascii="Times New Roman" w:hAnsi="Times New Roman" w:cs="Times New Roman"/>
          <w:b/>
        </w:rPr>
      </w:pPr>
    </w:p>
    <w:p w14:paraId="53C42B79" w14:textId="77777777" w:rsidR="00866865" w:rsidRDefault="00866865" w:rsidP="002C5D01">
      <w:pPr>
        <w:jc w:val="center"/>
        <w:rPr>
          <w:rFonts w:ascii="Times New Roman" w:hAnsi="Times New Roman" w:cs="Times New Roman"/>
          <w:b/>
        </w:rPr>
      </w:pPr>
    </w:p>
    <w:p w14:paraId="27C4A4B0" w14:textId="2144612E" w:rsidR="00D71CA2" w:rsidRDefault="00D71CA2" w:rsidP="00D71CA2">
      <w:pPr>
        <w:pStyle w:val="NoSpacing"/>
        <w:ind w:right="-1"/>
        <w:jc w:val="center"/>
        <w:rPr>
          <w:rFonts w:ascii="Times New Roman" w:hAnsi="Times New Roman" w:cs="Times New Roman"/>
          <w:b/>
          <w:sz w:val="28"/>
          <w:szCs w:val="28"/>
        </w:rPr>
      </w:pPr>
    </w:p>
    <w:p w14:paraId="3DEEC4B6" w14:textId="5750EDFD" w:rsidR="00D71CA2" w:rsidRPr="00871DF5" w:rsidRDefault="00D71CA2" w:rsidP="00D71CA2">
      <w:pPr>
        <w:pStyle w:val="NoSpacing"/>
        <w:ind w:right="-1"/>
        <w:jc w:val="center"/>
        <w:rPr>
          <w:rFonts w:ascii="Times New Roman" w:hAnsi="Times New Roman" w:cs="Times New Roman"/>
          <w:b/>
          <w:sz w:val="28"/>
          <w:szCs w:val="28"/>
        </w:rPr>
      </w:pPr>
      <w:r w:rsidRPr="00871DF5">
        <w:rPr>
          <w:rFonts w:ascii="Times New Roman" w:hAnsi="Times New Roman" w:cs="Times New Roman"/>
          <w:b/>
          <w:sz w:val="28"/>
          <w:szCs w:val="28"/>
        </w:rPr>
        <w:t>"</w:t>
      </w:r>
      <w:r>
        <w:rPr>
          <w:rFonts w:ascii="Times New Roman" w:hAnsi="Times New Roman" w:cs="Times New Roman"/>
          <w:b/>
          <w:color w:val="000000"/>
          <w:sz w:val="28"/>
          <w:szCs w:val="28"/>
        </w:rPr>
        <w:t>P</w:t>
      </w:r>
      <w:r w:rsidRPr="001E669D">
        <w:rPr>
          <w:rFonts w:ascii="Times New Roman" w:hAnsi="Times New Roman" w:cs="Times New Roman"/>
          <w:b/>
          <w:color w:val="000000"/>
          <w:sz w:val="28"/>
          <w:szCs w:val="28"/>
        </w:rPr>
        <w:t>ar</w:t>
      </w:r>
      <w:r w:rsidRPr="001E669D">
        <w:rPr>
          <w:rFonts w:ascii="Times New Roman" w:hAnsi="Times New Roman" w:cs="Times New Roman"/>
          <w:b/>
          <w:sz w:val="28"/>
          <w:szCs w:val="28"/>
        </w:rPr>
        <w:t xml:space="preserve"> </w:t>
      </w:r>
      <w:r>
        <w:rPr>
          <w:rFonts w:ascii="Times New Roman" w:hAnsi="Times New Roman" w:cs="Times New Roman"/>
          <w:b/>
          <w:sz w:val="28"/>
          <w:szCs w:val="28"/>
        </w:rPr>
        <w:t>ēnu ekonomikas ierobežošanas pasākumu efektivitāti un ēnu ekonomikas ierobežošanas plānu</w:t>
      </w:r>
      <w:r w:rsidRPr="00871DF5">
        <w:rPr>
          <w:rFonts w:ascii="Times New Roman" w:hAnsi="Times New Roman" w:cs="Times New Roman"/>
          <w:b/>
          <w:sz w:val="28"/>
          <w:szCs w:val="28"/>
        </w:rPr>
        <w:t>"</w:t>
      </w:r>
    </w:p>
    <w:p w14:paraId="0BFD4C9E" w14:textId="77777777" w:rsidR="00866865" w:rsidRDefault="00866865" w:rsidP="002C5D01">
      <w:pPr>
        <w:jc w:val="center"/>
        <w:rPr>
          <w:rFonts w:ascii="Times New Roman" w:hAnsi="Times New Roman" w:cs="Times New Roman"/>
          <w:b/>
        </w:rPr>
      </w:pPr>
    </w:p>
    <w:p w14:paraId="0F70FC5A" w14:textId="77777777" w:rsidR="00866865" w:rsidRDefault="00866865" w:rsidP="002C5D01">
      <w:pPr>
        <w:jc w:val="center"/>
        <w:rPr>
          <w:rFonts w:ascii="Times New Roman" w:hAnsi="Times New Roman" w:cs="Times New Roman"/>
          <w:b/>
        </w:rPr>
      </w:pPr>
    </w:p>
    <w:p w14:paraId="7C8DCFF3" w14:textId="77777777" w:rsidR="00866865" w:rsidRDefault="00866865" w:rsidP="002C5D01">
      <w:pPr>
        <w:jc w:val="center"/>
        <w:rPr>
          <w:rFonts w:ascii="Times New Roman" w:hAnsi="Times New Roman" w:cs="Times New Roman"/>
          <w:b/>
        </w:rPr>
      </w:pPr>
    </w:p>
    <w:p w14:paraId="676F9383" w14:textId="77777777" w:rsidR="00866865" w:rsidRDefault="00866865" w:rsidP="002C5D01">
      <w:pPr>
        <w:jc w:val="center"/>
        <w:rPr>
          <w:rFonts w:ascii="Times New Roman" w:hAnsi="Times New Roman" w:cs="Times New Roman"/>
          <w:b/>
        </w:rPr>
      </w:pPr>
    </w:p>
    <w:p w14:paraId="3E7AFAB5" w14:textId="77777777" w:rsidR="00866865" w:rsidRDefault="00866865" w:rsidP="002C5D01">
      <w:pPr>
        <w:jc w:val="center"/>
        <w:rPr>
          <w:rFonts w:ascii="Times New Roman" w:hAnsi="Times New Roman" w:cs="Times New Roman"/>
          <w:b/>
        </w:rPr>
      </w:pPr>
    </w:p>
    <w:p w14:paraId="0EF0BDBC" w14:textId="77777777" w:rsidR="00866865" w:rsidRDefault="00866865" w:rsidP="002C5D01">
      <w:pPr>
        <w:jc w:val="center"/>
        <w:rPr>
          <w:rFonts w:ascii="Times New Roman" w:hAnsi="Times New Roman" w:cs="Times New Roman"/>
          <w:b/>
        </w:rPr>
      </w:pPr>
    </w:p>
    <w:p w14:paraId="44AB8FD1" w14:textId="77777777" w:rsidR="00866865" w:rsidRDefault="00866865" w:rsidP="002C5D01">
      <w:pPr>
        <w:jc w:val="center"/>
        <w:rPr>
          <w:rFonts w:ascii="Times New Roman" w:hAnsi="Times New Roman" w:cs="Times New Roman"/>
          <w:b/>
        </w:rPr>
      </w:pPr>
    </w:p>
    <w:p w14:paraId="04B91973" w14:textId="77777777" w:rsidR="00866865" w:rsidRDefault="00866865" w:rsidP="002C5D01">
      <w:pPr>
        <w:jc w:val="center"/>
        <w:rPr>
          <w:rFonts w:ascii="Times New Roman" w:hAnsi="Times New Roman" w:cs="Times New Roman"/>
          <w:b/>
        </w:rPr>
      </w:pPr>
    </w:p>
    <w:p w14:paraId="4C12000F" w14:textId="77777777" w:rsidR="00866865" w:rsidRDefault="00866865" w:rsidP="002C5D01">
      <w:pPr>
        <w:jc w:val="center"/>
        <w:rPr>
          <w:rFonts w:ascii="Times New Roman" w:hAnsi="Times New Roman" w:cs="Times New Roman"/>
          <w:b/>
        </w:rPr>
      </w:pPr>
    </w:p>
    <w:p w14:paraId="69990A86" w14:textId="77777777" w:rsidR="00866865" w:rsidRDefault="00866865" w:rsidP="002C5D01">
      <w:pPr>
        <w:jc w:val="center"/>
        <w:rPr>
          <w:rFonts w:ascii="Times New Roman" w:hAnsi="Times New Roman" w:cs="Times New Roman"/>
          <w:b/>
        </w:rPr>
      </w:pPr>
    </w:p>
    <w:p w14:paraId="2F35B708" w14:textId="77777777" w:rsidR="00866865" w:rsidRDefault="00866865" w:rsidP="002C5D01">
      <w:pPr>
        <w:jc w:val="center"/>
        <w:rPr>
          <w:rFonts w:ascii="Times New Roman" w:hAnsi="Times New Roman" w:cs="Times New Roman"/>
          <w:b/>
        </w:rPr>
      </w:pPr>
    </w:p>
    <w:p w14:paraId="3ABB8D84" w14:textId="77777777" w:rsidR="00866865" w:rsidRDefault="00866865" w:rsidP="002C5D01">
      <w:pPr>
        <w:jc w:val="center"/>
        <w:rPr>
          <w:rFonts w:ascii="Times New Roman" w:hAnsi="Times New Roman" w:cs="Times New Roman"/>
          <w:b/>
        </w:rPr>
      </w:pPr>
    </w:p>
    <w:p w14:paraId="4830D21A" w14:textId="77777777" w:rsidR="00866865" w:rsidRDefault="00866865" w:rsidP="002C5D01">
      <w:pPr>
        <w:jc w:val="center"/>
        <w:rPr>
          <w:rFonts w:ascii="Times New Roman" w:hAnsi="Times New Roman" w:cs="Times New Roman"/>
          <w:b/>
        </w:rPr>
      </w:pPr>
    </w:p>
    <w:p w14:paraId="13F8FE6C" w14:textId="77777777" w:rsidR="00866865" w:rsidRDefault="00866865" w:rsidP="002C5D01">
      <w:pPr>
        <w:jc w:val="center"/>
        <w:rPr>
          <w:rFonts w:ascii="Times New Roman" w:hAnsi="Times New Roman" w:cs="Times New Roman"/>
          <w:b/>
        </w:rPr>
      </w:pPr>
    </w:p>
    <w:p w14:paraId="524539F1" w14:textId="77777777" w:rsidR="00866865" w:rsidRDefault="00866865" w:rsidP="002C5D01">
      <w:pPr>
        <w:jc w:val="center"/>
        <w:rPr>
          <w:rFonts w:ascii="Times New Roman" w:hAnsi="Times New Roman" w:cs="Times New Roman"/>
          <w:b/>
        </w:rPr>
      </w:pPr>
    </w:p>
    <w:p w14:paraId="44CCC20B" w14:textId="77777777" w:rsidR="00866865" w:rsidRDefault="00866865" w:rsidP="002C5D01">
      <w:pPr>
        <w:jc w:val="center"/>
        <w:rPr>
          <w:rFonts w:ascii="Times New Roman" w:hAnsi="Times New Roman" w:cs="Times New Roman"/>
          <w:b/>
        </w:rPr>
      </w:pPr>
    </w:p>
    <w:p w14:paraId="7E3D049F" w14:textId="77777777" w:rsidR="00866865" w:rsidRDefault="00866865" w:rsidP="002C5D01">
      <w:pPr>
        <w:jc w:val="center"/>
        <w:rPr>
          <w:rFonts w:ascii="Times New Roman" w:hAnsi="Times New Roman" w:cs="Times New Roman"/>
          <w:b/>
        </w:rPr>
      </w:pPr>
    </w:p>
    <w:p w14:paraId="05E745CC" w14:textId="77777777" w:rsidR="00866865" w:rsidRDefault="00866865" w:rsidP="002C5D01">
      <w:pPr>
        <w:jc w:val="center"/>
        <w:rPr>
          <w:rFonts w:ascii="Times New Roman" w:hAnsi="Times New Roman" w:cs="Times New Roman"/>
          <w:b/>
        </w:rPr>
      </w:pPr>
    </w:p>
    <w:p w14:paraId="146D444E" w14:textId="77777777" w:rsidR="00866865" w:rsidRDefault="00866865" w:rsidP="002C5D01">
      <w:pPr>
        <w:jc w:val="center"/>
        <w:rPr>
          <w:rFonts w:ascii="Times New Roman" w:hAnsi="Times New Roman" w:cs="Times New Roman"/>
          <w:b/>
        </w:rPr>
      </w:pPr>
    </w:p>
    <w:p w14:paraId="3EE229B8" w14:textId="77777777" w:rsidR="00866865" w:rsidRDefault="00866865" w:rsidP="002C5D01">
      <w:pPr>
        <w:jc w:val="center"/>
        <w:rPr>
          <w:rFonts w:ascii="Times New Roman" w:hAnsi="Times New Roman" w:cs="Times New Roman"/>
          <w:b/>
        </w:rPr>
      </w:pPr>
    </w:p>
    <w:p w14:paraId="05675954" w14:textId="77777777" w:rsidR="00866865" w:rsidRDefault="00866865" w:rsidP="002C5D01">
      <w:pPr>
        <w:jc w:val="center"/>
        <w:rPr>
          <w:rFonts w:ascii="Times New Roman" w:hAnsi="Times New Roman" w:cs="Times New Roman"/>
          <w:b/>
        </w:rPr>
      </w:pPr>
    </w:p>
    <w:p w14:paraId="68DAAB0D" w14:textId="77777777" w:rsidR="00866865" w:rsidRDefault="00866865" w:rsidP="002C5D01">
      <w:pPr>
        <w:jc w:val="center"/>
        <w:rPr>
          <w:rFonts w:ascii="Times New Roman" w:hAnsi="Times New Roman" w:cs="Times New Roman"/>
          <w:b/>
        </w:rPr>
      </w:pPr>
    </w:p>
    <w:p w14:paraId="27E11320" w14:textId="77777777" w:rsidR="00866865" w:rsidRDefault="00866865" w:rsidP="002C5D01">
      <w:pPr>
        <w:jc w:val="center"/>
        <w:rPr>
          <w:rFonts w:ascii="Times New Roman" w:hAnsi="Times New Roman" w:cs="Times New Roman"/>
          <w:b/>
        </w:rPr>
      </w:pPr>
    </w:p>
    <w:p w14:paraId="00A780B4" w14:textId="77777777" w:rsidR="00866865" w:rsidRDefault="00866865" w:rsidP="002C5D01">
      <w:pPr>
        <w:jc w:val="center"/>
        <w:rPr>
          <w:rFonts w:ascii="Times New Roman" w:hAnsi="Times New Roman" w:cs="Times New Roman"/>
          <w:b/>
        </w:rPr>
      </w:pPr>
    </w:p>
    <w:p w14:paraId="35013735" w14:textId="77777777" w:rsidR="00866865" w:rsidRDefault="00866865" w:rsidP="002C5D01">
      <w:pPr>
        <w:jc w:val="center"/>
        <w:rPr>
          <w:rFonts w:ascii="Times New Roman" w:hAnsi="Times New Roman" w:cs="Times New Roman"/>
          <w:b/>
        </w:rPr>
      </w:pPr>
    </w:p>
    <w:p w14:paraId="0AAFC07A" w14:textId="77777777" w:rsidR="00866865" w:rsidRDefault="00866865" w:rsidP="002C5D01">
      <w:pPr>
        <w:jc w:val="center"/>
        <w:rPr>
          <w:rFonts w:ascii="Times New Roman" w:hAnsi="Times New Roman" w:cs="Times New Roman"/>
          <w:b/>
        </w:rPr>
      </w:pPr>
    </w:p>
    <w:p w14:paraId="1377CD98" w14:textId="77777777" w:rsidR="00866865" w:rsidRDefault="00866865" w:rsidP="002C5D01">
      <w:pPr>
        <w:jc w:val="center"/>
        <w:rPr>
          <w:rFonts w:ascii="Times New Roman" w:hAnsi="Times New Roman" w:cs="Times New Roman"/>
          <w:b/>
        </w:rPr>
      </w:pPr>
    </w:p>
    <w:p w14:paraId="76170410" w14:textId="77777777" w:rsidR="00866865" w:rsidRDefault="00866865" w:rsidP="002C5D01">
      <w:pPr>
        <w:jc w:val="center"/>
        <w:rPr>
          <w:rFonts w:ascii="Times New Roman" w:hAnsi="Times New Roman" w:cs="Times New Roman"/>
          <w:b/>
        </w:rPr>
      </w:pPr>
    </w:p>
    <w:p w14:paraId="6C03D913" w14:textId="77777777" w:rsidR="00866865" w:rsidRDefault="00866865" w:rsidP="002C5D01">
      <w:pPr>
        <w:jc w:val="center"/>
        <w:rPr>
          <w:rFonts w:ascii="Times New Roman" w:hAnsi="Times New Roman" w:cs="Times New Roman"/>
          <w:b/>
        </w:rPr>
      </w:pPr>
    </w:p>
    <w:p w14:paraId="6AABAEDA" w14:textId="77777777" w:rsidR="00866865" w:rsidRDefault="00866865" w:rsidP="002C5D01">
      <w:pPr>
        <w:jc w:val="center"/>
        <w:rPr>
          <w:rFonts w:ascii="Times New Roman" w:hAnsi="Times New Roman" w:cs="Times New Roman"/>
          <w:b/>
        </w:rPr>
      </w:pPr>
    </w:p>
    <w:p w14:paraId="575FD243" w14:textId="77777777" w:rsidR="00866865" w:rsidRDefault="00866865" w:rsidP="002C5D01">
      <w:pPr>
        <w:jc w:val="center"/>
        <w:rPr>
          <w:rFonts w:ascii="Times New Roman" w:hAnsi="Times New Roman" w:cs="Times New Roman"/>
          <w:b/>
        </w:rPr>
      </w:pPr>
    </w:p>
    <w:p w14:paraId="121231DA" w14:textId="77777777" w:rsidR="0001324C" w:rsidRDefault="0001324C" w:rsidP="009A328A">
      <w:pPr>
        <w:jc w:val="center"/>
        <w:rPr>
          <w:rFonts w:ascii="Times New Roman" w:hAnsi="Times New Roman" w:cs="Times New Roman"/>
          <w:b/>
          <w:sz w:val="28"/>
          <w:szCs w:val="28"/>
        </w:rPr>
      </w:pPr>
    </w:p>
    <w:p w14:paraId="5F0F460B" w14:textId="77777777" w:rsidR="002C5D01" w:rsidRPr="009A328A" w:rsidRDefault="002C5D01" w:rsidP="009A328A">
      <w:pPr>
        <w:jc w:val="center"/>
        <w:rPr>
          <w:rFonts w:ascii="Times New Roman" w:hAnsi="Times New Roman" w:cs="Times New Roman"/>
          <w:b/>
          <w:sz w:val="28"/>
          <w:szCs w:val="28"/>
        </w:rPr>
      </w:pPr>
      <w:r w:rsidRPr="009A328A">
        <w:rPr>
          <w:rFonts w:ascii="Times New Roman" w:hAnsi="Times New Roman" w:cs="Times New Roman"/>
          <w:b/>
          <w:sz w:val="28"/>
          <w:szCs w:val="28"/>
        </w:rPr>
        <w:lastRenderedPageBreak/>
        <w:t xml:space="preserve">Izmantoto saīsinājumu </w:t>
      </w:r>
      <w:bookmarkEnd w:id="0"/>
      <w:r w:rsidRPr="009A328A">
        <w:rPr>
          <w:rFonts w:ascii="Times New Roman" w:hAnsi="Times New Roman" w:cs="Times New Roman"/>
          <w:b/>
          <w:sz w:val="28"/>
          <w:szCs w:val="28"/>
        </w:rPr>
        <w:t>saraksts</w:t>
      </w:r>
      <w:bookmarkEnd w:id="1"/>
    </w:p>
    <w:p w14:paraId="67FF09A2" w14:textId="77777777" w:rsidR="002C5D01" w:rsidRPr="00337600" w:rsidRDefault="002C5D01" w:rsidP="002C5D01">
      <w:pPr>
        <w:spacing w:after="120" w:line="23" w:lineRule="atLeast"/>
      </w:pPr>
    </w:p>
    <w:p w14:paraId="1B82B85C" w14:textId="77777777" w:rsidR="003D7033" w:rsidRDefault="002C5D01" w:rsidP="002C5D01">
      <w:pPr>
        <w:spacing w:after="120" w:line="23" w:lineRule="atLeast"/>
        <w:rPr>
          <w:rFonts w:ascii="Garamond" w:eastAsia="Times New Roman" w:hAnsi="Garamond" w:cs="Times New Roman"/>
          <w:snapToGrid w:val="0"/>
          <w:sz w:val="24"/>
          <w:szCs w:val="20"/>
          <w:lang w:val="en-US"/>
        </w:rPr>
      </w:pPr>
      <w:r w:rsidRPr="00A87934">
        <w:rPr>
          <w:rFonts w:ascii="Times New Roman" w:eastAsia="Calibri" w:hAnsi="Times New Roman"/>
          <w:b/>
          <w:szCs w:val="24"/>
        </w:rPr>
        <w:t>BASE</w:t>
      </w:r>
      <w:r w:rsidR="002D6876">
        <w:rPr>
          <w:rFonts w:ascii="Times New Roman" w:eastAsia="Calibri" w:hAnsi="Times New Roman"/>
          <w:b/>
          <w:szCs w:val="24"/>
        </w:rPr>
        <w:t xml:space="preserve"> </w:t>
      </w:r>
      <w:r w:rsidRPr="00A87934">
        <w:rPr>
          <w:rFonts w:ascii="Times New Roman" w:hAnsi="Times New Roman"/>
          <w:szCs w:val="24"/>
        </w:rPr>
        <w:t>– b</w:t>
      </w:r>
      <w:r w:rsidRPr="00A87934">
        <w:rPr>
          <w:rFonts w:ascii="Times New Roman" w:eastAsia="Calibri" w:hAnsi="Times New Roman"/>
          <w:szCs w:val="24"/>
        </w:rPr>
        <w:t>iedrība</w:t>
      </w:r>
      <w:r w:rsidRPr="00A87934">
        <w:rPr>
          <w:rFonts w:ascii="Times New Roman" w:eastAsia="Calibri" w:hAnsi="Times New Roman"/>
          <w:b/>
          <w:szCs w:val="24"/>
        </w:rPr>
        <w:t xml:space="preserve"> </w:t>
      </w:r>
      <w:r w:rsidRPr="0034409E">
        <w:rPr>
          <w:rFonts w:ascii="Times New Roman" w:eastAsia="Calibri" w:hAnsi="Times New Roman"/>
          <w:szCs w:val="24"/>
          <w:lang w:val="en-GB"/>
        </w:rPr>
        <w:t>Business against shadow economy</w:t>
      </w:r>
      <w:r w:rsidRPr="00A87934">
        <w:rPr>
          <w:rFonts w:ascii="Times New Roman" w:eastAsia="Calibri" w:hAnsi="Times New Roman"/>
          <w:szCs w:val="24"/>
        </w:rPr>
        <w:t xml:space="preserve"> </w:t>
      </w:r>
    </w:p>
    <w:p w14:paraId="5EF14C01" w14:textId="532A5EC6" w:rsidR="002C5D01" w:rsidRPr="00A87934" w:rsidRDefault="002C5D01" w:rsidP="002C5D01">
      <w:pPr>
        <w:spacing w:after="120" w:line="23" w:lineRule="atLeast"/>
        <w:rPr>
          <w:rFonts w:ascii="Times New Roman" w:hAnsi="Times New Roman" w:cs="Times New Roman"/>
          <w:sz w:val="24"/>
          <w:szCs w:val="24"/>
        </w:rPr>
      </w:pPr>
      <w:r w:rsidRPr="00A87934">
        <w:rPr>
          <w:rFonts w:ascii="Times New Roman" w:hAnsi="Times New Roman" w:cs="Times New Roman"/>
          <w:b/>
          <w:sz w:val="24"/>
          <w:szCs w:val="24"/>
        </w:rPr>
        <w:t>CSP</w:t>
      </w:r>
      <w:r w:rsidRPr="00A87934">
        <w:rPr>
          <w:rFonts w:ascii="Times New Roman" w:hAnsi="Times New Roman" w:cs="Times New Roman"/>
          <w:sz w:val="24"/>
          <w:szCs w:val="24"/>
        </w:rPr>
        <w:t xml:space="preserve"> – </w:t>
      </w:r>
      <w:r w:rsidRPr="005D38B1">
        <w:rPr>
          <w:rStyle w:val="Emphasis"/>
          <w:rFonts w:ascii="Times New Roman" w:hAnsi="Times New Roman" w:cs="Times New Roman"/>
          <w:i w:val="0"/>
          <w:iCs w:val="0"/>
          <w:sz w:val="24"/>
          <w:szCs w:val="24"/>
        </w:rPr>
        <w:t>Centrālā statistikas pārvalde</w:t>
      </w:r>
    </w:p>
    <w:p w14:paraId="69FDB24E" w14:textId="77777777" w:rsidR="002C5D01" w:rsidRPr="00A87934" w:rsidRDefault="002C5D01" w:rsidP="002C5D01">
      <w:pPr>
        <w:spacing w:after="120" w:line="23" w:lineRule="atLeast"/>
        <w:rPr>
          <w:rFonts w:ascii="Times New Roman" w:hAnsi="Times New Roman" w:cs="Times New Roman"/>
          <w:sz w:val="24"/>
          <w:szCs w:val="24"/>
        </w:rPr>
      </w:pPr>
      <w:r w:rsidRPr="00A87934">
        <w:rPr>
          <w:rFonts w:ascii="Times New Roman" w:hAnsi="Times New Roman" w:cs="Times New Roman"/>
          <w:b/>
          <w:sz w:val="24"/>
          <w:szCs w:val="24"/>
        </w:rPr>
        <w:t>FM</w:t>
      </w:r>
      <w:r w:rsidRPr="00A87934">
        <w:rPr>
          <w:rFonts w:ascii="Times New Roman" w:hAnsi="Times New Roman" w:cs="Times New Roman"/>
          <w:sz w:val="24"/>
          <w:szCs w:val="24"/>
        </w:rPr>
        <w:t xml:space="preserve"> – Finanšu ministrija</w:t>
      </w:r>
    </w:p>
    <w:p w14:paraId="44AE4269" w14:textId="77777777" w:rsidR="002C5D01" w:rsidRDefault="002C5D01" w:rsidP="002C5D01">
      <w:pPr>
        <w:spacing w:after="120" w:line="23" w:lineRule="atLeast"/>
        <w:rPr>
          <w:rFonts w:ascii="Times New Roman" w:hAnsi="Times New Roman" w:cs="Times New Roman"/>
          <w:sz w:val="24"/>
          <w:szCs w:val="24"/>
        </w:rPr>
      </w:pPr>
      <w:r w:rsidRPr="00A87934">
        <w:rPr>
          <w:rFonts w:ascii="Times New Roman" w:hAnsi="Times New Roman" w:cs="Times New Roman"/>
          <w:b/>
          <w:sz w:val="24"/>
          <w:szCs w:val="24"/>
        </w:rPr>
        <w:t xml:space="preserve">IIN </w:t>
      </w:r>
      <w:r w:rsidRPr="00A87934">
        <w:rPr>
          <w:rFonts w:ascii="Times New Roman" w:hAnsi="Times New Roman" w:cs="Times New Roman"/>
          <w:sz w:val="24"/>
          <w:szCs w:val="24"/>
        </w:rPr>
        <w:t xml:space="preserve"> – Iedzīvotāju ienākumu nodoklis </w:t>
      </w:r>
    </w:p>
    <w:p w14:paraId="6C369B72" w14:textId="77777777" w:rsidR="009A111D" w:rsidRPr="00A87934" w:rsidRDefault="009A111D" w:rsidP="002C5D01">
      <w:pPr>
        <w:spacing w:after="120" w:line="23" w:lineRule="atLeast"/>
        <w:rPr>
          <w:rFonts w:ascii="Times New Roman" w:hAnsi="Times New Roman" w:cs="Times New Roman"/>
          <w:sz w:val="24"/>
          <w:szCs w:val="24"/>
        </w:rPr>
      </w:pPr>
      <w:r w:rsidRPr="006365A5">
        <w:rPr>
          <w:rFonts w:ascii="Times New Roman" w:hAnsi="Times New Roman" w:cs="Times New Roman"/>
          <w:b/>
          <w:bCs/>
          <w:sz w:val="24"/>
          <w:szCs w:val="24"/>
        </w:rPr>
        <w:t>IKP</w:t>
      </w:r>
      <w:r>
        <w:rPr>
          <w:rFonts w:ascii="Times New Roman" w:hAnsi="Times New Roman" w:cs="Times New Roman"/>
          <w:sz w:val="24"/>
          <w:szCs w:val="24"/>
        </w:rPr>
        <w:t xml:space="preserve"> – iekšzemes kopprodukts</w:t>
      </w:r>
    </w:p>
    <w:p w14:paraId="05F65470" w14:textId="77777777" w:rsidR="002C5D01" w:rsidRPr="00A87934" w:rsidRDefault="002C5D01" w:rsidP="0003612C">
      <w:pPr>
        <w:spacing w:after="120" w:line="23" w:lineRule="atLeast"/>
        <w:ind w:left="720" w:firstLine="0"/>
        <w:rPr>
          <w:rFonts w:ascii="Times New Roman" w:hAnsi="Times New Roman" w:cs="Times New Roman"/>
          <w:sz w:val="24"/>
          <w:szCs w:val="24"/>
        </w:rPr>
      </w:pPr>
      <w:r w:rsidRPr="00A87934">
        <w:rPr>
          <w:rFonts w:ascii="Times New Roman" w:hAnsi="Times New Roman" w:cs="Times New Roman"/>
          <w:b/>
          <w:sz w:val="24"/>
          <w:szCs w:val="24"/>
        </w:rPr>
        <w:t>NACE 2</w:t>
      </w:r>
      <w:r w:rsidRPr="00A87934">
        <w:rPr>
          <w:rFonts w:ascii="Times New Roman" w:hAnsi="Times New Roman" w:cs="Times New Roman"/>
          <w:sz w:val="24"/>
          <w:szCs w:val="24"/>
        </w:rPr>
        <w:t xml:space="preserve"> – Saimnieciskās darbības statistiskā klasifikācija Eiropas Kopienā (2.redakcija)</w:t>
      </w:r>
    </w:p>
    <w:p w14:paraId="090DBA6B" w14:textId="6DE30B32" w:rsidR="002C5D01" w:rsidRPr="00A87934" w:rsidRDefault="002C5D01" w:rsidP="003D7033">
      <w:pPr>
        <w:spacing w:after="120" w:line="23" w:lineRule="atLeast"/>
        <w:rPr>
          <w:rFonts w:ascii="Times New Roman" w:hAnsi="Times New Roman" w:cs="Times New Roman"/>
          <w:b/>
          <w:sz w:val="24"/>
          <w:szCs w:val="24"/>
        </w:rPr>
      </w:pPr>
      <w:r w:rsidRPr="00A87934">
        <w:rPr>
          <w:rFonts w:ascii="Times New Roman" w:hAnsi="Times New Roman" w:cs="Times New Roman"/>
          <w:b/>
          <w:sz w:val="24"/>
          <w:szCs w:val="24"/>
        </w:rPr>
        <w:t xml:space="preserve">Plāns </w:t>
      </w:r>
      <w:r w:rsidRPr="00A87934">
        <w:rPr>
          <w:rFonts w:ascii="Times New Roman" w:hAnsi="Times New Roman" w:cs="Times New Roman"/>
          <w:sz w:val="24"/>
          <w:szCs w:val="24"/>
        </w:rPr>
        <w:t xml:space="preserve">– </w:t>
      </w:r>
      <w:r w:rsidRPr="00A87934">
        <w:rPr>
          <w:rFonts w:ascii="Times New Roman" w:eastAsia="Calibri" w:hAnsi="Times New Roman" w:cs="Times New Roman"/>
          <w:sz w:val="24"/>
          <w:szCs w:val="24"/>
        </w:rPr>
        <w:t>Valsts iestāžu darba plāns ēnu ekonomikas ierobežošanai 2016.-</w:t>
      </w:r>
      <w:r w:rsidR="00C1664B">
        <w:rPr>
          <w:rFonts w:ascii="Times New Roman" w:eastAsia="Calibri" w:hAnsi="Times New Roman" w:cs="Times New Roman"/>
          <w:sz w:val="24"/>
          <w:szCs w:val="24"/>
        </w:rPr>
        <w:t>2</w:t>
      </w:r>
      <w:r w:rsidRPr="00A87934">
        <w:rPr>
          <w:rFonts w:ascii="Times New Roman" w:eastAsia="Calibri" w:hAnsi="Times New Roman" w:cs="Times New Roman"/>
          <w:sz w:val="24"/>
          <w:szCs w:val="24"/>
        </w:rPr>
        <w:t>020.</w:t>
      </w:r>
      <w:r w:rsidR="00C1664B">
        <w:rPr>
          <w:rFonts w:ascii="Times New Roman" w:eastAsia="Calibri" w:hAnsi="Times New Roman" w:cs="Times New Roman"/>
          <w:sz w:val="24"/>
          <w:szCs w:val="24"/>
        </w:rPr>
        <w:t> </w:t>
      </w:r>
      <w:r w:rsidRPr="00A87934">
        <w:rPr>
          <w:rFonts w:ascii="Times New Roman" w:eastAsia="Calibri" w:hAnsi="Times New Roman" w:cs="Times New Roman"/>
          <w:sz w:val="24"/>
          <w:szCs w:val="24"/>
        </w:rPr>
        <w:t>gadam</w:t>
      </w:r>
    </w:p>
    <w:p w14:paraId="6EB560C7" w14:textId="77777777" w:rsidR="002C5D01" w:rsidRPr="00A87934" w:rsidRDefault="002C5D01" w:rsidP="002C5D01">
      <w:pPr>
        <w:spacing w:after="120" w:line="23" w:lineRule="atLeast"/>
        <w:rPr>
          <w:rFonts w:ascii="Times New Roman" w:hAnsi="Times New Roman" w:cs="Times New Roman"/>
          <w:sz w:val="24"/>
          <w:szCs w:val="24"/>
        </w:rPr>
      </w:pPr>
      <w:r w:rsidRPr="00A87934">
        <w:rPr>
          <w:rFonts w:ascii="Times New Roman" w:hAnsi="Times New Roman" w:cs="Times New Roman"/>
          <w:b/>
          <w:sz w:val="24"/>
          <w:szCs w:val="24"/>
        </w:rPr>
        <w:t xml:space="preserve">PVN </w:t>
      </w:r>
      <w:r w:rsidRPr="00A87934">
        <w:rPr>
          <w:rFonts w:ascii="Times New Roman" w:hAnsi="Times New Roman" w:cs="Times New Roman"/>
          <w:sz w:val="24"/>
          <w:szCs w:val="24"/>
        </w:rPr>
        <w:t xml:space="preserve"> – Pievienotās vērtības nodoklis </w:t>
      </w:r>
    </w:p>
    <w:p w14:paraId="3F4E9E31" w14:textId="77777777" w:rsidR="002C5D01" w:rsidRPr="00A87934" w:rsidRDefault="002C5D01" w:rsidP="002C5D01">
      <w:pPr>
        <w:spacing w:after="120" w:line="23" w:lineRule="atLeast"/>
        <w:rPr>
          <w:rFonts w:ascii="Times New Roman" w:hAnsi="Times New Roman" w:cs="Times New Roman"/>
          <w:sz w:val="24"/>
          <w:szCs w:val="24"/>
        </w:rPr>
      </w:pPr>
      <w:r w:rsidRPr="00A87934">
        <w:rPr>
          <w:rFonts w:ascii="Times New Roman" w:hAnsi="Times New Roman" w:cs="Times New Roman"/>
          <w:b/>
          <w:sz w:val="24"/>
          <w:szCs w:val="24"/>
        </w:rPr>
        <w:t>VID</w:t>
      </w:r>
      <w:r w:rsidRPr="00A87934">
        <w:rPr>
          <w:rFonts w:ascii="Times New Roman" w:hAnsi="Times New Roman" w:cs="Times New Roman"/>
          <w:sz w:val="24"/>
          <w:szCs w:val="24"/>
        </w:rPr>
        <w:t xml:space="preserve"> – Valsts ieņēmumu dienests</w:t>
      </w:r>
    </w:p>
    <w:p w14:paraId="461786DB" w14:textId="77777777" w:rsidR="002C5D01" w:rsidRDefault="002C5D01" w:rsidP="002C5D01">
      <w:pPr>
        <w:spacing w:after="120" w:line="23" w:lineRule="atLeast"/>
        <w:rPr>
          <w:rFonts w:ascii="Times New Roman" w:hAnsi="Times New Roman" w:cs="Times New Roman"/>
          <w:sz w:val="24"/>
          <w:szCs w:val="24"/>
        </w:rPr>
      </w:pPr>
      <w:r w:rsidRPr="00707004">
        <w:rPr>
          <w:rFonts w:ascii="Times New Roman" w:hAnsi="Times New Roman" w:cs="Times New Roman"/>
          <w:b/>
          <w:sz w:val="24"/>
          <w:szCs w:val="24"/>
        </w:rPr>
        <w:t>VSAOI</w:t>
      </w:r>
      <w:r w:rsidRPr="00707004">
        <w:rPr>
          <w:rFonts w:ascii="Times New Roman" w:hAnsi="Times New Roman" w:cs="Times New Roman"/>
          <w:sz w:val="24"/>
          <w:szCs w:val="24"/>
        </w:rPr>
        <w:t xml:space="preserve"> – Valsts sociālās apdrošināšanas obligātās iemaksas</w:t>
      </w:r>
    </w:p>
    <w:p w14:paraId="0F9D5D39" w14:textId="2438587F" w:rsidR="00191825" w:rsidRPr="00707004" w:rsidRDefault="00191825" w:rsidP="003D7033">
      <w:pPr>
        <w:spacing w:after="120" w:line="23" w:lineRule="atLeast"/>
        <w:ind w:left="720" w:firstLine="0"/>
        <w:rPr>
          <w:rFonts w:ascii="Times New Roman" w:hAnsi="Times New Roman" w:cs="Times New Roman"/>
          <w:sz w:val="24"/>
          <w:szCs w:val="24"/>
        </w:rPr>
      </w:pPr>
      <w:r w:rsidRPr="00CA5379">
        <w:rPr>
          <w:rFonts w:ascii="Times New Roman" w:hAnsi="Times New Roman" w:cs="Times New Roman"/>
          <w:b/>
          <w:sz w:val="24"/>
          <w:szCs w:val="24"/>
        </w:rPr>
        <w:t xml:space="preserve">SSE </w:t>
      </w:r>
      <w:r w:rsidRPr="0034409E">
        <w:rPr>
          <w:rFonts w:ascii="Times New Roman" w:hAnsi="Times New Roman" w:cs="Times New Roman"/>
          <w:b/>
          <w:sz w:val="24"/>
          <w:szCs w:val="24"/>
          <w:lang w:val="en-GB"/>
        </w:rPr>
        <w:t>Riga</w:t>
      </w:r>
      <w:r w:rsidRPr="00CA5379">
        <w:rPr>
          <w:rFonts w:ascii="Times New Roman" w:hAnsi="Times New Roman" w:cs="Times New Roman"/>
          <w:sz w:val="24"/>
          <w:szCs w:val="24"/>
        </w:rPr>
        <w:t xml:space="preserve"> – </w:t>
      </w:r>
      <w:r w:rsidRPr="00CA5379">
        <w:rPr>
          <w:rFonts w:ascii="Times New Roman" w:hAnsi="Times New Roman" w:cs="Times New Roman"/>
          <w:sz w:val="24"/>
          <w:szCs w:val="24"/>
          <w:lang w:val="en"/>
        </w:rPr>
        <w:t>Stockholm School of Economics in Riga</w:t>
      </w:r>
      <w:r w:rsidRPr="00CA5379">
        <w:rPr>
          <w:rFonts w:ascii="Times New Roman" w:hAnsi="Times New Roman" w:cs="Times New Roman"/>
          <w:sz w:val="24"/>
          <w:szCs w:val="24"/>
        </w:rPr>
        <w:t xml:space="preserve"> (latv.</w:t>
      </w:r>
      <w:r w:rsidR="0034409E">
        <w:rPr>
          <w:rFonts w:ascii="Times New Roman" w:hAnsi="Times New Roman" w:cs="Times New Roman"/>
          <w:sz w:val="24"/>
          <w:szCs w:val="24"/>
        </w:rPr>
        <w:t> </w:t>
      </w:r>
      <w:r w:rsidRPr="00CA5379">
        <w:rPr>
          <w:rFonts w:ascii="Times New Roman" w:hAnsi="Times New Roman" w:cs="Times New Roman"/>
          <w:sz w:val="24"/>
          <w:szCs w:val="24"/>
        </w:rPr>
        <w:t>val. - Rīgas Ekonomikas augstskola)</w:t>
      </w:r>
    </w:p>
    <w:p w14:paraId="230E0922" w14:textId="77777777" w:rsidR="002C5D01" w:rsidRDefault="002C5D01" w:rsidP="002C5D01">
      <w:pPr>
        <w:spacing w:after="120" w:line="23" w:lineRule="atLeast"/>
      </w:pPr>
    </w:p>
    <w:p w14:paraId="6C812462" w14:textId="77777777" w:rsidR="002C5D01" w:rsidRDefault="002C5D01" w:rsidP="002C5D01">
      <w:pPr>
        <w:spacing w:after="120" w:line="23" w:lineRule="atLeast"/>
      </w:pPr>
    </w:p>
    <w:p w14:paraId="315DA4EF" w14:textId="77777777" w:rsidR="00F92E62" w:rsidRDefault="00F92E62">
      <w:r>
        <w:br w:type="page"/>
      </w:r>
    </w:p>
    <w:p w14:paraId="708D3CDD" w14:textId="77777777" w:rsidR="002973BF" w:rsidRDefault="007E6A34" w:rsidP="007618B5">
      <w:pPr>
        <w:spacing w:line="360" w:lineRule="auto"/>
        <w:rPr>
          <w:rFonts w:ascii="Times New Roman" w:hAnsi="Times New Roman" w:cs="Times New Roman"/>
          <w:b/>
          <w:bCs/>
          <w:sz w:val="28"/>
          <w:szCs w:val="28"/>
        </w:rPr>
      </w:pPr>
      <w:r w:rsidRPr="007618B5">
        <w:rPr>
          <w:rFonts w:ascii="Times New Roman" w:hAnsi="Times New Roman" w:cs="Times New Roman"/>
          <w:b/>
          <w:bCs/>
          <w:sz w:val="28"/>
          <w:szCs w:val="28"/>
        </w:rPr>
        <w:lastRenderedPageBreak/>
        <w:t>Saturs</w:t>
      </w:r>
    </w:p>
    <w:p w14:paraId="7564D488" w14:textId="77777777" w:rsidR="008E62A7" w:rsidRPr="007618B5" w:rsidRDefault="008E62A7" w:rsidP="007618B5">
      <w:pPr>
        <w:spacing w:line="360" w:lineRule="auto"/>
        <w:rPr>
          <w:rFonts w:ascii="Times New Roman" w:hAnsi="Times New Roman" w:cs="Times New Roman"/>
          <w:b/>
          <w:bCs/>
          <w:sz w:val="28"/>
          <w:szCs w:val="28"/>
        </w:rPr>
      </w:pPr>
    </w:p>
    <w:p w14:paraId="2E7BCF61" w14:textId="238362E1" w:rsidR="00CE720D" w:rsidRDefault="002973BF">
      <w:pPr>
        <w:pStyle w:val="TOC1"/>
        <w:tabs>
          <w:tab w:val="right" w:leader="dot" w:pos="9061"/>
        </w:tabs>
        <w:rPr>
          <w:rFonts w:asciiTheme="minorHAnsi" w:eastAsiaTheme="minorEastAsia" w:hAnsiTheme="minorHAnsi"/>
          <w:noProof/>
          <w:sz w:val="22"/>
          <w:lang w:eastAsia="lv-LV"/>
        </w:rPr>
      </w:pPr>
      <w:r>
        <w:fldChar w:fldCharType="begin"/>
      </w:r>
      <w:r>
        <w:instrText xml:space="preserve"> TOC \o "1-3" \h \z \u </w:instrText>
      </w:r>
      <w:r>
        <w:fldChar w:fldCharType="separate"/>
      </w:r>
      <w:hyperlink w:anchor="_Toc63687764" w:history="1">
        <w:r w:rsidR="00CE720D" w:rsidRPr="00293F7C">
          <w:rPr>
            <w:rStyle w:val="Hyperlink"/>
            <w:noProof/>
          </w:rPr>
          <w:t>Ievads</w:t>
        </w:r>
        <w:r w:rsidR="00CE720D">
          <w:rPr>
            <w:noProof/>
            <w:webHidden/>
          </w:rPr>
          <w:tab/>
        </w:r>
        <w:r w:rsidR="00CE720D">
          <w:rPr>
            <w:noProof/>
            <w:webHidden/>
          </w:rPr>
          <w:fldChar w:fldCharType="begin"/>
        </w:r>
        <w:r w:rsidR="00CE720D">
          <w:rPr>
            <w:noProof/>
            <w:webHidden/>
          </w:rPr>
          <w:instrText xml:space="preserve"> PAGEREF _Toc63687764 \h </w:instrText>
        </w:r>
        <w:r w:rsidR="00CE720D">
          <w:rPr>
            <w:noProof/>
            <w:webHidden/>
          </w:rPr>
        </w:r>
        <w:r w:rsidR="00CE720D">
          <w:rPr>
            <w:noProof/>
            <w:webHidden/>
          </w:rPr>
          <w:fldChar w:fldCharType="separate"/>
        </w:r>
        <w:r w:rsidR="00CE720D">
          <w:rPr>
            <w:noProof/>
            <w:webHidden/>
          </w:rPr>
          <w:t>4</w:t>
        </w:r>
        <w:r w:rsidR="00CE720D">
          <w:rPr>
            <w:noProof/>
            <w:webHidden/>
          </w:rPr>
          <w:fldChar w:fldCharType="end"/>
        </w:r>
      </w:hyperlink>
    </w:p>
    <w:p w14:paraId="5ECF91E1" w14:textId="2BDACCAB" w:rsidR="00CE720D" w:rsidRDefault="00CE720D">
      <w:pPr>
        <w:pStyle w:val="TOC1"/>
        <w:tabs>
          <w:tab w:val="right" w:leader="dot" w:pos="9061"/>
        </w:tabs>
        <w:rPr>
          <w:rFonts w:asciiTheme="minorHAnsi" w:eastAsiaTheme="minorEastAsia" w:hAnsiTheme="minorHAnsi"/>
          <w:noProof/>
          <w:sz w:val="22"/>
          <w:lang w:eastAsia="lv-LV"/>
        </w:rPr>
      </w:pPr>
      <w:hyperlink w:anchor="_Toc63687765" w:history="1">
        <w:r w:rsidRPr="00293F7C">
          <w:rPr>
            <w:rStyle w:val="Hyperlink"/>
            <w:noProof/>
          </w:rPr>
          <w:t>Valsts iestāžu darba plāns ēnu ekonomikas ierobežošanai</w:t>
        </w:r>
        <w:r>
          <w:rPr>
            <w:noProof/>
            <w:webHidden/>
          </w:rPr>
          <w:tab/>
        </w:r>
        <w:r>
          <w:rPr>
            <w:noProof/>
            <w:webHidden/>
          </w:rPr>
          <w:fldChar w:fldCharType="begin"/>
        </w:r>
        <w:r>
          <w:rPr>
            <w:noProof/>
            <w:webHidden/>
          </w:rPr>
          <w:instrText xml:space="preserve"> PAGEREF _Toc63687765 \h </w:instrText>
        </w:r>
        <w:r>
          <w:rPr>
            <w:noProof/>
            <w:webHidden/>
          </w:rPr>
        </w:r>
        <w:r>
          <w:rPr>
            <w:noProof/>
            <w:webHidden/>
          </w:rPr>
          <w:fldChar w:fldCharType="separate"/>
        </w:r>
        <w:r>
          <w:rPr>
            <w:noProof/>
            <w:webHidden/>
          </w:rPr>
          <w:t>5</w:t>
        </w:r>
        <w:r>
          <w:rPr>
            <w:noProof/>
            <w:webHidden/>
          </w:rPr>
          <w:fldChar w:fldCharType="end"/>
        </w:r>
      </w:hyperlink>
    </w:p>
    <w:p w14:paraId="5C1C562E" w14:textId="2222EF5F" w:rsidR="00CE720D" w:rsidRDefault="00CE720D">
      <w:pPr>
        <w:pStyle w:val="TOC1"/>
        <w:tabs>
          <w:tab w:val="right" w:leader="dot" w:pos="9061"/>
        </w:tabs>
        <w:rPr>
          <w:rFonts w:asciiTheme="minorHAnsi" w:eastAsiaTheme="minorEastAsia" w:hAnsiTheme="minorHAnsi"/>
          <w:noProof/>
          <w:sz w:val="22"/>
          <w:lang w:eastAsia="lv-LV"/>
        </w:rPr>
      </w:pPr>
      <w:hyperlink w:anchor="_Toc63687766" w:history="1">
        <w:r w:rsidRPr="00293F7C">
          <w:rPr>
            <w:rStyle w:val="Hyperlink"/>
            <w:noProof/>
          </w:rPr>
          <w:t>Ēnu ekonomikas īpatsvars</w:t>
        </w:r>
        <w:r>
          <w:rPr>
            <w:noProof/>
            <w:webHidden/>
          </w:rPr>
          <w:tab/>
        </w:r>
        <w:r>
          <w:rPr>
            <w:noProof/>
            <w:webHidden/>
          </w:rPr>
          <w:fldChar w:fldCharType="begin"/>
        </w:r>
        <w:r>
          <w:rPr>
            <w:noProof/>
            <w:webHidden/>
          </w:rPr>
          <w:instrText xml:space="preserve"> PAGEREF _Toc63687766 \h </w:instrText>
        </w:r>
        <w:r>
          <w:rPr>
            <w:noProof/>
            <w:webHidden/>
          </w:rPr>
        </w:r>
        <w:r>
          <w:rPr>
            <w:noProof/>
            <w:webHidden/>
          </w:rPr>
          <w:fldChar w:fldCharType="separate"/>
        </w:r>
        <w:r>
          <w:rPr>
            <w:noProof/>
            <w:webHidden/>
          </w:rPr>
          <w:t>5</w:t>
        </w:r>
        <w:r>
          <w:rPr>
            <w:noProof/>
            <w:webHidden/>
          </w:rPr>
          <w:fldChar w:fldCharType="end"/>
        </w:r>
      </w:hyperlink>
    </w:p>
    <w:p w14:paraId="4622FCB3" w14:textId="1AC06F24" w:rsidR="00CE720D" w:rsidRDefault="00CE720D">
      <w:pPr>
        <w:pStyle w:val="TOC2"/>
        <w:tabs>
          <w:tab w:val="right" w:leader="dot" w:pos="9061"/>
        </w:tabs>
        <w:rPr>
          <w:rFonts w:asciiTheme="minorHAnsi" w:eastAsiaTheme="minorEastAsia" w:hAnsiTheme="minorHAnsi"/>
          <w:noProof/>
          <w:sz w:val="22"/>
          <w:lang w:eastAsia="lv-LV"/>
        </w:rPr>
      </w:pPr>
      <w:hyperlink w:anchor="_Toc63687767" w:history="1">
        <w:r w:rsidRPr="00293F7C">
          <w:rPr>
            <w:rStyle w:val="Hyperlink"/>
            <w:noProof/>
          </w:rPr>
          <w:t>Būvniecības nozare</w:t>
        </w:r>
        <w:r>
          <w:rPr>
            <w:noProof/>
            <w:webHidden/>
          </w:rPr>
          <w:tab/>
        </w:r>
        <w:r>
          <w:rPr>
            <w:noProof/>
            <w:webHidden/>
          </w:rPr>
          <w:fldChar w:fldCharType="begin"/>
        </w:r>
        <w:r>
          <w:rPr>
            <w:noProof/>
            <w:webHidden/>
          </w:rPr>
          <w:instrText xml:space="preserve"> PAGEREF _Toc63687767 \h </w:instrText>
        </w:r>
        <w:r>
          <w:rPr>
            <w:noProof/>
            <w:webHidden/>
          </w:rPr>
        </w:r>
        <w:r>
          <w:rPr>
            <w:noProof/>
            <w:webHidden/>
          </w:rPr>
          <w:fldChar w:fldCharType="separate"/>
        </w:r>
        <w:r>
          <w:rPr>
            <w:noProof/>
            <w:webHidden/>
          </w:rPr>
          <w:t>12</w:t>
        </w:r>
        <w:r>
          <w:rPr>
            <w:noProof/>
            <w:webHidden/>
          </w:rPr>
          <w:fldChar w:fldCharType="end"/>
        </w:r>
      </w:hyperlink>
    </w:p>
    <w:p w14:paraId="47453EA3" w14:textId="751F74B7" w:rsidR="00CE720D" w:rsidRDefault="00CE720D">
      <w:pPr>
        <w:pStyle w:val="TOC2"/>
        <w:tabs>
          <w:tab w:val="right" w:leader="dot" w:pos="9061"/>
        </w:tabs>
        <w:rPr>
          <w:rFonts w:asciiTheme="minorHAnsi" w:eastAsiaTheme="minorEastAsia" w:hAnsiTheme="minorHAnsi"/>
          <w:noProof/>
          <w:sz w:val="22"/>
          <w:lang w:eastAsia="lv-LV"/>
        </w:rPr>
      </w:pPr>
      <w:hyperlink w:anchor="_Toc63687768" w:history="1">
        <w:r w:rsidRPr="00293F7C">
          <w:rPr>
            <w:rStyle w:val="Hyperlink"/>
            <w:noProof/>
          </w:rPr>
          <w:t>Transporta pakalpojumu nozare</w:t>
        </w:r>
        <w:r>
          <w:rPr>
            <w:noProof/>
            <w:webHidden/>
          </w:rPr>
          <w:tab/>
        </w:r>
        <w:r>
          <w:rPr>
            <w:noProof/>
            <w:webHidden/>
          </w:rPr>
          <w:fldChar w:fldCharType="begin"/>
        </w:r>
        <w:r>
          <w:rPr>
            <w:noProof/>
            <w:webHidden/>
          </w:rPr>
          <w:instrText xml:space="preserve"> PAGEREF _Toc63687768 \h </w:instrText>
        </w:r>
        <w:r>
          <w:rPr>
            <w:noProof/>
            <w:webHidden/>
          </w:rPr>
        </w:r>
        <w:r>
          <w:rPr>
            <w:noProof/>
            <w:webHidden/>
          </w:rPr>
          <w:fldChar w:fldCharType="separate"/>
        </w:r>
        <w:r>
          <w:rPr>
            <w:noProof/>
            <w:webHidden/>
          </w:rPr>
          <w:t>15</w:t>
        </w:r>
        <w:r>
          <w:rPr>
            <w:noProof/>
            <w:webHidden/>
          </w:rPr>
          <w:fldChar w:fldCharType="end"/>
        </w:r>
      </w:hyperlink>
    </w:p>
    <w:p w14:paraId="4680C45D" w14:textId="526819BF" w:rsidR="00CE720D" w:rsidRDefault="00CE720D">
      <w:pPr>
        <w:pStyle w:val="TOC2"/>
        <w:tabs>
          <w:tab w:val="right" w:leader="dot" w:pos="9061"/>
        </w:tabs>
        <w:rPr>
          <w:rFonts w:asciiTheme="minorHAnsi" w:eastAsiaTheme="minorEastAsia" w:hAnsiTheme="minorHAnsi"/>
          <w:noProof/>
          <w:sz w:val="22"/>
          <w:lang w:eastAsia="lv-LV"/>
        </w:rPr>
      </w:pPr>
      <w:hyperlink w:anchor="_Toc63687769" w:history="1">
        <w:r w:rsidRPr="00293F7C">
          <w:rPr>
            <w:rStyle w:val="Hyperlink"/>
            <w:noProof/>
          </w:rPr>
          <w:t>Apsardzes pakalpojumu nozare</w:t>
        </w:r>
        <w:r>
          <w:rPr>
            <w:noProof/>
            <w:webHidden/>
          </w:rPr>
          <w:tab/>
        </w:r>
        <w:r>
          <w:rPr>
            <w:noProof/>
            <w:webHidden/>
          </w:rPr>
          <w:fldChar w:fldCharType="begin"/>
        </w:r>
        <w:r>
          <w:rPr>
            <w:noProof/>
            <w:webHidden/>
          </w:rPr>
          <w:instrText xml:space="preserve"> PAGEREF _Toc63687769 \h </w:instrText>
        </w:r>
        <w:r>
          <w:rPr>
            <w:noProof/>
            <w:webHidden/>
          </w:rPr>
        </w:r>
        <w:r>
          <w:rPr>
            <w:noProof/>
            <w:webHidden/>
          </w:rPr>
          <w:fldChar w:fldCharType="separate"/>
        </w:r>
        <w:r>
          <w:rPr>
            <w:noProof/>
            <w:webHidden/>
          </w:rPr>
          <w:t>17</w:t>
        </w:r>
        <w:r>
          <w:rPr>
            <w:noProof/>
            <w:webHidden/>
          </w:rPr>
          <w:fldChar w:fldCharType="end"/>
        </w:r>
      </w:hyperlink>
    </w:p>
    <w:p w14:paraId="54F9F2C2" w14:textId="2D19A18D" w:rsidR="00CE720D" w:rsidRDefault="00CE720D">
      <w:pPr>
        <w:pStyle w:val="TOC2"/>
        <w:tabs>
          <w:tab w:val="right" w:leader="dot" w:pos="9061"/>
        </w:tabs>
        <w:rPr>
          <w:rFonts w:asciiTheme="minorHAnsi" w:eastAsiaTheme="minorEastAsia" w:hAnsiTheme="minorHAnsi"/>
          <w:noProof/>
          <w:sz w:val="22"/>
          <w:lang w:eastAsia="lv-LV"/>
        </w:rPr>
      </w:pPr>
      <w:hyperlink w:anchor="_Toc63687770" w:history="1">
        <w:r w:rsidRPr="00293F7C">
          <w:rPr>
            <w:rStyle w:val="Hyperlink"/>
            <w:noProof/>
          </w:rPr>
          <w:t>Sabiedriskās ēdināšanas pakalpojumi</w:t>
        </w:r>
        <w:r>
          <w:rPr>
            <w:noProof/>
            <w:webHidden/>
          </w:rPr>
          <w:tab/>
        </w:r>
        <w:r>
          <w:rPr>
            <w:noProof/>
            <w:webHidden/>
          </w:rPr>
          <w:fldChar w:fldCharType="begin"/>
        </w:r>
        <w:r>
          <w:rPr>
            <w:noProof/>
            <w:webHidden/>
          </w:rPr>
          <w:instrText xml:space="preserve"> PAGEREF _Toc63687770 \h </w:instrText>
        </w:r>
        <w:r>
          <w:rPr>
            <w:noProof/>
            <w:webHidden/>
          </w:rPr>
        </w:r>
        <w:r>
          <w:rPr>
            <w:noProof/>
            <w:webHidden/>
          </w:rPr>
          <w:fldChar w:fldCharType="separate"/>
        </w:r>
        <w:r>
          <w:rPr>
            <w:noProof/>
            <w:webHidden/>
          </w:rPr>
          <w:t>19</w:t>
        </w:r>
        <w:r>
          <w:rPr>
            <w:noProof/>
            <w:webHidden/>
          </w:rPr>
          <w:fldChar w:fldCharType="end"/>
        </w:r>
      </w:hyperlink>
    </w:p>
    <w:p w14:paraId="13E2E78D" w14:textId="57E17789" w:rsidR="00CE720D" w:rsidRDefault="00CE720D">
      <w:pPr>
        <w:pStyle w:val="TOC1"/>
        <w:tabs>
          <w:tab w:val="right" w:leader="dot" w:pos="9061"/>
        </w:tabs>
        <w:rPr>
          <w:rFonts w:asciiTheme="minorHAnsi" w:eastAsiaTheme="minorEastAsia" w:hAnsiTheme="minorHAnsi"/>
          <w:noProof/>
          <w:sz w:val="22"/>
          <w:lang w:eastAsia="lv-LV"/>
        </w:rPr>
      </w:pPr>
      <w:hyperlink w:anchor="_Toc63687771" w:history="1">
        <w:r w:rsidRPr="00293F7C">
          <w:rPr>
            <w:rStyle w:val="Hyperlink"/>
            <w:noProof/>
          </w:rPr>
          <w:t>Ēnu ekonomikas ierobežošanas pasākumi 2019. gadā</w:t>
        </w:r>
        <w:r>
          <w:rPr>
            <w:noProof/>
            <w:webHidden/>
          </w:rPr>
          <w:tab/>
        </w:r>
        <w:r>
          <w:rPr>
            <w:noProof/>
            <w:webHidden/>
          </w:rPr>
          <w:fldChar w:fldCharType="begin"/>
        </w:r>
        <w:r>
          <w:rPr>
            <w:noProof/>
            <w:webHidden/>
          </w:rPr>
          <w:instrText xml:space="preserve"> PAGEREF _Toc63687771 \h </w:instrText>
        </w:r>
        <w:r>
          <w:rPr>
            <w:noProof/>
            <w:webHidden/>
          </w:rPr>
        </w:r>
        <w:r>
          <w:rPr>
            <w:noProof/>
            <w:webHidden/>
          </w:rPr>
          <w:fldChar w:fldCharType="separate"/>
        </w:r>
        <w:r>
          <w:rPr>
            <w:noProof/>
            <w:webHidden/>
          </w:rPr>
          <w:t>21</w:t>
        </w:r>
        <w:r>
          <w:rPr>
            <w:noProof/>
            <w:webHidden/>
          </w:rPr>
          <w:fldChar w:fldCharType="end"/>
        </w:r>
      </w:hyperlink>
    </w:p>
    <w:p w14:paraId="02D9D55B" w14:textId="7F102C10" w:rsidR="00CE720D" w:rsidRDefault="00CE720D">
      <w:pPr>
        <w:pStyle w:val="TOC1"/>
        <w:tabs>
          <w:tab w:val="right" w:leader="dot" w:pos="9061"/>
        </w:tabs>
        <w:rPr>
          <w:rFonts w:asciiTheme="minorHAnsi" w:eastAsiaTheme="minorEastAsia" w:hAnsiTheme="minorHAnsi"/>
          <w:noProof/>
          <w:sz w:val="22"/>
          <w:lang w:eastAsia="lv-LV"/>
        </w:rPr>
      </w:pPr>
      <w:hyperlink w:anchor="_Toc63687772" w:history="1">
        <w:r w:rsidRPr="00293F7C">
          <w:rPr>
            <w:rStyle w:val="Hyperlink"/>
            <w:noProof/>
          </w:rPr>
          <w:t>Pasākumi 2020. gadā</w:t>
        </w:r>
        <w:r>
          <w:rPr>
            <w:noProof/>
            <w:webHidden/>
          </w:rPr>
          <w:tab/>
        </w:r>
        <w:r>
          <w:rPr>
            <w:noProof/>
            <w:webHidden/>
          </w:rPr>
          <w:fldChar w:fldCharType="begin"/>
        </w:r>
        <w:r>
          <w:rPr>
            <w:noProof/>
            <w:webHidden/>
          </w:rPr>
          <w:instrText xml:space="preserve"> PAGEREF _Toc63687772 \h </w:instrText>
        </w:r>
        <w:r>
          <w:rPr>
            <w:noProof/>
            <w:webHidden/>
          </w:rPr>
        </w:r>
        <w:r>
          <w:rPr>
            <w:noProof/>
            <w:webHidden/>
          </w:rPr>
          <w:fldChar w:fldCharType="separate"/>
        </w:r>
        <w:r>
          <w:rPr>
            <w:noProof/>
            <w:webHidden/>
          </w:rPr>
          <w:t>24</w:t>
        </w:r>
        <w:r>
          <w:rPr>
            <w:noProof/>
            <w:webHidden/>
          </w:rPr>
          <w:fldChar w:fldCharType="end"/>
        </w:r>
      </w:hyperlink>
    </w:p>
    <w:p w14:paraId="79DAC252" w14:textId="2B040922" w:rsidR="00CE720D" w:rsidRDefault="00CE720D">
      <w:pPr>
        <w:pStyle w:val="TOC1"/>
        <w:tabs>
          <w:tab w:val="right" w:leader="dot" w:pos="9061"/>
        </w:tabs>
        <w:rPr>
          <w:rFonts w:asciiTheme="minorHAnsi" w:eastAsiaTheme="minorEastAsia" w:hAnsiTheme="minorHAnsi"/>
          <w:noProof/>
          <w:sz w:val="22"/>
          <w:lang w:eastAsia="lv-LV"/>
        </w:rPr>
      </w:pPr>
      <w:hyperlink w:anchor="_Toc63687773" w:history="1">
        <w:r w:rsidRPr="00293F7C">
          <w:rPr>
            <w:rStyle w:val="Hyperlink"/>
            <w:noProof/>
          </w:rPr>
          <w:t>Valsts pētījumu programma ēnu ekonomikas mazināšanai</w:t>
        </w:r>
        <w:r>
          <w:rPr>
            <w:noProof/>
            <w:webHidden/>
          </w:rPr>
          <w:tab/>
        </w:r>
        <w:r>
          <w:rPr>
            <w:noProof/>
            <w:webHidden/>
          </w:rPr>
          <w:fldChar w:fldCharType="begin"/>
        </w:r>
        <w:r>
          <w:rPr>
            <w:noProof/>
            <w:webHidden/>
          </w:rPr>
          <w:instrText xml:space="preserve"> PAGEREF _Toc63687773 \h </w:instrText>
        </w:r>
        <w:r>
          <w:rPr>
            <w:noProof/>
            <w:webHidden/>
          </w:rPr>
        </w:r>
        <w:r>
          <w:rPr>
            <w:noProof/>
            <w:webHidden/>
          </w:rPr>
          <w:fldChar w:fldCharType="separate"/>
        </w:r>
        <w:r>
          <w:rPr>
            <w:noProof/>
            <w:webHidden/>
          </w:rPr>
          <w:t>26</w:t>
        </w:r>
        <w:r>
          <w:rPr>
            <w:noProof/>
            <w:webHidden/>
          </w:rPr>
          <w:fldChar w:fldCharType="end"/>
        </w:r>
      </w:hyperlink>
    </w:p>
    <w:p w14:paraId="585DC1D2" w14:textId="115B1C31" w:rsidR="00CE720D" w:rsidRDefault="00CE720D">
      <w:pPr>
        <w:pStyle w:val="TOC1"/>
        <w:tabs>
          <w:tab w:val="right" w:leader="dot" w:pos="9061"/>
        </w:tabs>
        <w:rPr>
          <w:rFonts w:asciiTheme="minorHAnsi" w:eastAsiaTheme="minorEastAsia" w:hAnsiTheme="minorHAnsi"/>
          <w:noProof/>
          <w:sz w:val="22"/>
          <w:lang w:eastAsia="lv-LV"/>
        </w:rPr>
      </w:pPr>
      <w:hyperlink w:anchor="_Toc63687774" w:history="1">
        <w:r w:rsidRPr="00293F7C">
          <w:rPr>
            <w:rStyle w:val="Hyperlink"/>
            <w:rFonts w:eastAsia="Calibri"/>
            <w:noProof/>
          </w:rPr>
          <w:t>Secinājumi</w:t>
        </w:r>
        <w:r>
          <w:rPr>
            <w:noProof/>
            <w:webHidden/>
          </w:rPr>
          <w:tab/>
        </w:r>
        <w:r>
          <w:rPr>
            <w:noProof/>
            <w:webHidden/>
          </w:rPr>
          <w:fldChar w:fldCharType="begin"/>
        </w:r>
        <w:r>
          <w:rPr>
            <w:noProof/>
            <w:webHidden/>
          </w:rPr>
          <w:instrText xml:space="preserve"> PAGEREF _Toc63687774 \h </w:instrText>
        </w:r>
        <w:r>
          <w:rPr>
            <w:noProof/>
            <w:webHidden/>
          </w:rPr>
        </w:r>
        <w:r>
          <w:rPr>
            <w:noProof/>
            <w:webHidden/>
          </w:rPr>
          <w:fldChar w:fldCharType="separate"/>
        </w:r>
        <w:r>
          <w:rPr>
            <w:noProof/>
            <w:webHidden/>
          </w:rPr>
          <w:t>27</w:t>
        </w:r>
        <w:r>
          <w:rPr>
            <w:noProof/>
            <w:webHidden/>
          </w:rPr>
          <w:fldChar w:fldCharType="end"/>
        </w:r>
      </w:hyperlink>
    </w:p>
    <w:p w14:paraId="1FE173C7" w14:textId="4A33CB86" w:rsidR="00CE720D" w:rsidRDefault="00CE720D">
      <w:pPr>
        <w:pStyle w:val="TOC1"/>
        <w:tabs>
          <w:tab w:val="right" w:leader="dot" w:pos="9061"/>
        </w:tabs>
        <w:rPr>
          <w:rFonts w:asciiTheme="minorHAnsi" w:eastAsiaTheme="minorEastAsia" w:hAnsiTheme="minorHAnsi"/>
          <w:noProof/>
          <w:sz w:val="22"/>
          <w:lang w:eastAsia="lv-LV"/>
        </w:rPr>
      </w:pPr>
      <w:hyperlink w:anchor="_Toc63687775" w:history="1">
        <w:r w:rsidRPr="00293F7C">
          <w:rPr>
            <w:rStyle w:val="Hyperlink"/>
            <w:noProof/>
          </w:rPr>
          <w:t>P</w:t>
        </w:r>
        <w:r w:rsidRPr="00293F7C">
          <w:rPr>
            <w:rStyle w:val="Hyperlink"/>
            <w:rFonts w:eastAsia="Times New Roman"/>
            <w:noProof/>
            <w:lang w:eastAsia="lv-LV"/>
          </w:rPr>
          <w:t>riekšlikumi Plāna izstrādei nākamajam periodam – 2021.</w:t>
        </w:r>
        <w:r w:rsidRPr="00293F7C">
          <w:rPr>
            <w:rStyle w:val="Hyperlink"/>
            <w:noProof/>
          </w:rPr>
          <w:t> – 2</w:t>
        </w:r>
        <w:r w:rsidRPr="00293F7C">
          <w:rPr>
            <w:rStyle w:val="Hyperlink"/>
            <w:rFonts w:eastAsia="Times New Roman"/>
            <w:noProof/>
            <w:lang w:eastAsia="lv-LV"/>
          </w:rPr>
          <w:t>025. gadam</w:t>
        </w:r>
        <w:r>
          <w:rPr>
            <w:noProof/>
            <w:webHidden/>
          </w:rPr>
          <w:tab/>
        </w:r>
        <w:r>
          <w:rPr>
            <w:noProof/>
            <w:webHidden/>
          </w:rPr>
          <w:fldChar w:fldCharType="begin"/>
        </w:r>
        <w:r>
          <w:rPr>
            <w:noProof/>
            <w:webHidden/>
          </w:rPr>
          <w:instrText xml:space="preserve"> PAGEREF _Toc63687775 \h </w:instrText>
        </w:r>
        <w:r>
          <w:rPr>
            <w:noProof/>
            <w:webHidden/>
          </w:rPr>
        </w:r>
        <w:r>
          <w:rPr>
            <w:noProof/>
            <w:webHidden/>
          </w:rPr>
          <w:fldChar w:fldCharType="separate"/>
        </w:r>
        <w:r>
          <w:rPr>
            <w:noProof/>
            <w:webHidden/>
          </w:rPr>
          <w:t>27</w:t>
        </w:r>
        <w:r>
          <w:rPr>
            <w:noProof/>
            <w:webHidden/>
          </w:rPr>
          <w:fldChar w:fldCharType="end"/>
        </w:r>
      </w:hyperlink>
    </w:p>
    <w:p w14:paraId="292A73C9" w14:textId="3722008C" w:rsidR="002C5D01" w:rsidRDefault="002973BF" w:rsidP="002C5D01">
      <w:pPr>
        <w:spacing w:after="120" w:line="23" w:lineRule="atLeast"/>
      </w:pPr>
      <w:r>
        <w:fldChar w:fldCharType="end"/>
      </w:r>
    </w:p>
    <w:p w14:paraId="5CA8BBBC" w14:textId="77777777" w:rsidR="00376C45" w:rsidRPr="00505DA3" w:rsidRDefault="00E057A1" w:rsidP="00505DA3">
      <w:pPr>
        <w:ind w:firstLine="0"/>
      </w:pPr>
      <w:r>
        <w:br w:type="page"/>
      </w:r>
      <w:bookmarkStart w:id="2" w:name="_GoBack"/>
      <w:bookmarkEnd w:id="2"/>
    </w:p>
    <w:p w14:paraId="503713B5" w14:textId="77777777" w:rsidR="006A18BC" w:rsidRPr="009D6029" w:rsidRDefault="006A18BC" w:rsidP="00E057A1">
      <w:pPr>
        <w:pStyle w:val="Heading1"/>
      </w:pPr>
      <w:bookmarkStart w:id="3" w:name="_Toc63687764"/>
      <w:r w:rsidRPr="009D6029">
        <w:lastRenderedPageBreak/>
        <w:t>Ievads</w:t>
      </w:r>
      <w:bookmarkEnd w:id="3"/>
    </w:p>
    <w:p w14:paraId="6BFBDC9F" w14:textId="77777777" w:rsidR="0081248D" w:rsidRDefault="0081248D" w:rsidP="00662C88">
      <w:pPr>
        <w:rPr>
          <w:rFonts w:ascii="Times New Roman" w:hAnsi="Times New Roman" w:cs="Times New Roman"/>
          <w:sz w:val="24"/>
          <w:szCs w:val="24"/>
        </w:rPr>
      </w:pPr>
    </w:p>
    <w:p w14:paraId="384B9FBF" w14:textId="77777777" w:rsidR="0081248D" w:rsidRPr="00DD72A8" w:rsidRDefault="0081248D" w:rsidP="00662C88">
      <w:pPr>
        <w:rPr>
          <w:rFonts w:ascii="Times New Roman" w:hAnsi="Times New Roman" w:cs="Times New Roman"/>
          <w:sz w:val="24"/>
          <w:szCs w:val="24"/>
        </w:rPr>
      </w:pPr>
      <w:r w:rsidRPr="00DD72A8">
        <w:rPr>
          <w:rFonts w:ascii="Times New Roman" w:hAnsi="Times New Roman" w:cs="Times New Roman"/>
          <w:sz w:val="24"/>
          <w:szCs w:val="24"/>
        </w:rPr>
        <w:t xml:space="preserve">Ēnu ekonomikas ierobežošana ir </w:t>
      </w:r>
      <w:r w:rsidR="0078732E" w:rsidRPr="00DD72A8">
        <w:rPr>
          <w:rFonts w:ascii="Times New Roman" w:hAnsi="Times New Roman" w:cs="Times New Roman"/>
          <w:sz w:val="24"/>
          <w:szCs w:val="24"/>
        </w:rPr>
        <w:t xml:space="preserve">minams kā </w:t>
      </w:r>
      <w:r w:rsidR="0087233B" w:rsidRPr="00DD72A8">
        <w:rPr>
          <w:rFonts w:ascii="Times New Roman" w:hAnsi="Times New Roman" w:cs="Times New Roman"/>
          <w:sz w:val="24"/>
          <w:szCs w:val="24"/>
        </w:rPr>
        <w:t>viens no būtiskākajiem jautājumiem</w:t>
      </w:r>
      <w:r w:rsidRPr="00DD72A8">
        <w:rPr>
          <w:rFonts w:ascii="Times New Roman" w:hAnsi="Times New Roman" w:cs="Times New Roman"/>
          <w:sz w:val="24"/>
          <w:szCs w:val="24"/>
        </w:rPr>
        <w:t xml:space="preserve">, lai nodrošinātu komersantiem atbilstošu </w:t>
      </w:r>
      <w:r w:rsidR="0087233B" w:rsidRPr="00DD72A8">
        <w:rPr>
          <w:rFonts w:ascii="Times New Roman" w:hAnsi="Times New Roman" w:cs="Times New Roman"/>
          <w:sz w:val="24"/>
          <w:szCs w:val="24"/>
        </w:rPr>
        <w:t xml:space="preserve">un konkurētspējīgu </w:t>
      </w:r>
      <w:r w:rsidRPr="00DD72A8">
        <w:rPr>
          <w:rFonts w:ascii="Times New Roman" w:hAnsi="Times New Roman" w:cs="Times New Roman"/>
          <w:sz w:val="24"/>
          <w:szCs w:val="24"/>
        </w:rPr>
        <w:t>uzņēmējdarbības vidi</w:t>
      </w:r>
      <w:r w:rsidR="000B2A43" w:rsidRPr="00DD72A8">
        <w:rPr>
          <w:rFonts w:ascii="Times New Roman" w:hAnsi="Times New Roman" w:cs="Times New Roman"/>
          <w:sz w:val="24"/>
          <w:szCs w:val="24"/>
        </w:rPr>
        <w:t>,</w:t>
      </w:r>
      <w:r w:rsidRPr="00DD72A8">
        <w:rPr>
          <w:rFonts w:ascii="Times New Roman" w:hAnsi="Times New Roman" w:cs="Times New Roman"/>
          <w:sz w:val="24"/>
          <w:szCs w:val="24"/>
        </w:rPr>
        <w:t xml:space="preserve"> uzlabojot tiesisko bāzi, samazinot administratīvo slogu, korupciju un ēnu ekonomiku tautsaimniecībā, vienlaikus nodrošinot prognozējamu nodokļu politiku un uzlabojot valsts pārvaldes darba efektivitāti, tādā veidā radot priekšnosacījumus uzņēmējdarbības attīstībai valstī un ekonomiski aktīvu uzņēmumu skaita palielināšanai.</w:t>
      </w:r>
    </w:p>
    <w:p w14:paraId="483C3016" w14:textId="02645393" w:rsidR="00CC7E6A" w:rsidRPr="00DD72A8" w:rsidRDefault="00A55042" w:rsidP="00CC7E6A">
      <w:pPr>
        <w:rPr>
          <w:rFonts w:ascii="Times New Roman" w:hAnsi="Times New Roman" w:cs="Times New Roman"/>
          <w:sz w:val="24"/>
          <w:szCs w:val="24"/>
        </w:rPr>
      </w:pPr>
      <w:r w:rsidRPr="00DD72A8">
        <w:rPr>
          <w:rFonts w:ascii="Times New Roman" w:hAnsi="Times New Roman" w:cs="Times New Roman"/>
          <w:sz w:val="24"/>
          <w:szCs w:val="24"/>
        </w:rPr>
        <w:t>FM</w:t>
      </w:r>
      <w:r w:rsidR="00CC7E6A" w:rsidRPr="00DD72A8">
        <w:rPr>
          <w:rFonts w:ascii="Times New Roman" w:hAnsi="Times New Roman" w:cs="Times New Roman"/>
          <w:sz w:val="24"/>
          <w:szCs w:val="24"/>
        </w:rPr>
        <w:t xml:space="preserve"> sadarbībā ar V</w:t>
      </w:r>
      <w:r w:rsidR="00C6409A" w:rsidRPr="00DD72A8">
        <w:rPr>
          <w:rFonts w:ascii="Times New Roman" w:hAnsi="Times New Roman" w:cs="Times New Roman"/>
          <w:sz w:val="24"/>
          <w:szCs w:val="24"/>
        </w:rPr>
        <w:t>ID</w:t>
      </w:r>
      <w:r w:rsidR="00CC7E6A" w:rsidRPr="00DD72A8">
        <w:rPr>
          <w:rFonts w:ascii="Times New Roman" w:hAnsi="Times New Roman" w:cs="Times New Roman"/>
          <w:sz w:val="24"/>
          <w:szCs w:val="24"/>
        </w:rPr>
        <w:t xml:space="preserve"> ir sagatavojusi ziņojumu, kurā atspoguļoti ēnu ekonomikas ierobežošanas pasākumi laika periodā  no 2017. līdz 2019. gad</w:t>
      </w:r>
      <w:r w:rsidR="000563CA" w:rsidRPr="00DD72A8">
        <w:rPr>
          <w:rFonts w:ascii="Times New Roman" w:hAnsi="Times New Roman" w:cs="Times New Roman"/>
          <w:sz w:val="24"/>
          <w:szCs w:val="24"/>
        </w:rPr>
        <w:t>am</w:t>
      </w:r>
      <w:r w:rsidR="00CC7E6A" w:rsidRPr="00DD72A8">
        <w:rPr>
          <w:rFonts w:ascii="Times New Roman" w:hAnsi="Times New Roman" w:cs="Times New Roman"/>
          <w:sz w:val="24"/>
          <w:szCs w:val="24"/>
        </w:rPr>
        <w:t xml:space="preserve"> un novērtēta normatīvajos aktos noteikto normu piemērošanas efektivitāte</w:t>
      </w:r>
      <w:r w:rsidR="0087233B" w:rsidRPr="00DD72A8">
        <w:rPr>
          <w:rFonts w:ascii="Times New Roman" w:hAnsi="Times New Roman" w:cs="Times New Roman"/>
          <w:sz w:val="24"/>
          <w:szCs w:val="24"/>
        </w:rPr>
        <w:t xml:space="preserve"> būtiskākajās ēnu ekonomikas skartajās nozarēs</w:t>
      </w:r>
      <w:r w:rsidR="00CC7E6A" w:rsidRPr="00DD72A8">
        <w:rPr>
          <w:rFonts w:ascii="Times New Roman" w:hAnsi="Times New Roman" w:cs="Times New Roman"/>
          <w:sz w:val="24"/>
          <w:szCs w:val="24"/>
        </w:rPr>
        <w:t>. Ziņojumā  ir veikta analīze par pieņemto normatīvo aktu un tajos ietverto tiesību normu ietekmi ēnu ekonomikas ierobežošanā, izmantojot pieejamo informāciju par salīdzinošiem datiem, pēc kuriem var veikt novērtējumu par noteiktu jomu raksturojošām statistikas tendencēm, ēnu ekonomikas faktoru un ietekmes analīzi.</w:t>
      </w:r>
      <w:r w:rsidR="000B2A43" w:rsidRPr="00DD72A8">
        <w:rPr>
          <w:rFonts w:ascii="Times New Roman" w:hAnsi="Times New Roman" w:cs="Times New Roman"/>
          <w:sz w:val="24"/>
          <w:szCs w:val="24"/>
        </w:rPr>
        <w:t xml:space="preserve"> </w:t>
      </w:r>
    </w:p>
    <w:p w14:paraId="480DA3B1" w14:textId="038EA22B" w:rsidR="000B2A43" w:rsidRPr="00CC7E6A" w:rsidRDefault="00804D6C" w:rsidP="00CC7E6A">
      <w:pPr>
        <w:rPr>
          <w:rFonts w:ascii="Times New Roman" w:hAnsi="Times New Roman" w:cs="Times New Roman"/>
          <w:sz w:val="24"/>
          <w:szCs w:val="24"/>
        </w:rPr>
      </w:pPr>
      <w:r w:rsidRPr="00DD72A8">
        <w:rPr>
          <w:rFonts w:ascii="Times New Roman" w:hAnsi="Times New Roman" w:cs="Times New Roman"/>
          <w:sz w:val="24"/>
          <w:szCs w:val="24"/>
        </w:rPr>
        <w:t>Latvijas Nacionālā attīstības plāna 2021.-2027.</w:t>
      </w:r>
      <w:r w:rsidR="00F53BDB">
        <w:rPr>
          <w:rFonts w:ascii="Times New Roman" w:hAnsi="Times New Roman" w:cs="Times New Roman"/>
          <w:sz w:val="24"/>
          <w:szCs w:val="24"/>
        </w:rPr>
        <w:t> </w:t>
      </w:r>
      <w:r w:rsidRPr="00DD72A8">
        <w:rPr>
          <w:rFonts w:ascii="Times New Roman" w:hAnsi="Times New Roman" w:cs="Times New Roman"/>
          <w:sz w:val="24"/>
          <w:szCs w:val="24"/>
        </w:rPr>
        <w:t>gadam</w:t>
      </w:r>
      <w:r w:rsidRPr="00DD72A8">
        <w:rPr>
          <w:rStyle w:val="FootnoteReference"/>
          <w:rFonts w:ascii="Times New Roman" w:hAnsi="Times New Roman" w:cs="Times New Roman"/>
          <w:sz w:val="24"/>
          <w:szCs w:val="24"/>
        </w:rPr>
        <w:footnoteReference w:id="1"/>
      </w:r>
      <w:r w:rsidRPr="00DD72A8">
        <w:rPr>
          <w:rFonts w:ascii="Times New Roman" w:hAnsi="Times New Roman" w:cs="Times New Roman"/>
          <w:sz w:val="24"/>
          <w:szCs w:val="24"/>
        </w:rPr>
        <w:t xml:space="preserve">  rīcības virziena “Kapitāls un uzņēmējdarbības vide” viens no rīcības virzieniem paredz preventīvo pasākumu īstenošanu ēnu ekonomikas ierobežošanai. </w:t>
      </w:r>
      <w:r w:rsidR="000B2A43" w:rsidRPr="00DD72A8">
        <w:rPr>
          <w:rFonts w:ascii="Times New Roman" w:hAnsi="Times New Roman" w:cs="Times New Roman"/>
          <w:sz w:val="24"/>
          <w:szCs w:val="24"/>
        </w:rPr>
        <w:t>Turklāt, 2020.</w:t>
      </w:r>
      <w:r w:rsidR="00FF0882" w:rsidRPr="00DD72A8">
        <w:rPr>
          <w:rFonts w:ascii="Times New Roman" w:hAnsi="Times New Roman" w:cs="Times New Roman"/>
          <w:sz w:val="24"/>
          <w:szCs w:val="24"/>
        </w:rPr>
        <w:t> </w:t>
      </w:r>
      <w:r w:rsidR="000B2A43" w:rsidRPr="00DD72A8">
        <w:rPr>
          <w:rFonts w:ascii="Times New Roman" w:hAnsi="Times New Roman" w:cs="Times New Roman"/>
          <w:sz w:val="24"/>
          <w:szCs w:val="24"/>
        </w:rPr>
        <w:t>gadā noslēdz</w:t>
      </w:r>
      <w:r w:rsidR="00AB7A3F">
        <w:rPr>
          <w:rFonts w:ascii="Times New Roman" w:hAnsi="Times New Roman" w:cs="Times New Roman"/>
          <w:sz w:val="24"/>
          <w:szCs w:val="24"/>
        </w:rPr>
        <w:t>ā</w:t>
      </w:r>
      <w:r w:rsidR="000B2A43" w:rsidRPr="00DD72A8">
        <w:rPr>
          <w:rFonts w:ascii="Times New Roman" w:hAnsi="Times New Roman" w:cs="Times New Roman"/>
          <w:sz w:val="24"/>
          <w:szCs w:val="24"/>
        </w:rPr>
        <w:t xml:space="preserve">s </w:t>
      </w:r>
      <w:r w:rsidR="00C6409A" w:rsidRPr="00DD72A8">
        <w:rPr>
          <w:rFonts w:ascii="Times New Roman" w:hAnsi="Times New Roman" w:cs="Times New Roman"/>
          <w:sz w:val="24"/>
          <w:szCs w:val="24"/>
        </w:rPr>
        <w:t>Plāna</w:t>
      </w:r>
      <w:r w:rsidR="000B2A43" w:rsidRPr="00DD72A8">
        <w:rPr>
          <w:rFonts w:ascii="Times New Roman" w:hAnsi="Times New Roman" w:cs="Times New Roman"/>
          <w:sz w:val="24"/>
          <w:szCs w:val="24"/>
        </w:rPr>
        <w:t xml:space="preserve"> darbības periods un ir jāpieņem lēmums par </w:t>
      </w:r>
      <w:r w:rsidR="00C30A47" w:rsidRPr="00DD72A8">
        <w:rPr>
          <w:rFonts w:ascii="Times New Roman" w:hAnsi="Times New Roman" w:cs="Times New Roman"/>
          <w:sz w:val="24"/>
          <w:szCs w:val="24"/>
        </w:rPr>
        <w:t>P</w:t>
      </w:r>
      <w:r w:rsidR="000B2A43" w:rsidRPr="00DD72A8">
        <w:rPr>
          <w:rFonts w:ascii="Times New Roman" w:hAnsi="Times New Roman" w:cs="Times New Roman"/>
          <w:sz w:val="24"/>
          <w:szCs w:val="24"/>
        </w:rPr>
        <w:t xml:space="preserve">lāna darbības turpinājumu, izvērtējot iespējas pilnveidot plānošanas procesu un </w:t>
      </w:r>
      <w:r w:rsidR="007B20AB" w:rsidRPr="00DD72A8">
        <w:rPr>
          <w:rFonts w:ascii="Times New Roman" w:hAnsi="Times New Roman" w:cs="Times New Roman"/>
          <w:sz w:val="24"/>
          <w:szCs w:val="24"/>
        </w:rPr>
        <w:t>P</w:t>
      </w:r>
      <w:r w:rsidR="000B2A43" w:rsidRPr="00DD72A8">
        <w:rPr>
          <w:rFonts w:ascii="Times New Roman" w:hAnsi="Times New Roman" w:cs="Times New Roman"/>
          <w:sz w:val="24"/>
          <w:szCs w:val="24"/>
        </w:rPr>
        <w:t>lānā ietveramo pasākumu ēnu ekonomikas mazināšanai sasniedzamo mērķu noteikšanu.</w:t>
      </w:r>
    </w:p>
    <w:p w14:paraId="4E4DA620" w14:textId="77777777" w:rsidR="000563CA" w:rsidRDefault="000563CA">
      <w:pPr>
        <w:rPr>
          <w:rFonts w:ascii="Times New Roman" w:hAnsi="Times New Roman" w:cs="Times New Roman"/>
          <w:sz w:val="24"/>
          <w:szCs w:val="24"/>
        </w:rPr>
      </w:pPr>
      <w:r>
        <w:rPr>
          <w:rFonts w:ascii="Times New Roman" w:hAnsi="Times New Roman" w:cs="Times New Roman"/>
          <w:sz w:val="24"/>
          <w:szCs w:val="24"/>
        </w:rPr>
        <w:br w:type="page"/>
      </w:r>
    </w:p>
    <w:p w14:paraId="13EAF7E3" w14:textId="77777777" w:rsidR="000563CA" w:rsidRDefault="000539BB" w:rsidP="000539BB">
      <w:pPr>
        <w:pStyle w:val="Heading1"/>
      </w:pPr>
      <w:bookmarkStart w:id="4" w:name="_Toc63687765"/>
      <w:r w:rsidRPr="000539BB">
        <w:lastRenderedPageBreak/>
        <w:t>Valsts iestāžu darba plān</w:t>
      </w:r>
      <w:r w:rsidR="00580883">
        <w:t>s</w:t>
      </w:r>
      <w:r w:rsidRPr="000539BB">
        <w:t xml:space="preserve"> ēnu ekonomikas ierobežošanai</w:t>
      </w:r>
      <w:bookmarkEnd w:id="4"/>
    </w:p>
    <w:p w14:paraId="38348646" w14:textId="77777777" w:rsidR="000563CA" w:rsidRDefault="000563CA" w:rsidP="00662C88">
      <w:pPr>
        <w:rPr>
          <w:rFonts w:ascii="Times New Roman" w:hAnsi="Times New Roman" w:cs="Times New Roman"/>
          <w:sz w:val="24"/>
          <w:szCs w:val="24"/>
        </w:rPr>
      </w:pPr>
    </w:p>
    <w:p w14:paraId="520FF7DB" w14:textId="24C84F71" w:rsidR="00662C88" w:rsidRPr="00662C88" w:rsidRDefault="00037227" w:rsidP="00662C88">
      <w:pPr>
        <w:rPr>
          <w:rFonts w:ascii="Times New Roman" w:hAnsi="Times New Roman" w:cs="Times New Roman"/>
          <w:sz w:val="24"/>
          <w:szCs w:val="24"/>
        </w:rPr>
      </w:pPr>
      <w:r>
        <w:rPr>
          <w:rFonts w:ascii="Times New Roman" w:hAnsi="Times New Roman" w:cs="Times New Roman"/>
          <w:sz w:val="24"/>
          <w:szCs w:val="24"/>
        </w:rPr>
        <w:t>Plāns</w:t>
      </w:r>
      <w:r w:rsidR="00A928D7">
        <w:rPr>
          <w:rFonts w:ascii="Times New Roman" w:hAnsi="Times New Roman" w:cs="Times New Roman"/>
          <w:sz w:val="24"/>
          <w:szCs w:val="24"/>
        </w:rPr>
        <w:t xml:space="preserve"> </w:t>
      </w:r>
      <w:r w:rsidR="006A18BC" w:rsidRPr="00940571">
        <w:rPr>
          <w:rFonts w:ascii="Times New Roman" w:hAnsi="Times New Roman" w:cs="Times New Roman"/>
          <w:sz w:val="24"/>
          <w:szCs w:val="24"/>
        </w:rPr>
        <w:t>tika pieņemts 2016.</w:t>
      </w:r>
      <w:r w:rsidR="00BE7E20">
        <w:rPr>
          <w:rFonts w:ascii="Times New Roman" w:hAnsi="Times New Roman" w:cs="Times New Roman"/>
          <w:sz w:val="24"/>
          <w:szCs w:val="24"/>
        </w:rPr>
        <w:t> </w:t>
      </w:r>
      <w:r w:rsidR="006A18BC" w:rsidRPr="00940571">
        <w:rPr>
          <w:rFonts w:ascii="Times New Roman" w:hAnsi="Times New Roman" w:cs="Times New Roman"/>
          <w:sz w:val="24"/>
          <w:szCs w:val="24"/>
        </w:rPr>
        <w:t xml:space="preserve">gada jūnijā. </w:t>
      </w:r>
      <w:r w:rsidR="00662C88">
        <w:rPr>
          <w:rFonts w:ascii="Times New Roman" w:hAnsi="Times New Roman" w:cs="Times New Roman"/>
          <w:sz w:val="24"/>
          <w:szCs w:val="24"/>
        </w:rPr>
        <w:t>Lai nodrošinātu ēnu ekonomikas ierobežošanas koordināciju,</w:t>
      </w:r>
      <w:r w:rsidR="00662C88" w:rsidRPr="00662C88">
        <w:rPr>
          <w:rFonts w:ascii="Times New Roman" w:hAnsi="Times New Roman" w:cs="Times New Roman"/>
          <w:sz w:val="24"/>
          <w:szCs w:val="24"/>
        </w:rPr>
        <w:t xml:space="preserve"> 2014.</w:t>
      </w:r>
      <w:r w:rsidR="00B61B2B">
        <w:rPr>
          <w:rFonts w:ascii="Times New Roman" w:hAnsi="Times New Roman" w:cs="Times New Roman"/>
          <w:sz w:val="24"/>
          <w:szCs w:val="24"/>
        </w:rPr>
        <w:t> </w:t>
      </w:r>
      <w:r w:rsidR="00662C88" w:rsidRPr="00662C88">
        <w:rPr>
          <w:rFonts w:ascii="Times New Roman" w:hAnsi="Times New Roman" w:cs="Times New Roman"/>
          <w:sz w:val="24"/>
          <w:szCs w:val="24"/>
        </w:rPr>
        <w:t>gada 16.</w:t>
      </w:r>
      <w:r w:rsidR="00B61B2B">
        <w:rPr>
          <w:rFonts w:ascii="Times New Roman" w:hAnsi="Times New Roman" w:cs="Times New Roman"/>
          <w:sz w:val="24"/>
          <w:szCs w:val="24"/>
        </w:rPr>
        <w:t> </w:t>
      </w:r>
      <w:r w:rsidR="00662C88" w:rsidRPr="00662C88">
        <w:rPr>
          <w:rFonts w:ascii="Times New Roman" w:hAnsi="Times New Roman" w:cs="Times New Roman"/>
          <w:sz w:val="24"/>
          <w:szCs w:val="24"/>
        </w:rPr>
        <w:t xml:space="preserve">septembrī </w:t>
      </w:r>
      <w:r w:rsidR="000B2A43" w:rsidRPr="00662C88">
        <w:rPr>
          <w:rFonts w:ascii="Times New Roman" w:hAnsi="Times New Roman" w:cs="Times New Roman"/>
          <w:sz w:val="24"/>
          <w:szCs w:val="24"/>
        </w:rPr>
        <w:t>ar Ministru kabineta noteikumiem Nr.</w:t>
      </w:r>
      <w:r w:rsidR="000B2A43">
        <w:rPr>
          <w:rFonts w:ascii="Times New Roman" w:hAnsi="Times New Roman" w:cs="Times New Roman"/>
          <w:sz w:val="24"/>
          <w:szCs w:val="24"/>
        </w:rPr>
        <w:t> </w:t>
      </w:r>
      <w:r w:rsidR="000B2A43" w:rsidRPr="00662C88">
        <w:rPr>
          <w:rFonts w:ascii="Times New Roman" w:hAnsi="Times New Roman" w:cs="Times New Roman"/>
          <w:sz w:val="24"/>
          <w:szCs w:val="24"/>
        </w:rPr>
        <w:t>549 “Ēnu ekonomikas apkarošanas padomes nolikums”</w:t>
      </w:r>
      <w:r w:rsidR="000B2A43">
        <w:rPr>
          <w:rFonts w:ascii="Times New Roman" w:hAnsi="Times New Roman" w:cs="Times New Roman"/>
          <w:sz w:val="24"/>
          <w:szCs w:val="24"/>
        </w:rPr>
        <w:t xml:space="preserve"> </w:t>
      </w:r>
      <w:r w:rsidR="00662C88" w:rsidRPr="00662C88">
        <w:rPr>
          <w:rFonts w:ascii="Times New Roman" w:hAnsi="Times New Roman" w:cs="Times New Roman"/>
          <w:sz w:val="24"/>
          <w:szCs w:val="24"/>
        </w:rPr>
        <w:t>tika izveidota</w:t>
      </w:r>
      <w:r w:rsidR="00662C88">
        <w:rPr>
          <w:rFonts w:ascii="Times New Roman" w:hAnsi="Times New Roman" w:cs="Times New Roman"/>
          <w:sz w:val="24"/>
          <w:szCs w:val="24"/>
        </w:rPr>
        <w:t xml:space="preserve"> </w:t>
      </w:r>
      <w:r w:rsidR="00662C88" w:rsidRPr="00662C88">
        <w:rPr>
          <w:rFonts w:ascii="Times New Roman" w:hAnsi="Times New Roman" w:cs="Times New Roman"/>
          <w:sz w:val="24"/>
          <w:szCs w:val="24"/>
        </w:rPr>
        <w:t>Ēnu ekonomikas apkarošanas padome</w:t>
      </w:r>
      <w:r w:rsidR="00CA012A">
        <w:rPr>
          <w:rFonts w:ascii="Times New Roman" w:hAnsi="Times New Roman" w:cs="Times New Roman"/>
          <w:sz w:val="24"/>
          <w:szCs w:val="24"/>
        </w:rPr>
        <w:t xml:space="preserve"> </w:t>
      </w:r>
      <w:r w:rsidR="004F4047" w:rsidRPr="004F4047">
        <w:rPr>
          <w:rFonts w:ascii="Times New Roman" w:hAnsi="Times New Roman" w:cs="Times New Roman"/>
          <w:sz w:val="24"/>
          <w:szCs w:val="24"/>
        </w:rPr>
        <w:t xml:space="preserve">(turpmāk – </w:t>
      </w:r>
      <w:r w:rsidR="004F4047">
        <w:rPr>
          <w:rFonts w:ascii="Times New Roman" w:hAnsi="Times New Roman" w:cs="Times New Roman"/>
          <w:sz w:val="24"/>
          <w:szCs w:val="24"/>
        </w:rPr>
        <w:t>Padome)</w:t>
      </w:r>
      <w:r w:rsidR="00736DD1">
        <w:rPr>
          <w:rStyle w:val="FootnoteReference"/>
          <w:rFonts w:ascii="Times New Roman" w:hAnsi="Times New Roman" w:cs="Times New Roman"/>
          <w:sz w:val="24"/>
          <w:szCs w:val="24"/>
        </w:rPr>
        <w:footnoteReference w:id="2"/>
      </w:r>
      <w:r w:rsidR="00662C88" w:rsidRPr="00662C88">
        <w:rPr>
          <w:rFonts w:ascii="Times New Roman" w:hAnsi="Times New Roman" w:cs="Times New Roman"/>
          <w:sz w:val="24"/>
          <w:szCs w:val="24"/>
        </w:rPr>
        <w:t>.</w:t>
      </w:r>
    </w:p>
    <w:p w14:paraId="49A470E3" w14:textId="77777777" w:rsidR="00662C88" w:rsidRPr="00662C88" w:rsidRDefault="00662C88" w:rsidP="00662C88">
      <w:pPr>
        <w:rPr>
          <w:rFonts w:ascii="Times New Roman" w:hAnsi="Times New Roman" w:cs="Times New Roman"/>
          <w:sz w:val="24"/>
          <w:szCs w:val="24"/>
        </w:rPr>
      </w:pPr>
      <w:r w:rsidRPr="00662C88">
        <w:rPr>
          <w:rFonts w:ascii="Times New Roman" w:hAnsi="Times New Roman" w:cs="Times New Roman"/>
          <w:sz w:val="24"/>
          <w:szCs w:val="24"/>
        </w:rPr>
        <w:t xml:space="preserve">Padomes sēdes </w:t>
      </w:r>
      <w:r w:rsidR="003D1CE5">
        <w:rPr>
          <w:rFonts w:ascii="Times New Roman" w:hAnsi="Times New Roman" w:cs="Times New Roman"/>
          <w:sz w:val="24"/>
          <w:szCs w:val="24"/>
        </w:rPr>
        <w:t>organizēšan</w:t>
      </w:r>
      <w:r w:rsidR="007E6D0D">
        <w:rPr>
          <w:rFonts w:ascii="Times New Roman" w:hAnsi="Times New Roman" w:cs="Times New Roman"/>
          <w:sz w:val="24"/>
          <w:szCs w:val="24"/>
        </w:rPr>
        <w:t>u veic</w:t>
      </w:r>
      <w:r w:rsidR="003D1CE5">
        <w:rPr>
          <w:rFonts w:ascii="Times New Roman" w:hAnsi="Times New Roman" w:cs="Times New Roman"/>
          <w:sz w:val="24"/>
          <w:szCs w:val="24"/>
        </w:rPr>
        <w:t xml:space="preserve"> sekretariāt</w:t>
      </w:r>
      <w:r w:rsidR="007E6D0D">
        <w:rPr>
          <w:rFonts w:ascii="Times New Roman" w:hAnsi="Times New Roman" w:cs="Times New Roman"/>
          <w:sz w:val="24"/>
          <w:szCs w:val="24"/>
        </w:rPr>
        <w:t>s, kas ir</w:t>
      </w:r>
      <w:r w:rsidR="007E6D0D" w:rsidRPr="007E6D0D">
        <w:rPr>
          <w:rFonts w:ascii="Times New Roman" w:hAnsi="Times New Roman" w:cs="Times New Roman"/>
          <w:sz w:val="24"/>
          <w:szCs w:val="24"/>
        </w:rPr>
        <w:t xml:space="preserve"> </w:t>
      </w:r>
      <w:r w:rsidR="002A5190">
        <w:rPr>
          <w:rFonts w:ascii="Times New Roman" w:hAnsi="Times New Roman" w:cs="Times New Roman"/>
          <w:sz w:val="24"/>
          <w:szCs w:val="24"/>
        </w:rPr>
        <w:t>F</w:t>
      </w:r>
      <w:r w:rsidR="000539BB">
        <w:rPr>
          <w:rFonts w:ascii="Times New Roman" w:hAnsi="Times New Roman" w:cs="Times New Roman"/>
          <w:sz w:val="24"/>
          <w:szCs w:val="24"/>
        </w:rPr>
        <w:t>M</w:t>
      </w:r>
      <w:r w:rsidR="002A5190">
        <w:rPr>
          <w:rFonts w:ascii="Times New Roman" w:hAnsi="Times New Roman" w:cs="Times New Roman"/>
          <w:sz w:val="24"/>
          <w:szCs w:val="24"/>
        </w:rPr>
        <w:t xml:space="preserve"> </w:t>
      </w:r>
      <w:r w:rsidR="003D1CE5">
        <w:rPr>
          <w:rFonts w:ascii="Times New Roman" w:hAnsi="Times New Roman" w:cs="Times New Roman"/>
          <w:sz w:val="24"/>
          <w:szCs w:val="24"/>
        </w:rPr>
        <w:t xml:space="preserve">pārziņā </w:t>
      </w:r>
      <w:r w:rsidR="001B0626">
        <w:rPr>
          <w:rFonts w:ascii="Times New Roman" w:hAnsi="Times New Roman" w:cs="Times New Roman"/>
          <w:sz w:val="24"/>
          <w:szCs w:val="24"/>
        </w:rPr>
        <w:t xml:space="preserve">pēc </w:t>
      </w:r>
      <w:r w:rsidR="005B2E30">
        <w:rPr>
          <w:rFonts w:ascii="Times New Roman" w:hAnsi="Times New Roman" w:cs="Times New Roman"/>
          <w:sz w:val="24"/>
          <w:szCs w:val="24"/>
        </w:rPr>
        <w:t>P</w:t>
      </w:r>
      <w:r w:rsidR="001B0626">
        <w:rPr>
          <w:rFonts w:ascii="Times New Roman" w:hAnsi="Times New Roman" w:cs="Times New Roman"/>
          <w:sz w:val="24"/>
          <w:szCs w:val="24"/>
        </w:rPr>
        <w:t xml:space="preserve">adomes priekšsēdētāja </w:t>
      </w:r>
      <w:r w:rsidR="001B0626" w:rsidRPr="00662C88">
        <w:rPr>
          <w:rFonts w:ascii="Times New Roman" w:hAnsi="Times New Roman" w:cs="Times New Roman"/>
          <w:sz w:val="24"/>
          <w:szCs w:val="24"/>
        </w:rPr>
        <w:t xml:space="preserve">– </w:t>
      </w:r>
      <w:r w:rsidR="001B0626">
        <w:rPr>
          <w:rFonts w:ascii="Times New Roman" w:hAnsi="Times New Roman" w:cs="Times New Roman"/>
          <w:sz w:val="24"/>
          <w:szCs w:val="24"/>
        </w:rPr>
        <w:t>Ministru prezidenta</w:t>
      </w:r>
      <w:r w:rsidRPr="00662C88">
        <w:rPr>
          <w:rFonts w:ascii="Times New Roman" w:hAnsi="Times New Roman" w:cs="Times New Roman"/>
          <w:sz w:val="24"/>
          <w:szCs w:val="24"/>
        </w:rPr>
        <w:t xml:space="preserve"> uzdevuma.</w:t>
      </w:r>
    </w:p>
    <w:p w14:paraId="448B969F" w14:textId="77777777" w:rsidR="00662C88" w:rsidRPr="00662C88" w:rsidRDefault="00662C88" w:rsidP="00662C88">
      <w:pPr>
        <w:rPr>
          <w:rFonts w:ascii="Times New Roman" w:hAnsi="Times New Roman" w:cs="Times New Roman"/>
          <w:sz w:val="24"/>
          <w:szCs w:val="24"/>
        </w:rPr>
      </w:pPr>
      <w:r w:rsidRPr="00662C88">
        <w:rPr>
          <w:rFonts w:ascii="Times New Roman" w:hAnsi="Times New Roman" w:cs="Times New Roman"/>
          <w:sz w:val="24"/>
          <w:szCs w:val="24"/>
        </w:rPr>
        <w:t>Padome 2016.</w:t>
      </w:r>
      <w:r w:rsidR="00B55A49">
        <w:rPr>
          <w:rFonts w:ascii="Times New Roman" w:hAnsi="Times New Roman" w:cs="Times New Roman"/>
          <w:sz w:val="24"/>
          <w:szCs w:val="24"/>
        </w:rPr>
        <w:t> </w:t>
      </w:r>
      <w:r w:rsidRPr="00662C88">
        <w:rPr>
          <w:rFonts w:ascii="Times New Roman" w:hAnsi="Times New Roman" w:cs="Times New Roman"/>
          <w:sz w:val="24"/>
          <w:szCs w:val="24"/>
        </w:rPr>
        <w:t>gada 10.</w:t>
      </w:r>
      <w:r w:rsidR="00B55A49">
        <w:rPr>
          <w:rFonts w:ascii="Times New Roman" w:hAnsi="Times New Roman" w:cs="Times New Roman"/>
          <w:sz w:val="24"/>
          <w:szCs w:val="24"/>
        </w:rPr>
        <w:t> </w:t>
      </w:r>
      <w:r w:rsidRPr="00662C88">
        <w:rPr>
          <w:rFonts w:ascii="Times New Roman" w:hAnsi="Times New Roman" w:cs="Times New Roman"/>
          <w:sz w:val="24"/>
          <w:szCs w:val="24"/>
        </w:rPr>
        <w:t xml:space="preserve">jūnijā apstiprināja </w:t>
      </w:r>
      <w:r w:rsidR="007E6D0D" w:rsidRPr="007E6D0D">
        <w:rPr>
          <w:rFonts w:ascii="Times New Roman" w:hAnsi="Times New Roman" w:cs="Times New Roman"/>
          <w:sz w:val="24"/>
          <w:szCs w:val="24"/>
        </w:rPr>
        <w:t>Plān</w:t>
      </w:r>
      <w:r w:rsidR="00037227">
        <w:rPr>
          <w:rFonts w:ascii="Times New Roman" w:hAnsi="Times New Roman" w:cs="Times New Roman"/>
          <w:sz w:val="24"/>
          <w:szCs w:val="24"/>
        </w:rPr>
        <w:t>u</w:t>
      </w:r>
      <w:r w:rsidR="00CC55AA">
        <w:rPr>
          <w:rStyle w:val="FootnoteReference"/>
          <w:rFonts w:ascii="Times New Roman" w:hAnsi="Times New Roman" w:cs="Times New Roman"/>
          <w:sz w:val="24"/>
          <w:szCs w:val="24"/>
        </w:rPr>
        <w:footnoteReference w:id="3"/>
      </w:r>
      <w:r w:rsidRPr="00662C88">
        <w:rPr>
          <w:rFonts w:ascii="Times New Roman" w:hAnsi="Times New Roman" w:cs="Times New Roman"/>
          <w:sz w:val="24"/>
          <w:szCs w:val="24"/>
        </w:rPr>
        <w:t xml:space="preserve">, nosakot stratēģiskus rīcības virzienus un ietverot noteiktus uzdevumus. </w:t>
      </w:r>
    </w:p>
    <w:p w14:paraId="3A1E29A7" w14:textId="77777777" w:rsidR="00662C88" w:rsidRPr="00662C88" w:rsidRDefault="007E6D0D" w:rsidP="00662C88">
      <w:pPr>
        <w:rPr>
          <w:rFonts w:ascii="Times New Roman" w:hAnsi="Times New Roman" w:cs="Times New Roman"/>
          <w:sz w:val="24"/>
          <w:szCs w:val="24"/>
        </w:rPr>
      </w:pPr>
      <w:r>
        <w:rPr>
          <w:rFonts w:ascii="Times New Roman" w:hAnsi="Times New Roman" w:cs="Times New Roman"/>
          <w:sz w:val="24"/>
          <w:szCs w:val="24"/>
        </w:rPr>
        <w:t>P</w:t>
      </w:r>
      <w:r w:rsidR="00662C88" w:rsidRPr="00662C88">
        <w:rPr>
          <w:rFonts w:ascii="Times New Roman" w:hAnsi="Times New Roman" w:cs="Times New Roman"/>
          <w:sz w:val="24"/>
          <w:szCs w:val="24"/>
        </w:rPr>
        <w:t>lānā iekļautie pa</w:t>
      </w:r>
      <w:r w:rsidR="000B2A43">
        <w:rPr>
          <w:rFonts w:ascii="Times New Roman" w:hAnsi="Times New Roman" w:cs="Times New Roman"/>
          <w:sz w:val="24"/>
          <w:szCs w:val="24"/>
        </w:rPr>
        <w:t>sākumi tika grupēti atbilstoši sešiem</w:t>
      </w:r>
      <w:r w:rsidR="00662C88" w:rsidRPr="00662C88">
        <w:rPr>
          <w:rFonts w:ascii="Times New Roman" w:hAnsi="Times New Roman" w:cs="Times New Roman"/>
          <w:sz w:val="24"/>
          <w:szCs w:val="24"/>
        </w:rPr>
        <w:t xml:space="preserve"> rīcības virzienie</w:t>
      </w:r>
      <w:r w:rsidR="00175D11">
        <w:rPr>
          <w:rFonts w:ascii="Times New Roman" w:hAnsi="Times New Roman" w:cs="Times New Roman"/>
          <w:sz w:val="24"/>
          <w:szCs w:val="24"/>
        </w:rPr>
        <w:t>m: nodokļu nomaksas veicināšana</w:t>
      </w:r>
      <w:r>
        <w:rPr>
          <w:rFonts w:ascii="Times New Roman" w:hAnsi="Times New Roman" w:cs="Times New Roman"/>
          <w:sz w:val="24"/>
          <w:szCs w:val="24"/>
        </w:rPr>
        <w:t xml:space="preserve"> </w:t>
      </w:r>
      <w:r w:rsidR="00C33F9A">
        <w:rPr>
          <w:rFonts w:ascii="Times New Roman" w:hAnsi="Times New Roman" w:cs="Times New Roman"/>
          <w:sz w:val="24"/>
          <w:szCs w:val="24"/>
        </w:rPr>
        <w:t>–</w:t>
      </w:r>
      <w:r w:rsidR="00662C88" w:rsidRPr="00662C88">
        <w:rPr>
          <w:rFonts w:ascii="Times New Roman" w:hAnsi="Times New Roman" w:cs="Times New Roman"/>
          <w:sz w:val="24"/>
          <w:szCs w:val="24"/>
        </w:rPr>
        <w:t xml:space="preserve"> ēnu ekonomikas ierobežošana un godīgas konkurences veicināšana, administratīvā sloga mazināšana</w:t>
      </w:r>
      <w:r>
        <w:rPr>
          <w:rFonts w:ascii="Times New Roman" w:hAnsi="Times New Roman" w:cs="Times New Roman"/>
          <w:sz w:val="24"/>
          <w:szCs w:val="24"/>
        </w:rPr>
        <w:t>;</w:t>
      </w:r>
      <w:r w:rsidR="00662C88" w:rsidRPr="00662C88">
        <w:rPr>
          <w:rFonts w:ascii="Times New Roman" w:hAnsi="Times New Roman" w:cs="Times New Roman"/>
          <w:sz w:val="24"/>
          <w:szCs w:val="24"/>
        </w:rPr>
        <w:t xml:space="preserve"> kompleksi risinājumi ēnu ekonomikas mazināšanai</w:t>
      </w:r>
      <w:r w:rsidR="00662C88" w:rsidRPr="00662C88">
        <w:t xml:space="preserve"> </w:t>
      </w:r>
      <w:r w:rsidR="00662C88">
        <w:rPr>
          <w:rFonts w:ascii="Times New Roman" w:hAnsi="Times New Roman" w:cs="Times New Roman"/>
          <w:sz w:val="24"/>
          <w:szCs w:val="24"/>
        </w:rPr>
        <w:t>nozarē</w:t>
      </w:r>
      <w:r w:rsidR="00662C88" w:rsidRPr="00662C88">
        <w:rPr>
          <w:rFonts w:ascii="Times New Roman" w:hAnsi="Times New Roman" w:cs="Times New Roman"/>
          <w:sz w:val="24"/>
          <w:szCs w:val="24"/>
        </w:rPr>
        <w:t xml:space="preserve">s, kurās ēnu ekonomikas apmēri </w:t>
      </w:r>
      <w:r w:rsidR="00D85E8C">
        <w:rPr>
          <w:rFonts w:ascii="Times New Roman" w:hAnsi="Times New Roman" w:cs="Times New Roman"/>
          <w:sz w:val="24"/>
          <w:szCs w:val="24"/>
        </w:rPr>
        <w:t xml:space="preserve">ir </w:t>
      </w:r>
      <w:r w:rsidR="00662C88" w:rsidRPr="00662C88">
        <w:rPr>
          <w:rFonts w:ascii="Times New Roman" w:hAnsi="Times New Roman" w:cs="Times New Roman"/>
          <w:sz w:val="24"/>
          <w:szCs w:val="24"/>
        </w:rPr>
        <w:t>visievērojamākie: būvniecība, tirdzniecība,</w:t>
      </w:r>
      <w:r w:rsidR="00662C88">
        <w:rPr>
          <w:rFonts w:ascii="Times New Roman" w:hAnsi="Times New Roman" w:cs="Times New Roman"/>
          <w:sz w:val="24"/>
          <w:szCs w:val="24"/>
        </w:rPr>
        <w:t xml:space="preserve"> pakalpojumi un transporta joma</w:t>
      </w:r>
      <w:r>
        <w:rPr>
          <w:rFonts w:ascii="Times New Roman" w:hAnsi="Times New Roman" w:cs="Times New Roman"/>
          <w:sz w:val="24"/>
          <w:szCs w:val="24"/>
        </w:rPr>
        <w:t>;</w:t>
      </w:r>
      <w:r w:rsidR="00662C88" w:rsidRPr="00662C88">
        <w:rPr>
          <w:rFonts w:ascii="Times New Roman" w:hAnsi="Times New Roman" w:cs="Times New Roman"/>
          <w:sz w:val="24"/>
          <w:szCs w:val="24"/>
        </w:rPr>
        <w:t> kontrolējošo iestāžu kapacitātes stiprināšana (informācijas apmaiņas sekmēšana, efektīva IT iespēju izmantošana)</w:t>
      </w:r>
      <w:r>
        <w:rPr>
          <w:rFonts w:ascii="Times New Roman" w:hAnsi="Times New Roman" w:cs="Times New Roman"/>
          <w:sz w:val="24"/>
          <w:szCs w:val="24"/>
        </w:rPr>
        <w:t>;</w:t>
      </w:r>
      <w:r w:rsidR="00662C88" w:rsidRPr="00662C88">
        <w:rPr>
          <w:rFonts w:ascii="Times New Roman" w:hAnsi="Times New Roman" w:cs="Times New Roman"/>
          <w:sz w:val="24"/>
          <w:szCs w:val="24"/>
        </w:rPr>
        <w:t xml:space="preserve"> efektīva strīdu izskatīšana un sodu sistēma, nodokļu maksāšanas nepieciešamības skaidrošana ar komunikācijas un izglītošanas palīdzību</w:t>
      </w:r>
      <w:r>
        <w:rPr>
          <w:rFonts w:ascii="Times New Roman" w:hAnsi="Times New Roman" w:cs="Times New Roman"/>
          <w:sz w:val="24"/>
          <w:szCs w:val="24"/>
        </w:rPr>
        <w:t>;</w:t>
      </w:r>
      <w:r w:rsidR="00662C88" w:rsidRPr="00662C88">
        <w:rPr>
          <w:rFonts w:ascii="Times New Roman" w:hAnsi="Times New Roman" w:cs="Times New Roman"/>
          <w:sz w:val="24"/>
          <w:szCs w:val="24"/>
        </w:rPr>
        <w:t xml:space="preserve"> kā arī efektīva nodokļu politika.</w:t>
      </w:r>
    </w:p>
    <w:p w14:paraId="3230C7FB" w14:textId="77777777" w:rsidR="00A64E99" w:rsidRDefault="00A64E99" w:rsidP="00A64E99">
      <w:pPr>
        <w:rPr>
          <w:rFonts w:ascii="Times New Roman" w:hAnsi="Times New Roman" w:cs="Times New Roman"/>
          <w:sz w:val="24"/>
          <w:szCs w:val="24"/>
        </w:rPr>
      </w:pPr>
      <w:r>
        <w:rPr>
          <w:rFonts w:ascii="Times New Roman" w:hAnsi="Times New Roman" w:cs="Times New Roman"/>
          <w:sz w:val="24"/>
          <w:szCs w:val="24"/>
        </w:rPr>
        <w:t xml:space="preserve">Plāns tika apstiprināts kā atvērts dokuments, paredzot iespēju tajā iekļaut jaunus pasākumus, kas tiek rosināti pie jaunu ēnu ekonomiku ietekmējošu faktoru identificēšanas. </w:t>
      </w:r>
    </w:p>
    <w:p w14:paraId="1474B9A2" w14:textId="4A1D22E4" w:rsidR="00662C88" w:rsidRPr="00662C88" w:rsidRDefault="006A18BC" w:rsidP="00662C88">
      <w:pPr>
        <w:rPr>
          <w:rFonts w:ascii="Times New Roman" w:hAnsi="Times New Roman" w:cs="Times New Roman"/>
          <w:sz w:val="24"/>
          <w:szCs w:val="24"/>
        </w:rPr>
      </w:pPr>
      <w:r w:rsidRPr="00940571">
        <w:rPr>
          <w:rFonts w:ascii="Times New Roman" w:hAnsi="Times New Roman" w:cs="Times New Roman"/>
          <w:sz w:val="24"/>
          <w:szCs w:val="24"/>
        </w:rPr>
        <w:t xml:space="preserve">Ēnu ekonomikas mazināšana tika noteikta kā horizontāls valdības darba uzdevums un </w:t>
      </w:r>
      <w:r w:rsidR="00D85E8C">
        <w:rPr>
          <w:rFonts w:ascii="Times New Roman" w:hAnsi="Times New Roman" w:cs="Times New Roman"/>
          <w:sz w:val="24"/>
          <w:szCs w:val="24"/>
        </w:rPr>
        <w:t xml:space="preserve">kopumā </w:t>
      </w:r>
      <w:r>
        <w:rPr>
          <w:rFonts w:ascii="Times New Roman" w:hAnsi="Times New Roman" w:cs="Times New Roman"/>
          <w:sz w:val="24"/>
          <w:szCs w:val="24"/>
        </w:rPr>
        <w:t>P</w:t>
      </w:r>
      <w:r w:rsidRPr="00940571">
        <w:rPr>
          <w:rFonts w:ascii="Times New Roman" w:hAnsi="Times New Roman" w:cs="Times New Roman"/>
          <w:sz w:val="24"/>
          <w:szCs w:val="24"/>
        </w:rPr>
        <w:t xml:space="preserve">lānā tika iekļauti kompleksi risinājumi ēnu ekonomikas </w:t>
      </w:r>
      <w:r w:rsidR="00D85E8C">
        <w:rPr>
          <w:rFonts w:ascii="Times New Roman" w:hAnsi="Times New Roman" w:cs="Times New Roman"/>
          <w:sz w:val="24"/>
          <w:szCs w:val="24"/>
        </w:rPr>
        <w:t xml:space="preserve">mazināšanai un </w:t>
      </w:r>
      <w:r w:rsidR="00EC298E">
        <w:rPr>
          <w:rFonts w:ascii="Times New Roman" w:hAnsi="Times New Roman" w:cs="Times New Roman"/>
          <w:sz w:val="24"/>
          <w:szCs w:val="24"/>
        </w:rPr>
        <w:t xml:space="preserve">Plāna darbības laika gaitā </w:t>
      </w:r>
      <w:r w:rsidR="007E6D0D">
        <w:rPr>
          <w:rFonts w:ascii="Times New Roman" w:hAnsi="Times New Roman" w:cs="Times New Roman"/>
          <w:sz w:val="24"/>
          <w:szCs w:val="24"/>
        </w:rPr>
        <w:t xml:space="preserve">definēti </w:t>
      </w:r>
      <w:r w:rsidR="00A64E99" w:rsidRPr="00662C88">
        <w:rPr>
          <w:rFonts w:ascii="Times New Roman" w:hAnsi="Times New Roman" w:cs="Times New Roman"/>
          <w:sz w:val="24"/>
          <w:szCs w:val="24"/>
        </w:rPr>
        <w:t>63 uzdevumi, k</w:t>
      </w:r>
      <w:r w:rsidR="000E081F">
        <w:rPr>
          <w:rFonts w:ascii="Times New Roman" w:hAnsi="Times New Roman" w:cs="Times New Roman"/>
          <w:sz w:val="24"/>
          <w:szCs w:val="24"/>
        </w:rPr>
        <w:t>uriem</w:t>
      </w:r>
      <w:r w:rsidR="00A64E99" w:rsidRPr="00662C88">
        <w:rPr>
          <w:rFonts w:ascii="Times New Roman" w:hAnsi="Times New Roman" w:cs="Times New Roman"/>
          <w:sz w:val="24"/>
          <w:szCs w:val="24"/>
        </w:rPr>
        <w:t xml:space="preserve"> ir arī noteikti apakšuzdevumi</w:t>
      </w:r>
      <w:r w:rsidR="00A64E99" w:rsidRPr="00DD72A8">
        <w:rPr>
          <w:rFonts w:ascii="Times New Roman" w:hAnsi="Times New Roman" w:cs="Times New Roman"/>
          <w:sz w:val="24"/>
          <w:szCs w:val="24"/>
        </w:rPr>
        <w:t xml:space="preserve">. </w:t>
      </w:r>
      <w:r w:rsidRPr="00DD72A8">
        <w:rPr>
          <w:rFonts w:ascii="Times New Roman" w:hAnsi="Times New Roman" w:cs="Times New Roman"/>
          <w:sz w:val="24"/>
          <w:szCs w:val="24"/>
        </w:rPr>
        <w:t>Lielākā</w:t>
      </w:r>
      <w:r w:rsidR="007D49BB" w:rsidRPr="00DD72A8">
        <w:rPr>
          <w:rFonts w:ascii="Times New Roman" w:hAnsi="Times New Roman" w:cs="Times New Roman"/>
          <w:sz w:val="24"/>
          <w:szCs w:val="24"/>
        </w:rPr>
        <w:t xml:space="preserve"> daļa no</w:t>
      </w:r>
      <w:r w:rsidRPr="00DD72A8">
        <w:rPr>
          <w:rFonts w:ascii="Times New Roman" w:hAnsi="Times New Roman" w:cs="Times New Roman"/>
          <w:sz w:val="24"/>
          <w:szCs w:val="24"/>
        </w:rPr>
        <w:t xml:space="preserve"> Plāna uzdevumu izpilde</w:t>
      </w:r>
      <w:r w:rsidR="007D49BB" w:rsidRPr="00DD72A8">
        <w:rPr>
          <w:rFonts w:ascii="Times New Roman" w:hAnsi="Times New Roman" w:cs="Times New Roman"/>
          <w:sz w:val="24"/>
          <w:szCs w:val="24"/>
        </w:rPr>
        <w:t>s</w:t>
      </w:r>
      <w:r w:rsidRPr="00DD72A8">
        <w:rPr>
          <w:rFonts w:ascii="Times New Roman" w:hAnsi="Times New Roman" w:cs="Times New Roman"/>
          <w:sz w:val="24"/>
          <w:szCs w:val="24"/>
        </w:rPr>
        <w:t xml:space="preserve"> </w:t>
      </w:r>
      <w:r w:rsidR="007E6D0D" w:rsidRPr="00DD72A8">
        <w:rPr>
          <w:rFonts w:ascii="Times New Roman" w:hAnsi="Times New Roman" w:cs="Times New Roman"/>
          <w:sz w:val="24"/>
          <w:szCs w:val="24"/>
        </w:rPr>
        <w:t>2020.</w:t>
      </w:r>
      <w:r w:rsidR="00EF1863" w:rsidRPr="00DD72A8">
        <w:rPr>
          <w:rFonts w:ascii="Times New Roman" w:hAnsi="Times New Roman" w:cs="Times New Roman"/>
          <w:sz w:val="24"/>
          <w:szCs w:val="24"/>
        </w:rPr>
        <w:t> </w:t>
      </w:r>
      <w:r w:rsidR="00C34B8E">
        <w:rPr>
          <w:rFonts w:ascii="Times New Roman" w:hAnsi="Times New Roman" w:cs="Times New Roman"/>
          <w:sz w:val="24"/>
          <w:szCs w:val="24"/>
        </w:rPr>
        <w:t>gadā</w:t>
      </w:r>
      <w:r w:rsidR="007E6D0D" w:rsidRPr="00DD72A8">
        <w:rPr>
          <w:rFonts w:ascii="Times New Roman" w:hAnsi="Times New Roman" w:cs="Times New Roman"/>
          <w:sz w:val="24"/>
          <w:szCs w:val="24"/>
        </w:rPr>
        <w:t xml:space="preserve"> </w:t>
      </w:r>
      <w:r w:rsidRPr="00DD72A8">
        <w:rPr>
          <w:rFonts w:ascii="Times New Roman" w:hAnsi="Times New Roman" w:cs="Times New Roman"/>
          <w:sz w:val="24"/>
          <w:szCs w:val="24"/>
        </w:rPr>
        <w:t>ir pabeigta, bet turpinās darbs pie</w:t>
      </w:r>
      <w:r>
        <w:rPr>
          <w:rFonts w:ascii="Times New Roman" w:hAnsi="Times New Roman" w:cs="Times New Roman"/>
          <w:sz w:val="24"/>
          <w:szCs w:val="24"/>
        </w:rPr>
        <w:t xml:space="preserve"> pastāvīgi veicamiem uzdevumiem. </w:t>
      </w:r>
    </w:p>
    <w:p w14:paraId="5D024056" w14:textId="77777777" w:rsidR="0041288F" w:rsidRDefault="0041288F" w:rsidP="006A18BC">
      <w:pPr>
        <w:rPr>
          <w:rFonts w:ascii="Times New Roman" w:hAnsi="Times New Roman" w:cs="Times New Roman"/>
          <w:sz w:val="24"/>
          <w:szCs w:val="24"/>
        </w:rPr>
      </w:pPr>
    </w:p>
    <w:p w14:paraId="3A6AFDD5" w14:textId="77777777" w:rsidR="0041288F" w:rsidRDefault="0041288F" w:rsidP="00580883">
      <w:pPr>
        <w:pStyle w:val="Heading1"/>
      </w:pPr>
      <w:bookmarkStart w:id="5" w:name="_Toc63687766"/>
      <w:r>
        <w:t>Ēnu ekonomikas īpatsvars</w:t>
      </w:r>
      <w:bookmarkEnd w:id="5"/>
    </w:p>
    <w:p w14:paraId="35989F02" w14:textId="77777777" w:rsidR="0041288F" w:rsidRDefault="0041288F" w:rsidP="006A18BC">
      <w:pPr>
        <w:rPr>
          <w:rFonts w:ascii="Times New Roman" w:hAnsi="Times New Roman" w:cs="Times New Roman"/>
          <w:sz w:val="24"/>
          <w:szCs w:val="24"/>
        </w:rPr>
      </w:pPr>
    </w:p>
    <w:p w14:paraId="3B18E645" w14:textId="77777777" w:rsidR="003D05B5" w:rsidRDefault="003D1CE5" w:rsidP="006A18BC">
      <w:pPr>
        <w:rPr>
          <w:rFonts w:ascii="Times New Roman" w:hAnsi="Times New Roman" w:cs="Times New Roman"/>
          <w:sz w:val="24"/>
          <w:szCs w:val="24"/>
        </w:rPr>
      </w:pPr>
      <w:r>
        <w:rPr>
          <w:rFonts w:ascii="Times New Roman" w:hAnsi="Times New Roman" w:cs="Times New Roman"/>
          <w:sz w:val="24"/>
          <w:szCs w:val="24"/>
        </w:rPr>
        <w:t>Jāatzīst, ka ē</w:t>
      </w:r>
      <w:r w:rsidRPr="003D1CE5">
        <w:rPr>
          <w:rFonts w:ascii="Times New Roman" w:hAnsi="Times New Roman" w:cs="Times New Roman"/>
          <w:sz w:val="24"/>
          <w:szCs w:val="24"/>
        </w:rPr>
        <w:t xml:space="preserve">nu ekonomikas apmērs Latvijā vēl joprojām ir augsts </w:t>
      </w:r>
      <w:r w:rsidR="001E1302">
        <w:rPr>
          <w:rFonts w:ascii="Times New Roman" w:hAnsi="Times New Roman" w:cs="Times New Roman"/>
          <w:sz w:val="24"/>
          <w:szCs w:val="24"/>
        </w:rPr>
        <w:t xml:space="preserve">salīdzinājumā ar </w:t>
      </w:r>
      <w:r w:rsidR="005F2D07">
        <w:rPr>
          <w:rFonts w:ascii="Times New Roman" w:hAnsi="Times New Roman" w:cs="Times New Roman"/>
          <w:sz w:val="24"/>
          <w:szCs w:val="24"/>
        </w:rPr>
        <w:t xml:space="preserve">citām </w:t>
      </w:r>
      <w:r w:rsidRPr="003D1CE5">
        <w:rPr>
          <w:rFonts w:ascii="Times New Roman" w:hAnsi="Times New Roman" w:cs="Times New Roman"/>
          <w:sz w:val="24"/>
          <w:szCs w:val="24"/>
        </w:rPr>
        <w:t>Eiropas valst</w:t>
      </w:r>
      <w:r w:rsidR="004D648B">
        <w:rPr>
          <w:rFonts w:ascii="Times New Roman" w:hAnsi="Times New Roman" w:cs="Times New Roman"/>
          <w:sz w:val="24"/>
          <w:szCs w:val="24"/>
        </w:rPr>
        <w:t>īm</w:t>
      </w:r>
      <w:r>
        <w:rPr>
          <w:rFonts w:ascii="Times New Roman" w:hAnsi="Times New Roman" w:cs="Times New Roman"/>
          <w:sz w:val="24"/>
          <w:szCs w:val="24"/>
        </w:rPr>
        <w:t xml:space="preserve">. </w:t>
      </w:r>
      <w:r w:rsidR="006A18BC" w:rsidRPr="006A18BC">
        <w:rPr>
          <w:rFonts w:ascii="Times New Roman" w:hAnsi="Times New Roman" w:cs="Times New Roman"/>
          <w:sz w:val="24"/>
          <w:szCs w:val="24"/>
        </w:rPr>
        <w:t xml:space="preserve">Ēnu ekonomika veicina nevienlīdzīgu konkurenci, izkropļo tirgu un negatīvi ietekmē nodokļu iekasēšanu. </w:t>
      </w:r>
      <w:r>
        <w:rPr>
          <w:rFonts w:ascii="Times New Roman" w:hAnsi="Times New Roman" w:cs="Times New Roman"/>
          <w:sz w:val="24"/>
          <w:szCs w:val="24"/>
        </w:rPr>
        <w:t>Lai vērtētu ēnu ekonomiku, t</w:t>
      </w:r>
      <w:r w:rsidR="006A18BC" w:rsidRPr="006A18BC">
        <w:rPr>
          <w:rFonts w:ascii="Times New Roman" w:hAnsi="Times New Roman" w:cs="Times New Roman"/>
          <w:sz w:val="24"/>
          <w:szCs w:val="24"/>
        </w:rPr>
        <w:t>iek lietotas vairāka</w:t>
      </w:r>
      <w:r w:rsidR="003D05B5">
        <w:rPr>
          <w:rFonts w:ascii="Times New Roman" w:hAnsi="Times New Roman" w:cs="Times New Roman"/>
          <w:sz w:val="24"/>
          <w:szCs w:val="24"/>
        </w:rPr>
        <w:t xml:space="preserve">s </w:t>
      </w:r>
      <w:r w:rsidR="00C91A95">
        <w:rPr>
          <w:rFonts w:ascii="Times New Roman" w:hAnsi="Times New Roman" w:cs="Times New Roman"/>
          <w:sz w:val="24"/>
          <w:szCs w:val="24"/>
        </w:rPr>
        <w:t xml:space="preserve">ēnu ekonomikas </w:t>
      </w:r>
      <w:r w:rsidR="003D05B5">
        <w:rPr>
          <w:rFonts w:ascii="Times New Roman" w:hAnsi="Times New Roman" w:cs="Times New Roman"/>
          <w:sz w:val="24"/>
          <w:szCs w:val="24"/>
        </w:rPr>
        <w:t>definīcijas</w:t>
      </w:r>
      <w:r w:rsidR="00C91A95">
        <w:rPr>
          <w:rFonts w:ascii="Times New Roman" w:hAnsi="Times New Roman" w:cs="Times New Roman"/>
          <w:sz w:val="24"/>
          <w:szCs w:val="24"/>
        </w:rPr>
        <w:t>.</w:t>
      </w:r>
      <w:r>
        <w:rPr>
          <w:rFonts w:ascii="Times New Roman" w:hAnsi="Times New Roman" w:cs="Times New Roman"/>
          <w:sz w:val="24"/>
          <w:szCs w:val="24"/>
        </w:rPr>
        <w:t xml:space="preserve"> Līdz ar to</w:t>
      </w:r>
      <w:r w:rsidR="003D05B5">
        <w:rPr>
          <w:rFonts w:ascii="Times New Roman" w:hAnsi="Times New Roman" w:cs="Times New Roman"/>
          <w:sz w:val="24"/>
          <w:szCs w:val="24"/>
        </w:rPr>
        <w:t xml:space="preserve"> </w:t>
      </w:r>
      <w:r w:rsidR="005E7765" w:rsidRPr="005E7765">
        <w:rPr>
          <w:rFonts w:ascii="Times New Roman" w:hAnsi="Times New Roman" w:cs="Times New Roman"/>
          <w:sz w:val="24"/>
          <w:szCs w:val="24"/>
        </w:rPr>
        <w:t>ēnu ekonomikas īpatsvara noteikšanai izmanto dažādas novērtēšanas metodes, un atkarībā no izmantotās metodes var atšķirties ēnu ekonomikas īpatsvara novērtējuma rezultāti.</w:t>
      </w:r>
    </w:p>
    <w:p w14:paraId="4546B70A" w14:textId="77777777" w:rsidR="006A18BC" w:rsidRPr="006A18BC" w:rsidRDefault="003D05B5" w:rsidP="006A18BC">
      <w:pPr>
        <w:rPr>
          <w:rFonts w:ascii="Times New Roman" w:hAnsi="Times New Roman" w:cs="Times New Roman"/>
          <w:sz w:val="24"/>
          <w:szCs w:val="24"/>
        </w:rPr>
      </w:pPr>
      <w:r w:rsidRPr="005E7765">
        <w:rPr>
          <w:rFonts w:ascii="Times New Roman" w:hAnsi="Times New Roman" w:cs="Times New Roman"/>
          <w:sz w:val="24"/>
          <w:szCs w:val="24"/>
        </w:rPr>
        <w:t xml:space="preserve"> </w:t>
      </w:r>
      <w:r w:rsidR="005E7765" w:rsidRPr="005E7765">
        <w:rPr>
          <w:rFonts w:ascii="Times New Roman" w:hAnsi="Times New Roman" w:cs="Times New Roman"/>
          <w:sz w:val="24"/>
          <w:szCs w:val="24"/>
        </w:rPr>
        <w:t xml:space="preserve">Saskaņā ar Ekonomiskās sadarbības un attīstības organizācijas (OECD) sniegto definīciju ēnu ekonomiku veido legālas ekonomiskās aktivitātes, par kurām normatīvajos aktos noteiktā kārtībā ir jāsniedz informācija nodokļu administrācijai, bet par kurām nav sniegtas </w:t>
      </w:r>
      <w:r w:rsidR="005E7765" w:rsidRPr="005E7765">
        <w:rPr>
          <w:rFonts w:ascii="Times New Roman" w:hAnsi="Times New Roman" w:cs="Times New Roman"/>
          <w:sz w:val="24"/>
          <w:szCs w:val="24"/>
        </w:rPr>
        <w:lastRenderedPageBreak/>
        <w:t>ziņas, līdz ar to paliekot neapliktas ar nodokļiem, atšķirībā no tām ekonomiskajām aktivitātēm, par kurām tiek sniegtas ziņas, un nelegālas ekonomiskās aktivitātes</w:t>
      </w:r>
      <w:r w:rsidR="005E7765">
        <w:rPr>
          <w:rFonts w:ascii="Times New Roman" w:hAnsi="Times New Roman" w:cs="Times New Roman"/>
          <w:sz w:val="24"/>
          <w:szCs w:val="24"/>
        </w:rPr>
        <w:t>.</w:t>
      </w:r>
      <w:r w:rsidR="005E7765">
        <w:rPr>
          <w:rStyle w:val="FootnoteReference"/>
          <w:rFonts w:ascii="Times New Roman" w:hAnsi="Times New Roman" w:cs="Times New Roman"/>
          <w:sz w:val="24"/>
          <w:szCs w:val="24"/>
        </w:rPr>
        <w:footnoteReference w:id="4"/>
      </w:r>
    </w:p>
    <w:p w14:paraId="44E8C988" w14:textId="77777777" w:rsidR="003E1F93" w:rsidRDefault="005E7765" w:rsidP="006A18BC">
      <w:pPr>
        <w:rPr>
          <w:rFonts w:ascii="Times New Roman" w:hAnsi="Times New Roman" w:cs="Times New Roman"/>
          <w:sz w:val="24"/>
          <w:szCs w:val="24"/>
        </w:rPr>
      </w:pPr>
      <w:r w:rsidRPr="005E7765">
        <w:rPr>
          <w:rFonts w:ascii="Times New Roman" w:hAnsi="Times New Roman" w:cs="Times New Roman"/>
          <w:sz w:val="24"/>
          <w:szCs w:val="24"/>
        </w:rPr>
        <w:t>Ir divi pētījumu avoti, saskaņā ar kuriem F</w:t>
      </w:r>
      <w:r w:rsidR="00212586">
        <w:rPr>
          <w:rFonts w:ascii="Times New Roman" w:hAnsi="Times New Roman" w:cs="Times New Roman"/>
          <w:sz w:val="24"/>
          <w:szCs w:val="24"/>
        </w:rPr>
        <w:t>M</w:t>
      </w:r>
      <w:r w:rsidRPr="005E7765">
        <w:rPr>
          <w:rFonts w:ascii="Times New Roman" w:hAnsi="Times New Roman" w:cs="Times New Roman"/>
          <w:sz w:val="24"/>
          <w:szCs w:val="24"/>
        </w:rPr>
        <w:t xml:space="preserve"> vērtē ēnu ekonomikas īpatsvaru Latvijā un tās tendences. Jau gandrīz desmit gadus katru pavasari Latvijas pētnieki Dr. A.</w:t>
      </w:r>
      <w:r w:rsidR="008A3AD6">
        <w:rPr>
          <w:rFonts w:ascii="Times New Roman" w:hAnsi="Times New Roman" w:cs="Times New Roman"/>
          <w:sz w:val="24"/>
          <w:szCs w:val="24"/>
        </w:rPr>
        <w:t> </w:t>
      </w:r>
      <w:r w:rsidRPr="005E7765">
        <w:rPr>
          <w:rFonts w:ascii="Times New Roman" w:hAnsi="Times New Roman" w:cs="Times New Roman"/>
          <w:sz w:val="24"/>
          <w:szCs w:val="24"/>
        </w:rPr>
        <w:t>Sauka un Dr.</w:t>
      </w:r>
      <w:r w:rsidR="00364872">
        <w:rPr>
          <w:rFonts w:ascii="Times New Roman" w:hAnsi="Times New Roman" w:cs="Times New Roman"/>
          <w:sz w:val="24"/>
          <w:szCs w:val="24"/>
        </w:rPr>
        <w:t> </w:t>
      </w:r>
      <w:r w:rsidRPr="005E7765">
        <w:rPr>
          <w:rFonts w:ascii="Times New Roman" w:hAnsi="Times New Roman" w:cs="Times New Roman"/>
          <w:sz w:val="24"/>
          <w:szCs w:val="24"/>
        </w:rPr>
        <w:t>T.</w:t>
      </w:r>
      <w:r w:rsidR="00364872">
        <w:rPr>
          <w:rFonts w:ascii="Times New Roman" w:hAnsi="Times New Roman" w:cs="Times New Roman"/>
          <w:sz w:val="24"/>
          <w:szCs w:val="24"/>
        </w:rPr>
        <w:t> </w:t>
      </w:r>
      <w:r w:rsidRPr="005E7765">
        <w:rPr>
          <w:rFonts w:ascii="Times New Roman" w:hAnsi="Times New Roman" w:cs="Times New Roman"/>
          <w:sz w:val="24"/>
          <w:szCs w:val="24"/>
        </w:rPr>
        <w:t>Putniņš publisko pētījuma datus par ēnu ekonomikas indeksu Baltijas valstīs. Saskaņā ar šī pētījuma datiem ēnu ekonomikas īpatsvars 201</w:t>
      </w:r>
      <w:r w:rsidR="003511DE">
        <w:rPr>
          <w:rFonts w:ascii="Times New Roman" w:hAnsi="Times New Roman" w:cs="Times New Roman"/>
          <w:sz w:val="24"/>
          <w:szCs w:val="24"/>
        </w:rPr>
        <w:t>9</w:t>
      </w:r>
      <w:r w:rsidRPr="005E7765">
        <w:rPr>
          <w:rFonts w:ascii="Times New Roman" w:hAnsi="Times New Roman" w:cs="Times New Roman"/>
          <w:sz w:val="24"/>
          <w:szCs w:val="24"/>
        </w:rPr>
        <w:t>.</w:t>
      </w:r>
      <w:r w:rsidR="00364872">
        <w:rPr>
          <w:rFonts w:ascii="Times New Roman" w:hAnsi="Times New Roman" w:cs="Times New Roman"/>
          <w:sz w:val="24"/>
          <w:szCs w:val="24"/>
        </w:rPr>
        <w:t> </w:t>
      </w:r>
      <w:r w:rsidRPr="005E7765">
        <w:rPr>
          <w:rFonts w:ascii="Times New Roman" w:hAnsi="Times New Roman" w:cs="Times New Roman"/>
          <w:sz w:val="24"/>
          <w:szCs w:val="24"/>
        </w:rPr>
        <w:t xml:space="preserve">gadā Latvijā ir bijis </w:t>
      </w:r>
      <w:r w:rsidRPr="00BC2FF3">
        <w:rPr>
          <w:rFonts w:ascii="Times New Roman" w:hAnsi="Times New Roman" w:cs="Times New Roman"/>
          <w:bCs/>
          <w:sz w:val="24"/>
          <w:szCs w:val="24"/>
        </w:rPr>
        <w:t>2</w:t>
      </w:r>
      <w:r w:rsidR="003511DE">
        <w:rPr>
          <w:rFonts w:ascii="Times New Roman" w:hAnsi="Times New Roman" w:cs="Times New Roman"/>
          <w:bCs/>
          <w:sz w:val="24"/>
          <w:szCs w:val="24"/>
        </w:rPr>
        <w:t>3</w:t>
      </w:r>
      <w:r w:rsidRPr="00BC2FF3">
        <w:rPr>
          <w:rFonts w:ascii="Times New Roman" w:hAnsi="Times New Roman" w:cs="Times New Roman"/>
          <w:bCs/>
          <w:sz w:val="24"/>
          <w:szCs w:val="24"/>
        </w:rPr>
        <w:t>,</w:t>
      </w:r>
      <w:r w:rsidR="003511DE">
        <w:rPr>
          <w:rFonts w:ascii="Times New Roman" w:hAnsi="Times New Roman" w:cs="Times New Roman"/>
          <w:bCs/>
          <w:sz w:val="24"/>
          <w:szCs w:val="24"/>
        </w:rPr>
        <w:t>9</w:t>
      </w:r>
      <w:r w:rsidR="00E57018">
        <w:rPr>
          <w:rFonts w:ascii="Times New Roman" w:hAnsi="Times New Roman" w:cs="Times New Roman"/>
          <w:bCs/>
          <w:sz w:val="24"/>
          <w:szCs w:val="24"/>
        </w:rPr>
        <w:t> </w:t>
      </w:r>
      <w:r w:rsidRPr="00BC2FF3">
        <w:rPr>
          <w:rFonts w:ascii="Times New Roman" w:hAnsi="Times New Roman" w:cs="Times New Roman"/>
          <w:bCs/>
          <w:sz w:val="24"/>
          <w:szCs w:val="24"/>
        </w:rPr>
        <w:t>% no IKP,</w:t>
      </w:r>
      <w:r w:rsidRPr="005E7765">
        <w:rPr>
          <w:rFonts w:ascii="Times New Roman" w:hAnsi="Times New Roman" w:cs="Times New Roman"/>
          <w:sz w:val="24"/>
          <w:szCs w:val="24"/>
        </w:rPr>
        <w:t xml:space="preserve"> kas ir pa</w:t>
      </w:r>
      <w:r>
        <w:rPr>
          <w:rFonts w:ascii="Times New Roman" w:hAnsi="Times New Roman" w:cs="Times New Roman"/>
          <w:sz w:val="24"/>
          <w:szCs w:val="24"/>
        </w:rPr>
        <w:t xml:space="preserve">r </w:t>
      </w:r>
      <w:r w:rsidR="002265AF">
        <w:rPr>
          <w:rFonts w:ascii="Times New Roman" w:hAnsi="Times New Roman" w:cs="Times New Roman"/>
          <w:sz w:val="24"/>
          <w:szCs w:val="24"/>
        </w:rPr>
        <w:t>0,3</w:t>
      </w:r>
      <w:r>
        <w:rPr>
          <w:rFonts w:ascii="Times New Roman" w:hAnsi="Times New Roman" w:cs="Times New Roman"/>
          <w:sz w:val="24"/>
          <w:szCs w:val="24"/>
        </w:rPr>
        <w:t xml:space="preserve"> % </w:t>
      </w:r>
      <w:r w:rsidR="002265AF">
        <w:rPr>
          <w:rFonts w:ascii="Times New Roman" w:hAnsi="Times New Roman" w:cs="Times New Roman"/>
          <w:sz w:val="24"/>
          <w:szCs w:val="24"/>
        </w:rPr>
        <w:t>maz</w:t>
      </w:r>
      <w:r>
        <w:rPr>
          <w:rFonts w:ascii="Times New Roman" w:hAnsi="Times New Roman" w:cs="Times New Roman"/>
          <w:sz w:val="24"/>
          <w:szCs w:val="24"/>
        </w:rPr>
        <w:t>āk nekā 201</w:t>
      </w:r>
      <w:r w:rsidR="002265AF">
        <w:rPr>
          <w:rFonts w:ascii="Times New Roman" w:hAnsi="Times New Roman" w:cs="Times New Roman"/>
          <w:sz w:val="24"/>
          <w:szCs w:val="24"/>
        </w:rPr>
        <w:t>8</w:t>
      </w:r>
      <w:r>
        <w:rPr>
          <w:rFonts w:ascii="Times New Roman" w:hAnsi="Times New Roman" w:cs="Times New Roman"/>
          <w:sz w:val="24"/>
          <w:szCs w:val="24"/>
        </w:rPr>
        <w:t>.</w:t>
      </w:r>
      <w:r w:rsidR="00364872">
        <w:rPr>
          <w:rFonts w:ascii="Times New Roman" w:hAnsi="Times New Roman" w:cs="Times New Roman"/>
          <w:sz w:val="24"/>
          <w:szCs w:val="24"/>
        </w:rPr>
        <w:t> </w:t>
      </w:r>
      <w:r>
        <w:rPr>
          <w:rFonts w:ascii="Times New Roman" w:hAnsi="Times New Roman" w:cs="Times New Roman"/>
          <w:sz w:val="24"/>
          <w:szCs w:val="24"/>
        </w:rPr>
        <w:t>gadā.</w:t>
      </w:r>
      <w:r>
        <w:rPr>
          <w:rStyle w:val="FootnoteReference"/>
          <w:rFonts w:ascii="Times New Roman" w:hAnsi="Times New Roman" w:cs="Times New Roman"/>
          <w:sz w:val="24"/>
          <w:szCs w:val="24"/>
        </w:rPr>
        <w:footnoteReference w:id="5"/>
      </w:r>
      <w:r w:rsidRPr="005E7765">
        <w:rPr>
          <w:rFonts w:ascii="Times New Roman" w:hAnsi="Times New Roman" w:cs="Times New Roman"/>
          <w:sz w:val="24"/>
          <w:szCs w:val="24"/>
        </w:rPr>
        <w:t xml:space="preserve">  Šo pētnieku pētījumu dati konsekventi norāda, ka Latvijā ēnu ekonomikas īpatsvars ir lielākais Baltijā. Taču, saskaņā ar otra pazīstama pētnieka, </w:t>
      </w:r>
      <w:r w:rsidR="00764C20">
        <w:rPr>
          <w:rFonts w:ascii="Times New Roman" w:hAnsi="Times New Roman" w:cs="Times New Roman"/>
          <w:sz w:val="24"/>
          <w:szCs w:val="24"/>
        </w:rPr>
        <w:t>Lincas universitātes</w:t>
      </w:r>
      <w:r w:rsidRPr="005E7765">
        <w:rPr>
          <w:rFonts w:ascii="Times New Roman" w:hAnsi="Times New Roman" w:cs="Times New Roman"/>
          <w:sz w:val="24"/>
          <w:szCs w:val="24"/>
        </w:rPr>
        <w:t xml:space="preserve"> profesora Dr.</w:t>
      </w:r>
      <w:r w:rsidR="00F1357B">
        <w:rPr>
          <w:rFonts w:ascii="Times New Roman" w:hAnsi="Times New Roman" w:cs="Times New Roman"/>
          <w:sz w:val="24"/>
          <w:szCs w:val="24"/>
        </w:rPr>
        <w:t> </w:t>
      </w:r>
      <w:r w:rsidRPr="005E7765">
        <w:rPr>
          <w:rFonts w:ascii="Times New Roman" w:hAnsi="Times New Roman" w:cs="Times New Roman"/>
          <w:sz w:val="24"/>
          <w:szCs w:val="24"/>
        </w:rPr>
        <w:t>F.</w:t>
      </w:r>
      <w:r w:rsidR="00F1357B">
        <w:rPr>
          <w:rFonts w:ascii="Times New Roman" w:hAnsi="Times New Roman" w:cs="Times New Roman"/>
          <w:sz w:val="24"/>
          <w:szCs w:val="24"/>
        </w:rPr>
        <w:t> </w:t>
      </w:r>
      <w:r w:rsidRPr="005E7765">
        <w:rPr>
          <w:rFonts w:ascii="Times New Roman" w:hAnsi="Times New Roman" w:cs="Times New Roman"/>
          <w:sz w:val="24"/>
          <w:szCs w:val="24"/>
        </w:rPr>
        <w:t>Šneidera pētījuma datiem ēnu ekonomikas īpatsvars Latvijā 2018.</w:t>
      </w:r>
      <w:r w:rsidR="00F1357B">
        <w:rPr>
          <w:rFonts w:ascii="Times New Roman" w:hAnsi="Times New Roman" w:cs="Times New Roman"/>
          <w:sz w:val="24"/>
          <w:szCs w:val="24"/>
        </w:rPr>
        <w:t> </w:t>
      </w:r>
      <w:r w:rsidRPr="005E7765">
        <w:rPr>
          <w:rFonts w:ascii="Times New Roman" w:hAnsi="Times New Roman" w:cs="Times New Roman"/>
          <w:sz w:val="24"/>
          <w:szCs w:val="24"/>
        </w:rPr>
        <w:t xml:space="preserve">gadā ir </w:t>
      </w:r>
      <w:r w:rsidRPr="00112940">
        <w:rPr>
          <w:rFonts w:ascii="Times New Roman" w:hAnsi="Times New Roman" w:cs="Times New Roman"/>
          <w:sz w:val="24"/>
          <w:szCs w:val="24"/>
        </w:rPr>
        <w:t>bijis 20,2</w:t>
      </w:r>
      <w:r w:rsidR="008C401B" w:rsidRPr="00112940">
        <w:rPr>
          <w:rFonts w:ascii="Times New Roman" w:hAnsi="Times New Roman" w:cs="Times New Roman"/>
          <w:sz w:val="24"/>
          <w:szCs w:val="24"/>
        </w:rPr>
        <w:t> </w:t>
      </w:r>
      <w:r w:rsidRPr="00112940">
        <w:rPr>
          <w:rFonts w:ascii="Times New Roman" w:hAnsi="Times New Roman" w:cs="Times New Roman"/>
          <w:sz w:val="24"/>
          <w:szCs w:val="24"/>
        </w:rPr>
        <w:t>% no IKP,</w:t>
      </w:r>
      <w:r w:rsidRPr="005E7765">
        <w:rPr>
          <w:rFonts w:ascii="Times New Roman" w:hAnsi="Times New Roman" w:cs="Times New Roman"/>
          <w:sz w:val="24"/>
          <w:szCs w:val="24"/>
        </w:rPr>
        <w:t xml:space="preserve"> kas ir par 1,1 % mazāk nekā 2017.</w:t>
      </w:r>
      <w:r w:rsidR="008C401B">
        <w:rPr>
          <w:rFonts w:ascii="Times New Roman" w:hAnsi="Times New Roman" w:cs="Times New Roman"/>
          <w:sz w:val="24"/>
          <w:szCs w:val="24"/>
        </w:rPr>
        <w:t> </w:t>
      </w:r>
      <w:r w:rsidRPr="005E7765">
        <w:rPr>
          <w:rFonts w:ascii="Times New Roman" w:hAnsi="Times New Roman" w:cs="Times New Roman"/>
          <w:sz w:val="24"/>
          <w:szCs w:val="24"/>
        </w:rPr>
        <w:t>gadā (21,3</w:t>
      </w:r>
      <w:r w:rsidR="008C401B">
        <w:rPr>
          <w:rFonts w:ascii="Times New Roman" w:hAnsi="Times New Roman" w:cs="Times New Roman"/>
          <w:sz w:val="24"/>
          <w:szCs w:val="24"/>
        </w:rPr>
        <w:t> </w:t>
      </w:r>
      <w:r w:rsidRPr="005E7765">
        <w:rPr>
          <w:rFonts w:ascii="Times New Roman" w:hAnsi="Times New Roman" w:cs="Times New Roman"/>
          <w:sz w:val="24"/>
          <w:szCs w:val="24"/>
        </w:rPr>
        <w:t>%)</w:t>
      </w:r>
      <w:r w:rsidR="00764C20">
        <w:rPr>
          <w:rFonts w:ascii="Times New Roman" w:hAnsi="Times New Roman" w:cs="Times New Roman"/>
          <w:sz w:val="24"/>
          <w:szCs w:val="24"/>
        </w:rPr>
        <w:t xml:space="preserve">. </w:t>
      </w:r>
      <w:r w:rsidRPr="005E7765">
        <w:rPr>
          <w:rFonts w:ascii="Times New Roman" w:hAnsi="Times New Roman" w:cs="Times New Roman"/>
          <w:sz w:val="24"/>
          <w:szCs w:val="24"/>
        </w:rPr>
        <w:t>2019.</w:t>
      </w:r>
      <w:r w:rsidR="008C401B">
        <w:rPr>
          <w:rFonts w:ascii="Times New Roman" w:hAnsi="Times New Roman" w:cs="Times New Roman"/>
          <w:sz w:val="24"/>
          <w:szCs w:val="24"/>
        </w:rPr>
        <w:t> </w:t>
      </w:r>
      <w:r w:rsidRPr="005E7765">
        <w:rPr>
          <w:rFonts w:ascii="Times New Roman" w:hAnsi="Times New Roman" w:cs="Times New Roman"/>
          <w:sz w:val="24"/>
          <w:szCs w:val="24"/>
        </w:rPr>
        <w:t>gadā saskaņā ar austriešu ekonomikas profesora Dr.</w:t>
      </w:r>
      <w:r w:rsidR="008C401B">
        <w:rPr>
          <w:rFonts w:ascii="Times New Roman" w:hAnsi="Times New Roman" w:cs="Times New Roman"/>
          <w:sz w:val="24"/>
          <w:szCs w:val="24"/>
        </w:rPr>
        <w:t> </w:t>
      </w:r>
      <w:r w:rsidRPr="005E7765">
        <w:rPr>
          <w:rFonts w:ascii="Times New Roman" w:hAnsi="Times New Roman" w:cs="Times New Roman"/>
          <w:sz w:val="24"/>
          <w:szCs w:val="24"/>
        </w:rPr>
        <w:t>F.</w:t>
      </w:r>
      <w:r w:rsidR="008C401B">
        <w:rPr>
          <w:rFonts w:ascii="Times New Roman" w:hAnsi="Times New Roman" w:cs="Times New Roman"/>
          <w:sz w:val="24"/>
          <w:szCs w:val="24"/>
        </w:rPr>
        <w:t> </w:t>
      </w:r>
      <w:r w:rsidRPr="005E7765">
        <w:rPr>
          <w:rFonts w:ascii="Times New Roman" w:hAnsi="Times New Roman" w:cs="Times New Roman"/>
          <w:sz w:val="24"/>
          <w:szCs w:val="24"/>
        </w:rPr>
        <w:t>Šneidera prognozēm ēnu ekon</w:t>
      </w:r>
      <w:r w:rsidR="00C20597">
        <w:rPr>
          <w:rFonts w:ascii="Times New Roman" w:hAnsi="Times New Roman" w:cs="Times New Roman"/>
          <w:sz w:val="24"/>
          <w:szCs w:val="24"/>
        </w:rPr>
        <w:t>omikas īpatsvars Latvijā turpināja</w:t>
      </w:r>
      <w:r w:rsidRPr="005E7765">
        <w:rPr>
          <w:rFonts w:ascii="Times New Roman" w:hAnsi="Times New Roman" w:cs="Times New Roman"/>
          <w:sz w:val="24"/>
          <w:szCs w:val="24"/>
        </w:rPr>
        <w:t xml:space="preserve"> samazināties un 2019.</w:t>
      </w:r>
      <w:r w:rsidR="00313803">
        <w:rPr>
          <w:rFonts w:ascii="Times New Roman" w:hAnsi="Times New Roman" w:cs="Times New Roman"/>
          <w:sz w:val="24"/>
          <w:szCs w:val="24"/>
        </w:rPr>
        <w:t> </w:t>
      </w:r>
      <w:r w:rsidRPr="005E7765">
        <w:rPr>
          <w:rFonts w:ascii="Times New Roman" w:hAnsi="Times New Roman" w:cs="Times New Roman"/>
          <w:sz w:val="24"/>
          <w:szCs w:val="24"/>
        </w:rPr>
        <w:t>gadā tas veido</w:t>
      </w:r>
      <w:r w:rsidR="00C20597">
        <w:rPr>
          <w:rFonts w:ascii="Times New Roman" w:hAnsi="Times New Roman" w:cs="Times New Roman"/>
          <w:sz w:val="24"/>
          <w:szCs w:val="24"/>
        </w:rPr>
        <w:t>ja</w:t>
      </w:r>
      <w:r w:rsidRPr="005E7765">
        <w:rPr>
          <w:rFonts w:ascii="Times New Roman" w:hAnsi="Times New Roman" w:cs="Times New Roman"/>
          <w:sz w:val="24"/>
          <w:szCs w:val="24"/>
        </w:rPr>
        <w:t xml:space="preserve"> 19,9</w:t>
      </w:r>
      <w:r w:rsidR="00313803">
        <w:rPr>
          <w:rFonts w:ascii="Times New Roman" w:hAnsi="Times New Roman" w:cs="Times New Roman"/>
          <w:sz w:val="24"/>
          <w:szCs w:val="24"/>
        </w:rPr>
        <w:t> </w:t>
      </w:r>
      <w:r w:rsidRPr="005E7765">
        <w:rPr>
          <w:rFonts w:ascii="Times New Roman" w:hAnsi="Times New Roman" w:cs="Times New Roman"/>
          <w:sz w:val="24"/>
          <w:szCs w:val="24"/>
        </w:rPr>
        <w:t>% no IKP.</w:t>
      </w:r>
      <w:r>
        <w:rPr>
          <w:rStyle w:val="FootnoteReference"/>
          <w:rFonts w:ascii="Times New Roman" w:hAnsi="Times New Roman" w:cs="Times New Roman"/>
          <w:sz w:val="24"/>
          <w:szCs w:val="24"/>
        </w:rPr>
        <w:footnoteReference w:id="6"/>
      </w:r>
      <w:r w:rsidRPr="005E7765">
        <w:rPr>
          <w:rFonts w:ascii="Times New Roman" w:hAnsi="Times New Roman" w:cs="Times New Roman"/>
          <w:sz w:val="24"/>
          <w:szCs w:val="24"/>
        </w:rPr>
        <w:t xml:space="preserve"> </w:t>
      </w:r>
    </w:p>
    <w:p w14:paraId="31884A83" w14:textId="77777777" w:rsidR="004939A4" w:rsidRDefault="004939A4" w:rsidP="00C14268">
      <w:pPr>
        <w:jc w:val="right"/>
        <w:rPr>
          <w:rFonts w:ascii="Times New Roman" w:hAnsi="Times New Roman" w:cs="Times New Roman"/>
          <w:i/>
        </w:rPr>
      </w:pPr>
    </w:p>
    <w:p w14:paraId="549F50D7" w14:textId="77777777" w:rsidR="00015BE9" w:rsidRDefault="00C14268" w:rsidP="00C14268">
      <w:pPr>
        <w:jc w:val="right"/>
        <w:rPr>
          <w:rFonts w:ascii="Times New Roman" w:hAnsi="Times New Roman" w:cs="Times New Roman"/>
          <w:sz w:val="24"/>
          <w:szCs w:val="24"/>
        </w:rPr>
      </w:pPr>
      <w:r w:rsidRPr="00033E92">
        <w:rPr>
          <w:rFonts w:ascii="Times New Roman" w:hAnsi="Times New Roman" w:cs="Times New Roman"/>
          <w:i/>
        </w:rPr>
        <w:t>1. grafiks</w:t>
      </w:r>
    </w:p>
    <w:p w14:paraId="7EED2C5B" w14:textId="77777777" w:rsidR="003E1F93" w:rsidRPr="006D54AC" w:rsidRDefault="003E1F93" w:rsidP="006D54AC">
      <w:pPr>
        <w:jc w:val="center"/>
        <w:rPr>
          <w:rFonts w:ascii="Times New Roman" w:hAnsi="Times New Roman" w:cs="Times New Roman"/>
          <w:sz w:val="26"/>
          <w:szCs w:val="26"/>
        </w:rPr>
      </w:pPr>
      <w:r w:rsidRPr="006D54AC">
        <w:rPr>
          <w:rFonts w:ascii="Times New Roman" w:hAnsi="Times New Roman" w:cs="Times New Roman"/>
          <w:b/>
          <w:sz w:val="26"/>
          <w:szCs w:val="26"/>
        </w:rPr>
        <w:t>Ēnu ekonomikas īpatsvars procentos no IKP 31 Eiropas valstī 2019.</w:t>
      </w:r>
      <w:r w:rsidR="00313803">
        <w:rPr>
          <w:rFonts w:ascii="Times New Roman" w:hAnsi="Times New Roman" w:cs="Times New Roman"/>
          <w:b/>
          <w:sz w:val="26"/>
          <w:szCs w:val="26"/>
        </w:rPr>
        <w:t> </w:t>
      </w:r>
      <w:r w:rsidR="006D54AC">
        <w:rPr>
          <w:rFonts w:ascii="Times New Roman" w:hAnsi="Times New Roman" w:cs="Times New Roman"/>
          <w:b/>
          <w:sz w:val="26"/>
          <w:szCs w:val="26"/>
        </w:rPr>
        <w:t>gadā</w:t>
      </w:r>
    </w:p>
    <w:p w14:paraId="6BCBA09B" w14:textId="77777777" w:rsidR="003E1F93" w:rsidRDefault="003E1F93" w:rsidP="003E1F93">
      <w:pPr>
        <w:rPr>
          <w:rFonts w:ascii="Times New Roman" w:hAnsi="Times New Roman" w:cs="Times New Roman"/>
          <w:sz w:val="24"/>
          <w:szCs w:val="24"/>
        </w:rPr>
      </w:pPr>
      <w:r>
        <w:rPr>
          <w:noProof/>
          <w:lang w:eastAsia="lv-LV"/>
        </w:rPr>
        <w:drawing>
          <wp:inline distT="0" distB="0" distL="0" distR="0" wp14:anchorId="21B4F503" wp14:editId="36282ACA">
            <wp:extent cx="4946650" cy="2861310"/>
            <wp:effectExtent l="0" t="0" r="635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DD5CC1" w14:textId="77777777" w:rsidR="003E1F93" w:rsidRPr="003E1F93" w:rsidRDefault="003E1F93" w:rsidP="00313803">
      <w:pPr>
        <w:ind w:firstLine="0"/>
        <w:rPr>
          <w:rFonts w:ascii="Times New Roman" w:hAnsi="Times New Roman" w:cs="Times New Roman"/>
          <w:i/>
        </w:rPr>
      </w:pPr>
      <w:r w:rsidRPr="003E1F93">
        <w:rPr>
          <w:rFonts w:ascii="Times New Roman" w:hAnsi="Times New Roman" w:cs="Times New Roman"/>
          <w:i/>
        </w:rPr>
        <w:t>Avots: Lincas Universitātes profesora Dr. F. Šneidera pētījums”</w:t>
      </w:r>
      <w:r w:rsidRPr="003E1F93">
        <w:rPr>
          <w:rFonts w:ascii="Times New Roman" w:hAnsi="Times New Roman" w:cs="Times New Roman"/>
          <w:i/>
          <w:lang w:val="en-US"/>
        </w:rPr>
        <w:t>Latest developments of the Shadow economy in Lithuania and of government’s reform efforts: First Results</w:t>
      </w:r>
      <w:r w:rsidRPr="003E1F93">
        <w:rPr>
          <w:rFonts w:ascii="Times New Roman" w:hAnsi="Times New Roman" w:cs="Times New Roman"/>
          <w:i/>
        </w:rPr>
        <w:t xml:space="preserve">”, </w:t>
      </w:r>
      <w:r w:rsidRPr="003E1F93">
        <w:rPr>
          <w:rFonts w:ascii="Times New Roman" w:hAnsi="Times New Roman" w:cs="Times New Roman"/>
          <w:i/>
          <w:lang w:val="en-US"/>
        </w:rPr>
        <w:t xml:space="preserve">June </w:t>
      </w:r>
      <w:r w:rsidRPr="003E1F93">
        <w:rPr>
          <w:rFonts w:ascii="Times New Roman" w:hAnsi="Times New Roman" w:cs="Times New Roman"/>
          <w:i/>
        </w:rPr>
        <w:t>2019</w:t>
      </w:r>
    </w:p>
    <w:p w14:paraId="303C6175" w14:textId="77777777" w:rsidR="003E1F93" w:rsidRDefault="003E1F93" w:rsidP="006A18BC">
      <w:pPr>
        <w:rPr>
          <w:rFonts w:ascii="Times New Roman" w:hAnsi="Times New Roman" w:cs="Times New Roman"/>
          <w:sz w:val="24"/>
          <w:szCs w:val="24"/>
        </w:rPr>
      </w:pPr>
    </w:p>
    <w:p w14:paraId="17739D66" w14:textId="77777777" w:rsidR="002C6377" w:rsidRPr="002C6377" w:rsidRDefault="005E7765" w:rsidP="002C6377">
      <w:pPr>
        <w:rPr>
          <w:rFonts w:ascii="Times New Roman" w:hAnsi="Times New Roman" w:cs="Times New Roman"/>
          <w:sz w:val="24"/>
          <w:szCs w:val="24"/>
        </w:rPr>
      </w:pPr>
      <w:r w:rsidRPr="005E7765">
        <w:rPr>
          <w:rFonts w:ascii="Times New Roman" w:hAnsi="Times New Roman" w:cs="Times New Roman"/>
          <w:sz w:val="24"/>
          <w:szCs w:val="24"/>
        </w:rPr>
        <w:t>Šī pētījuma dati liecina, ka Latvijā ir mazākais ēnu ekonomikas īpatsvar</w:t>
      </w:r>
      <w:r w:rsidR="003D05B5">
        <w:rPr>
          <w:rFonts w:ascii="Times New Roman" w:hAnsi="Times New Roman" w:cs="Times New Roman"/>
          <w:sz w:val="24"/>
          <w:szCs w:val="24"/>
        </w:rPr>
        <w:t xml:space="preserve">s starp trim Baltijas valstīm. </w:t>
      </w:r>
      <w:r w:rsidRPr="005E7765">
        <w:rPr>
          <w:rFonts w:ascii="Times New Roman" w:hAnsi="Times New Roman" w:cs="Times New Roman"/>
          <w:sz w:val="24"/>
          <w:szCs w:val="24"/>
        </w:rPr>
        <w:t>Minētās atšķirības pētījumos iespējams ir izskaidrojamas ar pētnieku izmantotām dažādām pētījumu metodēm.</w:t>
      </w:r>
      <w:r w:rsidR="00F439E8">
        <w:rPr>
          <w:rFonts w:ascii="Times New Roman" w:hAnsi="Times New Roman" w:cs="Times New Roman"/>
          <w:sz w:val="24"/>
          <w:szCs w:val="24"/>
        </w:rPr>
        <w:t xml:space="preserve"> </w:t>
      </w:r>
      <w:r w:rsidR="002C6377" w:rsidRPr="002C6377">
        <w:rPr>
          <w:rFonts w:ascii="Times New Roman" w:hAnsi="Times New Roman" w:cs="Times New Roman"/>
          <w:sz w:val="24"/>
          <w:szCs w:val="24"/>
        </w:rPr>
        <w:t xml:space="preserve">Tāpat kā pastāv dažādas ēnu ekonomikas definīcijas, pastāv arī dažādas tās aprēķināšanas metodes un attiecīgi arī rezultāti. Metodes, kuras tiek </w:t>
      </w:r>
      <w:r w:rsidR="002C6377" w:rsidRPr="002C6377">
        <w:rPr>
          <w:rFonts w:ascii="Times New Roman" w:hAnsi="Times New Roman" w:cs="Times New Roman"/>
          <w:sz w:val="24"/>
          <w:szCs w:val="24"/>
        </w:rPr>
        <w:lastRenderedPageBreak/>
        <w:t>izmantotas ēnu ekonomikas pētījumos, var iedalīt tiešajās (mikro – datu) metodēs un netiešajās (makro – indikatoru) metodēs.</w:t>
      </w:r>
    </w:p>
    <w:p w14:paraId="496A0801" w14:textId="77777777" w:rsidR="002C6377" w:rsidRPr="002C6377" w:rsidRDefault="002C6377" w:rsidP="00700C0F">
      <w:pPr>
        <w:rPr>
          <w:rFonts w:ascii="Times New Roman" w:hAnsi="Times New Roman" w:cs="Times New Roman"/>
          <w:sz w:val="24"/>
          <w:szCs w:val="24"/>
        </w:rPr>
      </w:pPr>
      <w:r w:rsidRPr="002C6377">
        <w:rPr>
          <w:rFonts w:ascii="Times New Roman" w:hAnsi="Times New Roman" w:cs="Times New Roman"/>
          <w:sz w:val="24"/>
          <w:szCs w:val="24"/>
        </w:rPr>
        <w:t>Tiešajās metodēs tiek izmantotas aptaujas un (vai) anketas ar brīvas izvēles atbildēm vai nodokļu audits. Netiešās metodes, sauktas arī par indikatoru metodēm, galvenokārt ir makroekonomiskas, un tajās izmantoti dažādi ekonomikas un citi indikatori, kas satur informāciju par ēnu ekonomikas dinamiku.</w:t>
      </w:r>
    </w:p>
    <w:p w14:paraId="03C1DFD0" w14:textId="77777777" w:rsidR="002C6377" w:rsidRPr="002C6377" w:rsidRDefault="002C6377" w:rsidP="00253A12">
      <w:pPr>
        <w:rPr>
          <w:rFonts w:ascii="Times New Roman" w:hAnsi="Times New Roman" w:cs="Times New Roman"/>
          <w:sz w:val="24"/>
          <w:szCs w:val="24"/>
        </w:rPr>
      </w:pPr>
      <w:r w:rsidRPr="002C6377">
        <w:rPr>
          <w:rFonts w:ascii="Times New Roman" w:hAnsi="Times New Roman" w:cs="Times New Roman"/>
          <w:sz w:val="24"/>
          <w:szCs w:val="24"/>
        </w:rPr>
        <w:t>Vienā no netiešajām metodēm – modelēšanas metodē tiek pieņemts, ka vairāki cēloņi nosaka ēnu ekonomikas eksistenci un izaugsmi, savukārt ēnu ekonomikas izmaiņas rada vairākus efektus laikā. Dinamiskais “vairāku indikatoru – vairāku cēloņu” modelis (</w:t>
      </w:r>
      <w:r w:rsidRPr="00B14B50">
        <w:rPr>
          <w:rFonts w:ascii="Times New Roman" w:hAnsi="Times New Roman" w:cs="Times New Roman"/>
          <w:i/>
          <w:iCs/>
          <w:sz w:val="24"/>
          <w:szCs w:val="24"/>
        </w:rPr>
        <w:t>angl.val.</w:t>
      </w:r>
      <w:r w:rsidRPr="002C6377">
        <w:rPr>
          <w:rFonts w:ascii="Times New Roman" w:hAnsi="Times New Roman" w:cs="Times New Roman"/>
          <w:sz w:val="24"/>
          <w:szCs w:val="24"/>
        </w:rPr>
        <w:t xml:space="preserve"> </w:t>
      </w:r>
      <w:r w:rsidRPr="00C86BB2">
        <w:rPr>
          <w:rFonts w:ascii="Times New Roman" w:hAnsi="Times New Roman" w:cs="Times New Roman"/>
          <w:sz w:val="24"/>
          <w:szCs w:val="24"/>
        </w:rPr>
        <w:t>The Dynamic Multiple Indicators – Multiple Causes Model</w:t>
      </w:r>
      <w:r w:rsidRPr="002C6377">
        <w:rPr>
          <w:rFonts w:ascii="Times New Roman" w:hAnsi="Times New Roman" w:cs="Times New Roman"/>
          <w:sz w:val="24"/>
          <w:szCs w:val="24"/>
        </w:rPr>
        <w:t xml:space="preserve"> jeb saīsināti ēnu ekonomikas pētījumu literatūrā minētais MIMIC modelis) ļauj iegūt laika rindas indeksus par nereģistrētā un reģistrētā izlaides līmeņa attiecību valstī.</w:t>
      </w:r>
    </w:p>
    <w:p w14:paraId="3FB3F30C" w14:textId="77777777" w:rsidR="006A18BC" w:rsidRDefault="002C6377" w:rsidP="002C6377">
      <w:pPr>
        <w:rPr>
          <w:rFonts w:ascii="Times New Roman" w:hAnsi="Times New Roman" w:cs="Times New Roman"/>
          <w:sz w:val="24"/>
          <w:szCs w:val="24"/>
        </w:rPr>
      </w:pPr>
      <w:r w:rsidRPr="002C6377">
        <w:rPr>
          <w:rFonts w:ascii="Times New Roman" w:hAnsi="Times New Roman" w:cs="Times New Roman"/>
          <w:sz w:val="24"/>
          <w:szCs w:val="24"/>
        </w:rPr>
        <w:t>Kā jau iepriekš minēts, ēnu ekonomikas īpatsvara noteikšanai izmanto dažādas novērtēšanas metodes, un atkarībā no izmantotās metodes var atšķirties ēnu ekonomikas īpatsvara novērtējuma rezultāti.</w:t>
      </w:r>
      <w:r w:rsidR="00700C0F">
        <w:rPr>
          <w:rFonts w:ascii="Times New Roman" w:hAnsi="Times New Roman" w:cs="Times New Roman"/>
          <w:sz w:val="24"/>
          <w:szCs w:val="24"/>
        </w:rPr>
        <w:t xml:space="preserve"> </w:t>
      </w:r>
      <w:r w:rsidR="00700C0F" w:rsidRPr="005E7765">
        <w:rPr>
          <w:rFonts w:ascii="Times New Roman" w:hAnsi="Times New Roman" w:cs="Times New Roman"/>
          <w:sz w:val="24"/>
          <w:szCs w:val="24"/>
        </w:rPr>
        <w:t>Tāpēc F</w:t>
      </w:r>
      <w:r w:rsidR="00700C0F">
        <w:rPr>
          <w:rFonts w:ascii="Times New Roman" w:hAnsi="Times New Roman" w:cs="Times New Roman"/>
          <w:sz w:val="24"/>
          <w:szCs w:val="24"/>
        </w:rPr>
        <w:t>M</w:t>
      </w:r>
      <w:r w:rsidR="00700C0F" w:rsidRPr="005E7765">
        <w:rPr>
          <w:rFonts w:ascii="Times New Roman" w:hAnsi="Times New Roman" w:cs="Times New Roman"/>
          <w:sz w:val="24"/>
          <w:szCs w:val="24"/>
        </w:rPr>
        <w:t xml:space="preserve"> savā darbā izmanto abus šo pētījumu datus.</w:t>
      </w:r>
    </w:p>
    <w:p w14:paraId="757FEDF2" w14:textId="77777777" w:rsidR="004939A4" w:rsidRDefault="004939A4" w:rsidP="00087FE3">
      <w:pPr>
        <w:ind w:firstLine="0"/>
        <w:rPr>
          <w:rFonts w:ascii="Times New Roman" w:hAnsi="Times New Roman" w:cs="Times New Roman"/>
          <w:sz w:val="24"/>
          <w:szCs w:val="24"/>
        </w:rPr>
      </w:pPr>
    </w:p>
    <w:p w14:paraId="47D84DE8" w14:textId="77777777" w:rsidR="003E1F93" w:rsidRDefault="00B304B9" w:rsidP="00B304B9">
      <w:pPr>
        <w:jc w:val="right"/>
        <w:rPr>
          <w:rFonts w:ascii="Times New Roman" w:hAnsi="Times New Roman" w:cs="Times New Roman"/>
          <w:sz w:val="24"/>
          <w:szCs w:val="24"/>
        </w:rPr>
      </w:pPr>
      <w:r w:rsidRPr="00033E92">
        <w:rPr>
          <w:rFonts w:ascii="Times New Roman" w:hAnsi="Times New Roman" w:cs="Times New Roman"/>
          <w:i/>
        </w:rPr>
        <w:t>2. grafiks</w:t>
      </w:r>
    </w:p>
    <w:p w14:paraId="503193D3" w14:textId="77777777" w:rsidR="003E1F93" w:rsidRDefault="00E960A7" w:rsidP="00C43736">
      <w:pPr>
        <w:ind w:firstLine="0"/>
        <w:jc w:val="center"/>
        <w:rPr>
          <w:rFonts w:ascii="Times New Roman" w:hAnsi="Times New Roman" w:cs="Times New Roman"/>
          <w:sz w:val="24"/>
          <w:szCs w:val="24"/>
        </w:rPr>
      </w:pPr>
      <w:r w:rsidRPr="00BE53FF">
        <w:rPr>
          <w:rFonts w:ascii="Times New Roman" w:hAnsi="Times New Roman" w:cs="Times New Roman"/>
          <w:noProof/>
          <w:sz w:val="24"/>
          <w:szCs w:val="24"/>
          <w:lang w:eastAsia="lv-LV"/>
        </w:rPr>
        <w:drawing>
          <wp:inline distT="0" distB="0" distL="0" distR="0" wp14:anchorId="3DFE51C9" wp14:editId="60947405">
            <wp:extent cx="5631880" cy="3735237"/>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0678" cy="3741072"/>
                    </a:xfrm>
                    <a:prstGeom prst="rect">
                      <a:avLst/>
                    </a:prstGeom>
                    <a:noFill/>
                  </pic:spPr>
                </pic:pic>
              </a:graphicData>
            </a:graphic>
          </wp:inline>
        </w:drawing>
      </w:r>
    </w:p>
    <w:p w14:paraId="1900D7A0" w14:textId="77777777" w:rsidR="003E1F93" w:rsidRPr="003E1F93" w:rsidRDefault="003E1F93" w:rsidP="00C43736">
      <w:pPr>
        <w:ind w:firstLine="0"/>
        <w:rPr>
          <w:rFonts w:ascii="Times New Roman" w:hAnsi="Times New Roman" w:cs="Times New Roman"/>
          <w:i/>
          <w:sz w:val="20"/>
          <w:szCs w:val="20"/>
        </w:rPr>
      </w:pPr>
      <w:r w:rsidRPr="003E1F93">
        <w:rPr>
          <w:rFonts w:ascii="Times New Roman" w:eastAsia="Times New Roman" w:hAnsi="Times New Roman" w:cs="Times New Roman"/>
          <w:i/>
          <w:sz w:val="20"/>
          <w:szCs w:val="20"/>
          <w:lang w:eastAsia="lv-LV"/>
        </w:rPr>
        <w:t>Avots:</w:t>
      </w:r>
      <w:r w:rsidRPr="003E1F93">
        <w:rPr>
          <w:rFonts w:ascii="Times New Roman" w:eastAsia="Calibri" w:hAnsi="Times New Roman" w:cs="Times New Roman"/>
          <w:i/>
          <w:sz w:val="20"/>
          <w:szCs w:val="20"/>
        </w:rPr>
        <w:t xml:space="preserve"> Pētījums ”Ēnu ekonomikas ind</w:t>
      </w:r>
      <w:r w:rsidR="00120DC4">
        <w:rPr>
          <w:rFonts w:ascii="Times New Roman" w:eastAsia="Calibri" w:hAnsi="Times New Roman" w:cs="Times New Roman"/>
          <w:i/>
          <w:sz w:val="20"/>
          <w:szCs w:val="20"/>
        </w:rPr>
        <w:t>ekss Baltijas valstīs 2009.-2019</w:t>
      </w:r>
      <w:r w:rsidRPr="003E1F93">
        <w:rPr>
          <w:rFonts w:ascii="Times New Roman" w:eastAsia="Calibri" w:hAnsi="Times New Roman" w:cs="Times New Roman"/>
          <w:i/>
          <w:sz w:val="20"/>
          <w:szCs w:val="20"/>
        </w:rPr>
        <w:t xml:space="preserve">. gadā”, SSE </w:t>
      </w:r>
      <w:r w:rsidRPr="003E1F93">
        <w:rPr>
          <w:rFonts w:ascii="Times New Roman" w:eastAsia="Calibri" w:hAnsi="Times New Roman" w:cs="Times New Roman"/>
          <w:i/>
          <w:sz w:val="20"/>
          <w:szCs w:val="20"/>
          <w:lang w:val="en-US"/>
        </w:rPr>
        <w:t>Riga</w:t>
      </w:r>
      <w:r w:rsidRPr="003E1F93">
        <w:rPr>
          <w:rFonts w:ascii="Times New Roman" w:eastAsia="Calibri" w:hAnsi="Times New Roman" w:cs="Times New Roman"/>
          <w:i/>
          <w:sz w:val="20"/>
          <w:szCs w:val="20"/>
        </w:rPr>
        <w:t xml:space="preserve"> Ilgtspējīga biznesa centrs, A. Sauka, T. Putniņš;</w:t>
      </w:r>
      <w:r w:rsidRPr="003E1F93">
        <w:rPr>
          <w:rFonts w:ascii="Times New Roman" w:hAnsi="Times New Roman" w:cs="Times New Roman"/>
          <w:i/>
          <w:sz w:val="20"/>
          <w:szCs w:val="20"/>
        </w:rPr>
        <w:t xml:space="preserve"> Lincas Universitātes profesora Dr. F. Šneidera pētījums ”</w:t>
      </w:r>
      <w:r w:rsidRPr="003E1F93">
        <w:rPr>
          <w:rFonts w:ascii="Times New Roman" w:hAnsi="Times New Roman" w:cs="Times New Roman"/>
          <w:i/>
          <w:sz w:val="20"/>
          <w:szCs w:val="20"/>
          <w:lang w:val="en-US"/>
        </w:rPr>
        <w:t>Latest developments of the Shadow economy in Lithuania and of government’s reform efforts: First Results”, June</w:t>
      </w:r>
      <w:r w:rsidRPr="003E1F93">
        <w:rPr>
          <w:rFonts w:ascii="Times New Roman" w:hAnsi="Times New Roman" w:cs="Times New Roman"/>
          <w:i/>
          <w:sz w:val="20"/>
          <w:szCs w:val="20"/>
        </w:rPr>
        <w:t xml:space="preserve"> 2019</w:t>
      </w:r>
    </w:p>
    <w:p w14:paraId="505CE406" w14:textId="77777777" w:rsidR="004939A4" w:rsidRDefault="004939A4" w:rsidP="00B0473E">
      <w:pPr>
        <w:ind w:firstLine="0"/>
        <w:rPr>
          <w:rFonts w:ascii="Times New Roman" w:hAnsi="Times New Roman" w:cs="Times New Roman"/>
          <w:sz w:val="24"/>
          <w:szCs w:val="24"/>
        </w:rPr>
      </w:pPr>
    </w:p>
    <w:p w14:paraId="16A49E49" w14:textId="77777777" w:rsidR="005A2602" w:rsidRDefault="005A2602" w:rsidP="005A2602">
      <w:pPr>
        <w:rPr>
          <w:rFonts w:ascii="Times New Roman" w:hAnsi="Times New Roman" w:cs="Times New Roman"/>
          <w:sz w:val="24"/>
          <w:szCs w:val="24"/>
        </w:rPr>
      </w:pPr>
      <w:r w:rsidRPr="005A2602">
        <w:rPr>
          <w:rFonts w:ascii="Times New Roman" w:hAnsi="Times New Roman" w:cs="Times New Roman"/>
          <w:sz w:val="24"/>
          <w:szCs w:val="24"/>
        </w:rPr>
        <w:t>Saskaņā ar A.</w:t>
      </w:r>
      <w:r w:rsidR="00177CEA">
        <w:rPr>
          <w:rFonts w:ascii="Times New Roman" w:hAnsi="Times New Roman" w:cs="Times New Roman"/>
          <w:sz w:val="24"/>
          <w:szCs w:val="24"/>
        </w:rPr>
        <w:t> </w:t>
      </w:r>
      <w:r w:rsidRPr="005A2602">
        <w:rPr>
          <w:rFonts w:ascii="Times New Roman" w:hAnsi="Times New Roman" w:cs="Times New Roman"/>
          <w:sz w:val="24"/>
          <w:szCs w:val="24"/>
        </w:rPr>
        <w:t>Saukas pētījuma datiem ēnu ekonomikas apjoms 201</w:t>
      </w:r>
      <w:r w:rsidR="00B814EB">
        <w:rPr>
          <w:rFonts w:ascii="Times New Roman" w:hAnsi="Times New Roman" w:cs="Times New Roman"/>
          <w:sz w:val="24"/>
          <w:szCs w:val="24"/>
        </w:rPr>
        <w:t>9</w:t>
      </w:r>
      <w:r w:rsidRPr="005A2602">
        <w:rPr>
          <w:rFonts w:ascii="Times New Roman" w:hAnsi="Times New Roman" w:cs="Times New Roman"/>
          <w:sz w:val="24"/>
          <w:szCs w:val="24"/>
        </w:rPr>
        <w:t>.</w:t>
      </w:r>
      <w:r w:rsidR="00177CEA">
        <w:rPr>
          <w:rFonts w:ascii="Times New Roman" w:hAnsi="Times New Roman" w:cs="Times New Roman"/>
          <w:sz w:val="24"/>
          <w:szCs w:val="24"/>
        </w:rPr>
        <w:t> </w:t>
      </w:r>
      <w:r w:rsidRPr="005A2602">
        <w:rPr>
          <w:rFonts w:ascii="Times New Roman" w:hAnsi="Times New Roman" w:cs="Times New Roman"/>
          <w:sz w:val="24"/>
          <w:szCs w:val="24"/>
        </w:rPr>
        <w:t>gadā Lietuvā ir 18,</w:t>
      </w:r>
      <w:r w:rsidR="00E76766">
        <w:rPr>
          <w:rFonts w:ascii="Times New Roman" w:hAnsi="Times New Roman" w:cs="Times New Roman"/>
          <w:sz w:val="24"/>
          <w:szCs w:val="24"/>
        </w:rPr>
        <w:t>2</w:t>
      </w:r>
      <w:r w:rsidR="00E57018">
        <w:rPr>
          <w:rFonts w:ascii="Times New Roman" w:hAnsi="Times New Roman" w:cs="Times New Roman"/>
          <w:sz w:val="24"/>
          <w:szCs w:val="24"/>
        </w:rPr>
        <w:t> </w:t>
      </w:r>
      <w:r w:rsidRPr="005A2602">
        <w:rPr>
          <w:rFonts w:ascii="Times New Roman" w:hAnsi="Times New Roman" w:cs="Times New Roman"/>
          <w:sz w:val="24"/>
          <w:szCs w:val="24"/>
        </w:rPr>
        <w:t xml:space="preserve">% un Igaunijā </w:t>
      </w:r>
      <w:r w:rsidR="00E76766">
        <w:rPr>
          <w:rFonts w:ascii="Times New Roman" w:hAnsi="Times New Roman" w:cs="Times New Roman"/>
          <w:sz w:val="24"/>
          <w:szCs w:val="24"/>
        </w:rPr>
        <w:t>14</w:t>
      </w:r>
      <w:r w:rsidRPr="005A2602">
        <w:rPr>
          <w:rFonts w:ascii="Times New Roman" w:hAnsi="Times New Roman" w:cs="Times New Roman"/>
          <w:sz w:val="24"/>
          <w:szCs w:val="24"/>
        </w:rPr>
        <w:t>,</w:t>
      </w:r>
      <w:r w:rsidR="00E76766">
        <w:rPr>
          <w:rFonts w:ascii="Times New Roman" w:hAnsi="Times New Roman" w:cs="Times New Roman"/>
          <w:sz w:val="24"/>
          <w:szCs w:val="24"/>
        </w:rPr>
        <w:t>3</w:t>
      </w:r>
      <w:r w:rsidR="00E57018">
        <w:rPr>
          <w:rFonts w:ascii="Times New Roman" w:hAnsi="Times New Roman" w:cs="Times New Roman"/>
          <w:sz w:val="24"/>
          <w:szCs w:val="24"/>
        </w:rPr>
        <w:t> </w:t>
      </w:r>
      <w:r w:rsidRPr="005A2602">
        <w:rPr>
          <w:rFonts w:ascii="Times New Roman" w:hAnsi="Times New Roman" w:cs="Times New Roman"/>
          <w:sz w:val="24"/>
          <w:szCs w:val="24"/>
        </w:rPr>
        <w:t xml:space="preserve">% no IKP. Gada laikā ēnu ekonomikas apjoms Lietuvā ir </w:t>
      </w:r>
      <w:r w:rsidR="00E76766">
        <w:rPr>
          <w:rFonts w:ascii="Times New Roman" w:hAnsi="Times New Roman" w:cs="Times New Roman"/>
          <w:sz w:val="24"/>
          <w:szCs w:val="24"/>
        </w:rPr>
        <w:t>samazinājies</w:t>
      </w:r>
      <w:r w:rsidRPr="005A2602">
        <w:rPr>
          <w:rFonts w:ascii="Times New Roman" w:hAnsi="Times New Roman" w:cs="Times New Roman"/>
          <w:sz w:val="24"/>
          <w:szCs w:val="24"/>
        </w:rPr>
        <w:t xml:space="preserve"> par 0,5</w:t>
      </w:r>
      <w:r w:rsidR="00453D66">
        <w:rPr>
          <w:rFonts w:ascii="Times New Roman" w:hAnsi="Times New Roman" w:cs="Times New Roman"/>
          <w:sz w:val="24"/>
          <w:szCs w:val="24"/>
        </w:rPr>
        <w:t> </w:t>
      </w:r>
      <w:r w:rsidRPr="005A2602">
        <w:rPr>
          <w:rFonts w:ascii="Times New Roman" w:hAnsi="Times New Roman" w:cs="Times New Roman"/>
          <w:sz w:val="24"/>
          <w:szCs w:val="24"/>
        </w:rPr>
        <w:t xml:space="preserve">%, bet Igaunijā samazinājies par </w:t>
      </w:r>
      <w:r w:rsidR="00E76766">
        <w:rPr>
          <w:rFonts w:ascii="Times New Roman" w:hAnsi="Times New Roman" w:cs="Times New Roman"/>
          <w:sz w:val="24"/>
          <w:szCs w:val="24"/>
        </w:rPr>
        <w:t>2</w:t>
      </w:r>
      <w:r w:rsidRPr="005A2602">
        <w:rPr>
          <w:rFonts w:ascii="Times New Roman" w:hAnsi="Times New Roman" w:cs="Times New Roman"/>
          <w:sz w:val="24"/>
          <w:szCs w:val="24"/>
        </w:rPr>
        <w:t>,</w:t>
      </w:r>
      <w:r w:rsidR="00E76766">
        <w:rPr>
          <w:rFonts w:ascii="Times New Roman" w:hAnsi="Times New Roman" w:cs="Times New Roman"/>
          <w:sz w:val="24"/>
          <w:szCs w:val="24"/>
        </w:rPr>
        <w:t>4</w:t>
      </w:r>
      <w:r w:rsidR="00453D66">
        <w:rPr>
          <w:rFonts w:ascii="Times New Roman" w:hAnsi="Times New Roman" w:cs="Times New Roman"/>
          <w:sz w:val="24"/>
          <w:szCs w:val="24"/>
        </w:rPr>
        <w:t> </w:t>
      </w:r>
      <w:r w:rsidRPr="005A2602">
        <w:rPr>
          <w:rFonts w:ascii="Times New Roman" w:hAnsi="Times New Roman" w:cs="Times New Roman"/>
          <w:sz w:val="24"/>
          <w:szCs w:val="24"/>
        </w:rPr>
        <w:t>%. Tomēr, kā jau minēts iepriekš, A. Saukas pētījumu dati atšķiras no profesora Dr. F. Šneidera pētījuma datiem.</w:t>
      </w:r>
    </w:p>
    <w:p w14:paraId="445923C5" w14:textId="77777777" w:rsidR="00CE7DF2" w:rsidRDefault="00CE7DF2" w:rsidP="005A2602">
      <w:pPr>
        <w:rPr>
          <w:rFonts w:ascii="Times New Roman" w:hAnsi="Times New Roman" w:cs="Times New Roman"/>
          <w:sz w:val="24"/>
          <w:szCs w:val="24"/>
        </w:rPr>
      </w:pPr>
    </w:p>
    <w:p w14:paraId="2ABE20D2" w14:textId="77777777" w:rsidR="002C5D01" w:rsidRPr="005A2602" w:rsidRDefault="00883E80" w:rsidP="00CE7DF2">
      <w:pPr>
        <w:jc w:val="right"/>
        <w:rPr>
          <w:rFonts w:ascii="Times New Roman" w:hAnsi="Times New Roman" w:cs="Times New Roman"/>
          <w:sz w:val="24"/>
          <w:szCs w:val="24"/>
        </w:rPr>
      </w:pPr>
      <w:r>
        <w:rPr>
          <w:rFonts w:ascii="Times New Roman" w:hAnsi="Times New Roman" w:cs="Times New Roman"/>
          <w:i/>
        </w:rPr>
        <w:t>3</w:t>
      </w:r>
      <w:r w:rsidRPr="00033E92">
        <w:rPr>
          <w:rFonts w:ascii="Times New Roman" w:hAnsi="Times New Roman" w:cs="Times New Roman"/>
          <w:i/>
        </w:rPr>
        <w:t>. grafiks</w:t>
      </w:r>
    </w:p>
    <w:p w14:paraId="5AFDF37A" w14:textId="77777777" w:rsidR="00E54973" w:rsidRPr="004A21B5" w:rsidRDefault="00476610" w:rsidP="004A21B5">
      <w:pPr>
        <w:ind w:firstLine="0"/>
        <w:rPr>
          <w:rFonts w:ascii="Times New Roman" w:hAnsi="Times New Roman" w:cs="Times New Roman"/>
          <w:i/>
        </w:rPr>
      </w:pPr>
      <w:r w:rsidRPr="00476610">
        <w:rPr>
          <w:rFonts w:ascii="Times New Roman" w:hAnsi="Times New Roman" w:cs="Times New Roman"/>
          <w:b/>
          <w:noProof/>
          <w:color w:val="C00000"/>
          <w:lang w:eastAsia="lv-LV"/>
        </w:rPr>
        <w:drawing>
          <wp:inline distT="0" distB="0" distL="0" distR="0" wp14:anchorId="3A33C227" wp14:editId="6EAC1FF1">
            <wp:extent cx="5179039" cy="3119717"/>
            <wp:effectExtent l="0" t="0" r="3175" b="50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726B55" w14:textId="77777777" w:rsidR="00E54973" w:rsidRDefault="00476610" w:rsidP="00476610">
      <w:pPr>
        <w:ind w:firstLine="0"/>
        <w:rPr>
          <w:rFonts w:ascii="Times New Roman" w:hAnsi="Times New Roman" w:cs="Times New Roman"/>
          <w:i/>
        </w:rPr>
      </w:pPr>
      <w:r w:rsidRPr="004A21B5">
        <w:rPr>
          <w:rFonts w:ascii="Times New Roman" w:hAnsi="Times New Roman" w:cs="Times New Roman"/>
          <w:i/>
        </w:rPr>
        <w:t>Avots: Pētījums ”Ēnu ekonomikas indekss Baltijas valstīs 2009.</w:t>
      </w:r>
      <w:r w:rsidRPr="00476610">
        <w:rPr>
          <w:rFonts w:ascii="Times New Roman" w:hAnsi="Times New Roman" w:cs="Times New Roman"/>
          <w:b/>
          <w:noProof/>
          <w:color w:val="C00000"/>
          <w:lang w:eastAsia="lv-LV"/>
        </w:rPr>
        <w:t xml:space="preserve"> </w:t>
      </w:r>
      <w:r w:rsidR="00BE29B8">
        <w:rPr>
          <w:rFonts w:ascii="Times New Roman" w:hAnsi="Times New Roman" w:cs="Times New Roman"/>
          <w:i/>
        </w:rPr>
        <w:t>-2019</w:t>
      </w:r>
      <w:r w:rsidRPr="004A21B5">
        <w:rPr>
          <w:rFonts w:ascii="Times New Roman" w:hAnsi="Times New Roman" w:cs="Times New Roman"/>
          <w:i/>
        </w:rPr>
        <w:t xml:space="preserve">. gadā”, SSE </w:t>
      </w:r>
      <w:r w:rsidRPr="00C86BB2">
        <w:rPr>
          <w:rFonts w:ascii="Times New Roman" w:hAnsi="Times New Roman" w:cs="Times New Roman"/>
          <w:i/>
        </w:rPr>
        <w:t>Riga</w:t>
      </w:r>
      <w:r w:rsidRPr="004A21B5">
        <w:rPr>
          <w:rFonts w:ascii="Times New Roman" w:hAnsi="Times New Roman" w:cs="Times New Roman"/>
          <w:i/>
        </w:rPr>
        <w:t xml:space="preserve"> Ilgtspējīga biznesa c</w:t>
      </w:r>
      <w:r>
        <w:rPr>
          <w:rFonts w:ascii="Times New Roman" w:hAnsi="Times New Roman" w:cs="Times New Roman"/>
          <w:i/>
        </w:rPr>
        <w:t>entrs, A. Sauka, T. Putniņš,2020</w:t>
      </w:r>
      <w:r w:rsidRPr="004A21B5">
        <w:rPr>
          <w:rFonts w:ascii="Times New Roman" w:hAnsi="Times New Roman" w:cs="Times New Roman"/>
          <w:i/>
        </w:rPr>
        <w:t>.</w:t>
      </w:r>
    </w:p>
    <w:p w14:paraId="4F8C77D1" w14:textId="77777777" w:rsidR="002F2953" w:rsidRDefault="002F2953" w:rsidP="00476610">
      <w:pPr>
        <w:ind w:firstLine="0"/>
        <w:rPr>
          <w:rFonts w:ascii="Times New Roman" w:hAnsi="Times New Roman" w:cs="Times New Roman"/>
          <w:sz w:val="24"/>
          <w:szCs w:val="24"/>
        </w:rPr>
      </w:pPr>
    </w:p>
    <w:p w14:paraId="5ADD61E5" w14:textId="77777777" w:rsidR="00E54973" w:rsidRPr="00E54973" w:rsidRDefault="005A2602" w:rsidP="00E54973">
      <w:pPr>
        <w:rPr>
          <w:rFonts w:ascii="Times New Roman" w:hAnsi="Times New Roman" w:cs="Times New Roman"/>
          <w:i/>
          <w:sz w:val="24"/>
          <w:szCs w:val="24"/>
        </w:rPr>
      </w:pPr>
      <w:r w:rsidRPr="005A2602">
        <w:rPr>
          <w:rFonts w:ascii="Times New Roman" w:hAnsi="Times New Roman" w:cs="Times New Roman"/>
          <w:sz w:val="24"/>
          <w:szCs w:val="24"/>
        </w:rPr>
        <w:t>Atbilstoši A. Saukas pētījuma rezultātiem, visās trīs Baltijas valstīs nozīmīgākā ēnu ekonomikas komponente 201</w:t>
      </w:r>
      <w:r w:rsidR="00CC0664">
        <w:rPr>
          <w:rFonts w:ascii="Times New Roman" w:hAnsi="Times New Roman" w:cs="Times New Roman"/>
          <w:sz w:val="24"/>
          <w:szCs w:val="24"/>
        </w:rPr>
        <w:t>9</w:t>
      </w:r>
      <w:r w:rsidRPr="005A2602">
        <w:rPr>
          <w:rFonts w:ascii="Times New Roman" w:hAnsi="Times New Roman" w:cs="Times New Roman"/>
          <w:sz w:val="24"/>
          <w:szCs w:val="24"/>
        </w:rPr>
        <w:t>. gadā (līdzīgi kā 201</w:t>
      </w:r>
      <w:r w:rsidR="00CC0664">
        <w:rPr>
          <w:rFonts w:ascii="Times New Roman" w:hAnsi="Times New Roman" w:cs="Times New Roman"/>
          <w:sz w:val="24"/>
          <w:szCs w:val="24"/>
        </w:rPr>
        <w:t>8</w:t>
      </w:r>
      <w:r w:rsidRPr="005A2602">
        <w:rPr>
          <w:rFonts w:ascii="Times New Roman" w:hAnsi="Times New Roman" w:cs="Times New Roman"/>
          <w:sz w:val="24"/>
          <w:szCs w:val="24"/>
        </w:rPr>
        <w:t>. gadā) ir aplokšņu algas, kas Latvijā veido 4</w:t>
      </w:r>
      <w:r w:rsidR="00CC0664">
        <w:rPr>
          <w:rFonts w:ascii="Times New Roman" w:hAnsi="Times New Roman" w:cs="Times New Roman"/>
          <w:sz w:val="24"/>
          <w:szCs w:val="24"/>
        </w:rPr>
        <w:t>4</w:t>
      </w:r>
      <w:r w:rsidRPr="005A2602">
        <w:rPr>
          <w:rFonts w:ascii="Times New Roman" w:hAnsi="Times New Roman" w:cs="Times New Roman"/>
          <w:sz w:val="24"/>
          <w:szCs w:val="24"/>
        </w:rPr>
        <w:t>,</w:t>
      </w:r>
      <w:r w:rsidR="00CC0664">
        <w:rPr>
          <w:rFonts w:ascii="Times New Roman" w:hAnsi="Times New Roman" w:cs="Times New Roman"/>
          <w:sz w:val="24"/>
          <w:szCs w:val="24"/>
        </w:rPr>
        <w:t>1</w:t>
      </w:r>
      <w:r w:rsidR="00C03814">
        <w:rPr>
          <w:rFonts w:ascii="Times New Roman" w:hAnsi="Times New Roman" w:cs="Times New Roman"/>
          <w:sz w:val="24"/>
          <w:szCs w:val="24"/>
        </w:rPr>
        <w:t> </w:t>
      </w:r>
      <w:r w:rsidRPr="005A2602">
        <w:rPr>
          <w:rFonts w:ascii="Times New Roman" w:hAnsi="Times New Roman" w:cs="Times New Roman"/>
          <w:sz w:val="24"/>
          <w:szCs w:val="24"/>
        </w:rPr>
        <w:t xml:space="preserve">% no kopējās ēnu ekonomikas, bet Igaunijā un Lietuvā attiecīgi </w:t>
      </w:r>
      <w:r w:rsidR="00400488">
        <w:rPr>
          <w:rFonts w:ascii="Times New Roman" w:hAnsi="Times New Roman" w:cs="Times New Roman"/>
          <w:sz w:val="24"/>
          <w:szCs w:val="24"/>
        </w:rPr>
        <w:t>43</w:t>
      </w:r>
      <w:r w:rsidRPr="005A2602">
        <w:rPr>
          <w:rFonts w:ascii="Times New Roman" w:hAnsi="Times New Roman" w:cs="Times New Roman"/>
          <w:sz w:val="24"/>
          <w:szCs w:val="24"/>
        </w:rPr>
        <w:t>,</w:t>
      </w:r>
      <w:r w:rsidR="001F402E">
        <w:rPr>
          <w:rFonts w:ascii="Times New Roman" w:hAnsi="Times New Roman" w:cs="Times New Roman"/>
          <w:sz w:val="24"/>
          <w:szCs w:val="24"/>
        </w:rPr>
        <w:t>0</w:t>
      </w:r>
      <w:r w:rsidR="00C03814">
        <w:rPr>
          <w:rFonts w:ascii="Times New Roman" w:hAnsi="Times New Roman" w:cs="Times New Roman"/>
          <w:sz w:val="24"/>
          <w:szCs w:val="24"/>
        </w:rPr>
        <w:t> </w:t>
      </w:r>
      <w:r w:rsidRPr="005A2602">
        <w:rPr>
          <w:rFonts w:ascii="Times New Roman" w:hAnsi="Times New Roman" w:cs="Times New Roman"/>
          <w:sz w:val="24"/>
          <w:szCs w:val="24"/>
        </w:rPr>
        <w:t xml:space="preserve">% un </w:t>
      </w:r>
      <w:r w:rsidR="001F402E">
        <w:rPr>
          <w:rFonts w:ascii="Times New Roman" w:hAnsi="Times New Roman" w:cs="Times New Roman"/>
          <w:sz w:val="24"/>
          <w:szCs w:val="24"/>
        </w:rPr>
        <w:t>36</w:t>
      </w:r>
      <w:r w:rsidRPr="005A2602">
        <w:rPr>
          <w:rFonts w:ascii="Times New Roman" w:hAnsi="Times New Roman" w:cs="Times New Roman"/>
          <w:sz w:val="24"/>
          <w:szCs w:val="24"/>
        </w:rPr>
        <w:t>,</w:t>
      </w:r>
      <w:r w:rsidR="001F402E">
        <w:rPr>
          <w:rFonts w:ascii="Times New Roman" w:hAnsi="Times New Roman" w:cs="Times New Roman"/>
          <w:sz w:val="24"/>
          <w:szCs w:val="24"/>
        </w:rPr>
        <w:t>3</w:t>
      </w:r>
      <w:r w:rsidR="00C03814">
        <w:rPr>
          <w:rFonts w:ascii="Times New Roman" w:hAnsi="Times New Roman" w:cs="Times New Roman"/>
          <w:sz w:val="24"/>
          <w:szCs w:val="24"/>
        </w:rPr>
        <w:t> </w:t>
      </w:r>
      <w:r w:rsidRPr="005A2602">
        <w:rPr>
          <w:rFonts w:ascii="Times New Roman" w:hAnsi="Times New Roman" w:cs="Times New Roman"/>
          <w:sz w:val="24"/>
          <w:szCs w:val="24"/>
        </w:rPr>
        <w:t>%. Vidējā algas daļa (%), ko uzņēmēji slēpj no valsts</w:t>
      </w:r>
      <w:r w:rsidR="00971E77">
        <w:rPr>
          <w:rFonts w:ascii="Times New Roman" w:hAnsi="Times New Roman" w:cs="Times New Roman"/>
          <w:sz w:val="24"/>
          <w:szCs w:val="24"/>
        </w:rPr>
        <w:t>,</w:t>
      </w:r>
      <w:r w:rsidRPr="005A2602">
        <w:rPr>
          <w:rFonts w:ascii="Times New Roman" w:hAnsi="Times New Roman" w:cs="Times New Roman"/>
          <w:sz w:val="24"/>
          <w:szCs w:val="24"/>
        </w:rPr>
        <w:t xml:space="preserve"> 201</w:t>
      </w:r>
      <w:r w:rsidR="001F402E">
        <w:rPr>
          <w:rFonts w:ascii="Times New Roman" w:hAnsi="Times New Roman" w:cs="Times New Roman"/>
          <w:sz w:val="24"/>
          <w:szCs w:val="24"/>
        </w:rPr>
        <w:t>9</w:t>
      </w:r>
      <w:r w:rsidRPr="005A2602">
        <w:rPr>
          <w:rFonts w:ascii="Times New Roman" w:hAnsi="Times New Roman" w:cs="Times New Roman"/>
          <w:sz w:val="24"/>
          <w:szCs w:val="24"/>
        </w:rPr>
        <w:t>.</w:t>
      </w:r>
      <w:r w:rsidR="00575537">
        <w:rPr>
          <w:rFonts w:ascii="Times New Roman" w:hAnsi="Times New Roman" w:cs="Times New Roman"/>
          <w:sz w:val="24"/>
          <w:szCs w:val="24"/>
        </w:rPr>
        <w:t> </w:t>
      </w:r>
      <w:r w:rsidRPr="005A2602">
        <w:rPr>
          <w:rFonts w:ascii="Times New Roman" w:hAnsi="Times New Roman" w:cs="Times New Roman"/>
          <w:sz w:val="24"/>
          <w:szCs w:val="24"/>
        </w:rPr>
        <w:t>gadā ir relatīvi līdzīga Lietuvā un Igaunijā (attiecīgi 1</w:t>
      </w:r>
      <w:r w:rsidR="009C0401">
        <w:rPr>
          <w:rFonts w:ascii="Times New Roman" w:hAnsi="Times New Roman" w:cs="Times New Roman"/>
          <w:sz w:val="24"/>
          <w:szCs w:val="24"/>
        </w:rPr>
        <w:t>4</w:t>
      </w:r>
      <w:r w:rsidRPr="005A2602">
        <w:rPr>
          <w:rFonts w:ascii="Times New Roman" w:hAnsi="Times New Roman" w:cs="Times New Roman"/>
          <w:sz w:val="24"/>
          <w:szCs w:val="24"/>
        </w:rPr>
        <w:t>,</w:t>
      </w:r>
      <w:r w:rsidR="009C0401">
        <w:rPr>
          <w:rFonts w:ascii="Times New Roman" w:hAnsi="Times New Roman" w:cs="Times New Roman"/>
          <w:sz w:val="24"/>
          <w:szCs w:val="24"/>
        </w:rPr>
        <w:t>1</w:t>
      </w:r>
      <w:r w:rsidR="00086C88">
        <w:rPr>
          <w:rFonts w:ascii="Times New Roman" w:hAnsi="Times New Roman" w:cs="Times New Roman"/>
          <w:sz w:val="24"/>
          <w:szCs w:val="24"/>
        </w:rPr>
        <w:t> </w:t>
      </w:r>
      <w:r w:rsidRPr="005A2602">
        <w:rPr>
          <w:rFonts w:ascii="Times New Roman" w:hAnsi="Times New Roman" w:cs="Times New Roman"/>
          <w:sz w:val="24"/>
          <w:szCs w:val="24"/>
        </w:rPr>
        <w:t>% un 1</w:t>
      </w:r>
      <w:r w:rsidR="00D24227">
        <w:rPr>
          <w:rFonts w:ascii="Times New Roman" w:hAnsi="Times New Roman" w:cs="Times New Roman"/>
          <w:sz w:val="24"/>
          <w:szCs w:val="24"/>
        </w:rPr>
        <w:t>1</w:t>
      </w:r>
      <w:r w:rsidRPr="005A2602">
        <w:rPr>
          <w:rFonts w:ascii="Times New Roman" w:hAnsi="Times New Roman" w:cs="Times New Roman"/>
          <w:sz w:val="24"/>
          <w:szCs w:val="24"/>
        </w:rPr>
        <w:t>,</w:t>
      </w:r>
      <w:r w:rsidR="00D24227">
        <w:rPr>
          <w:rFonts w:ascii="Times New Roman" w:hAnsi="Times New Roman" w:cs="Times New Roman"/>
          <w:sz w:val="24"/>
          <w:szCs w:val="24"/>
        </w:rPr>
        <w:t>5</w:t>
      </w:r>
      <w:r w:rsidR="00086C88">
        <w:rPr>
          <w:rFonts w:ascii="Times New Roman" w:hAnsi="Times New Roman" w:cs="Times New Roman"/>
          <w:sz w:val="24"/>
          <w:szCs w:val="24"/>
        </w:rPr>
        <w:t> </w:t>
      </w:r>
      <w:r w:rsidRPr="005A2602">
        <w:rPr>
          <w:rFonts w:ascii="Times New Roman" w:hAnsi="Times New Roman" w:cs="Times New Roman"/>
          <w:sz w:val="24"/>
          <w:szCs w:val="24"/>
        </w:rPr>
        <w:t>%), bet izteikti lielāka Latvijā (2</w:t>
      </w:r>
      <w:r w:rsidR="00D24227">
        <w:rPr>
          <w:rFonts w:ascii="Times New Roman" w:hAnsi="Times New Roman" w:cs="Times New Roman"/>
          <w:sz w:val="24"/>
          <w:szCs w:val="24"/>
        </w:rPr>
        <w:t>2</w:t>
      </w:r>
      <w:r w:rsidRPr="005A2602">
        <w:rPr>
          <w:rFonts w:ascii="Times New Roman" w:hAnsi="Times New Roman" w:cs="Times New Roman"/>
          <w:sz w:val="24"/>
          <w:szCs w:val="24"/>
        </w:rPr>
        <w:t>,</w:t>
      </w:r>
      <w:r w:rsidR="00D24227">
        <w:rPr>
          <w:rFonts w:ascii="Times New Roman" w:hAnsi="Times New Roman" w:cs="Times New Roman"/>
          <w:sz w:val="24"/>
          <w:szCs w:val="24"/>
        </w:rPr>
        <w:t>3</w:t>
      </w:r>
      <w:r w:rsidR="00086C88">
        <w:rPr>
          <w:rFonts w:ascii="Times New Roman" w:hAnsi="Times New Roman" w:cs="Times New Roman"/>
          <w:sz w:val="24"/>
          <w:szCs w:val="24"/>
        </w:rPr>
        <w:t> </w:t>
      </w:r>
      <w:r w:rsidRPr="005A2602">
        <w:rPr>
          <w:rFonts w:ascii="Times New Roman" w:hAnsi="Times New Roman" w:cs="Times New Roman"/>
          <w:sz w:val="24"/>
          <w:szCs w:val="24"/>
        </w:rPr>
        <w:t>%).</w:t>
      </w:r>
      <w:r w:rsidR="00E54973" w:rsidRPr="00E54973">
        <w:rPr>
          <w:rFonts w:ascii="Times New Roman" w:eastAsia="Calibri" w:hAnsi="Times New Roman" w:cs="Times New Roman"/>
          <w:i/>
        </w:rPr>
        <w:t xml:space="preserve"> </w:t>
      </w:r>
    </w:p>
    <w:p w14:paraId="7A016747" w14:textId="77777777" w:rsidR="005A2602" w:rsidRPr="005A2602" w:rsidRDefault="005A2602" w:rsidP="008F0CE0">
      <w:pPr>
        <w:rPr>
          <w:rFonts w:ascii="Times New Roman" w:hAnsi="Times New Roman" w:cs="Times New Roman"/>
          <w:sz w:val="24"/>
          <w:szCs w:val="24"/>
        </w:rPr>
      </w:pPr>
      <w:r w:rsidRPr="005A2602">
        <w:rPr>
          <w:rFonts w:ascii="Times New Roman" w:hAnsi="Times New Roman" w:cs="Times New Roman"/>
          <w:sz w:val="24"/>
          <w:szCs w:val="24"/>
        </w:rPr>
        <w:t>Ienākumu neuzrādīšana, kas Latvijā veido aptuveni 3</w:t>
      </w:r>
      <w:r w:rsidR="00F97E70">
        <w:rPr>
          <w:rFonts w:ascii="Times New Roman" w:hAnsi="Times New Roman" w:cs="Times New Roman"/>
          <w:sz w:val="24"/>
          <w:szCs w:val="24"/>
        </w:rPr>
        <w:t>2</w:t>
      </w:r>
      <w:r w:rsidR="00086C88">
        <w:rPr>
          <w:rFonts w:ascii="Times New Roman" w:hAnsi="Times New Roman" w:cs="Times New Roman"/>
          <w:sz w:val="24"/>
          <w:szCs w:val="24"/>
        </w:rPr>
        <w:t> </w:t>
      </w:r>
      <w:r w:rsidRPr="005A2602">
        <w:rPr>
          <w:rFonts w:ascii="Times New Roman" w:hAnsi="Times New Roman" w:cs="Times New Roman"/>
          <w:sz w:val="24"/>
          <w:szCs w:val="24"/>
        </w:rPr>
        <w:t>% no visas ēnu ekonomikas, līdzīgi kā aplokšņu algas, ir komponente, kas nosaka lielāko ēnu ekonomikas apjomu atšķirību starp Latviju un pārējām Baltijas valstīm. Latvijā vidējā ienākumu daļa (%), ko uzņēmēji slēpj no valsts, 201</w:t>
      </w:r>
      <w:r w:rsidR="008168F5">
        <w:rPr>
          <w:rFonts w:ascii="Times New Roman" w:hAnsi="Times New Roman" w:cs="Times New Roman"/>
          <w:sz w:val="24"/>
          <w:szCs w:val="24"/>
        </w:rPr>
        <w:t>9</w:t>
      </w:r>
      <w:r w:rsidRPr="005A2602">
        <w:rPr>
          <w:rFonts w:ascii="Times New Roman" w:hAnsi="Times New Roman" w:cs="Times New Roman"/>
          <w:sz w:val="24"/>
          <w:szCs w:val="24"/>
        </w:rPr>
        <w:t>. gadā</w:t>
      </w:r>
      <w:r w:rsidR="00A064C6">
        <w:rPr>
          <w:rFonts w:ascii="Times New Roman" w:hAnsi="Times New Roman" w:cs="Times New Roman"/>
          <w:sz w:val="24"/>
          <w:szCs w:val="24"/>
        </w:rPr>
        <w:t xml:space="preserve"> (</w:t>
      </w:r>
      <w:r w:rsidR="00584703">
        <w:rPr>
          <w:rFonts w:ascii="Times New Roman" w:hAnsi="Times New Roman" w:cs="Times New Roman"/>
          <w:sz w:val="24"/>
          <w:szCs w:val="24"/>
        </w:rPr>
        <w:t>kaut nedaudz samazinājusies salīdzinājumā ar 2018.gadu</w:t>
      </w:r>
      <w:r w:rsidR="00344BA3">
        <w:rPr>
          <w:rFonts w:ascii="Times New Roman" w:hAnsi="Times New Roman" w:cs="Times New Roman"/>
          <w:sz w:val="24"/>
          <w:szCs w:val="24"/>
        </w:rPr>
        <w:t>, kad</w:t>
      </w:r>
      <w:r w:rsidR="00CE4B4D">
        <w:rPr>
          <w:rFonts w:ascii="Times New Roman" w:hAnsi="Times New Roman" w:cs="Times New Roman"/>
          <w:sz w:val="24"/>
          <w:szCs w:val="24"/>
        </w:rPr>
        <w:t xml:space="preserve"> tā bija 17,9 %</w:t>
      </w:r>
      <w:r w:rsidR="00A064C6">
        <w:rPr>
          <w:rFonts w:ascii="Times New Roman" w:hAnsi="Times New Roman" w:cs="Times New Roman"/>
          <w:sz w:val="24"/>
          <w:szCs w:val="24"/>
        </w:rPr>
        <w:t>)</w:t>
      </w:r>
      <w:r w:rsidRPr="005A2602">
        <w:rPr>
          <w:rFonts w:ascii="Times New Roman" w:hAnsi="Times New Roman" w:cs="Times New Roman"/>
          <w:sz w:val="24"/>
          <w:szCs w:val="24"/>
        </w:rPr>
        <w:t xml:space="preserve"> ir 1</w:t>
      </w:r>
      <w:r w:rsidR="00344BA3">
        <w:rPr>
          <w:rFonts w:ascii="Times New Roman" w:hAnsi="Times New Roman" w:cs="Times New Roman"/>
          <w:sz w:val="24"/>
          <w:szCs w:val="24"/>
        </w:rPr>
        <w:t>6</w:t>
      </w:r>
      <w:r w:rsidRPr="005A2602">
        <w:rPr>
          <w:rFonts w:ascii="Times New Roman" w:hAnsi="Times New Roman" w:cs="Times New Roman"/>
          <w:sz w:val="24"/>
          <w:szCs w:val="24"/>
        </w:rPr>
        <w:t>,</w:t>
      </w:r>
      <w:r w:rsidR="00344BA3">
        <w:rPr>
          <w:rFonts w:ascii="Times New Roman" w:hAnsi="Times New Roman" w:cs="Times New Roman"/>
          <w:sz w:val="24"/>
          <w:szCs w:val="24"/>
        </w:rPr>
        <w:t>6</w:t>
      </w:r>
      <w:r w:rsidR="00086C88">
        <w:rPr>
          <w:rFonts w:ascii="Times New Roman" w:hAnsi="Times New Roman" w:cs="Times New Roman"/>
          <w:sz w:val="24"/>
          <w:szCs w:val="24"/>
        </w:rPr>
        <w:t> </w:t>
      </w:r>
      <w:r w:rsidRPr="005A2602">
        <w:rPr>
          <w:rFonts w:ascii="Times New Roman" w:hAnsi="Times New Roman" w:cs="Times New Roman"/>
          <w:sz w:val="24"/>
          <w:szCs w:val="24"/>
        </w:rPr>
        <w:t xml:space="preserve">%, savukārt Igaunijā tā ir </w:t>
      </w:r>
      <w:r w:rsidR="00A11403">
        <w:rPr>
          <w:rFonts w:ascii="Times New Roman" w:hAnsi="Times New Roman" w:cs="Times New Roman"/>
          <w:sz w:val="24"/>
          <w:szCs w:val="24"/>
        </w:rPr>
        <w:t>10,</w:t>
      </w:r>
      <w:r w:rsidR="00037D73">
        <w:rPr>
          <w:rFonts w:ascii="Times New Roman" w:hAnsi="Times New Roman" w:cs="Times New Roman"/>
          <w:sz w:val="24"/>
          <w:szCs w:val="24"/>
        </w:rPr>
        <w:t>6</w:t>
      </w:r>
      <w:r w:rsidR="00086C88">
        <w:rPr>
          <w:rFonts w:ascii="Times New Roman" w:hAnsi="Times New Roman" w:cs="Times New Roman"/>
          <w:sz w:val="24"/>
          <w:szCs w:val="24"/>
        </w:rPr>
        <w:t> </w:t>
      </w:r>
      <w:r w:rsidRPr="005A2602">
        <w:rPr>
          <w:rFonts w:ascii="Times New Roman" w:hAnsi="Times New Roman" w:cs="Times New Roman"/>
          <w:sz w:val="24"/>
          <w:szCs w:val="24"/>
        </w:rPr>
        <w:t>% (neliels pieaugums no 9,</w:t>
      </w:r>
      <w:r w:rsidR="00037D73">
        <w:rPr>
          <w:rFonts w:ascii="Times New Roman" w:hAnsi="Times New Roman" w:cs="Times New Roman"/>
          <w:sz w:val="24"/>
          <w:szCs w:val="24"/>
        </w:rPr>
        <w:t>9</w:t>
      </w:r>
      <w:r w:rsidR="00086C88">
        <w:rPr>
          <w:rFonts w:ascii="Times New Roman" w:hAnsi="Times New Roman" w:cs="Times New Roman"/>
          <w:sz w:val="24"/>
          <w:szCs w:val="24"/>
        </w:rPr>
        <w:t> </w:t>
      </w:r>
      <w:r w:rsidRPr="005A2602">
        <w:rPr>
          <w:rFonts w:ascii="Times New Roman" w:hAnsi="Times New Roman" w:cs="Times New Roman"/>
          <w:sz w:val="24"/>
          <w:szCs w:val="24"/>
        </w:rPr>
        <w:t>% 201</w:t>
      </w:r>
      <w:r w:rsidR="00037D73">
        <w:rPr>
          <w:rFonts w:ascii="Times New Roman" w:hAnsi="Times New Roman" w:cs="Times New Roman"/>
          <w:sz w:val="24"/>
          <w:szCs w:val="24"/>
        </w:rPr>
        <w:t>8</w:t>
      </w:r>
      <w:r w:rsidRPr="005A2602">
        <w:rPr>
          <w:rFonts w:ascii="Times New Roman" w:hAnsi="Times New Roman" w:cs="Times New Roman"/>
          <w:sz w:val="24"/>
          <w:szCs w:val="24"/>
        </w:rPr>
        <w:t>.</w:t>
      </w:r>
      <w:r w:rsidR="00AB7ABE">
        <w:rPr>
          <w:rFonts w:ascii="Times New Roman" w:hAnsi="Times New Roman" w:cs="Times New Roman"/>
          <w:sz w:val="24"/>
          <w:szCs w:val="24"/>
        </w:rPr>
        <w:t> </w:t>
      </w:r>
      <w:r w:rsidRPr="005A2602">
        <w:rPr>
          <w:rFonts w:ascii="Times New Roman" w:hAnsi="Times New Roman" w:cs="Times New Roman"/>
          <w:sz w:val="24"/>
          <w:szCs w:val="24"/>
        </w:rPr>
        <w:t>gadā), bet Lietuvā – 1</w:t>
      </w:r>
      <w:r w:rsidR="00037D73">
        <w:rPr>
          <w:rFonts w:ascii="Times New Roman" w:hAnsi="Times New Roman" w:cs="Times New Roman"/>
          <w:sz w:val="24"/>
          <w:szCs w:val="24"/>
        </w:rPr>
        <w:t>4</w:t>
      </w:r>
      <w:r w:rsidRPr="005A2602">
        <w:rPr>
          <w:rFonts w:ascii="Times New Roman" w:hAnsi="Times New Roman" w:cs="Times New Roman"/>
          <w:sz w:val="24"/>
          <w:szCs w:val="24"/>
        </w:rPr>
        <w:t>,</w:t>
      </w:r>
      <w:r w:rsidR="00037D73">
        <w:rPr>
          <w:rFonts w:ascii="Times New Roman" w:hAnsi="Times New Roman" w:cs="Times New Roman"/>
          <w:sz w:val="24"/>
          <w:szCs w:val="24"/>
        </w:rPr>
        <w:t>4</w:t>
      </w:r>
      <w:r w:rsidR="00086C88">
        <w:rPr>
          <w:rFonts w:ascii="Times New Roman" w:hAnsi="Times New Roman" w:cs="Times New Roman"/>
          <w:sz w:val="24"/>
          <w:szCs w:val="24"/>
        </w:rPr>
        <w:t> </w:t>
      </w:r>
      <w:r w:rsidRPr="005A2602">
        <w:rPr>
          <w:rFonts w:ascii="Times New Roman" w:hAnsi="Times New Roman" w:cs="Times New Roman"/>
          <w:sz w:val="24"/>
          <w:szCs w:val="24"/>
        </w:rPr>
        <w:t>% (pieaugums no 1</w:t>
      </w:r>
      <w:r w:rsidR="00037D73">
        <w:rPr>
          <w:rFonts w:ascii="Times New Roman" w:hAnsi="Times New Roman" w:cs="Times New Roman"/>
          <w:sz w:val="24"/>
          <w:szCs w:val="24"/>
        </w:rPr>
        <w:t>3</w:t>
      </w:r>
      <w:r w:rsidRPr="005A2602">
        <w:rPr>
          <w:rFonts w:ascii="Times New Roman" w:hAnsi="Times New Roman" w:cs="Times New Roman"/>
          <w:sz w:val="24"/>
          <w:szCs w:val="24"/>
        </w:rPr>
        <w:t>,8</w:t>
      </w:r>
      <w:r w:rsidR="00086C88">
        <w:rPr>
          <w:rFonts w:ascii="Times New Roman" w:hAnsi="Times New Roman" w:cs="Times New Roman"/>
          <w:sz w:val="24"/>
          <w:szCs w:val="24"/>
        </w:rPr>
        <w:t> </w:t>
      </w:r>
      <w:r w:rsidRPr="005A2602">
        <w:rPr>
          <w:rFonts w:ascii="Times New Roman" w:hAnsi="Times New Roman" w:cs="Times New Roman"/>
          <w:sz w:val="24"/>
          <w:szCs w:val="24"/>
        </w:rPr>
        <w:t>% 201</w:t>
      </w:r>
      <w:r w:rsidR="00037D73">
        <w:rPr>
          <w:rFonts w:ascii="Times New Roman" w:hAnsi="Times New Roman" w:cs="Times New Roman"/>
          <w:sz w:val="24"/>
          <w:szCs w:val="24"/>
        </w:rPr>
        <w:t>8</w:t>
      </w:r>
      <w:r w:rsidRPr="005A2602">
        <w:rPr>
          <w:rFonts w:ascii="Times New Roman" w:hAnsi="Times New Roman" w:cs="Times New Roman"/>
          <w:sz w:val="24"/>
          <w:szCs w:val="24"/>
        </w:rPr>
        <w:t>.</w:t>
      </w:r>
      <w:r w:rsidR="00AB7ABE">
        <w:rPr>
          <w:rFonts w:ascii="Times New Roman" w:hAnsi="Times New Roman" w:cs="Times New Roman"/>
          <w:sz w:val="24"/>
          <w:szCs w:val="24"/>
        </w:rPr>
        <w:t> </w:t>
      </w:r>
      <w:r w:rsidRPr="005A2602">
        <w:rPr>
          <w:rFonts w:ascii="Times New Roman" w:hAnsi="Times New Roman" w:cs="Times New Roman"/>
          <w:sz w:val="24"/>
          <w:szCs w:val="24"/>
        </w:rPr>
        <w:t xml:space="preserve">gadā). </w:t>
      </w:r>
    </w:p>
    <w:p w14:paraId="22E40DE0" w14:textId="4CF71259" w:rsidR="005A2602" w:rsidRDefault="005A2602" w:rsidP="005A2602">
      <w:pPr>
        <w:rPr>
          <w:rFonts w:ascii="Times New Roman" w:hAnsi="Times New Roman" w:cs="Times New Roman"/>
          <w:sz w:val="24"/>
          <w:szCs w:val="24"/>
        </w:rPr>
      </w:pPr>
      <w:r w:rsidRPr="005A2602">
        <w:rPr>
          <w:rFonts w:ascii="Times New Roman" w:hAnsi="Times New Roman" w:cs="Times New Roman"/>
          <w:sz w:val="24"/>
          <w:szCs w:val="24"/>
        </w:rPr>
        <w:t>Atbilstoši A. Saukas pētījumam Latvijā augstākais ēnu ekonomikas īpatsvars - 3</w:t>
      </w:r>
      <w:r w:rsidR="005A460B">
        <w:rPr>
          <w:rFonts w:ascii="Times New Roman" w:hAnsi="Times New Roman" w:cs="Times New Roman"/>
          <w:sz w:val="24"/>
          <w:szCs w:val="24"/>
        </w:rPr>
        <w:t>3</w:t>
      </w:r>
      <w:r w:rsidRPr="005A2602">
        <w:rPr>
          <w:rFonts w:ascii="Times New Roman" w:hAnsi="Times New Roman" w:cs="Times New Roman"/>
          <w:sz w:val="24"/>
          <w:szCs w:val="24"/>
        </w:rPr>
        <w:t>,</w:t>
      </w:r>
      <w:r w:rsidR="005A460B">
        <w:rPr>
          <w:rFonts w:ascii="Times New Roman" w:hAnsi="Times New Roman" w:cs="Times New Roman"/>
          <w:sz w:val="24"/>
          <w:szCs w:val="24"/>
        </w:rPr>
        <w:t>3</w:t>
      </w:r>
      <w:r w:rsidR="00086C88">
        <w:rPr>
          <w:rFonts w:ascii="Times New Roman" w:hAnsi="Times New Roman" w:cs="Times New Roman"/>
          <w:sz w:val="24"/>
          <w:szCs w:val="24"/>
        </w:rPr>
        <w:t> </w:t>
      </w:r>
      <w:r w:rsidRPr="005A2602">
        <w:rPr>
          <w:rFonts w:ascii="Times New Roman" w:hAnsi="Times New Roman" w:cs="Times New Roman"/>
          <w:sz w:val="24"/>
          <w:szCs w:val="24"/>
        </w:rPr>
        <w:t xml:space="preserve">% - </w:t>
      </w:r>
      <w:r w:rsidR="00175D11">
        <w:rPr>
          <w:rFonts w:ascii="Times New Roman" w:hAnsi="Times New Roman" w:cs="Times New Roman"/>
          <w:sz w:val="24"/>
          <w:szCs w:val="24"/>
        </w:rPr>
        <w:t>20</w:t>
      </w:r>
      <w:r w:rsidR="005A460B">
        <w:rPr>
          <w:rFonts w:ascii="Times New Roman" w:hAnsi="Times New Roman" w:cs="Times New Roman"/>
          <w:sz w:val="24"/>
          <w:szCs w:val="24"/>
        </w:rPr>
        <w:t>19</w:t>
      </w:r>
      <w:r w:rsidR="00175D11">
        <w:rPr>
          <w:rFonts w:ascii="Times New Roman" w:hAnsi="Times New Roman" w:cs="Times New Roman"/>
          <w:sz w:val="24"/>
          <w:szCs w:val="24"/>
        </w:rPr>
        <w:t>.</w:t>
      </w:r>
      <w:r w:rsidR="00AB7ABE">
        <w:rPr>
          <w:rFonts w:ascii="Times New Roman" w:hAnsi="Times New Roman" w:cs="Times New Roman"/>
          <w:sz w:val="24"/>
          <w:szCs w:val="24"/>
        </w:rPr>
        <w:t> </w:t>
      </w:r>
      <w:r w:rsidR="00175D11">
        <w:rPr>
          <w:rFonts w:ascii="Times New Roman" w:hAnsi="Times New Roman" w:cs="Times New Roman"/>
          <w:sz w:val="24"/>
          <w:szCs w:val="24"/>
        </w:rPr>
        <w:t>gadā</w:t>
      </w:r>
      <w:r w:rsidRPr="005A2602">
        <w:rPr>
          <w:rFonts w:ascii="Times New Roman" w:hAnsi="Times New Roman" w:cs="Times New Roman"/>
          <w:sz w:val="24"/>
          <w:szCs w:val="24"/>
        </w:rPr>
        <w:t xml:space="preserve"> joprojām bija būvniecībā, ar 2</w:t>
      </w:r>
      <w:r w:rsidR="00837F26">
        <w:rPr>
          <w:rFonts w:ascii="Times New Roman" w:hAnsi="Times New Roman" w:cs="Times New Roman"/>
          <w:sz w:val="24"/>
          <w:szCs w:val="24"/>
        </w:rPr>
        <w:t>7</w:t>
      </w:r>
      <w:r w:rsidRPr="005A2602">
        <w:rPr>
          <w:rFonts w:ascii="Times New Roman" w:hAnsi="Times New Roman" w:cs="Times New Roman"/>
          <w:sz w:val="24"/>
          <w:szCs w:val="24"/>
        </w:rPr>
        <w:t>,</w:t>
      </w:r>
      <w:r w:rsidR="00837F26">
        <w:rPr>
          <w:rFonts w:ascii="Times New Roman" w:hAnsi="Times New Roman" w:cs="Times New Roman"/>
          <w:sz w:val="24"/>
          <w:szCs w:val="24"/>
        </w:rPr>
        <w:t>7</w:t>
      </w:r>
      <w:r w:rsidR="00086C88">
        <w:rPr>
          <w:rFonts w:ascii="Times New Roman" w:hAnsi="Times New Roman" w:cs="Times New Roman"/>
          <w:sz w:val="24"/>
          <w:szCs w:val="24"/>
        </w:rPr>
        <w:t> </w:t>
      </w:r>
      <w:r w:rsidRPr="005A2602">
        <w:rPr>
          <w:rFonts w:ascii="Times New Roman" w:hAnsi="Times New Roman" w:cs="Times New Roman"/>
          <w:sz w:val="24"/>
          <w:szCs w:val="24"/>
        </w:rPr>
        <w:t>% seko mazumtirdzniecības nozare, ar 2</w:t>
      </w:r>
      <w:r w:rsidR="00D24E27">
        <w:rPr>
          <w:rFonts w:ascii="Times New Roman" w:hAnsi="Times New Roman" w:cs="Times New Roman"/>
          <w:sz w:val="24"/>
          <w:szCs w:val="24"/>
        </w:rPr>
        <w:t>6</w:t>
      </w:r>
      <w:r w:rsidRPr="005A2602">
        <w:rPr>
          <w:rFonts w:ascii="Times New Roman" w:hAnsi="Times New Roman" w:cs="Times New Roman"/>
          <w:sz w:val="24"/>
          <w:szCs w:val="24"/>
        </w:rPr>
        <w:t>,</w:t>
      </w:r>
      <w:r w:rsidR="00D24E27">
        <w:rPr>
          <w:rFonts w:ascii="Times New Roman" w:hAnsi="Times New Roman" w:cs="Times New Roman"/>
          <w:sz w:val="24"/>
          <w:szCs w:val="24"/>
        </w:rPr>
        <w:t>6</w:t>
      </w:r>
      <w:r w:rsidR="00086C88">
        <w:rPr>
          <w:rFonts w:ascii="Times New Roman" w:hAnsi="Times New Roman" w:cs="Times New Roman"/>
          <w:sz w:val="24"/>
          <w:szCs w:val="24"/>
        </w:rPr>
        <w:t> </w:t>
      </w:r>
      <w:r w:rsidRPr="005A2602">
        <w:rPr>
          <w:rFonts w:ascii="Times New Roman" w:hAnsi="Times New Roman" w:cs="Times New Roman"/>
          <w:sz w:val="24"/>
          <w:szCs w:val="24"/>
        </w:rPr>
        <w:t xml:space="preserve">% - </w:t>
      </w:r>
      <w:r w:rsidR="00D24E27">
        <w:rPr>
          <w:rFonts w:ascii="Times New Roman" w:hAnsi="Times New Roman" w:cs="Times New Roman"/>
          <w:sz w:val="24"/>
          <w:szCs w:val="24"/>
        </w:rPr>
        <w:t>vairumtirdzniecība</w:t>
      </w:r>
      <w:r w:rsidRPr="005A2602">
        <w:rPr>
          <w:rFonts w:ascii="Times New Roman" w:hAnsi="Times New Roman" w:cs="Times New Roman"/>
          <w:sz w:val="24"/>
          <w:szCs w:val="24"/>
        </w:rPr>
        <w:t xml:space="preserve">, ar </w:t>
      </w:r>
      <w:r w:rsidR="00F66CE7">
        <w:rPr>
          <w:rFonts w:ascii="Times New Roman" w:hAnsi="Times New Roman" w:cs="Times New Roman"/>
          <w:sz w:val="24"/>
          <w:szCs w:val="24"/>
        </w:rPr>
        <w:t>20</w:t>
      </w:r>
      <w:r w:rsidRPr="005A2602">
        <w:rPr>
          <w:rFonts w:ascii="Times New Roman" w:hAnsi="Times New Roman" w:cs="Times New Roman"/>
          <w:sz w:val="24"/>
          <w:szCs w:val="24"/>
        </w:rPr>
        <w:t>,</w:t>
      </w:r>
      <w:r w:rsidR="00F66CE7">
        <w:rPr>
          <w:rFonts w:ascii="Times New Roman" w:hAnsi="Times New Roman" w:cs="Times New Roman"/>
          <w:sz w:val="24"/>
          <w:szCs w:val="24"/>
        </w:rPr>
        <w:t>7</w:t>
      </w:r>
      <w:r w:rsidR="00086C88">
        <w:rPr>
          <w:rFonts w:ascii="Times New Roman" w:hAnsi="Times New Roman" w:cs="Times New Roman"/>
          <w:sz w:val="24"/>
          <w:szCs w:val="24"/>
        </w:rPr>
        <w:t> </w:t>
      </w:r>
      <w:r w:rsidRPr="005A2602">
        <w:rPr>
          <w:rFonts w:ascii="Times New Roman" w:hAnsi="Times New Roman" w:cs="Times New Roman"/>
          <w:sz w:val="24"/>
          <w:szCs w:val="24"/>
        </w:rPr>
        <w:t xml:space="preserve">% - </w:t>
      </w:r>
      <w:r w:rsidR="00F66CE7">
        <w:rPr>
          <w:rFonts w:ascii="Times New Roman" w:hAnsi="Times New Roman" w:cs="Times New Roman"/>
          <w:sz w:val="24"/>
          <w:szCs w:val="24"/>
        </w:rPr>
        <w:t>pakalpojumu</w:t>
      </w:r>
      <w:r w:rsidRPr="005A2602">
        <w:rPr>
          <w:rFonts w:ascii="Times New Roman" w:hAnsi="Times New Roman" w:cs="Times New Roman"/>
          <w:sz w:val="24"/>
          <w:szCs w:val="24"/>
        </w:rPr>
        <w:t xml:space="preserve"> nozare, bet </w:t>
      </w:r>
      <w:r w:rsidR="00BB5E6C">
        <w:rPr>
          <w:rFonts w:ascii="Times New Roman" w:hAnsi="Times New Roman" w:cs="Times New Roman"/>
          <w:sz w:val="24"/>
          <w:szCs w:val="24"/>
        </w:rPr>
        <w:t>ražošanas nozarē</w:t>
      </w:r>
      <w:r w:rsidRPr="005A2602">
        <w:rPr>
          <w:rFonts w:ascii="Times New Roman" w:hAnsi="Times New Roman" w:cs="Times New Roman"/>
          <w:sz w:val="24"/>
          <w:szCs w:val="24"/>
        </w:rPr>
        <w:t xml:space="preserve"> ēnu ekonomikas īpatsvars bija 1</w:t>
      </w:r>
      <w:r w:rsidR="001F18F3">
        <w:rPr>
          <w:rFonts w:ascii="Times New Roman" w:hAnsi="Times New Roman" w:cs="Times New Roman"/>
          <w:sz w:val="24"/>
          <w:szCs w:val="24"/>
        </w:rPr>
        <w:t>7</w:t>
      </w:r>
      <w:r w:rsidRPr="005A2602">
        <w:rPr>
          <w:rFonts w:ascii="Times New Roman" w:hAnsi="Times New Roman" w:cs="Times New Roman"/>
          <w:sz w:val="24"/>
          <w:szCs w:val="24"/>
        </w:rPr>
        <w:t>,</w:t>
      </w:r>
      <w:r w:rsidR="001F18F3">
        <w:rPr>
          <w:rFonts w:ascii="Times New Roman" w:hAnsi="Times New Roman" w:cs="Times New Roman"/>
          <w:sz w:val="24"/>
          <w:szCs w:val="24"/>
        </w:rPr>
        <w:t>0</w:t>
      </w:r>
      <w:r w:rsidR="00086C88">
        <w:rPr>
          <w:rFonts w:ascii="Times New Roman" w:hAnsi="Times New Roman" w:cs="Times New Roman"/>
          <w:sz w:val="24"/>
          <w:szCs w:val="24"/>
        </w:rPr>
        <w:t> </w:t>
      </w:r>
      <w:r w:rsidRPr="005A2602">
        <w:rPr>
          <w:rFonts w:ascii="Times New Roman" w:hAnsi="Times New Roman" w:cs="Times New Roman"/>
          <w:sz w:val="24"/>
          <w:szCs w:val="24"/>
        </w:rPr>
        <w:t>%.</w:t>
      </w:r>
      <w:r w:rsidR="009B5CA1">
        <w:rPr>
          <w:rFonts w:ascii="Times New Roman" w:hAnsi="Times New Roman" w:cs="Times New Roman"/>
          <w:sz w:val="24"/>
          <w:szCs w:val="24"/>
        </w:rPr>
        <w:t xml:space="preserve"> </w:t>
      </w:r>
      <w:r w:rsidR="009B5CA1" w:rsidRPr="009B5CA1">
        <w:rPr>
          <w:rFonts w:ascii="Times New Roman" w:hAnsi="Times New Roman" w:cs="Times New Roman"/>
          <w:sz w:val="24"/>
          <w:szCs w:val="24"/>
        </w:rPr>
        <w:t xml:space="preserve">Savukārt kā norādīts </w:t>
      </w:r>
      <w:r w:rsidR="00CF0F28">
        <w:rPr>
          <w:rFonts w:ascii="Times New Roman" w:hAnsi="Times New Roman" w:cs="Times New Roman"/>
          <w:sz w:val="24"/>
          <w:szCs w:val="24"/>
        </w:rPr>
        <w:t xml:space="preserve">A. Saukas </w:t>
      </w:r>
      <w:r w:rsidR="009B5CA1" w:rsidRPr="009B5CA1">
        <w:rPr>
          <w:rFonts w:ascii="Times New Roman" w:hAnsi="Times New Roman" w:cs="Times New Roman"/>
          <w:sz w:val="24"/>
          <w:szCs w:val="24"/>
        </w:rPr>
        <w:t>pētījumā “Ēnu ekonomikas indekss Latvijas būvniecībā 2015 – 2019” ēnu ekonomikas apjoms būvniecībā 2019.</w:t>
      </w:r>
      <w:r w:rsidR="003763EA">
        <w:rPr>
          <w:rFonts w:ascii="Times New Roman" w:hAnsi="Times New Roman" w:cs="Times New Roman"/>
          <w:sz w:val="24"/>
          <w:szCs w:val="24"/>
        </w:rPr>
        <w:t> </w:t>
      </w:r>
      <w:r w:rsidR="009B5CA1" w:rsidRPr="009B5CA1">
        <w:rPr>
          <w:rFonts w:ascii="Times New Roman" w:hAnsi="Times New Roman" w:cs="Times New Roman"/>
          <w:sz w:val="24"/>
          <w:szCs w:val="24"/>
        </w:rPr>
        <w:t>gadā bija 30,7</w:t>
      </w:r>
      <w:r w:rsidR="00C35344">
        <w:rPr>
          <w:rFonts w:ascii="Times New Roman" w:hAnsi="Times New Roman" w:cs="Times New Roman"/>
          <w:sz w:val="24"/>
          <w:szCs w:val="24"/>
        </w:rPr>
        <w:t> </w:t>
      </w:r>
      <w:r w:rsidR="009B5CA1" w:rsidRPr="009B5CA1">
        <w:rPr>
          <w:rFonts w:ascii="Times New Roman" w:hAnsi="Times New Roman" w:cs="Times New Roman"/>
          <w:sz w:val="24"/>
          <w:szCs w:val="24"/>
        </w:rPr>
        <w:t>%.</w:t>
      </w:r>
    </w:p>
    <w:p w14:paraId="21F50040" w14:textId="77777777" w:rsidR="004939A4" w:rsidRDefault="004939A4" w:rsidP="005A2602">
      <w:pPr>
        <w:rPr>
          <w:rFonts w:ascii="Times New Roman" w:hAnsi="Times New Roman" w:cs="Times New Roman"/>
          <w:sz w:val="24"/>
          <w:szCs w:val="24"/>
        </w:rPr>
      </w:pPr>
    </w:p>
    <w:p w14:paraId="4F1761BA" w14:textId="77777777" w:rsidR="004939A4" w:rsidRDefault="004939A4" w:rsidP="005A2602">
      <w:pPr>
        <w:rPr>
          <w:rFonts w:ascii="Times New Roman" w:hAnsi="Times New Roman" w:cs="Times New Roman"/>
          <w:sz w:val="24"/>
          <w:szCs w:val="24"/>
        </w:rPr>
      </w:pPr>
    </w:p>
    <w:p w14:paraId="4F0D0B8A" w14:textId="77777777" w:rsidR="0080442F" w:rsidRDefault="0080442F" w:rsidP="005A2602">
      <w:pPr>
        <w:rPr>
          <w:rFonts w:ascii="Times New Roman" w:hAnsi="Times New Roman" w:cs="Times New Roman"/>
          <w:sz w:val="24"/>
          <w:szCs w:val="24"/>
        </w:rPr>
      </w:pPr>
    </w:p>
    <w:p w14:paraId="42808759" w14:textId="77777777" w:rsidR="0080442F" w:rsidRDefault="0080442F" w:rsidP="005A2602">
      <w:pPr>
        <w:rPr>
          <w:rFonts w:ascii="Times New Roman" w:hAnsi="Times New Roman" w:cs="Times New Roman"/>
          <w:sz w:val="24"/>
          <w:szCs w:val="24"/>
        </w:rPr>
      </w:pPr>
    </w:p>
    <w:p w14:paraId="57D52F7B" w14:textId="77777777" w:rsidR="0080442F" w:rsidRDefault="0080442F" w:rsidP="005A2602">
      <w:pPr>
        <w:rPr>
          <w:rFonts w:ascii="Times New Roman" w:hAnsi="Times New Roman" w:cs="Times New Roman"/>
          <w:sz w:val="24"/>
          <w:szCs w:val="24"/>
        </w:rPr>
      </w:pPr>
    </w:p>
    <w:p w14:paraId="288B6CD5" w14:textId="77777777" w:rsidR="0080442F" w:rsidRDefault="0080442F" w:rsidP="005A2602">
      <w:pPr>
        <w:rPr>
          <w:rFonts w:ascii="Times New Roman" w:hAnsi="Times New Roman" w:cs="Times New Roman"/>
          <w:sz w:val="24"/>
          <w:szCs w:val="24"/>
        </w:rPr>
      </w:pPr>
    </w:p>
    <w:p w14:paraId="07DAF77B" w14:textId="77777777" w:rsidR="004939A4" w:rsidRDefault="004939A4" w:rsidP="005A2602">
      <w:pPr>
        <w:rPr>
          <w:rFonts w:ascii="Times New Roman" w:hAnsi="Times New Roman" w:cs="Times New Roman"/>
          <w:sz w:val="24"/>
          <w:szCs w:val="24"/>
        </w:rPr>
      </w:pPr>
    </w:p>
    <w:p w14:paraId="7654E3D3" w14:textId="77777777" w:rsidR="00883E80" w:rsidRDefault="00883E80" w:rsidP="00883E80">
      <w:pPr>
        <w:jc w:val="right"/>
        <w:rPr>
          <w:rFonts w:ascii="Times New Roman" w:hAnsi="Times New Roman" w:cs="Times New Roman"/>
          <w:sz w:val="24"/>
          <w:szCs w:val="24"/>
        </w:rPr>
      </w:pPr>
      <w:r>
        <w:rPr>
          <w:rFonts w:ascii="Times New Roman" w:hAnsi="Times New Roman" w:cs="Times New Roman"/>
          <w:i/>
        </w:rPr>
        <w:lastRenderedPageBreak/>
        <w:t>4</w:t>
      </w:r>
      <w:r w:rsidRPr="00033E92">
        <w:rPr>
          <w:rFonts w:ascii="Times New Roman" w:hAnsi="Times New Roman" w:cs="Times New Roman"/>
          <w:i/>
        </w:rPr>
        <w:t>. grafiks</w:t>
      </w:r>
    </w:p>
    <w:p w14:paraId="31B5140F" w14:textId="77777777" w:rsidR="00527FC8" w:rsidRDefault="00EC1E9D" w:rsidP="00B158C8">
      <w:pPr>
        <w:ind w:firstLine="0"/>
        <w:jc w:val="center"/>
        <w:rPr>
          <w:rFonts w:ascii="Times New Roman" w:hAnsi="Times New Roman" w:cs="Times New Roman"/>
          <w:sz w:val="24"/>
          <w:szCs w:val="24"/>
        </w:rPr>
      </w:pPr>
      <w:r>
        <w:rPr>
          <w:noProof/>
          <w:lang w:eastAsia="lv-LV"/>
        </w:rPr>
        <w:drawing>
          <wp:inline distT="0" distB="0" distL="0" distR="0" wp14:anchorId="5C524F38" wp14:editId="5CB5FC1F">
            <wp:extent cx="4686935" cy="2981405"/>
            <wp:effectExtent l="0" t="0" r="18415" b="9525"/>
            <wp:docPr id="6" name="Chart 6">
              <a:extLst xmlns:a="http://schemas.openxmlformats.org/drawingml/2006/main">
                <a:ext uri="{FF2B5EF4-FFF2-40B4-BE49-F238E27FC236}">
                  <a16:creationId xmlns:a16="http://schemas.microsoft.com/office/drawing/2014/main" id="{50F50E2F-2088-4093-8752-EE8457D8FE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CF476A" w14:textId="77777777" w:rsidR="00527FC8" w:rsidRPr="00C30059" w:rsidRDefault="00413BB3" w:rsidP="00C30059">
      <w:pPr>
        <w:ind w:firstLine="0"/>
        <w:rPr>
          <w:rFonts w:ascii="Times New Roman" w:hAnsi="Times New Roman" w:cs="Times New Roman"/>
          <w:i/>
          <w:iCs/>
        </w:rPr>
      </w:pPr>
      <w:r w:rsidRPr="00C30059">
        <w:rPr>
          <w:rFonts w:ascii="Times New Roman" w:hAnsi="Times New Roman" w:cs="Times New Roman"/>
          <w:i/>
          <w:iCs/>
        </w:rPr>
        <w:t>Avots:</w:t>
      </w:r>
      <w:r w:rsidRPr="00C30059">
        <w:rPr>
          <w:rFonts w:ascii="Times New Roman" w:hAnsi="Times New Roman" w:cs="Times New Roman"/>
        </w:rPr>
        <w:t xml:space="preserve"> </w:t>
      </w:r>
      <w:r w:rsidR="00452513" w:rsidRPr="00C30059">
        <w:rPr>
          <w:rFonts w:ascii="Times New Roman" w:eastAsia="Calibri" w:hAnsi="Times New Roman" w:cs="Times New Roman"/>
          <w:i/>
        </w:rPr>
        <w:t>Pētījums ”Ēnu ekonomikas indekss Baltijas valstīs 2009.-201</w:t>
      </w:r>
      <w:r w:rsidR="00325DB7">
        <w:rPr>
          <w:rFonts w:ascii="Times New Roman" w:eastAsia="Calibri" w:hAnsi="Times New Roman" w:cs="Times New Roman"/>
          <w:i/>
        </w:rPr>
        <w:t>9</w:t>
      </w:r>
      <w:r w:rsidR="00452513" w:rsidRPr="00C30059">
        <w:rPr>
          <w:rFonts w:ascii="Times New Roman" w:eastAsia="Calibri" w:hAnsi="Times New Roman" w:cs="Times New Roman"/>
          <w:i/>
        </w:rPr>
        <w:t xml:space="preserve">. gadā”, SSE </w:t>
      </w:r>
      <w:r w:rsidR="00452513" w:rsidRPr="00C86BB2">
        <w:rPr>
          <w:rFonts w:ascii="Times New Roman" w:eastAsia="Calibri" w:hAnsi="Times New Roman" w:cs="Times New Roman"/>
          <w:i/>
        </w:rPr>
        <w:t>Riga</w:t>
      </w:r>
      <w:r w:rsidR="00452513" w:rsidRPr="00C30059">
        <w:rPr>
          <w:rFonts w:ascii="Times New Roman" w:eastAsia="Calibri" w:hAnsi="Times New Roman" w:cs="Times New Roman"/>
          <w:i/>
        </w:rPr>
        <w:t xml:space="preserve"> Ilgtspējīga biznesa centrs, A. Sauka, T. Putniņš;</w:t>
      </w:r>
      <w:r w:rsidR="00EC1E9D">
        <w:rPr>
          <w:rFonts w:ascii="Times New Roman" w:hAnsi="Times New Roman" w:cs="Times New Roman"/>
          <w:i/>
          <w:iCs/>
        </w:rPr>
        <w:t xml:space="preserve"> 2020</w:t>
      </w:r>
      <w:r w:rsidR="00452513" w:rsidRPr="00C30059">
        <w:rPr>
          <w:rFonts w:ascii="Times New Roman" w:hAnsi="Times New Roman" w:cs="Times New Roman"/>
          <w:i/>
          <w:iCs/>
        </w:rPr>
        <w:t>.</w:t>
      </w:r>
    </w:p>
    <w:p w14:paraId="4CF35751" w14:textId="77777777" w:rsidR="00413BB3" w:rsidRDefault="00413BB3" w:rsidP="00413BB3">
      <w:pPr>
        <w:rPr>
          <w:rFonts w:ascii="Times New Roman" w:hAnsi="Times New Roman" w:cs="Times New Roman"/>
          <w:sz w:val="24"/>
          <w:szCs w:val="24"/>
        </w:rPr>
      </w:pPr>
    </w:p>
    <w:p w14:paraId="2E69A5E7" w14:textId="77777777" w:rsidR="00DE6995" w:rsidRPr="00DE6995" w:rsidRDefault="00DE6995" w:rsidP="00413BB3">
      <w:pPr>
        <w:rPr>
          <w:rFonts w:ascii="Times New Roman" w:hAnsi="Times New Roman" w:cs="Times New Roman"/>
          <w:sz w:val="24"/>
          <w:szCs w:val="24"/>
        </w:rPr>
      </w:pPr>
      <w:r w:rsidRPr="00DE6995">
        <w:rPr>
          <w:rFonts w:ascii="Times New Roman" w:hAnsi="Times New Roman" w:cs="Times New Roman"/>
          <w:sz w:val="24"/>
          <w:szCs w:val="24"/>
        </w:rPr>
        <w:t>Aplūkojot citus pētījumus par ēnu ekonomiku,</w:t>
      </w:r>
      <w:r w:rsidR="009944DC">
        <w:rPr>
          <w:rFonts w:ascii="Times New Roman" w:hAnsi="Times New Roman" w:cs="Times New Roman"/>
          <w:sz w:val="24"/>
          <w:szCs w:val="24"/>
        </w:rPr>
        <w:t xml:space="preserve"> kas atspoguļo datus par Latviju,</w:t>
      </w:r>
      <w:r w:rsidRPr="00DE6995">
        <w:rPr>
          <w:rFonts w:ascii="Times New Roman" w:hAnsi="Times New Roman" w:cs="Times New Roman"/>
          <w:sz w:val="24"/>
          <w:szCs w:val="24"/>
        </w:rPr>
        <w:t xml:space="preserve"> 2019</w:t>
      </w:r>
      <w:r w:rsidR="0029093D">
        <w:rPr>
          <w:rFonts w:ascii="Times New Roman" w:hAnsi="Times New Roman" w:cs="Times New Roman"/>
          <w:sz w:val="24"/>
          <w:szCs w:val="24"/>
        </w:rPr>
        <w:t>.</w:t>
      </w:r>
      <w:r w:rsidR="00485B4B">
        <w:rPr>
          <w:rFonts w:ascii="Times New Roman" w:hAnsi="Times New Roman" w:cs="Times New Roman"/>
          <w:sz w:val="24"/>
          <w:szCs w:val="24"/>
        </w:rPr>
        <w:t> </w:t>
      </w:r>
      <w:r w:rsidRPr="00DE6995">
        <w:rPr>
          <w:rFonts w:ascii="Times New Roman" w:hAnsi="Times New Roman" w:cs="Times New Roman"/>
          <w:sz w:val="24"/>
          <w:szCs w:val="24"/>
        </w:rPr>
        <w:t>gad</w:t>
      </w:r>
      <w:r w:rsidR="00BE5759">
        <w:rPr>
          <w:rFonts w:ascii="Times New Roman" w:hAnsi="Times New Roman" w:cs="Times New Roman"/>
          <w:sz w:val="24"/>
          <w:szCs w:val="24"/>
        </w:rPr>
        <w:t>ā</w:t>
      </w:r>
      <w:r w:rsidRPr="00DE6995">
        <w:rPr>
          <w:rFonts w:ascii="Times New Roman" w:hAnsi="Times New Roman" w:cs="Times New Roman"/>
          <w:sz w:val="24"/>
          <w:szCs w:val="24"/>
        </w:rPr>
        <w:t xml:space="preserve"> tika publiskoti aktuālākie pētījuma rezultāti par apjomu un iedzīvotāju paradumiem attiecībā uz iesaisti nelegālajā darba tirgū un nelegālas izcelsmes preču un pakalpojumu pirkšanā.</w:t>
      </w:r>
      <w:r w:rsidR="00AD1A09">
        <w:rPr>
          <w:rStyle w:val="FootnoteReference"/>
          <w:rFonts w:ascii="Times New Roman" w:hAnsi="Times New Roman" w:cs="Times New Roman"/>
          <w:sz w:val="24"/>
          <w:szCs w:val="24"/>
        </w:rPr>
        <w:footnoteReference w:id="7"/>
      </w:r>
    </w:p>
    <w:p w14:paraId="260E62D7" w14:textId="77777777" w:rsidR="00DE6995" w:rsidRDefault="009944DC" w:rsidP="00413BB3">
      <w:pPr>
        <w:rPr>
          <w:rFonts w:ascii="Times New Roman" w:hAnsi="Times New Roman" w:cs="Times New Roman"/>
          <w:sz w:val="24"/>
          <w:szCs w:val="24"/>
        </w:rPr>
      </w:pPr>
      <w:r>
        <w:rPr>
          <w:rFonts w:ascii="Times New Roman" w:hAnsi="Times New Roman" w:cs="Times New Roman"/>
          <w:sz w:val="24"/>
          <w:szCs w:val="24"/>
        </w:rPr>
        <w:t>Minēto p</w:t>
      </w:r>
      <w:r w:rsidR="00DE6995" w:rsidRPr="00DE6995">
        <w:rPr>
          <w:rFonts w:ascii="Times New Roman" w:hAnsi="Times New Roman" w:cs="Times New Roman"/>
          <w:sz w:val="24"/>
          <w:szCs w:val="24"/>
        </w:rPr>
        <w:t>ētījumu koordinēja L</w:t>
      </w:r>
      <w:r w:rsidR="00AD1A09">
        <w:rPr>
          <w:rFonts w:ascii="Times New Roman" w:hAnsi="Times New Roman" w:cs="Times New Roman"/>
          <w:sz w:val="24"/>
          <w:szCs w:val="24"/>
        </w:rPr>
        <w:t>ietuvas Brīvā tirgus institūts</w:t>
      </w:r>
      <w:r>
        <w:rPr>
          <w:rFonts w:ascii="Times New Roman" w:hAnsi="Times New Roman" w:cs="Times New Roman"/>
          <w:sz w:val="24"/>
          <w:szCs w:val="24"/>
        </w:rPr>
        <w:t>,</w:t>
      </w:r>
      <w:r w:rsidR="00AD1A09">
        <w:rPr>
          <w:rFonts w:ascii="Times New Roman" w:hAnsi="Times New Roman" w:cs="Times New Roman"/>
          <w:sz w:val="24"/>
          <w:szCs w:val="24"/>
        </w:rPr>
        <w:t xml:space="preserve"> un tas </w:t>
      </w:r>
      <w:r>
        <w:rPr>
          <w:rFonts w:ascii="Times New Roman" w:hAnsi="Times New Roman" w:cs="Times New Roman"/>
          <w:sz w:val="24"/>
          <w:szCs w:val="24"/>
        </w:rPr>
        <w:t xml:space="preserve">tika veikts  2018. gada sākumā. Pētījumā </w:t>
      </w:r>
      <w:r w:rsidR="00DE6995" w:rsidRPr="00DE6995">
        <w:rPr>
          <w:rFonts w:ascii="Times New Roman" w:hAnsi="Times New Roman" w:cs="Times New Roman"/>
          <w:sz w:val="24"/>
          <w:szCs w:val="24"/>
        </w:rPr>
        <w:t xml:space="preserve"> piedalījās vairāk kā  6000 iedzīvotāju no sešām valstīm: Latvijas, Lietuvas, Igaunijas, Polijas, Čehijas un Zviedrijas</w:t>
      </w:r>
      <w:r w:rsidR="00527FC8">
        <w:rPr>
          <w:rFonts w:ascii="Times New Roman" w:hAnsi="Times New Roman" w:cs="Times New Roman"/>
          <w:sz w:val="24"/>
          <w:szCs w:val="24"/>
        </w:rPr>
        <w:t>.</w:t>
      </w:r>
    </w:p>
    <w:p w14:paraId="10F2965E" w14:textId="77777777" w:rsidR="00527FC8" w:rsidRDefault="00527FC8" w:rsidP="00527FC8">
      <w:pPr>
        <w:rPr>
          <w:rFonts w:ascii="Times New Roman" w:hAnsi="Times New Roman" w:cs="Times New Roman"/>
          <w:sz w:val="24"/>
          <w:szCs w:val="24"/>
        </w:rPr>
      </w:pPr>
    </w:p>
    <w:p w14:paraId="457F59D5" w14:textId="77777777" w:rsidR="00883E80" w:rsidRDefault="00883E80" w:rsidP="00527FC8">
      <w:pPr>
        <w:rPr>
          <w:rFonts w:ascii="Times New Roman" w:hAnsi="Times New Roman" w:cs="Times New Roman"/>
          <w:sz w:val="24"/>
          <w:szCs w:val="24"/>
        </w:rPr>
      </w:pPr>
    </w:p>
    <w:p w14:paraId="41A6175F" w14:textId="77777777" w:rsidR="00883E80" w:rsidRDefault="00883E80" w:rsidP="00527FC8">
      <w:pPr>
        <w:rPr>
          <w:rFonts w:ascii="Times New Roman" w:hAnsi="Times New Roman" w:cs="Times New Roman"/>
          <w:sz w:val="24"/>
          <w:szCs w:val="24"/>
        </w:rPr>
      </w:pPr>
    </w:p>
    <w:p w14:paraId="1BDB6CEF" w14:textId="77777777" w:rsidR="00883E80" w:rsidRDefault="00883E80" w:rsidP="00527FC8">
      <w:pPr>
        <w:rPr>
          <w:rFonts w:ascii="Times New Roman" w:hAnsi="Times New Roman" w:cs="Times New Roman"/>
          <w:sz w:val="24"/>
          <w:szCs w:val="24"/>
        </w:rPr>
      </w:pPr>
    </w:p>
    <w:p w14:paraId="4BEEC2FF" w14:textId="77777777" w:rsidR="00883E80" w:rsidRDefault="00883E80" w:rsidP="00527FC8">
      <w:pPr>
        <w:rPr>
          <w:rFonts w:ascii="Times New Roman" w:hAnsi="Times New Roman" w:cs="Times New Roman"/>
          <w:sz w:val="24"/>
          <w:szCs w:val="24"/>
        </w:rPr>
      </w:pPr>
    </w:p>
    <w:p w14:paraId="21BB96FE" w14:textId="77777777" w:rsidR="00883E80" w:rsidRDefault="00883E80" w:rsidP="00527FC8">
      <w:pPr>
        <w:rPr>
          <w:rFonts w:ascii="Times New Roman" w:hAnsi="Times New Roman" w:cs="Times New Roman"/>
          <w:sz w:val="24"/>
          <w:szCs w:val="24"/>
        </w:rPr>
      </w:pPr>
    </w:p>
    <w:p w14:paraId="349C4665" w14:textId="77777777" w:rsidR="00883E80" w:rsidRDefault="00883E80" w:rsidP="00527FC8">
      <w:pPr>
        <w:rPr>
          <w:rFonts w:ascii="Times New Roman" w:hAnsi="Times New Roman" w:cs="Times New Roman"/>
          <w:sz w:val="24"/>
          <w:szCs w:val="24"/>
        </w:rPr>
      </w:pPr>
    </w:p>
    <w:p w14:paraId="6A456C67" w14:textId="77777777" w:rsidR="00883E80" w:rsidRDefault="00883E80" w:rsidP="00527FC8">
      <w:pPr>
        <w:rPr>
          <w:rFonts w:ascii="Times New Roman" w:hAnsi="Times New Roman" w:cs="Times New Roman"/>
          <w:sz w:val="24"/>
          <w:szCs w:val="24"/>
        </w:rPr>
      </w:pPr>
    </w:p>
    <w:p w14:paraId="045C91D9" w14:textId="77777777" w:rsidR="00883E80" w:rsidRDefault="00883E80" w:rsidP="00527FC8">
      <w:pPr>
        <w:rPr>
          <w:rFonts w:ascii="Times New Roman" w:hAnsi="Times New Roman" w:cs="Times New Roman"/>
          <w:sz w:val="24"/>
          <w:szCs w:val="24"/>
        </w:rPr>
      </w:pPr>
    </w:p>
    <w:p w14:paraId="6E53F0EB" w14:textId="77777777" w:rsidR="00F03F7F" w:rsidRDefault="00F03F7F" w:rsidP="00527FC8">
      <w:pPr>
        <w:rPr>
          <w:rFonts w:ascii="Times New Roman" w:hAnsi="Times New Roman" w:cs="Times New Roman"/>
          <w:sz w:val="24"/>
          <w:szCs w:val="24"/>
        </w:rPr>
      </w:pPr>
    </w:p>
    <w:p w14:paraId="254E6554" w14:textId="77777777" w:rsidR="00883E80" w:rsidRDefault="00883E80" w:rsidP="00527FC8">
      <w:pPr>
        <w:rPr>
          <w:rFonts w:ascii="Times New Roman" w:hAnsi="Times New Roman" w:cs="Times New Roman"/>
          <w:sz w:val="24"/>
          <w:szCs w:val="24"/>
        </w:rPr>
      </w:pPr>
    </w:p>
    <w:p w14:paraId="4B920807" w14:textId="77777777" w:rsidR="00CE7DF2" w:rsidRDefault="00CE7DF2" w:rsidP="00527FC8">
      <w:pPr>
        <w:rPr>
          <w:rFonts w:ascii="Times New Roman" w:hAnsi="Times New Roman" w:cs="Times New Roman"/>
          <w:sz w:val="24"/>
          <w:szCs w:val="24"/>
        </w:rPr>
      </w:pPr>
    </w:p>
    <w:p w14:paraId="3C4ADD71" w14:textId="77777777" w:rsidR="00883E80" w:rsidRDefault="00883E80" w:rsidP="00527FC8">
      <w:pPr>
        <w:rPr>
          <w:rFonts w:ascii="Times New Roman" w:hAnsi="Times New Roman" w:cs="Times New Roman"/>
          <w:sz w:val="24"/>
          <w:szCs w:val="24"/>
        </w:rPr>
      </w:pPr>
    </w:p>
    <w:p w14:paraId="1F1E1D48" w14:textId="77777777" w:rsidR="00883E80" w:rsidRDefault="00883E80" w:rsidP="00527FC8">
      <w:pPr>
        <w:rPr>
          <w:rFonts w:ascii="Times New Roman" w:hAnsi="Times New Roman" w:cs="Times New Roman"/>
          <w:sz w:val="24"/>
          <w:szCs w:val="24"/>
        </w:rPr>
      </w:pPr>
    </w:p>
    <w:p w14:paraId="615615D7" w14:textId="77777777" w:rsidR="00883E80" w:rsidRDefault="00883E80" w:rsidP="003864BA">
      <w:pPr>
        <w:ind w:firstLine="0"/>
        <w:rPr>
          <w:rFonts w:ascii="Times New Roman" w:hAnsi="Times New Roman" w:cs="Times New Roman"/>
          <w:sz w:val="24"/>
          <w:szCs w:val="24"/>
        </w:rPr>
      </w:pPr>
    </w:p>
    <w:p w14:paraId="3E90CC45" w14:textId="77777777" w:rsidR="00883E80" w:rsidRDefault="00883E80" w:rsidP="00883E80">
      <w:pPr>
        <w:jc w:val="right"/>
        <w:rPr>
          <w:rFonts w:ascii="Times New Roman" w:hAnsi="Times New Roman" w:cs="Times New Roman"/>
          <w:sz w:val="24"/>
          <w:szCs w:val="24"/>
        </w:rPr>
      </w:pPr>
      <w:r>
        <w:rPr>
          <w:rFonts w:ascii="Times New Roman" w:hAnsi="Times New Roman" w:cs="Times New Roman"/>
          <w:i/>
        </w:rPr>
        <w:lastRenderedPageBreak/>
        <w:t>5</w:t>
      </w:r>
      <w:r w:rsidRPr="00033E92">
        <w:rPr>
          <w:rFonts w:ascii="Times New Roman" w:hAnsi="Times New Roman" w:cs="Times New Roman"/>
          <w:i/>
        </w:rPr>
        <w:t>. grafiks</w:t>
      </w:r>
    </w:p>
    <w:p w14:paraId="53F953DF" w14:textId="77777777" w:rsidR="00FE2230" w:rsidRDefault="00527FC8" w:rsidP="00527FC8">
      <w:pPr>
        <w:rPr>
          <w:rFonts w:ascii="Times New Roman" w:hAnsi="Times New Roman" w:cs="Times New Roman"/>
          <w:sz w:val="24"/>
          <w:szCs w:val="24"/>
        </w:rPr>
      </w:pPr>
      <w:r w:rsidRPr="00413BB3">
        <w:rPr>
          <w:rFonts w:ascii="Times New Roman" w:hAnsi="Times New Roman" w:cs="Times New Roman"/>
          <w:b/>
          <w:bCs/>
          <w:noProof/>
          <w:sz w:val="26"/>
          <w:szCs w:val="26"/>
          <w:lang w:eastAsia="lv-LV"/>
        </w:rPr>
        <w:drawing>
          <wp:inline distT="0" distB="0" distL="0" distR="0" wp14:anchorId="4C9616DD" wp14:editId="34F801D0">
            <wp:extent cx="4926508" cy="3744595"/>
            <wp:effectExtent l="0" t="0" r="762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5750" cy="3759220"/>
                    </a:xfrm>
                    <a:prstGeom prst="rect">
                      <a:avLst/>
                    </a:prstGeom>
                    <a:noFill/>
                  </pic:spPr>
                </pic:pic>
              </a:graphicData>
            </a:graphic>
          </wp:inline>
        </w:drawing>
      </w:r>
    </w:p>
    <w:p w14:paraId="1F1385EE" w14:textId="77777777" w:rsidR="003E684B" w:rsidRPr="00A7433A" w:rsidRDefault="003E684B" w:rsidP="003E684B">
      <w:pPr>
        <w:rPr>
          <w:rFonts w:ascii="Times New Roman" w:hAnsi="Times New Roman" w:cs="Times New Roman"/>
          <w:i/>
        </w:rPr>
      </w:pPr>
      <w:r w:rsidRPr="00A7433A">
        <w:rPr>
          <w:rFonts w:ascii="Times New Roman" w:eastAsia="Times New Roman" w:hAnsi="Times New Roman" w:cs="Times New Roman"/>
          <w:i/>
          <w:lang w:eastAsia="lv-LV"/>
        </w:rPr>
        <w:t>Avots:</w:t>
      </w:r>
      <w:r w:rsidRPr="00A7433A">
        <w:rPr>
          <w:rFonts w:ascii="Times New Roman" w:eastAsia="Calibri" w:hAnsi="Times New Roman" w:cs="Times New Roman"/>
          <w:i/>
        </w:rPr>
        <w:t xml:space="preserve"> “</w:t>
      </w:r>
      <w:r w:rsidRPr="00FF1305">
        <w:rPr>
          <w:rFonts w:ascii="Times New Roman" w:eastAsia="Calibri" w:hAnsi="Times New Roman" w:cs="Times New Roman"/>
          <w:i/>
          <w:lang w:val="en-US"/>
        </w:rPr>
        <w:t>Shadow Economy: Understanding Drivers, Reducing Incentives”, Lithuanian Free Market Institute, Vilnius, 2018</w:t>
      </w:r>
      <w:r w:rsidRPr="00A7433A">
        <w:rPr>
          <w:rFonts w:ascii="Times New Roman" w:eastAsia="Calibri" w:hAnsi="Times New Roman" w:cs="Times New Roman"/>
          <w:i/>
        </w:rPr>
        <w:t xml:space="preserve">. </w:t>
      </w:r>
    </w:p>
    <w:p w14:paraId="4B05AEDD" w14:textId="77777777" w:rsidR="00883E80" w:rsidRDefault="00883E80" w:rsidP="003E684B">
      <w:pPr>
        <w:rPr>
          <w:rFonts w:ascii="Times New Roman" w:hAnsi="Times New Roman" w:cs="Times New Roman"/>
          <w:sz w:val="24"/>
          <w:szCs w:val="24"/>
        </w:rPr>
      </w:pPr>
    </w:p>
    <w:p w14:paraId="34121EFD" w14:textId="77777777" w:rsidR="00DE6995" w:rsidRPr="00DE6995" w:rsidRDefault="00DE6995" w:rsidP="003E684B">
      <w:pPr>
        <w:rPr>
          <w:rFonts w:ascii="Times New Roman" w:hAnsi="Times New Roman" w:cs="Times New Roman"/>
          <w:sz w:val="24"/>
          <w:szCs w:val="24"/>
        </w:rPr>
      </w:pPr>
      <w:r w:rsidRPr="00DE6995">
        <w:rPr>
          <w:rFonts w:ascii="Times New Roman" w:hAnsi="Times New Roman" w:cs="Times New Roman"/>
          <w:sz w:val="24"/>
          <w:szCs w:val="24"/>
        </w:rPr>
        <w:t xml:space="preserve">Pētījuma rezultāti liecina, ka aptuveni viena trešdaļa </w:t>
      </w:r>
      <w:r w:rsidR="001202AB">
        <w:rPr>
          <w:rFonts w:ascii="Times New Roman" w:hAnsi="Times New Roman" w:cs="Times New Roman"/>
          <w:sz w:val="24"/>
          <w:szCs w:val="24"/>
        </w:rPr>
        <w:t>–</w:t>
      </w:r>
      <w:r w:rsidRPr="00DE6995">
        <w:rPr>
          <w:rFonts w:ascii="Times New Roman" w:hAnsi="Times New Roman" w:cs="Times New Roman"/>
          <w:sz w:val="24"/>
          <w:szCs w:val="24"/>
        </w:rPr>
        <w:t xml:space="preserve"> 32</w:t>
      </w:r>
      <w:r w:rsidR="001202AB">
        <w:rPr>
          <w:rFonts w:ascii="Times New Roman" w:hAnsi="Times New Roman" w:cs="Times New Roman"/>
          <w:sz w:val="24"/>
          <w:szCs w:val="24"/>
        </w:rPr>
        <w:t> </w:t>
      </w:r>
      <w:r w:rsidRPr="00DE6995">
        <w:rPr>
          <w:rFonts w:ascii="Times New Roman" w:hAnsi="Times New Roman" w:cs="Times New Roman"/>
          <w:sz w:val="24"/>
          <w:szCs w:val="24"/>
        </w:rPr>
        <w:t>% aptaujāto Latvijas iedzīvotāju norādīja, ka viņu draugu vai paziņu lokā ir cilvēki, kuri vai nu strādā bez darba līguma vai arī pēdējo 12 mēnešu laikā ir saņēmuši aplokšņu algas. Lietuvā šādi atbildēja nedaudz mazāk respondentu: 30</w:t>
      </w:r>
      <w:r w:rsidR="001202AB">
        <w:rPr>
          <w:rFonts w:ascii="Times New Roman" w:hAnsi="Times New Roman" w:cs="Times New Roman"/>
          <w:sz w:val="24"/>
          <w:szCs w:val="24"/>
        </w:rPr>
        <w:t> </w:t>
      </w:r>
      <w:r w:rsidRPr="00DE6995">
        <w:rPr>
          <w:rFonts w:ascii="Times New Roman" w:hAnsi="Times New Roman" w:cs="Times New Roman"/>
          <w:sz w:val="24"/>
          <w:szCs w:val="24"/>
        </w:rPr>
        <w:t>%, Igaunijā: 25</w:t>
      </w:r>
      <w:r w:rsidR="001202AB">
        <w:rPr>
          <w:rFonts w:ascii="Times New Roman" w:hAnsi="Times New Roman" w:cs="Times New Roman"/>
          <w:sz w:val="24"/>
          <w:szCs w:val="24"/>
        </w:rPr>
        <w:t> </w:t>
      </w:r>
      <w:r w:rsidRPr="00DE6995">
        <w:rPr>
          <w:rFonts w:ascii="Times New Roman" w:hAnsi="Times New Roman" w:cs="Times New Roman"/>
          <w:sz w:val="24"/>
          <w:szCs w:val="24"/>
        </w:rPr>
        <w:t>%, bet Zviedrijā tikai 7</w:t>
      </w:r>
      <w:r w:rsidR="001202AB">
        <w:rPr>
          <w:rFonts w:ascii="Times New Roman" w:hAnsi="Times New Roman" w:cs="Times New Roman"/>
          <w:sz w:val="24"/>
          <w:szCs w:val="24"/>
        </w:rPr>
        <w:t> </w:t>
      </w:r>
      <w:r w:rsidRPr="00DE6995">
        <w:rPr>
          <w:rFonts w:ascii="Times New Roman" w:hAnsi="Times New Roman" w:cs="Times New Roman"/>
          <w:sz w:val="24"/>
          <w:szCs w:val="24"/>
        </w:rPr>
        <w:t>% respondentu. Atbilstoši pētījuma rezultātiem, vairāk kā puse aptaujāto Latvijas iedzīvotāju (52</w:t>
      </w:r>
      <w:r w:rsidR="009F114A">
        <w:rPr>
          <w:rFonts w:ascii="Times New Roman" w:hAnsi="Times New Roman" w:cs="Times New Roman"/>
          <w:sz w:val="24"/>
          <w:szCs w:val="24"/>
        </w:rPr>
        <w:t> </w:t>
      </w:r>
      <w:r w:rsidRPr="00DE6995">
        <w:rPr>
          <w:rFonts w:ascii="Times New Roman" w:hAnsi="Times New Roman" w:cs="Times New Roman"/>
          <w:sz w:val="24"/>
          <w:szCs w:val="24"/>
        </w:rPr>
        <w:t>% - 2018.</w:t>
      </w:r>
      <w:r w:rsidR="00915E70">
        <w:rPr>
          <w:rFonts w:ascii="Times New Roman" w:hAnsi="Times New Roman" w:cs="Times New Roman"/>
          <w:sz w:val="24"/>
          <w:szCs w:val="24"/>
        </w:rPr>
        <w:t> </w:t>
      </w:r>
      <w:r w:rsidRPr="00DE6995">
        <w:rPr>
          <w:rFonts w:ascii="Times New Roman" w:hAnsi="Times New Roman" w:cs="Times New Roman"/>
          <w:sz w:val="24"/>
          <w:szCs w:val="24"/>
        </w:rPr>
        <w:t>gadā; 57</w:t>
      </w:r>
      <w:r w:rsidR="009F114A">
        <w:rPr>
          <w:rFonts w:ascii="Times New Roman" w:hAnsi="Times New Roman" w:cs="Times New Roman"/>
          <w:sz w:val="24"/>
          <w:szCs w:val="24"/>
        </w:rPr>
        <w:t> </w:t>
      </w:r>
      <w:r w:rsidRPr="00DE6995">
        <w:rPr>
          <w:rFonts w:ascii="Times New Roman" w:hAnsi="Times New Roman" w:cs="Times New Roman"/>
          <w:sz w:val="24"/>
          <w:szCs w:val="24"/>
        </w:rPr>
        <w:t>% - 2015.</w:t>
      </w:r>
      <w:r w:rsidR="001275C9">
        <w:rPr>
          <w:rFonts w:ascii="Times New Roman" w:hAnsi="Times New Roman" w:cs="Times New Roman"/>
          <w:sz w:val="24"/>
          <w:szCs w:val="24"/>
        </w:rPr>
        <w:t> </w:t>
      </w:r>
      <w:r w:rsidRPr="00DE6995">
        <w:rPr>
          <w:rFonts w:ascii="Times New Roman" w:hAnsi="Times New Roman" w:cs="Times New Roman"/>
          <w:sz w:val="24"/>
          <w:szCs w:val="24"/>
        </w:rPr>
        <w:t>gadā) atzīst, ka pēdējo 12 mēnešu laikā ir pirkuši preces vai pakalpojumus bez čeka, tomēr no legāla pārdevēja.</w:t>
      </w:r>
    </w:p>
    <w:p w14:paraId="363BAD6C" w14:textId="77777777" w:rsidR="00DE6995" w:rsidRPr="00DE6995" w:rsidRDefault="00DE6995" w:rsidP="00DE6995">
      <w:pPr>
        <w:rPr>
          <w:rFonts w:ascii="Times New Roman" w:hAnsi="Times New Roman" w:cs="Times New Roman"/>
          <w:sz w:val="24"/>
          <w:szCs w:val="24"/>
        </w:rPr>
      </w:pPr>
      <w:r w:rsidRPr="00DE6995">
        <w:rPr>
          <w:rFonts w:ascii="Times New Roman" w:hAnsi="Times New Roman" w:cs="Times New Roman"/>
          <w:sz w:val="24"/>
          <w:szCs w:val="24"/>
        </w:rPr>
        <w:t xml:space="preserve">Ņemot vērā, ka aplokšņu algas ir viena no būtiskākajām ēnu ekonomikas komponentēm, </w:t>
      </w:r>
      <w:r w:rsidR="009316D2">
        <w:rPr>
          <w:rFonts w:ascii="Times New Roman" w:hAnsi="Times New Roman" w:cs="Times New Roman"/>
          <w:sz w:val="24"/>
          <w:szCs w:val="24"/>
        </w:rPr>
        <w:t>VID</w:t>
      </w:r>
      <w:r w:rsidR="00682221">
        <w:rPr>
          <w:rFonts w:ascii="Times New Roman" w:hAnsi="Times New Roman" w:cs="Times New Roman"/>
          <w:sz w:val="24"/>
          <w:szCs w:val="24"/>
        </w:rPr>
        <w:t xml:space="preserve"> </w:t>
      </w:r>
      <w:r w:rsidR="006610BF">
        <w:rPr>
          <w:rFonts w:ascii="Times New Roman" w:hAnsi="Times New Roman" w:cs="Times New Roman"/>
          <w:sz w:val="24"/>
          <w:szCs w:val="24"/>
        </w:rPr>
        <w:t>2019.</w:t>
      </w:r>
      <w:r w:rsidR="00915E70">
        <w:rPr>
          <w:rFonts w:ascii="Times New Roman" w:hAnsi="Times New Roman" w:cs="Times New Roman"/>
          <w:sz w:val="24"/>
          <w:szCs w:val="24"/>
        </w:rPr>
        <w:t> </w:t>
      </w:r>
      <w:r w:rsidRPr="00DE6995">
        <w:rPr>
          <w:rFonts w:ascii="Times New Roman" w:hAnsi="Times New Roman" w:cs="Times New Roman"/>
          <w:sz w:val="24"/>
          <w:szCs w:val="24"/>
        </w:rPr>
        <w:t xml:space="preserve">gadā veica pētījumu par to, kā mainījusies situācija valstī nedeklarētās darba samaksas jeb aplokšņu algu jomā. Kopumā dati par </w:t>
      </w:r>
      <w:r w:rsidR="00682221">
        <w:rPr>
          <w:rFonts w:ascii="Times New Roman" w:hAnsi="Times New Roman" w:cs="Times New Roman"/>
          <w:sz w:val="24"/>
          <w:szCs w:val="24"/>
        </w:rPr>
        <w:t>2018.</w:t>
      </w:r>
      <w:r w:rsidR="00915E70">
        <w:rPr>
          <w:rFonts w:ascii="Times New Roman" w:hAnsi="Times New Roman" w:cs="Times New Roman"/>
          <w:sz w:val="24"/>
          <w:szCs w:val="24"/>
        </w:rPr>
        <w:t> </w:t>
      </w:r>
      <w:r w:rsidR="00682221">
        <w:rPr>
          <w:rFonts w:ascii="Times New Roman" w:hAnsi="Times New Roman" w:cs="Times New Roman"/>
          <w:sz w:val="24"/>
          <w:szCs w:val="24"/>
        </w:rPr>
        <w:t>gadu</w:t>
      </w:r>
      <w:r w:rsidRPr="00DE6995">
        <w:rPr>
          <w:rFonts w:ascii="Times New Roman" w:hAnsi="Times New Roman" w:cs="Times New Roman"/>
          <w:sz w:val="24"/>
          <w:szCs w:val="24"/>
        </w:rPr>
        <w:t xml:space="preserve"> uzrāda, ka joprojām tā ir visnotaļ izplatīta parādība.</w:t>
      </w:r>
    </w:p>
    <w:p w14:paraId="2A78D616" w14:textId="77777777" w:rsidR="00434ADA" w:rsidRDefault="00DE6995" w:rsidP="00DE6995">
      <w:pPr>
        <w:rPr>
          <w:rFonts w:ascii="Times New Roman" w:hAnsi="Times New Roman" w:cs="Times New Roman"/>
          <w:sz w:val="24"/>
          <w:szCs w:val="24"/>
        </w:rPr>
      </w:pPr>
      <w:r w:rsidRPr="00DE6995">
        <w:rPr>
          <w:rFonts w:ascii="Times New Roman" w:hAnsi="Times New Roman" w:cs="Times New Roman"/>
          <w:sz w:val="24"/>
          <w:szCs w:val="24"/>
        </w:rPr>
        <w:t>2018. gadā nedeklarētās darba algas īpatsvars komercsektorā veidoja 19,3</w:t>
      </w:r>
      <w:r w:rsidR="009F114A">
        <w:rPr>
          <w:rFonts w:ascii="Times New Roman" w:hAnsi="Times New Roman" w:cs="Times New Roman"/>
          <w:sz w:val="24"/>
          <w:szCs w:val="24"/>
        </w:rPr>
        <w:t> </w:t>
      </w:r>
      <w:r w:rsidRPr="00DE6995">
        <w:rPr>
          <w:rFonts w:ascii="Times New Roman" w:hAnsi="Times New Roman" w:cs="Times New Roman"/>
          <w:sz w:val="24"/>
          <w:szCs w:val="24"/>
        </w:rPr>
        <w:t>%, un, salīdzinot ar 2017.</w:t>
      </w:r>
      <w:r w:rsidR="00915E70">
        <w:rPr>
          <w:rFonts w:ascii="Times New Roman" w:hAnsi="Times New Roman" w:cs="Times New Roman"/>
          <w:sz w:val="24"/>
          <w:szCs w:val="24"/>
        </w:rPr>
        <w:t> </w:t>
      </w:r>
      <w:r w:rsidRPr="00DE6995">
        <w:rPr>
          <w:rFonts w:ascii="Times New Roman" w:hAnsi="Times New Roman" w:cs="Times New Roman"/>
          <w:sz w:val="24"/>
          <w:szCs w:val="24"/>
        </w:rPr>
        <w:t>gadu, tas ir samazinājies par 0,6 procentpunktiem.</w:t>
      </w:r>
      <w:r w:rsidR="00915D4F">
        <w:rPr>
          <w:rStyle w:val="FootnoteReference"/>
          <w:rFonts w:ascii="Times New Roman" w:hAnsi="Times New Roman" w:cs="Times New Roman"/>
          <w:sz w:val="24"/>
          <w:szCs w:val="24"/>
        </w:rPr>
        <w:footnoteReference w:id="8"/>
      </w:r>
      <w:r w:rsidRPr="00DE6995">
        <w:rPr>
          <w:rFonts w:ascii="Times New Roman" w:hAnsi="Times New Roman" w:cs="Times New Roman"/>
          <w:sz w:val="24"/>
          <w:szCs w:val="24"/>
        </w:rPr>
        <w:t xml:space="preserve"> Kopumā nedeklarēto neto algas ienākumu aplēses veido 1,07 miljardu </w:t>
      </w:r>
      <w:r w:rsidR="002A23E8" w:rsidRPr="003C4635">
        <w:rPr>
          <w:rFonts w:ascii="Times New Roman" w:hAnsi="Times New Roman" w:cs="Times New Roman"/>
          <w:i/>
          <w:sz w:val="24"/>
          <w:szCs w:val="24"/>
        </w:rPr>
        <w:t>euro</w:t>
      </w:r>
      <w:r w:rsidRPr="00DE6995">
        <w:rPr>
          <w:rFonts w:ascii="Times New Roman" w:hAnsi="Times New Roman" w:cs="Times New Roman"/>
          <w:sz w:val="24"/>
          <w:szCs w:val="24"/>
        </w:rPr>
        <w:t>.</w:t>
      </w:r>
    </w:p>
    <w:p w14:paraId="78B9D943" w14:textId="4418139E" w:rsidR="00A64E99" w:rsidRDefault="00A64E99" w:rsidP="00DE6995">
      <w:pPr>
        <w:rPr>
          <w:rFonts w:ascii="Times New Roman" w:hAnsi="Times New Roman" w:cs="Times New Roman"/>
          <w:sz w:val="24"/>
          <w:szCs w:val="24"/>
        </w:rPr>
      </w:pPr>
      <w:r>
        <w:rPr>
          <w:rFonts w:ascii="Times New Roman" w:hAnsi="Times New Roman" w:cs="Times New Roman"/>
          <w:sz w:val="24"/>
          <w:szCs w:val="24"/>
        </w:rPr>
        <w:t>Daudzu P</w:t>
      </w:r>
      <w:r w:rsidRPr="00A64E99">
        <w:rPr>
          <w:rFonts w:ascii="Times New Roman" w:hAnsi="Times New Roman" w:cs="Times New Roman"/>
          <w:sz w:val="24"/>
          <w:szCs w:val="24"/>
        </w:rPr>
        <w:t>lānā iekļauto pasākumu īstenošana ir devusi pozitīvu efektu nodokļu ieņēmumu pieaugumā, kā arī samaksāto un maksājamo nodokļu plaisas</w:t>
      </w:r>
      <w:r w:rsidR="00467BC6">
        <w:rPr>
          <w:rStyle w:val="FootnoteReference"/>
          <w:rFonts w:ascii="Times New Roman" w:hAnsi="Times New Roman" w:cs="Times New Roman"/>
          <w:sz w:val="24"/>
          <w:szCs w:val="24"/>
        </w:rPr>
        <w:footnoteReference w:id="9"/>
      </w:r>
      <w:r w:rsidRPr="00A64E99">
        <w:rPr>
          <w:rFonts w:ascii="Times New Roman" w:hAnsi="Times New Roman" w:cs="Times New Roman"/>
          <w:sz w:val="24"/>
          <w:szCs w:val="24"/>
        </w:rPr>
        <w:t xml:space="preserve"> samazinājumā. </w:t>
      </w:r>
      <w:r w:rsidRPr="00A64E99">
        <w:rPr>
          <w:rFonts w:ascii="Times New Roman" w:hAnsi="Times New Roman" w:cs="Times New Roman"/>
          <w:sz w:val="24"/>
          <w:szCs w:val="24"/>
        </w:rPr>
        <w:lastRenderedPageBreak/>
        <w:t>2019.</w:t>
      </w:r>
      <w:r w:rsidR="00092146">
        <w:rPr>
          <w:rFonts w:ascii="Times New Roman" w:hAnsi="Times New Roman" w:cs="Times New Roman"/>
          <w:sz w:val="24"/>
          <w:szCs w:val="24"/>
        </w:rPr>
        <w:t> </w:t>
      </w:r>
      <w:r w:rsidRPr="00A64E99">
        <w:rPr>
          <w:rFonts w:ascii="Times New Roman" w:hAnsi="Times New Roman" w:cs="Times New Roman"/>
          <w:sz w:val="24"/>
          <w:szCs w:val="24"/>
        </w:rPr>
        <w:t>gadā VID aprēķinātā PVN plaisa par 201</w:t>
      </w:r>
      <w:r w:rsidR="00BB24F1">
        <w:rPr>
          <w:rFonts w:ascii="Times New Roman" w:hAnsi="Times New Roman" w:cs="Times New Roman"/>
          <w:sz w:val="24"/>
          <w:szCs w:val="24"/>
        </w:rPr>
        <w:t>9</w:t>
      </w:r>
      <w:r w:rsidR="004A7BDB">
        <w:rPr>
          <w:rFonts w:ascii="Times New Roman" w:hAnsi="Times New Roman" w:cs="Times New Roman"/>
          <w:sz w:val="24"/>
          <w:szCs w:val="24"/>
        </w:rPr>
        <w:t>. </w:t>
      </w:r>
      <w:r w:rsidRPr="00A64E99">
        <w:rPr>
          <w:rFonts w:ascii="Times New Roman" w:hAnsi="Times New Roman" w:cs="Times New Roman"/>
          <w:sz w:val="24"/>
          <w:szCs w:val="24"/>
        </w:rPr>
        <w:t xml:space="preserve">gadu bija </w:t>
      </w:r>
      <w:r w:rsidR="00BB24F1">
        <w:rPr>
          <w:rFonts w:ascii="Times New Roman" w:hAnsi="Times New Roman" w:cs="Times New Roman"/>
          <w:sz w:val="24"/>
          <w:szCs w:val="24"/>
        </w:rPr>
        <w:t>7,1</w:t>
      </w:r>
      <w:r w:rsidR="0087674D">
        <w:rPr>
          <w:rFonts w:ascii="Times New Roman" w:hAnsi="Times New Roman" w:cs="Times New Roman"/>
          <w:sz w:val="24"/>
          <w:szCs w:val="24"/>
        </w:rPr>
        <w:t> </w:t>
      </w:r>
      <w:r w:rsidRPr="00A64E99">
        <w:rPr>
          <w:rFonts w:ascii="Times New Roman" w:hAnsi="Times New Roman" w:cs="Times New Roman"/>
          <w:sz w:val="24"/>
          <w:szCs w:val="24"/>
        </w:rPr>
        <w:t>%</w:t>
      </w:r>
      <w:r w:rsidR="005A2ECE">
        <w:rPr>
          <w:rStyle w:val="FootnoteReference"/>
          <w:rFonts w:ascii="Times New Roman" w:hAnsi="Times New Roman" w:cs="Times New Roman"/>
          <w:sz w:val="24"/>
          <w:szCs w:val="24"/>
        </w:rPr>
        <w:footnoteReference w:id="10"/>
      </w:r>
      <w:r w:rsidRPr="00A64E99">
        <w:rPr>
          <w:rFonts w:ascii="Times New Roman" w:hAnsi="Times New Roman" w:cs="Times New Roman"/>
          <w:sz w:val="24"/>
          <w:szCs w:val="24"/>
        </w:rPr>
        <w:t>, kas ir būtiski mazāka nekā iepriekšējos gados (201</w:t>
      </w:r>
      <w:r w:rsidR="00BB24F1">
        <w:rPr>
          <w:rFonts w:ascii="Times New Roman" w:hAnsi="Times New Roman" w:cs="Times New Roman"/>
          <w:sz w:val="24"/>
          <w:szCs w:val="24"/>
        </w:rPr>
        <w:t>8</w:t>
      </w:r>
      <w:r w:rsidRPr="00A64E99">
        <w:rPr>
          <w:rFonts w:ascii="Times New Roman" w:hAnsi="Times New Roman" w:cs="Times New Roman"/>
          <w:sz w:val="24"/>
          <w:szCs w:val="24"/>
        </w:rPr>
        <w:t>. gadā - 1</w:t>
      </w:r>
      <w:r w:rsidR="00BB24F1">
        <w:rPr>
          <w:rFonts w:ascii="Times New Roman" w:hAnsi="Times New Roman" w:cs="Times New Roman"/>
          <w:sz w:val="24"/>
          <w:szCs w:val="24"/>
        </w:rPr>
        <w:t>0</w:t>
      </w:r>
      <w:r w:rsidRPr="00A64E99">
        <w:rPr>
          <w:rFonts w:ascii="Times New Roman" w:hAnsi="Times New Roman" w:cs="Times New Roman"/>
          <w:sz w:val="24"/>
          <w:szCs w:val="24"/>
        </w:rPr>
        <w:t>,</w:t>
      </w:r>
      <w:r w:rsidR="00BB24F1">
        <w:rPr>
          <w:rFonts w:ascii="Times New Roman" w:hAnsi="Times New Roman" w:cs="Times New Roman"/>
          <w:sz w:val="24"/>
          <w:szCs w:val="24"/>
        </w:rPr>
        <w:t>2</w:t>
      </w:r>
      <w:r w:rsidR="0087674D">
        <w:rPr>
          <w:rFonts w:ascii="Times New Roman" w:hAnsi="Times New Roman" w:cs="Times New Roman"/>
          <w:sz w:val="24"/>
          <w:szCs w:val="24"/>
        </w:rPr>
        <w:t> </w:t>
      </w:r>
      <w:r w:rsidRPr="00A64E99">
        <w:rPr>
          <w:rFonts w:ascii="Times New Roman" w:hAnsi="Times New Roman" w:cs="Times New Roman"/>
          <w:sz w:val="24"/>
          <w:szCs w:val="24"/>
        </w:rPr>
        <w:t>%, 201</w:t>
      </w:r>
      <w:r w:rsidR="00BB24F1">
        <w:rPr>
          <w:rFonts w:ascii="Times New Roman" w:hAnsi="Times New Roman" w:cs="Times New Roman"/>
          <w:sz w:val="24"/>
          <w:szCs w:val="24"/>
        </w:rPr>
        <w:t>7</w:t>
      </w:r>
      <w:r w:rsidRPr="00A64E99">
        <w:rPr>
          <w:rFonts w:ascii="Times New Roman" w:hAnsi="Times New Roman" w:cs="Times New Roman"/>
          <w:sz w:val="24"/>
          <w:szCs w:val="24"/>
        </w:rPr>
        <w:t>. gadā – 1</w:t>
      </w:r>
      <w:r w:rsidR="00BB24F1">
        <w:rPr>
          <w:rFonts w:ascii="Times New Roman" w:hAnsi="Times New Roman" w:cs="Times New Roman"/>
          <w:sz w:val="24"/>
          <w:szCs w:val="24"/>
        </w:rPr>
        <w:t>3</w:t>
      </w:r>
      <w:r w:rsidRPr="00A64E99">
        <w:rPr>
          <w:rFonts w:ascii="Times New Roman" w:hAnsi="Times New Roman" w:cs="Times New Roman"/>
          <w:sz w:val="24"/>
          <w:szCs w:val="24"/>
        </w:rPr>
        <w:t>,</w:t>
      </w:r>
      <w:r w:rsidR="00BB24F1">
        <w:rPr>
          <w:rFonts w:ascii="Times New Roman" w:hAnsi="Times New Roman" w:cs="Times New Roman"/>
          <w:sz w:val="24"/>
          <w:szCs w:val="24"/>
        </w:rPr>
        <w:t>9</w:t>
      </w:r>
      <w:r w:rsidR="0087674D">
        <w:rPr>
          <w:rFonts w:ascii="Times New Roman" w:hAnsi="Times New Roman" w:cs="Times New Roman"/>
          <w:sz w:val="24"/>
          <w:szCs w:val="24"/>
        </w:rPr>
        <w:t> </w:t>
      </w:r>
      <w:r w:rsidRPr="00A64E99">
        <w:rPr>
          <w:rFonts w:ascii="Times New Roman" w:hAnsi="Times New Roman" w:cs="Times New Roman"/>
          <w:sz w:val="24"/>
          <w:szCs w:val="24"/>
        </w:rPr>
        <w:t>%). Arī citu nodokļu segmentos ir vērojama iekasēšanas uzlabošanās, samazinoties neiekasētai nodokļu daļai.</w:t>
      </w:r>
      <w:r w:rsidR="00777C75" w:rsidRPr="00777C75">
        <w:t xml:space="preserve"> </w:t>
      </w:r>
      <w:r w:rsidR="00777C75" w:rsidRPr="00777C75">
        <w:rPr>
          <w:rFonts w:ascii="Times New Roman" w:hAnsi="Times New Roman" w:cs="Times New Roman"/>
          <w:sz w:val="24"/>
          <w:szCs w:val="24"/>
        </w:rPr>
        <w:t>2019.</w:t>
      </w:r>
      <w:r w:rsidR="000E3330">
        <w:rPr>
          <w:rFonts w:ascii="Times New Roman" w:hAnsi="Times New Roman" w:cs="Times New Roman"/>
          <w:sz w:val="24"/>
          <w:szCs w:val="24"/>
        </w:rPr>
        <w:t> </w:t>
      </w:r>
      <w:r w:rsidR="00777C75" w:rsidRPr="00777C75">
        <w:rPr>
          <w:rFonts w:ascii="Times New Roman" w:hAnsi="Times New Roman" w:cs="Times New Roman"/>
          <w:sz w:val="24"/>
          <w:szCs w:val="24"/>
        </w:rPr>
        <w:t>gadā VSAOI plaisa no nedeklarētās darba samaksas ir 17,18</w:t>
      </w:r>
      <w:r w:rsidR="000E3330">
        <w:rPr>
          <w:rFonts w:ascii="Times New Roman" w:hAnsi="Times New Roman" w:cs="Times New Roman"/>
          <w:sz w:val="24"/>
          <w:szCs w:val="24"/>
        </w:rPr>
        <w:t> </w:t>
      </w:r>
      <w:r w:rsidR="00777C75" w:rsidRPr="00777C75">
        <w:rPr>
          <w:rFonts w:ascii="Times New Roman" w:hAnsi="Times New Roman" w:cs="Times New Roman"/>
          <w:sz w:val="24"/>
          <w:szCs w:val="24"/>
        </w:rPr>
        <w:t>% un, salīdzinot ar 2018.</w:t>
      </w:r>
      <w:r w:rsidR="000E3330">
        <w:rPr>
          <w:rFonts w:ascii="Times New Roman" w:hAnsi="Times New Roman" w:cs="Times New Roman"/>
          <w:sz w:val="24"/>
          <w:szCs w:val="24"/>
        </w:rPr>
        <w:t> </w:t>
      </w:r>
      <w:r w:rsidR="00777C75" w:rsidRPr="00777C75">
        <w:rPr>
          <w:rFonts w:ascii="Times New Roman" w:hAnsi="Times New Roman" w:cs="Times New Roman"/>
          <w:sz w:val="24"/>
          <w:szCs w:val="24"/>
        </w:rPr>
        <w:t>gadu (17,29</w:t>
      </w:r>
      <w:r w:rsidR="000E3330">
        <w:rPr>
          <w:rFonts w:ascii="Times New Roman" w:hAnsi="Times New Roman" w:cs="Times New Roman"/>
          <w:sz w:val="24"/>
          <w:szCs w:val="24"/>
        </w:rPr>
        <w:t> </w:t>
      </w:r>
      <w:r w:rsidR="00777C75" w:rsidRPr="00777C75">
        <w:rPr>
          <w:rFonts w:ascii="Times New Roman" w:hAnsi="Times New Roman" w:cs="Times New Roman"/>
          <w:sz w:val="24"/>
          <w:szCs w:val="24"/>
        </w:rPr>
        <w:t>%), tā samazinājumiem par 0,11 procentpunktiem. Savukārt IIN plaisa 2019.</w:t>
      </w:r>
      <w:r w:rsidR="000E3330">
        <w:rPr>
          <w:rFonts w:ascii="Times New Roman" w:hAnsi="Times New Roman" w:cs="Times New Roman"/>
          <w:sz w:val="24"/>
          <w:szCs w:val="24"/>
        </w:rPr>
        <w:t> </w:t>
      </w:r>
      <w:r w:rsidR="00777C75" w:rsidRPr="00777C75">
        <w:rPr>
          <w:rFonts w:ascii="Times New Roman" w:hAnsi="Times New Roman" w:cs="Times New Roman"/>
          <w:sz w:val="24"/>
          <w:szCs w:val="24"/>
        </w:rPr>
        <w:t>gadā ir 17,27</w:t>
      </w:r>
      <w:r w:rsidR="000E3330">
        <w:rPr>
          <w:rFonts w:ascii="Times New Roman" w:hAnsi="Times New Roman" w:cs="Times New Roman"/>
          <w:sz w:val="24"/>
          <w:szCs w:val="24"/>
        </w:rPr>
        <w:t> </w:t>
      </w:r>
      <w:r w:rsidR="00777C75" w:rsidRPr="00777C75">
        <w:rPr>
          <w:rFonts w:ascii="Times New Roman" w:hAnsi="Times New Roman" w:cs="Times New Roman"/>
          <w:sz w:val="24"/>
          <w:szCs w:val="24"/>
        </w:rPr>
        <w:t>% un, salīdzinot ar 2018.</w:t>
      </w:r>
      <w:r w:rsidR="000E3330">
        <w:rPr>
          <w:rFonts w:ascii="Times New Roman" w:hAnsi="Times New Roman" w:cs="Times New Roman"/>
          <w:sz w:val="24"/>
          <w:szCs w:val="24"/>
        </w:rPr>
        <w:t> </w:t>
      </w:r>
      <w:r w:rsidR="00777C75" w:rsidRPr="00777C75">
        <w:rPr>
          <w:rFonts w:ascii="Times New Roman" w:hAnsi="Times New Roman" w:cs="Times New Roman"/>
          <w:sz w:val="24"/>
          <w:szCs w:val="24"/>
        </w:rPr>
        <w:t>gadu (17,29</w:t>
      </w:r>
      <w:r w:rsidR="000E3330">
        <w:rPr>
          <w:rFonts w:ascii="Times New Roman" w:hAnsi="Times New Roman" w:cs="Times New Roman"/>
          <w:sz w:val="24"/>
          <w:szCs w:val="24"/>
        </w:rPr>
        <w:t> </w:t>
      </w:r>
      <w:r w:rsidR="00777C75" w:rsidRPr="00777C75">
        <w:rPr>
          <w:rFonts w:ascii="Times New Roman" w:hAnsi="Times New Roman" w:cs="Times New Roman"/>
          <w:sz w:val="24"/>
          <w:szCs w:val="24"/>
        </w:rPr>
        <w:t>%) tā samazinājumiem par 0,13 procentpunktiem.</w:t>
      </w:r>
    </w:p>
    <w:p w14:paraId="0CD0E64A" w14:textId="77777777" w:rsidR="006610BF" w:rsidRDefault="006610BF" w:rsidP="00DE6995">
      <w:pPr>
        <w:rPr>
          <w:rFonts w:ascii="Times New Roman" w:hAnsi="Times New Roman" w:cs="Times New Roman"/>
          <w:b/>
          <w:sz w:val="24"/>
          <w:szCs w:val="24"/>
        </w:rPr>
      </w:pPr>
    </w:p>
    <w:p w14:paraId="451F5D9B" w14:textId="77777777" w:rsidR="006610BF" w:rsidRDefault="00883E80" w:rsidP="00883E80">
      <w:pPr>
        <w:jc w:val="right"/>
        <w:rPr>
          <w:rFonts w:ascii="Times New Roman" w:hAnsi="Times New Roman" w:cs="Times New Roman"/>
          <w:b/>
          <w:sz w:val="24"/>
          <w:szCs w:val="24"/>
        </w:rPr>
      </w:pPr>
      <w:r>
        <w:rPr>
          <w:rFonts w:ascii="Times New Roman" w:hAnsi="Times New Roman" w:cs="Times New Roman"/>
          <w:i/>
        </w:rPr>
        <w:t>6</w:t>
      </w:r>
      <w:r w:rsidRPr="00033E92">
        <w:rPr>
          <w:rFonts w:ascii="Times New Roman" w:hAnsi="Times New Roman" w:cs="Times New Roman"/>
          <w:i/>
        </w:rPr>
        <w:t>. grafiks</w:t>
      </w:r>
    </w:p>
    <w:p w14:paraId="5F56CA0A" w14:textId="5DF5A6EE" w:rsidR="006610BF" w:rsidRDefault="00B47D21" w:rsidP="00015BE9">
      <w:pPr>
        <w:rPr>
          <w:rFonts w:ascii="Times New Roman" w:hAnsi="Times New Roman" w:cs="Times New Roman"/>
          <w:b/>
          <w:sz w:val="24"/>
          <w:szCs w:val="24"/>
        </w:rPr>
      </w:pPr>
      <w:r>
        <w:rPr>
          <w:noProof/>
          <w:lang w:eastAsia="lv-LV"/>
        </w:rPr>
        <w:drawing>
          <wp:inline distT="0" distB="0" distL="0" distR="0" wp14:anchorId="59162829" wp14:editId="6F32FE2D">
            <wp:extent cx="5156926" cy="2846070"/>
            <wp:effectExtent l="0" t="0" r="5715" b="11430"/>
            <wp:docPr id="1" name="Chart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91CD75" w14:textId="77777777" w:rsidR="00015BE9" w:rsidRPr="00015BE9" w:rsidRDefault="00015BE9" w:rsidP="00015BE9">
      <w:pPr>
        <w:rPr>
          <w:rFonts w:ascii="Times New Roman" w:hAnsi="Times New Roman" w:cs="Times New Roman"/>
          <w:i/>
        </w:rPr>
      </w:pPr>
      <w:r w:rsidRPr="00015BE9">
        <w:rPr>
          <w:rFonts w:ascii="Times New Roman" w:hAnsi="Times New Roman" w:cs="Times New Roman"/>
          <w:i/>
        </w:rPr>
        <w:t>Avots: VID dati</w:t>
      </w:r>
    </w:p>
    <w:p w14:paraId="3783C397" w14:textId="77777777" w:rsidR="00015BE9" w:rsidRDefault="00015BE9" w:rsidP="00DE6995">
      <w:pPr>
        <w:rPr>
          <w:rFonts w:ascii="Times New Roman" w:hAnsi="Times New Roman" w:cs="Times New Roman"/>
          <w:b/>
          <w:sz w:val="24"/>
          <w:szCs w:val="24"/>
        </w:rPr>
      </w:pPr>
    </w:p>
    <w:p w14:paraId="54F359A3" w14:textId="1F378F36" w:rsidR="003C4635" w:rsidRPr="003C4635" w:rsidRDefault="003C4635" w:rsidP="003C4635">
      <w:pPr>
        <w:rPr>
          <w:rFonts w:ascii="Times New Roman" w:hAnsi="Times New Roman" w:cs="Times New Roman"/>
          <w:sz w:val="24"/>
          <w:szCs w:val="24"/>
        </w:rPr>
      </w:pPr>
      <w:r w:rsidRPr="003C4635">
        <w:rPr>
          <w:rFonts w:ascii="Times New Roman" w:hAnsi="Times New Roman" w:cs="Times New Roman"/>
          <w:sz w:val="24"/>
          <w:szCs w:val="24"/>
        </w:rPr>
        <w:t>Izvērtējot Plāna darbības ietvaros panāktos rezultātus ēnu ekonomikas apmēra samazināšanai Latvijā, secināms, ka Plāna darbības laikā no 2016.</w:t>
      </w:r>
      <w:r w:rsidR="004A4BC9">
        <w:rPr>
          <w:rFonts w:ascii="Times New Roman" w:hAnsi="Times New Roman" w:cs="Times New Roman"/>
          <w:sz w:val="24"/>
          <w:szCs w:val="24"/>
        </w:rPr>
        <w:t> </w:t>
      </w:r>
      <w:r w:rsidRPr="003C4635">
        <w:rPr>
          <w:rFonts w:ascii="Times New Roman" w:hAnsi="Times New Roman" w:cs="Times New Roman"/>
          <w:sz w:val="24"/>
          <w:szCs w:val="24"/>
        </w:rPr>
        <w:t>gada līdz 2019.</w:t>
      </w:r>
      <w:r w:rsidR="004A4BC9">
        <w:rPr>
          <w:rFonts w:ascii="Times New Roman" w:hAnsi="Times New Roman" w:cs="Times New Roman"/>
          <w:sz w:val="24"/>
          <w:szCs w:val="24"/>
        </w:rPr>
        <w:t> </w:t>
      </w:r>
      <w:r w:rsidRPr="003C4635">
        <w:rPr>
          <w:rFonts w:ascii="Times New Roman" w:hAnsi="Times New Roman" w:cs="Times New Roman"/>
          <w:sz w:val="24"/>
          <w:szCs w:val="24"/>
        </w:rPr>
        <w:t>gadam ēnu ekonomikas apmērs Latvijā ir samazinājies vien par 3</w:t>
      </w:r>
      <w:r w:rsidR="003250FD">
        <w:rPr>
          <w:rFonts w:ascii="Times New Roman" w:hAnsi="Times New Roman" w:cs="Times New Roman"/>
          <w:sz w:val="24"/>
          <w:szCs w:val="24"/>
        </w:rPr>
        <w:t> </w:t>
      </w:r>
      <w:r w:rsidRPr="003C4635">
        <w:rPr>
          <w:rFonts w:ascii="Times New Roman" w:hAnsi="Times New Roman" w:cs="Times New Roman"/>
          <w:sz w:val="24"/>
          <w:szCs w:val="24"/>
        </w:rPr>
        <w:t>% (saskaņā ar Dr.</w:t>
      </w:r>
      <w:r w:rsidR="004A4BC9">
        <w:rPr>
          <w:rFonts w:ascii="Times New Roman" w:hAnsi="Times New Roman" w:cs="Times New Roman"/>
          <w:sz w:val="24"/>
          <w:szCs w:val="24"/>
        </w:rPr>
        <w:t> </w:t>
      </w:r>
      <w:r w:rsidRPr="003C4635">
        <w:rPr>
          <w:rFonts w:ascii="Times New Roman" w:hAnsi="Times New Roman" w:cs="Times New Roman"/>
          <w:sz w:val="24"/>
          <w:szCs w:val="24"/>
        </w:rPr>
        <w:t>F.</w:t>
      </w:r>
      <w:r w:rsidR="004A4BC9">
        <w:rPr>
          <w:rFonts w:ascii="Times New Roman" w:hAnsi="Times New Roman" w:cs="Times New Roman"/>
          <w:sz w:val="24"/>
          <w:szCs w:val="24"/>
        </w:rPr>
        <w:t> </w:t>
      </w:r>
      <w:r w:rsidRPr="003C4635">
        <w:rPr>
          <w:rFonts w:ascii="Times New Roman" w:hAnsi="Times New Roman" w:cs="Times New Roman"/>
          <w:sz w:val="24"/>
          <w:szCs w:val="24"/>
        </w:rPr>
        <w:t>Šneidera pētījuma datiem</w:t>
      </w:r>
      <w:r w:rsidR="00F60DFB">
        <w:rPr>
          <w:rFonts w:ascii="Times New Roman" w:hAnsi="Times New Roman" w:cs="Times New Roman"/>
          <w:sz w:val="24"/>
          <w:szCs w:val="24"/>
        </w:rPr>
        <w:t>)</w:t>
      </w:r>
      <w:r w:rsidRPr="003C4635">
        <w:rPr>
          <w:rFonts w:ascii="Times New Roman" w:hAnsi="Times New Roman" w:cs="Times New Roman"/>
          <w:sz w:val="24"/>
          <w:szCs w:val="24"/>
        </w:rPr>
        <w:t>. VID aprēķini par nodokļu plaisu apmēru konsekventu samazinājumu liecina par ēnu ekonomikas apmēra pakāpenisku samazināšanos gan kopumā, gan arī noteiktās ēnu ekonomikas apdraudētākajās nozarēs. Tomēr, ēnu ekonomikas apmēru samazināšanās ir vērtējama kā gausa, vēl joprojām nodarot Latvijas tautsaimniecībai zaudējumus, kā arī zaudējumus valsts budžetam neiekasētu nodokļu veidā.</w:t>
      </w:r>
    </w:p>
    <w:p w14:paraId="16C29DA1" w14:textId="6C352470" w:rsidR="003C4635" w:rsidRPr="003C4635" w:rsidRDefault="003C4635" w:rsidP="003C4635">
      <w:pPr>
        <w:rPr>
          <w:rFonts w:ascii="Times New Roman" w:hAnsi="Times New Roman" w:cs="Times New Roman"/>
          <w:sz w:val="24"/>
          <w:szCs w:val="24"/>
        </w:rPr>
      </w:pPr>
      <w:r w:rsidRPr="003C4635">
        <w:rPr>
          <w:rFonts w:ascii="Times New Roman" w:hAnsi="Times New Roman" w:cs="Times New Roman"/>
          <w:sz w:val="24"/>
          <w:szCs w:val="24"/>
        </w:rPr>
        <w:t>Saskaņā ar FM aprēķiniem 2019.</w:t>
      </w:r>
      <w:r w:rsidR="00F60DFB">
        <w:rPr>
          <w:rFonts w:ascii="Times New Roman" w:hAnsi="Times New Roman" w:cs="Times New Roman"/>
          <w:sz w:val="24"/>
          <w:szCs w:val="24"/>
        </w:rPr>
        <w:t> </w:t>
      </w:r>
      <w:r w:rsidRPr="003C4635">
        <w:rPr>
          <w:rFonts w:ascii="Times New Roman" w:hAnsi="Times New Roman" w:cs="Times New Roman"/>
          <w:sz w:val="24"/>
          <w:szCs w:val="24"/>
        </w:rPr>
        <w:t>gadā ēnu ekonomikas apmēra samazinājums  par vienu procentpunktu valsts budžetā sniegtu papildu ieņēmumus aptuveni 113</w:t>
      </w:r>
      <w:r w:rsidR="00F60DFB">
        <w:rPr>
          <w:rFonts w:ascii="Times New Roman" w:hAnsi="Times New Roman" w:cs="Times New Roman"/>
          <w:sz w:val="24"/>
          <w:szCs w:val="24"/>
        </w:rPr>
        <w:t> </w:t>
      </w:r>
      <w:r w:rsidRPr="003C4635">
        <w:rPr>
          <w:rFonts w:ascii="Times New Roman" w:hAnsi="Times New Roman" w:cs="Times New Roman"/>
          <w:sz w:val="24"/>
          <w:szCs w:val="24"/>
        </w:rPr>
        <w:t>milj</w:t>
      </w:r>
      <w:r w:rsidR="00F60DFB">
        <w:rPr>
          <w:rFonts w:ascii="Times New Roman" w:hAnsi="Times New Roman" w:cs="Times New Roman"/>
          <w:sz w:val="24"/>
          <w:szCs w:val="24"/>
        </w:rPr>
        <w:t>. </w:t>
      </w:r>
      <w:r w:rsidRPr="003C4635">
        <w:rPr>
          <w:rFonts w:ascii="Times New Roman" w:hAnsi="Times New Roman" w:cs="Times New Roman"/>
          <w:i/>
          <w:sz w:val="24"/>
          <w:szCs w:val="24"/>
        </w:rPr>
        <w:t>euro</w:t>
      </w:r>
      <w:r w:rsidRPr="003C4635">
        <w:rPr>
          <w:rFonts w:ascii="Times New Roman" w:hAnsi="Times New Roman" w:cs="Times New Roman"/>
          <w:sz w:val="24"/>
          <w:szCs w:val="24"/>
        </w:rPr>
        <w:t xml:space="preserve">. Pretējs efekts jeb zaudējumi valsts budžeta ieņēmumos tiktu nodarīti ēnu ekonomikas pieauguma rezultātā. </w:t>
      </w:r>
      <w:r w:rsidR="0003612C" w:rsidRPr="00AD275B">
        <w:rPr>
          <w:rFonts w:ascii="Times New Roman" w:hAnsi="Times New Roman" w:cs="Times New Roman"/>
          <w:sz w:val="24"/>
          <w:szCs w:val="24"/>
        </w:rPr>
        <w:t>Aprēķini veikti par iespējamiem</w:t>
      </w:r>
      <w:r w:rsidR="00317473" w:rsidRPr="00AD275B">
        <w:rPr>
          <w:rFonts w:ascii="Times New Roman" w:hAnsi="Times New Roman" w:cs="Times New Roman"/>
          <w:sz w:val="24"/>
          <w:szCs w:val="24"/>
        </w:rPr>
        <w:t xml:space="preserve"> nodokļu ieņēmumu ienākumiem, </w:t>
      </w:r>
      <w:r w:rsidR="0003612C" w:rsidRPr="00AD275B">
        <w:rPr>
          <w:rFonts w:ascii="Times New Roman" w:hAnsi="Times New Roman" w:cs="Times New Roman"/>
          <w:sz w:val="24"/>
          <w:szCs w:val="24"/>
        </w:rPr>
        <w:t>izmanto</w:t>
      </w:r>
      <w:r w:rsidR="00317473" w:rsidRPr="00AD275B">
        <w:rPr>
          <w:rFonts w:ascii="Times New Roman" w:hAnsi="Times New Roman" w:cs="Times New Roman"/>
          <w:sz w:val="24"/>
          <w:szCs w:val="24"/>
        </w:rPr>
        <w:t>jot</w:t>
      </w:r>
      <w:r w:rsidR="00194E58">
        <w:rPr>
          <w:rFonts w:ascii="Times New Roman" w:hAnsi="Times New Roman" w:cs="Times New Roman"/>
          <w:sz w:val="24"/>
          <w:szCs w:val="24"/>
        </w:rPr>
        <w:t xml:space="preserve"> profesora F. </w:t>
      </w:r>
      <w:r w:rsidR="0003612C" w:rsidRPr="00AD275B">
        <w:rPr>
          <w:rFonts w:ascii="Times New Roman" w:hAnsi="Times New Roman" w:cs="Times New Roman"/>
          <w:sz w:val="24"/>
          <w:szCs w:val="24"/>
        </w:rPr>
        <w:t>Šneidera ēnu ekonomikas īpatsvara pētījuma aprēķinus, IKP faktiskās cenās rādītāju un  kopbudžeta nodokļu ieņēmumu faktiskos datus 2019. gadā.</w:t>
      </w:r>
    </w:p>
    <w:p w14:paraId="4325F40B" w14:textId="77777777" w:rsidR="009848B7" w:rsidRDefault="009848B7" w:rsidP="009848B7">
      <w:pPr>
        <w:rPr>
          <w:rFonts w:ascii="Times New Roman" w:hAnsi="Times New Roman" w:cs="Times New Roman"/>
          <w:sz w:val="24"/>
          <w:szCs w:val="24"/>
        </w:rPr>
      </w:pPr>
      <w:r w:rsidRPr="009848B7">
        <w:rPr>
          <w:rFonts w:ascii="Times New Roman" w:hAnsi="Times New Roman" w:cs="Times New Roman"/>
          <w:sz w:val="24"/>
          <w:szCs w:val="24"/>
        </w:rPr>
        <w:t>Līdz ar to secināms, ka ēnu ekonomikas apmēra samazināšanai ir jābūt vienai no prioritātēm arī turpmākajos gados ar minimālo mērķi 2022.</w:t>
      </w:r>
      <w:r w:rsidR="001F6633">
        <w:rPr>
          <w:rFonts w:ascii="Times New Roman" w:hAnsi="Times New Roman" w:cs="Times New Roman"/>
          <w:sz w:val="24"/>
          <w:szCs w:val="24"/>
        </w:rPr>
        <w:t> </w:t>
      </w:r>
      <w:r w:rsidRPr="009848B7">
        <w:rPr>
          <w:rFonts w:ascii="Times New Roman" w:hAnsi="Times New Roman" w:cs="Times New Roman"/>
          <w:sz w:val="24"/>
          <w:szCs w:val="24"/>
        </w:rPr>
        <w:t xml:space="preserve">gadā sasniegt Eiropas valstīs esošās ēnu ekonomikas apmēru vidējos rādītājus un Artūra Krišjāņa Kariņa Valdības rīcības plānā ir </w:t>
      </w:r>
      <w:r w:rsidRPr="009848B7">
        <w:rPr>
          <w:rFonts w:ascii="Times New Roman" w:hAnsi="Times New Roman" w:cs="Times New Roman"/>
          <w:sz w:val="24"/>
          <w:szCs w:val="24"/>
        </w:rPr>
        <w:lastRenderedPageBreak/>
        <w:t>apstiprināts mērķis 2022.</w:t>
      </w:r>
      <w:r w:rsidR="001F6633">
        <w:rPr>
          <w:rFonts w:ascii="Times New Roman" w:hAnsi="Times New Roman" w:cs="Times New Roman"/>
          <w:sz w:val="24"/>
          <w:szCs w:val="24"/>
        </w:rPr>
        <w:t> </w:t>
      </w:r>
      <w:r w:rsidRPr="009848B7">
        <w:rPr>
          <w:rFonts w:ascii="Times New Roman" w:hAnsi="Times New Roman" w:cs="Times New Roman"/>
          <w:sz w:val="24"/>
          <w:szCs w:val="24"/>
        </w:rPr>
        <w:t>gadā sasniegt ēnu ekonomikas īpatsvara samazinājumu līdz aptuveni 17</w:t>
      </w:r>
      <w:r w:rsidR="003250FD">
        <w:rPr>
          <w:rFonts w:ascii="Times New Roman" w:hAnsi="Times New Roman" w:cs="Times New Roman"/>
          <w:sz w:val="24"/>
          <w:szCs w:val="24"/>
        </w:rPr>
        <w:t> </w:t>
      </w:r>
      <w:r w:rsidRPr="009848B7">
        <w:rPr>
          <w:rFonts w:ascii="Times New Roman" w:hAnsi="Times New Roman" w:cs="Times New Roman"/>
          <w:sz w:val="24"/>
          <w:szCs w:val="24"/>
        </w:rPr>
        <w:t>%</w:t>
      </w:r>
      <w:r w:rsidR="004A4BC9">
        <w:rPr>
          <w:rFonts w:ascii="Times New Roman" w:hAnsi="Times New Roman" w:cs="Times New Roman"/>
          <w:sz w:val="24"/>
          <w:szCs w:val="24"/>
        </w:rPr>
        <w:t>.</w:t>
      </w:r>
      <w:r w:rsidRPr="009848B7">
        <w:rPr>
          <w:rFonts w:ascii="Times New Roman" w:hAnsi="Times New Roman" w:cs="Times New Roman"/>
          <w:sz w:val="24"/>
          <w:szCs w:val="24"/>
          <w:vertAlign w:val="superscript"/>
        </w:rPr>
        <w:footnoteReference w:id="11"/>
      </w:r>
    </w:p>
    <w:p w14:paraId="22101992" w14:textId="77777777" w:rsidR="00154189" w:rsidRPr="009848B7" w:rsidRDefault="00154189" w:rsidP="009848B7">
      <w:pPr>
        <w:rPr>
          <w:rFonts w:ascii="Times New Roman" w:hAnsi="Times New Roman" w:cs="Times New Roman"/>
          <w:sz w:val="24"/>
          <w:szCs w:val="24"/>
        </w:rPr>
      </w:pPr>
    </w:p>
    <w:p w14:paraId="5EB1CC21" w14:textId="77777777" w:rsidR="00154189" w:rsidRPr="004F25BB" w:rsidRDefault="00154189" w:rsidP="00154189">
      <w:pPr>
        <w:pStyle w:val="ListParagraph"/>
        <w:ind w:left="0"/>
        <w:rPr>
          <w:rFonts w:ascii="Times New Roman" w:hAnsi="Times New Roman" w:cs="Times New Roman"/>
          <w:sz w:val="24"/>
          <w:szCs w:val="24"/>
        </w:rPr>
      </w:pPr>
      <w:r w:rsidRPr="004F25BB">
        <w:rPr>
          <w:rFonts w:ascii="Times New Roman" w:hAnsi="Times New Roman" w:cs="Times New Roman"/>
          <w:sz w:val="24"/>
          <w:szCs w:val="24"/>
        </w:rPr>
        <w:t xml:space="preserve">Turpmāk ziņojumā tiks </w:t>
      </w:r>
      <w:r w:rsidR="00764C20">
        <w:rPr>
          <w:rFonts w:ascii="Times New Roman" w:hAnsi="Times New Roman" w:cs="Times New Roman"/>
          <w:sz w:val="24"/>
          <w:szCs w:val="24"/>
        </w:rPr>
        <w:t>analizēta situācija</w:t>
      </w:r>
      <w:r w:rsidRPr="004F25BB">
        <w:rPr>
          <w:rFonts w:ascii="Times New Roman" w:hAnsi="Times New Roman" w:cs="Times New Roman"/>
          <w:sz w:val="24"/>
          <w:szCs w:val="24"/>
        </w:rPr>
        <w:t xml:space="preserve"> Plānā ēnu ekonomikas</w:t>
      </w:r>
      <w:r w:rsidR="00764C20">
        <w:rPr>
          <w:rFonts w:ascii="Times New Roman" w:hAnsi="Times New Roman" w:cs="Times New Roman"/>
          <w:sz w:val="24"/>
          <w:szCs w:val="24"/>
        </w:rPr>
        <w:t xml:space="preserve"> mazināšanai </w:t>
      </w:r>
      <w:r w:rsidR="00764C20" w:rsidRPr="00DD72A8">
        <w:rPr>
          <w:rFonts w:ascii="Times New Roman" w:hAnsi="Times New Roman" w:cs="Times New Roman"/>
          <w:sz w:val="24"/>
          <w:szCs w:val="24"/>
        </w:rPr>
        <w:t>novērtētajās vairāk skartajā</w:t>
      </w:r>
      <w:r w:rsidR="00BC32DB" w:rsidRPr="00DD72A8">
        <w:rPr>
          <w:rFonts w:ascii="Times New Roman" w:hAnsi="Times New Roman" w:cs="Times New Roman"/>
          <w:sz w:val="24"/>
          <w:szCs w:val="24"/>
        </w:rPr>
        <w:t>s</w:t>
      </w:r>
      <w:r w:rsidRPr="004F25BB">
        <w:rPr>
          <w:rFonts w:ascii="Times New Roman" w:hAnsi="Times New Roman" w:cs="Times New Roman"/>
          <w:sz w:val="24"/>
          <w:szCs w:val="24"/>
        </w:rPr>
        <w:t xml:space="preserve"> nozarēs: būvniecība, tirdzniecība, pakalpojumi un transporta joma.</w:t>
      </w:r>
    </w:p>
    <w:p w14:paraId="65F102E0" w14:textId="77777777" w:rsidR="00154189" w:rsidRDefault="00154189" w:rsidP="00154189">
      <w:pPr>
        <w:pStyle w:val="ListParagraph"/>
        <w:ind w:left="0"/>
        <w:rPr>
          <w:rFonts w:ascii="Times New Roman" w:hAnsi="Times New Roman" w:cs="Times New Roman"/>
          <w:sz w:val="24"/>
          <w:szCs w:val="24"/>
        </w:rPr>
      </w:pPr>
    </w:p>
    <w:p w14:paraId="6A083300" w14:textId="77777777" w:rsidR="00154189" w:rsidRPr="006B731B" w:rsidRDefault="00154189" w:rsidP="00154189">
      <w:pPr>
        <w:pStyle w:val="Heading2"/>
      </w:pPr>
      <w:bookmarkStart w:id="7" w:name="_Toc63687767"/>
      <w:r w:rsidRPr="006B731B">
        <w:t>Būvniecības nozare</w:t>
      </w:r>
      <w:bookmarkEnd w:id="7"/>
    </w:p>
    <w:p w14:paraId="579968DB" w14:textId="022EF00A" w:rsidR="00154189" w:rsidRPr="005A2602" w:rsidRDefault="007D49BB" w:rsidP="00154189">
      <w:pPr>
        <w:pStyle w:val="ListParagraph"/>
        <w:ind w:left="0"/>
        <w:rPr>
          <w:rFonts w:ascii="Times New Roman" w:hAnsi="Times New Roman" w:cs="Times New Roman"/>
          <w:sz w:val="24"/>
          <w:szCs w:val="24"/>
        </w:rPr>
      </w:pPr>
      <w:r w:rsidRPr="00DD72A8">
        <w:rPr>
          <w:rFonts w:ascii="Times New Roman" w:hAnsi="Times New Roman" w:cs="Times New Roman"/>
          <w:sz w:val="24"/>
          <w:szCs w:val="24"/>
        </w:rPr>
        <w:t>Novērtējot</w:t>
      </w:r>
      <w:r w:rsidR="00154189" w:rsidRPr="005A2602">
        <w:rPr>
          <w:rFonts w:ascii="Times New Roman" w:hAnsi="Times New Roman" w:cs="Times New Roman"/>
          <w:sz w:val="24"/>
          <w:szCs w:val="24"/>
        </w:rPr>
        <w:t xml:space="preserve"> A.</w:t>
      </w:r>
      <w:r w:rsidR="00154189">
        <w:rPr>
          <w:rFonts w:ascii="Times New Roman" w:hAnsi="Times New Roman" w:cs="Times New Roman"/>
          <w:sz w:val="24"/>
          <w:szCs w:val="24"/>
        </w:rPr>
        <w:t> </w:t>
      </w:r>
      <w:r w:rsidR="00154189" w:rsidRPr="005A2602">
        <w:rPr>
          <w:rFonts w:ascii="Times New Roman" w:hAnsi="Times New Roman" w:cs="Times New Roman"/>
          <w:sz w:val="24"/>
          <w:szCs w:val="24"/>
        </w:rPr>
        <w:t>Saukas pētījumā sniegtos datus par kopējo ēnu ekonomikas īpatsvaru Latvijā, kas 201</w:t>
      </w:r>
      <w:r w:rsidR="00A1722D">
        <w:rPr>
          <w:rFonts w:ascii="Times New Roman" w:hAnsi="Times New Roman" w:cs="Times New Roman"/>
          <w:sz w:val="24"/>
          <w:szCs w:val="24"/>
        </w:rPr>
        <w:t>9</w:t>
      </w:r>
      <w:r w:rsidR="00154189" w:rsidRPr="005A2602">
        <w:rPr>
          <w:rFonts w:ascii="Times New Roman" w:hAnsi="Times New Roman" w:cs="Times New Roman"/>
          <w:sz w:val="24"/>
          <w:szCs w:val="24"/>
        </w:rPr>
        <w:t>.</w:t>
      </w:r>
      <w:r w:rsidR="00154189">
        <w:rPr>
          <w:rFonts w:ascii="Times New Roman" w:hAnsi="Times New Roman" w:cs="Times New Roman"/>
          <w:sz w:val="24"/>
          <w:szCs w:val="24"/>
        </w:rPr>
        <w:t> </w:t>
      </w:r>
      <w:r w:rsidR="00154189" w:rsidRPr="005A2602">
        <w:rPr>
          <w:rFonts w:ascii="Times New Roman" w:hAnsi="Times New Roman" w:cs="Times New Roman"/>
          <w:sz w:val="24"/>
          <w:szCs w:val="24"/>
        </w:rPr>
        <w:t xml:space="preserve">gadā </w:t>
      </w:r>
      <w:r w:rsidR="00154189">
        <w:rPr>
          <w:rFonts w:ascii="Times New Roman" w:hAnsi="Times New Roman" w:cs="Times New Roman"/>
          <w:sz w:val="24"/>
          <w:szCs w:val="24"/>
        </w:rPr>
        <w:t>veido</w:t>
      </w:r>
      <w:r w:rsidR="00654C12">
        <w:rPr>
          <w:rFonts w:ascii="Times New Roman" w:hAnsi="Times New Roman" w:cs="Times New Roman"/>
          <w:sz w:val="24"/>
          <w:szCs w:val="24"/>
        </w:rPr>
        <w:t>ja</w:t>
      </w:r>
      <w:r w:rsidR="00154189" w:rsidRPr="005A2602">
        <w:rPr>
          <w:rFonts w:ascii="Times New Roman" w:hAnsi="Times New Roman" w:cs="Times New Roman"/>
          <w:sz w:val="24"/>
          <w:szCs w:val="24"/>
        </w:rPr>
        <w:t xml:space="preserve"> 2</w:t>
      </w:r>
      <w:r w:rsidR="00A1722D">
        <w:rPr>
          <w:rFonts w:ascii="Times New Roman" w:hAnsi="Times New Roman" w:cs="Times New Roman"/>
          <w:sz w:val="24"/>
          <w:szCs w:val="24"/>
        </w:rPr>
        <w:t>3</w:t>
      </w:r>
      <w:r w:rsidR="00154189" w:rsidRPr="005A2602">
        <w:rPr>
          <w:rFonts w:ascii="Times New Roman" w:hAnsi="Times New Roman" w:cs="Times New Roman"/>
          <w:sz w:val="24"/>
          <w:szCs w:val="24"/>
        </w:rPr>
        <w:t>,</w:t>
      </w:r>
      <w:r w:rsidR="00A1722D">
        <w:rPr>
          <w:rFonts w:ascii="Times New Roman" w:hAnsi="Times New Roman" w:cs="Times New Roman"/>
          <w:sz w:val="24"/>
          <w:szCs w:val="24"/>
        </w:rPr>
        <w:t>9</w:t>
      </w:r>
      <w:r w:rsidR="00154189">
        <w:rPr>
          <w:rFonts w:ascii="Times New Roman" w:hAnsi="Times New Roman" w:cs="Times New Roman"/>
          <w:sz w:val="24"/>
          <w:szCs w:val="24"/>
        </w:rPr>
        <w:t> </w:t>
      </w:r>
      <w:r w:rsidR="00154189" w:rsidRPr="005A2602">
        <w:rPr>
          <w:rFonts w:ascii="Times New Roman" w:hAnsi="Times New Roman" w:cs="Times New Roman"/>
          <w:sz w:val="24"/>
          <w:szCs w:val="24"/>
        </w:rPr>
        <w:t>%  no IKP, var secināt, ka būvniecības nozarē esošais ēnu ekonomikas īpatsvars vēl joprojām ir viens no lielākajiem s</w:t>
      </w:r>
      <w:r w:rsidR="00154189">
        <w:rPr>
          <w:rFonts w:ascii="Times New Roman" w:hAnsi="Times New Roman" w:cs="Times New Roman"/>
          <w:sz w:val="24"/>
          <w:szCs w:val="24"/>
        </w:rPr>
        <w:t>alīdzinājumā ar</w:t>
      </w:r>
      <w:r w:rsidR="00154189" w:rsidRPr="005A2602">
        <w:rPr>
          <w:rFonts w:ascii="Times New Roman" w:hAnsi="Times New Roman" w:cs="Times New Roman"/>
          <w:sz w:val="24"/>
          <w:szCs w:val="24"/>
        </w:rPr>
        <w:t xml:space="preserve"> citām nozarēm. </w:t>
      </w:r>
    </w:p>
    <w:p w14:paraId="33587BF1" w14:textId="37B240DB" w:rsidR="00891453" w:rsidRPr="00891453" w:rsidRDefault="00891453" w:rsidP="00114176">
      <w:pPr>
        <w:pStyle w:val="NormalWeb"/>
        <w:shd w:val="clear" w:color="auto" w:fill="FFFFFF"/>
        <w:textAlignment w:val="baseline"/>
      </w:pPr>
      <w:r w:rsidRPr="00114176">
        <w:t xml:space="preserve">Ēnu ekonomikas īpatsvars būvniecībā </w:t>
      </w:r>
      <w:r w:rsidR="00740725" w:rsidRPr="00114176">
        <w:t>2019.</w:t>
      </w:r>
      <w:r w:rsidR="001B2CF9" w:rsidRPr="00114176">
        <w:t> </w:t>
      </w:r>
      <w:r w:rsidR="00740725" w:rsidRPr="00114176">
        <w:t>gadā</w:t>
      </w:r>
      <w:r w:rsidRPr="00114176">
        <w:t xml:space="preserve"> Latvijā turpināja samazināties un veidoja 30,7</w:t>
      </w:r>
      <w:r w:rsidR="004D699F" w:rsidRPr="00114176">
        <w:t> </w:t>
      </w:r>
      <w:r w:rsidRPr="00114176">
        <w:t xml:space="preserve">%, liecina "SSE </w:t>
      </w:r>
      <w:r w:rsidRPr="00C86BB2">
        <w:t>Riga</w:t>
      </w:r>
      <w:r w:rsidRPr="00114176">
        <w:t xml:space="preserve">" profesora un biedrības </w:t>
      </w:r>
      <w:r w:rsidR="001B2CF9" w:rsidRPr="00114176">
        <w:t>BASE</w:t>
      </w:r>
      <w:r w:rsidRPr="00114176">
        <w:t xml:space="preserve"> valdes locekļa A.</w:t>
      </w:r>
      <w:r w:rsidR="00DA2EED">
        <w:t> </w:t>
      </w:r>
      <w:r w:rsidRPr="00114176">
        <w:t>Saukas veiktais ikgadējais pētījums. Salīdzinājumā ar 2018.</w:t>
      </w:r>
      <w:r w:rsidR="004D699F" w:rsidRPr="00114176">
        <w:t> </w:t>
      </w:r>
      <w:r w:rsidRPr="00114176">
        <w:t>gadu, kad ēnu ekonomikas īpatsvars nozarē bija 34,1</w:t>
      </w:r>
      <w:r w:rsidR="004D699F" w:rsidRPr="00114176">
        <w:t> </w:t>
      </w:r>
      <w:r w:rsidRPr="00114176">
        <w:t>%, pērn tas ir samazinājies par 3,4 procentpunktiem. Latvijā pirmais pētījums par ēnu ekonomikas īpatsvaru būvniecībā tika veikts 2016.</w:t>
      </w:r>
      <w:r w:rsidR="004D699F" w:rsidRPr="00114176">
        <w:t> </w:t>
      </w:r>
      <w:r w:rsidRPr="00114176">
        <w:t>gadā, atklājot, ka 2015.</w:t>
      </w:r>
      <w:r w:rsidR="004D699F" w:rsidRPr="00114176">
        <w:t> </w:t>
      </w:r>
      <w:r w:rsidRPr="00114176">
        <w:t>gadā ēnu ekonomika būvniecībā veidoja 40</w:t>
      </w:r>
      <w:r w:rsidR="004D699F" w:rsidRPr="00114176">
        <w:t> </w:t>
      </w:r>
      <w:r w:rsidRPr="00114176">
        <w:t xml:space="preserve">%. Līdz ar to piecu gadu laikā ēnu ekonomikas īpatsvars samazinājies par 9,3 procentpunktiem. Atbilstoši jaunākā pētījuma datiem </w:t>
      </w:r>
      <w:r w:rsidR="00A37F88">
        <w:t>2019. gadā</w:t>
      </w:r>
      <w:r w:rsidR="00A37F88" w:rsidRPr="00114176">
        <w:t xml:space="preserve"> </w:t>
      </w:r>
      <w:r w:rsidRPr="00114176">
        <w:t>par 1,2 procentpunktiem samazinājies aplokšņu algu īpatsvars būvniecībā,</w:t>
      </w:r>
      <w:r w:rsidR="006A47D3" w:rsidRPr="00114176">
        <w:t xml:space="preserve"> 201</w:t>
      </w:r>
      <w:r w:rsidRPr="00114176">
        <w:t>9.</w:t>
      </w:r>
      <w:r w:rsidR="00114176" w:rsidRPr="00114176">
        <w:t> </w:t>
      </w:r>
      <w:r w:rsidRPr="00114176">
        <w:t>gadā aplokšņu algas būvniecībā saņēma 27</w:t>
      </w:r>
      <w:r w:rsidR="00114176" w:rsidRPr="00114176">
        <w:t> </w:t>
      </w:r>
      <w:r w:rsidRPr="00114176">
        <w:t>% nodarbināto, kamēr 2018.</w:t>
      </w:r>
      <w:r w:rsidR="00114176" w:rsidRPr="00114176">
        <w:t> </w:t>
      </w:r>
      <w:r w:rsidRPr="00114176">
        <w:t>gadā aplokšņu algu īpatsvars bija 28,2</w:t>
      </w:r>
      <w:r w:rsidR="00114176" w:rsidRPr="00114176">
        <w:t> </w:t>
      </w:r>
      <w:r w:rsidRPr="00114176">
        <w:t>%.</w:t>
      </w:r>
      <w:r w:rsidR="00143555" w:rsidRPr="00114176">
        <w:rPr>
          <w:rStyle w:val="FootnoteReference"/>
        </w:rPr>
        <w:footnoteReference w:id="12"/>
      </w:r>
    </w:p>
    <w:p w14:paraId="649792FB" w14:textId="042B277C" w:rsidR="00154189" w:rsidRPr="005A2602" w:rsidRDefault="00154189" w:rsidP="00154189">
      <w:pPr>
        <w:ind w:firstLine="567"/>
        <w:rPr>
          <w:rFonts w:ascii="Times New Roman" w:hAnsi="Times New Roman" w:cs="Times New Roman"/>
          <w:sz w:val="24"/>
          <w:szCs w:val="24"/>
        </w:rPr>
      </w:pPr>
      <w:r w:rsidRPr="005A2602">
        <w:rPr>
          <w:rFonts w:ascii="Times New Roman" w:hAnsi="Times New Roman" w:cs="Times New Roman"/>
          <w:sz w:val="24"/>
          <w:szCs w:val="24"/>
        </w:rPr>
        <w:t>Lai samazinātu ēnu ekonomiku būvniecības nozarē, tiek veiktas dažādas darbības un īstenoti pasākumi.</w:t>
      </w:r>
      <w:r>
        <w:t xml:space="preserve"> </w:t>
      </w:r>
      <w:r w:rsidRPr="00595284">
        <w:rPr>
          <w:rFonts w:ascii="Times New Roman" w:hAnsi="Times New Roman" w:cs="Times New Roman"/>
          <w:sz w:val="24"/>
          <w:szCs w:val="24"/>
        </w:rPr>
        <w:t>Turpinot sadarbību ar sociālajiem partneriem būvniecības nozarē,</w:t>
      </w:r>
      <w:r>
        <w:rPr>
          <w:rFonts w:ascii="Times New Roman" w:hAnsi="Times New Roman" w:cs="Times New Roman"/>
          <w:sz w:val="24"/>
          <w:szCs w:val="24"/>
        </w:rPr>
        <w:t xml:space="preserve"> </w:t>
      </w:r>
      <w:r w:rsidR="00BC32DB">
        <w:rPr>
          <w:rFonts w:ascii="Times New Roman" w:hAnsi="Times New Roman" w:cs="Times New Roman"/>
          <w:sz w:val="24"/>
          <w:szCs w:val="24"/>
        </w:rPr>
        <w:t>2019. gada 3.</w:t>
      </w:r>
      <w:r w:rsidR="00700AE9">
        <w:rPr>
          <w:rFonts w:ascii="Times New Roman" w:hAnsi="Times New Roman" w:cs="Times New Roman"/>
          <w:sz w:val="24"/>
          <w:szCs w:val="24"/>
        </w:rPr>
        <w:t> </w:t>
      </w:r>
      <w:r w:rsidRPr="006731F9">
        <w:rPr>
          <w:rFonts w:ascii="Times New Roman" w:hAnsi="Times New Roman" w:cs="Times New Roman"/>
          <w:sz w:val="24"/>
          <w:szCs w:val="24"/>
        </w:rPr>
        <w:t xml:space="preserve">novembrī stājās spēkā ģenerālvienošanās par minimālo algu būvniecībā, nosakot 780 </w:t>
      </w:r>
      <w:r w:rsidRPr="009A09D2">
        <w:rPr>
          <w:rFonts w:ascii="Times New Roman" w:hAnsi="Times New Roman" w:cs="Times New Roman"/>
          <w:i/>
          <w:iCs/>
          <w:sz w:val="24"/>
          <w:szCs w:val="24"/>
        </w:rPr>
        <w:t>euro</w:t>
      </w:r>
      <w:r w:rsidRPr="006731F9">
        <w:rPr>
          <w:rFonts w:ascii="Times New Roman" w:hAnsi="Times New Roman" w:cs="Times New Roman"/>
          <w:sz w:val="24"/>
          <w:szCs w:val="24"/>
        </w:rPr>
        <w:t xml:space="preserve"> lielu minimālo bruto algu un 4,67 </w:t>
      </w:r>
      <w:r w:rsidRPr="009A09D2">
        <w:rPr>
          <w:rFonts w:ascii="Times New Roman" w:hAnsi="Times New Roman" w:cs="Times New Roman"/>
          <w:i/>
          <w:iCs/>
          <w:sz w:val="24"/>
          <w:szCs w:val="24"/>
        </w:rPr>
        <w:t>euro</w:t>
      </w:r>
      <w:r w:rsidRPr="006731F9">
        <w:rPr>
          <w:rFonts w:ascii="Times New Roman" w:hAnsi="Times New Roman" w:cs="Times New Roman"/>
          <w:sz w:val="24"/>
          <w:szCs w:val="24"/>
        </w:rPr>
        <w:t xml:space="preserve"> minimālo stundas tarifa likmi visā būvniecības nozarē. Tā nosaka arī iespēju saņemt 5</w:t>
      </w:r>
      <w:r>
        <w:rPr>
          <w:rFonts w:ascii="Times New Roman" w:hAnsi="Times New Roman" w:cs="Times New Roman"/>
          <w:sz w:val="24"/>
          <w:szCs w:val="24"/>
        </w:rPr>
        <w:t> </w:t>
      </w:r>
      <w:r w:rsidRPr="006731F9">
        <w:rPr>
          <w:rFonts w:ascii="Times New Roman" w:hAnsi="Times New Roman" w:cs="Times New Roman"/>
          <w:sz w:val="24"/>
          <w:szCs w:val="24"/>
        </w:rPr>
        <w:t xml:space="preserve">% piemaksu, ja nodarbinātais ir ieguvis profesijai atbilstošu izglītību, tādējādi garantējot 820 </w:t>
      </w:r>
      <w:r w:rsidRPr="009A09D2">
        <w:rPr>
          <w:rFonts w:ascii="Times New Roman" w:hAnsi="Times New Roman" w:cs="Times New Roman"/>
          <w:i/>
          <w:iCs/>
          <w:sz w:val="24"/>
          <w:szCs w:val="24"/>
        </w:rPr>
        <w:t>euro</w:t>
      </w:r>
      <w:r w:rsidRPr="006731F9">
        <w:rPr>
          <w:rFonts w:ascii="Times New Roman" w:hAnsi="Times New Roman" w:cs="Times New Roman"/>
          <w:sz w:val="24"/>
          <w:szCs w:val="24"/>
        </w:rPr>
        <w:t xml:space="preserve"> minimālo algu.</w:t>
      </w:r>
      <w:r w:rsidRPr="005A2602">
        <w:rPr>
          <w:rFonts w:ascii="Times New Roman" w:hAnsi="Times New Roman" w:cs="Times New Roman"/>
          <w:sz w:val="24"/>
          <w:szCs w:val="24"/>
        </w:rPr>
        <w:t xml:space="preserve"> </w:t>
      </w:r>
      <w:r w:rsidRPr="00595284">
        <w:rPr>
          <w:rFonts w:ascii="Times New Roman" w:hAnsi="Times New Roman" w:cs="Times New Roman"/>
          <w:sz w:val="24"/>
          <w:szCs w:val="24"/>
        </w:rPr>
        <w:t>Ģenerālvienošanās par minimālo algu ir nozīmīga reforma būvniecības nozarē, kuras mērķis ir stiprināt Latvijas būvuzņēmēju konkurētspēju, mazināt ēnu ekonomiku un nodrošināt būvniecībā nodarbināto tiesību aizsardzību.</w:t>
      </w:r>
    </w:p>
    <w:p w14:paraId="25EE9D7F" w14:textId="57B6883A" w:rsidR="00154189" w:rsidRDefault="00154189" w:rsidP="00154189">
      <w:pPr>
        <w:pStyle w:val="ListParagraph"/>
        <w:ind w:left="0" w:firstLine="567"/>
        <w:rPr>
          <w:rFonts w:ascii="Times New Roman" w:hAnsi="Times New Roman" w:cs="Times New Roman"/>
          <w:sz w:val="24"/>
          <w:szCs w:val="24"/>
        </w:rPr>
      </w:pPr>
      <w:r w:rsidRPr="005A2602">
        <w:rPr>
          <w:rFonts w:ascii="Times New Roman" w:hAnsi="Times New Roman" w:cs="Times New Roman"/>
          <w:sz w:val="24"/>
          <w:szCs w:val="24"/>
        </w:rPr>
        <w:t xml:space="preserve">Turpinot darbu pie būvniecības nozares sakārtošanas un ēnu ekonomikas būvniecības nozarē mazināšanas, </w:t>
      </w:r>
      <w:r w:rsidRPr="006B731B">
        <w:rPr>
          <w:rFonts w:ascii="Times New Roman" w:hAnsi="Times New Roman" w:cs="Times New Roman"/>
          <w:sz w:val="24"/>
          <w:szCs w:val="24"/>
        </w:rPr>
        <w:t>2019.</w:t>
      </w:r>
      <w:r>
        <w:rPr>
          <w:rFonts w:ascii="Times New Roman" w:hAnsi="Times New Roman" w:cs="Times New Roman"/>
          <w:sz w:val="24"/>
          <w:szCs w:val="24"/>
        </w:rPr>
        <w:t> </w:t>
      </w:r>
      <w:r w:rsidRPr="006B731B">
        <w:rPr>
          <w:rFonts w:ascii="Times New Roman" w:hAnsi="Times New Roman" w:cs="Times New Roman"/>
          <w:sz w:val="24"/>
          <w:szCs w:val="24"/>
        </w:rPr>
        <w:t xml:space="preserve">gadā ir pieņemts regulējums, lai mazinātu </w:t>
      </w:r>
      <w:r w:rsidRPr="00FC5D98">
        <w:rPr>
          <w:rFonts w:ascii="Times New Roman" w:hAnsi="Times New Roman" w:cs="Times New Roman"/>
          <w:bCs/>
          <w:sz w:val="24"/>
          <w:szCs w:val="24"/>
        </w:rPr>
        <w:t>ēnu</w:t>
      </w:r>
      <w:r w:rsidRPr="006B731B">
        <w:rPr>
          <w:rFonts w:ascii="Times New Roman" w:hAnsi="Times New Roman" w:cs="Times New Roman"/>
          <w:b/>
          <w:sz w:val="24"/>
          <w:szCs w:val="24"/>
        </w:rPr>
        <w:t xml:space="preserve"> </w:t>
      </w:r>
      <w:r w:rsidRPr="005168FC">
        <w:rPr>
          <w:rFonts w:ascii="Times New Roman" w:hAnsi="Times New Roman" w:cs="Times New Roman"/>
          <w:bCs/>
          <w:sz w:val="24"/>
          <w:szCs w:val="24"/>
        </w:rPr>
        <w:t>ekonomiku būvniecības nozarē,</w:t>
      </w:r>
      <w:r w:rsidRPr="006B731B">
        <w:rPr>
          <w:rFonts w:ascii="Times New Roman" w:hAnsi="Times New Roman" w:cs="Times New Roman"/>
          <w:sz w:val="24"/>
          <w:szCs w:val="24"/>
        </w:rPr>
        <w:t xml:space="preserve"> proti, no 2020.</w:t>
      </w:r>
      <w:r>
        <w:rPr>
          <w:rFonts w:ascii="Times New Roman" w:hAnsi="Times New Roman" w:cs="Times New Roman"/>
          <w:sz w:val="24"/>
          <w:szCs w:val="24"/>
        </w:rPr>
        <w:t> </w:t>
      </w:r>
      <w:r w:rsidRPr="006B731B">
        <w:rPr>
          <w:rFonts w:ascii="Times New Roman" w:hAnsi="Times New Roman" w:cs="Times New Roman"/>
          <w:sz w:val="24"/>
          <w:szCs w:val="24"/>
        </w:rPr>
        <w:t>gada 1.</w:t>
      </w:r>
      <w:r>
        <w:rPr>
          <w:rFonts w:ascii="Times New Roman" w:hAnsi="Times New Roman" w:cs="Times New Roman"/>
          <w:sz w:val="24"/>
          <w:szCs w:val="24"/>
        </w:rPr>
        <w:t> </w:t>
      </w:r>
      <w:r w:rsidRPr="006B731B">
        <w:rPr>
          <w:rFonts w:ascii="Times New Roman" w:hAnsi="Times New Roman" w:cs="Times New Roman"/>
          <w:sz w:val="24"/>
          <w:szCs w:val="24"/>
        </w:rPr>
        <w:t xml:space="preserve">janvāra ir samazināts izmaksu slieksnis (t.i., no 1 miljona </w:t>
      </w:r>
      <w:r w:rsidRPr="005A2602">
        <w:rPr>
          <w:rFonts w:ascii="Times New Roman" w:hAnsi="Times New Roman" w:cs="Times New Roman"/>
          <w:i/>
          <w:sz w:val="24"/>
          <w:szCs w:val="24"/>
        </w:rPr>
        <w:t>e</w:t>
      </w:r>
      <w:r>
        <w:rPr>
          <w:rFonts w:ascii="Times New Roman" w:hAnsi="Times New Roman" w:cs="Times New Roman"/>
          <w:i/>
          <w:sz w:val="24"/>
          <w:szCs w:val="24"/>
        </w:rPr>
        <w:t>u</w:t>
      </w:r>
      <w:r w:rsidRPr="005A2602">
        <w:rPr>
          <w:rFonts w:ascii="Times New Roman" w:hAnsi="Times New Roman" w:cs="Times New Roman"/>
          <w:i/>
          <w:sz w:val="24"/>
          <w:szCs w:val="24"/>
        </w:rPr>
        <w:t>ro</w:t>
      </w:r>
      <w:r w:rsidRPr="006B731B">
        <w:rPr>
          <w:rFonts w:ascii="Times New Roman" w:hAnsi="Times New Roman" w:cs="Times New Roman"/>
          <w:sz w:val="24"/>
          <w:szCs w:val="24"/>
        </w:rPr>
        <w:t xml:space="preserve"> uz 350 000 </w:t>
      </w:r>
      <w:r w:rsidRPr="005A2602">
        <w:rPr>
          <w:rFonts w:ascii="Times New Roman" w:hAnsi="Times New Roman" w:cs="Times New Roman"/>
          <w:i/>
          <w:sz w:val="24"/>
          <w:szCs w:val="24"/>
        </w:rPr>
        <w:t>e</w:t>
      </w:r>
      <w:r>
        <w:rPr>
          <w:rFonts w:ascii="Times New Roman" w:hAnsi="Times New Roman" w:cs="Times New Roman"/>
          <w:i/>
          <w:sz w:val="24"/>
          <w:szCs w:val="24"/>
        </w:rPr>
        <w:t>u</w:t>
      </w:r>
      <w:r w:rsidRPr="005A2602">
        <w:rPr>
          <w:rFonts w:ascii="Times New Roman" w:hAnsi="Times New Roman" w:cs="Times New Roman"/>
          <w:i/>
          <w:sz w:val="24"/>
          <w:szCs w:val="24"/>
        </w:rPr>
        <w:t>ro</w:t>
      </w:r>
      <w:r w:rsidRPr="006B731B">
        <w:rPr>
          <w:rFonts w:ascii="Times New Roman" w:hAnsi="Times New Roman" w:cs="Times New Roman"/>
          <w:sz w:val="24"/>
          <w:szCs w:val="24"/>
        </w:rPr>
        <w:t>) attiecībā uz būvlaukumiem, kuros obligāti ieviešama elektroniskās darba laika uzskaites sistēma</w:t>
      </w:r>
      <w:r>
        <w:rPr>
          <w:rFonts w:ascii="Times New Roman" w:hAnsi="Times New Roman" w:cs="Times New Roman"/>
          <w:sz w:val="24"/>
          <w:szCs w:val="24"/>
        </w:rPr>
        <w:t xml:space="preserve"> </w:t>
      </w:r>
      <w:r w:rsidRPr="0004488D">
        <w:rPr>
          <w:rFonts w:ascii="Times New Roman" w:hAnsi="Times New Roman" w:cs="Times New Roman"/>
          <w:sz w:val="24"/>
          <w:szCs w:val="24"/>
        </w:rPr>
        <w:t>(turpmāk – EDLUS)</w:t>
      </w:r>
      <w:r w:rsidRPr="006B731B">
        <w:rPr>
          <w:rFonts w:ascii="Times New Roman" w:hAnsi="Times New Roman" w:cs="Times New Roman"/>
          <w:sz w:val="24"/>
          <w:szCs w:val="24"/>
        </w:rPr>
        <w:t xml:space="preserve">. </w:t>
      </w:r>
      <w:r w:rsidRPr="006731F9">
        <w:rPr>
          <w:rFonts w:ascii="Times New Roman" w:hAnsi="Times New Roman" w:cs="Times New Roman"/>
          <w:sz w:val="24"/>
          <w:szCs w:val="24"/>
        </w:rPr>
        <w:t>Sākot ar 2020.</w:t>
      </w:r>
      <w:r>
        <w:rPr>
          <w:rFonts w:ascii="Times New Roman" w:hAnsi="Times New Roman" w:cs="Times New Roman"/>
          <w:sz w:val="24"/>
          <w:szCs w:val="24"/>
        </w:rPr>
        <w:t> </w:t>
      </w:r>
      <w:r w:rsidRPr="006731F9">
        <w:rPr>
          <w:rFonts w:ascii="Times New Roman" w:hAnsi="Times New Roman" w:cs="Times New Roman"/>
          <w:sz w:val="24"/>
          <w:szCs w:val="24"/>
        </w:rPr>
        <w:t>gada februāri (nododot datus par 2020.</w:t>
      </w:r>
      <w:r>
        <w:rPr>
          <w:rFonts w:ascii="Times New Roman" w:hAnsi="Times New Roman" w:cs="Times New Roman"/>
          <w:sz w:val="24"/>
          <w:szCs w:val="24"/>
        </w:rPr>
        <w:t> </w:t>
      </w:r>
      <w:r w:rsidRPr="006731F9">
        <w:rPr>
          <w:rFonts w:ascii="Times New Roman" w:hAnsi="Times New Roman" w:cs="Times New Roman"/>
          <w:sz w:val="24"/>
          <w:szCs w:val="24"/>
        </w:rPr>
        <w:t xml:space="preserve">gada janvāri) galvenajam būvdarbu veicējam </w:t>
      </w:r>
      <w:r>
        <w:rPr>
          <w:rFonts w:ascii="Times New Roman" w:hAnsi="Times New Roman" w:cs="Times New Roman"/>
          <w:sz w:val="24"/>
          <w:szCs w:val="24"/>
        </w:rPr>
        <w:t>jā</w:t>
      </w:r>
      <w:r w:rsidRPr="006731F9">
        <w:rPr>
          <w:rFonts w:ascii="Times New Roman" w:hAnsi="Times New Roman" w:cs="Times New Roman"/>
          <w:sz w:val="24"/>
          <w:szCs w:val="24"/>
        </w:rPr>
        <w:t xml:space="preserve">nodod EDLUS dati </w:t>
      </w:r>
      <w:r w:rsidR="00352353">
        <w:rPr>
          <w:rFonts w:ascii="Times New Roman" w:hAnsi="Times New Roman" w:cs="Times New Roman"/>
          <w:sz w:val="24"/>
          <w:szCs w:val="24"/>
        </w:rPr>
        <w:t xml:space="preserve">iekļaušanai </w:t>
      </w:r>
      <w:r w:rsidRPr="006731F9">
        <w:rPr>
          <w:rFonts w:ascii="Times New Roman" w:hAnsi="Times New Roman" w:cs="Times New Roman"/>
          <w:sz w:val="24"/>
          <w:szCs w:val="24"/>
        </w:rPr>
        <w:t>vienota</w:t>
      </w:r>
      <w:r w:rsidR="00352353">
        <w:rPr>
          <w:rFonts w:ascii="Times New Roman" w:hAnsi="Times New Roman" w:cs="Times New Roman"/>
          <w:sz w:val="24"/>
          <w:szCs w:val="24"/>
        </w:rPr>
        <w:t>jā</w:t>
      </w:r>
      <w:r w:rsidRPr="006731F9">
        <w:rPr>
          <w:rFonts w:ascii="Times New Roman" w:hAnsi="Times New Roman" w:cs="Times New Roman"/>
          <w:sz w:val="24"/>
          <w:szCs w:val="24"/>
        </w:rPr>
        <w:t xml:space="preserve"> elektroniskā</w:t>
      </w:r>
      <w:r w:rsidR="00352353">
        <w:rPr>
          <w:rFonts w:ascii="Times New Roman" w:hAnsi="Times New Roman" w:cs="Times New Roman"/>
          <w:sz w:val="24"/>
          <w:szCs w:val="24"/>
        </w:rPr>
        <w:t>s</w:t>
      </w:r>
      <w:r w:rsidRPr="006731F9">
        <w:rPr>
          <w:rFonts w:ascii="Times New Roman" w:hAnsi="Times New Roman" w:cs="Times New Roman"/>
          <w:sz w:val="24"/>
          <w:szCs w:val="24"/>
        </w:rPr>
        <w:t xml:space="preserve"> darba laika uzskaites datubāz</w:t>
      </w:r>
      <w:r w:rsidR="00352353">
        <w:rPr>
          <w:rFonts w:ascii="Times New Roman" w:hAnsi="Times New Roman" w:cs="Times New Roman"/>
          <w:sz w:val="24"/>
          <w:szCs w:val="24"/>
        </w:rPr>
        <w:t>ē</w:t>
      </w:r>
      <w:r w:rsidRPr="006731F9">
        <w:rPr>
          <w:rFonts w:ascii="Times New Roman" w:hAnsi="Times New Roman" w:cs="Times New Roman"/>
          <w:sz w:val="24"/>
          <w:szCs w:val="24"/>
        </w:rPr>
        <w:t xml:space="preserve"> (</w:t>
      </w:r>
      <w:r w:rsidR="00352353">
        <w:rPr>
          <w:rFonts w:ascii="Times New Roman" w:hAnsi="Times New Roman" w:cs="Times New Roman"/>
          <w:sz w:val="24"/>
          <w:szCs w:val="24"/>
        </w:rPr>
        <w:t xml:space="preserve">turpmāk - </w:t>
      </w:r>
      <w:r w:rsidRPr="006731F9">
        <w:rPr>
          <w:rFonts w:ascii="Times New Roman" w:hAnsi="Times New Roman" w:cs="Times New Roman"/>
          <w:sz w:val="24"/>
          <w:szCs w:val="24"/>
        </w:rPr>
        <w:t>VEDLUDB) par katras būvlaukumā strādājošās personas darba laiku.</w:t>
      </w:r>
      <w:r>
        <w:rPr>
          <w:rFonts w:ascii="Times New Roman" w:hAnsi="Times New Roman" w:cs="Times New Roman"/>
          <w:sz w:val="24"/>
          <w:szCs w:val="24"/>
        </w:rPr>
        <w:t xml:space="preserve"> </w:t>
      </w:r>
      <w:r w:rsidRPr="006B731B">
        <w:rPr>
          <w:rFonts w:ascii="Times New Roman" w:hAnsi="Times New Roman" w:cs="Times New Roman"/>
          <w:sz w:val="24"/>
          <w:szCs w:val="24"/>
        </w:rPr>
        <w:t>Turklāt 2019.</w:t>
      </w:r>
      <w:r>
        <w:rPr>
          <w:rFonts w:ascii="Times New Roman" w:hAnsi="Times New Roman" w:cs="Times New Roman"/>
          <w:sz w:val="24"/>
          <w:szCs w:val="24"/>
        </w:rPr>
        <w:t> </w:t>
      </w:r>
      <w:r w:rsidRPr="006B731B">
        <w:rPr>
          <w:rFonts w:ascii="Times New Roman" w:hAnsi="Times New Roman" w:cs="Times New Roman"/>
          <w:sz w:val="24"/>
          <w:szCs w:val="24"/>
        </w:rPr>
        <w:t xml:space="preserve">gadā ir pilnveidots elektroniskās darba laika uzskaites būvniecībā regulējums, nosakot, ka </w:t>
      </w:r>
      <w:r w:rsidR="00352353">
        <w:rPr>
          <w:rFonts w:ascii="Times New Roman" w:hAnsi="Times New Roman" w:cs="Times New Roman"/>
          <w:sz w:val="24"/>
          <w:szCs w:val="24"/>
        </w:rPr>
        <w:t>EDLUS</w:t>
      </w:r>
      <w:r w:rsidRPr="006B731B">
        <w:rPr>
          <w:rFonts w:ascii="Times New Roman" w:hAnsi="Times New Roman" w:cs="Times New Roman"/>
          <w:sz w:val="24"/>
          <w:szCs w:val="24"/>
        </w:rPr>
        <w:t xml:space="preserve"> sākotnēji un </w:t>
      </w:r>
      <w:r w:rsidRPr="006B731B">
        <w:rPr>
          <w:rFonts w:ascii="Times New Roman" w:hAnsi="Times New Roman" w:cs="Times New Roman"/>
          <w:sz w:val="24"/>
          <w:szCs w:val="24"/>
        </w:rPr>
        <w:lastRenderedPageBreak/>
        <w:t xml:space="preserve">pēc tam vienu reizi divos gados ir jāveic ārējā drošības pārbaude, lai tādējādi nodrošinātu, ka būvlaukumā tiek lietota normatīvajiem aktiem atbilstoša </w:t>
      </w:r>
      <w:r w:rsidR="00352353">
        <w:rPr>
          <w:rFonts w:ascii="Times New Roman" w:hAnsi="Times New Roman" w:cs="Times New Roman"/>
          <w:sz w:val="24"/>
          <w:szCs w:val="24"/>
        </w:rPr>
        <w:t>EDLUS</w:t>
      </w:r>
      <w:r w:rsidRPr="006B731B">
        <w:rPr>
          <w:rFonts w:ascii="Times New Roman" w:hAnsi="Times New Roman" w:cs="Times New Roman"/>
          <w:sz w:val="24"/>
          <w:szCs w:val="24"/>
        </w:rPr>
        <w:t xml:space="preserve">, kas nodrošina sistēmā reģistrēto datu aizsardzību un integritāti. </w:t>
      </w:r>
      <w:r w:rsidR="00352353">
        <w:rPr>
          <w:rFonts w:ascii="Times New Roman" w:hAnsi="Times New Roman" w:cs="Times New Roman"/>
          <w:sz w:val="24"/>
          <w:szCs w:val="24"/>
        </w:rPr>
        <w:t>Prasības par EDLUS ārējo drošības pārbaudi stājās spēkā 2020. gada 1. jūnijā</w:t>
      </w:r>
      <w:r>
        <w:rPr>
          <w:rFonts w:ascii="Times New Roman" w:hAnsi="Times New Roman" w:cs="Times New Roman"/>
          <w:sz w:val="24"/>
          <w:szCs w:val="24"/>
        </w:rPr>
        <w:t>.</w:t>
      </w:r>
    </w:p>
    <w:p w14:paraId="4E1CE3B5" w14:textId="245FA25F" w:rsidR="00C144B4" w:rsidRDefault="00C144B4" w:rsidP="00154189">
      <w:pPr>
        <w:pStyle w:val="ListParagraph"/>
        <w:ind w:left="0" w:firstLine="567"/>
        <w:rPr>
          <w:rFonts w:ascii="Times New Roman" w:hAnsi="Times New Roman" w:cs="Times New Roman"/>
          <w:sz w:val="24"/>
          <w:szCs w:val="24"/>
        </w:rPr>
      </w:pPr>
      <w:r w:rsidRPr="00CA5379">
        <w:rPr>
          <w:rFonts w:ascii="Times New Roman" w:hAnsi="Times New Roman" w:cs="Times New Roman"/>
          <w:sz w:val="24"/>
          <w:szCs w:val="24"/>
        </w:rPr>
        <w:t>Jāatzīmē, ka EDLUS būvlaukumos tika ieviesta pakāpeniski no 2017. gada 1. oktobra, paredzot arī pielāgošanās laiku regulēj</w:t>
      </w:r>
      <w:r w:rsidR="006B450B" w:rsidRPr="00CA5379">
        <w:rPr>
          <w:rFonts w:ascii="Times New Roman" w:hAnsi="Times New Roman" w:cs="Times New Roman"/>
          <w:sz w:val="24"/>
          <w:szCs w:val="24"/>
        </w:rPr>
        <w:t>umā ietverto prasību ieviešanai. P</w:t>
      </w:r>
      <w:r w:rsidRPr="00CA5379">
        <w:rPr>
          <w:rFonts w:ascii="Times New Roman" w:hAnsi="Times New Roman" w:cs="Times New Roman"/>
          <w:sz w:val="24"/>
          <w:szCs w:val="24"/>
        </w:rPr>
        <w:t>ielāgošanās laiks jaunajām prasībām tika paredzēts, lai nozarē nodarbinātie pierastu pie nepieciešamības reģistrēt katru savu ieiešanu un iziešanu no būvlaukuma, kā arī lai varētu ieviest praksē un nepieciešamības gadījumā pielāgot EDLUS funkcionalitāti efektīvai būvlaukumā nodarbināto darba laika uzskaitei. 2020. gadā noslēdzās EDLUS ieviešanas posms, 2020. gada 1. jūlijā stājās spēkā grozījumi likumā “Par nodokļiem un nodevām”, kas paredz administratīvo atbildību par regulējuma neievērošanu attiecībā uz elektroniskās informācijas uzskaiti būvlaukumā. 2020. gada februārī atbilstoši likumam “Par nodokļiem un nodevām” tika uzsākta EDLUS datu sniegšana iekļaušanai VEDLUDB, proti, sākot ar 2020. gada 15. februāri iekļaušanai VEDLUDB tiek nodoti dati no visām būvlaukumos izmantotām EDLUS. Līdz ar to vienuviet un centralizēti, t.i., VEDLUDB, ir pieejami EDLUS dati, kurus var izmantot arī nodokļu administrēšanas procesos.</w:t>
      </w:r>
    </w:p>
    <w:p w14:paraId="45587709" w14:textId="77777777" w:rsidR="00154189" w:rsidRPr="0004488D" w:rsidRDefault="00154189" w:rsidP="00154189">
      <w:pPr>
        <w:pStyle w:val="ListParagraph"/>
        <w:ind w:left="0" w:firstLine="567"/>
        <w:rPr>
          <w:rFonts w:ascii="Times New Roman" w:hAnsi="Times New Roman" w:cs="Times New Roman"/>
          <w:sz w:val="24"/>
          <w:szCs w:val="24"/>
        </w:rPr>
      </w:pPr>
      <w:r>
        <w:rPr>
          <w:rFonts w:ascii="Times New Roman" w:hAnsi="Times New Roman" w:cs="Times New Roman"/>
          <w:sz w:val="24"/>
          <w:szCs w:val="24"/>
        </w:rPr>
        <w:t>2019. gadā</w:t>
      </w:r>
      <w:r w:rsidR="00352353">
        <w:rPr>
          <w:rFonts w:ascii="Times New Roman" w:hAnsi="Times New Roman" w:cs="Times New Roman"/>
          <w:sz w:val="24"/>
          <w:szCs w:val="24"/>
        </w:rPr>
        <w:t>,</w:t>
      </w:r>
      <w:r>
        <w:rPr>
          <w:rFonts w:ascii="Times New Roman" w:hAnsi="Times New Roman" w:cs="Times New Roman"/>
          <w:sz w:val="24"/>
          <w:szCs w:val="24"/>
        </w:rPr>
        <w:t xml:space="preserve"> īstenojot kontroles pasākumus, </w:t>
      </w:r>
      <w:r w:rsidRPr="0004488D">
        <w:rPr>
          <w:rFonts w:ascii="Times New Roman" w:hAnsi="Times New Roman" w:cs="Times New Roman"/>
          <w:sz w:val="24"/>
          <w:szCs w:val="24"/>
        </w:rPr>
        <w:t>VID kopā ar Valsts darba inspekciju veic</w:t>
      </w:r>
      <w:r w:rsidR="00B62F44">
        <w:rPr>
          <w:rFonts w:ascii="Times New Roman" w:hAnsi="Times New Roman" w:cs="Times New Roman"/>
          <w:sz w:val="24"/>
          <w:szCs w:val="24"/>
        </w:rPr>
        <w:t>a</w:t>
      </w:r>
      <w:r w:rsidRPr="0004488D">
        <w:rPr>
          <w:rFonts w:ascii="Times New Roman" w:hAnsi="Times New Roman" w:cs="Times New Roman"/>
          <w:sz w:val="24"/>
          <w:szCs w:val="24"/>
        </w:rPr>
        <w:t xml:space="preserve"> trīs tematiskās pārbaudes, t.sk., vienu tematisko pārbaudi saistībā ar </w:t>
      </w:r>
      <w:r>
        <w:rPr>
          <w:rFonts w:ascii="Times New Roman" w:hAnsi="Times New Roman" w:cs="Times New Roman"/>
          <w:sz w:val="24"/>
          <w:szCs w:val="24"/>
        </w:rPr>
        <w:t xml:space="preserve">EDLUS </w:t>
      </w:r>
      <w:r w:rsidRPr="0004488D">
        <w:rPr>
          <w:rFonts w:ascii="Times New Roman" w:hAnsi="Times New Roman" w:cs="Times New Roman"/>
          <w:sz w:val="24"/>
          <w:szCs w:val="24"/>
        </w:rPr>
        <w:t>ieviešanu būvniecībā.</w:t>
      </w:r>
    </w:p>
    <w:p w14:paraId="6DDB7DC4" w14:textId="77777777" w:rsidR="00154189" w:rsidRPr="0004488D" w:rsidRDefault="00154189" w:rsidP="00154189">
      <w:pPr>
        <w:pStyle w:val="ListParagraph"/>
        <w:ind w:left="0" w:firstLine="567"/>
        <w:rPr>
          <w:rFonts w:ascii="Times New Roman" w:hAnsi="Times New Roman" w:cs="Times New Roman"/>
          <w:sz w:val="24"/>
          <w:szCs w:val="24"/>
        </w:rPr>
      </w:pPr>
      <w:r w:rsidRPr="0004488D">
        <w:rPr>
          <w:rFonts w:ascii="Times New Roman" w:hAnsi="Times New Roman" w:cs="Times New Roman"/>
          <w:sz w:val="24"/>
          <w:szCs w:val="24"/>
        </w:rPr>
        <w:t xml:space="preserve">Saistībā ar EDLUS ieviešanu būvniecībā </w:t>
      </w:r>
      <w:r w:rsidR="009262C9">
        <w:rPr>
          <w:rFonts w:ascii="Times New Roman" w:hAnsi="Times New Roman" w:cs="Times New Roman"/>
          <w:sz w:val="24"/>
          <w:szCs w:val="24"/>
        </w:rPr>
        <w:t>837</w:t>
      </w:r>
      <w:r w:rsidRPr="0004488D">
        <w:rPr>
          <w:rFonts w:ascii="Times New Roman" w:hAnsi="Times New Roman" w:cs="Times New Roman"/>
          <w:sz w:val="24"/>
          <w:szCs w:val="24"/>
        </w:rPr>
        <w:t xml:space="preserve"> būvobjektos ir veiktas tematiskās pārbaudes un apsekošanas:</w:t>
      </w:r>
    </w:p>
    <w:p w14:paraId="1874BED1" w14:textId="77777777" w:rsidR="00154189" w:rsidRPr="0004488D" w:rsidRDefault="00154189" w:rsidP="00154189">
      <w:pPr>
        <w:pStyle w:val="ListParagraph"/>
        <w:ind w:left="0" w:firstLine="567"/>
        <w:rPr>
          <w:rFonts w:ascii="Times New Roman" w:hAnsi="Times New Roman" w:cs="Times New Roman"/>
          <w:sz w:val="24"/>
          <w:szCs w:val="24"/>
        </w:rPr>
      </w:pPr>
      <w:r w:rsidRPr="0004488D">
        <w:rPr>
          <w:rFonts w:ascii="Times New Roman" w:hAnsi="Times New Roman" w:cs="Times New Roman"/>
          <w:sz w:val="24"/>
          <w:szCs w:val="24"/>
        </w:rPr>
        <w:t>–</w:t>
      </w:r>
      <w:r w:rsidRPr="0004488D">
        <w:rPr>
          <w:rFonts w:ascii="Times New Roman" w:hAnsi="Times New Roman" w:cs="Times New Roman"/>
          <w:sz w:val="24"/>
          <w:szCs w:val="24"/>
        </w:rPr>
        <w:tab/>
        <w:t>97 tematiskās pārbaudes galvenajam būvdarbu veicējam;</w:t>
      </w:r>
    </w:p>
    <w:p w14:paraId="51C92015" w14:textId="77777777" w:rsidR="00154189" w:rsidRPr="0004488D" w:rsidRDefault="00154189" w:rsidP="00154189">
      <w:pPr>
        <w:pStyle w:val="ListParagraph"/>
        <w:ind w:left="0" w:firstLine="567"/>
        <w:rPr>
          <w:rFonts w:ascii="Times New Roman" w:hAnsi="Times New Roman" w:cs="Times New Roman"/>
          <w:sz w:val="24"/>
          <w:szCs w:val="24"/>
        </w:rPr>
      </w:pPr>
      <w:r w:rsidRPr="0004488D">
        <w:rPr>
          <w:rFonts w:ascii="Times New Roman" w:hAnsi="Times New Roman" w:cs="Times New Roman"/>
          <w:sz w:val="24"/>
          <w:szCs w:val="24"/>
        </w:rPr>
        <w:t>–</w:t>
      </w:r>
      <w:r w:rsidRPr="0004488D">
        <w:rPr>
          <w:rFonts w:ascii="Times New Roman" w:hAnsi="Times New Roman" w:cs="Times New Roman"/>
          <w:sz w:val="24"/>
          <w:szCs w:val="24"/>
        </w:rPr>
        <w:tab/>
        <w:t>80 tematiskās pārbaudes un 660 apsekošanas apakšuzņēmējiem, kuru darbinieki strādā būvobjektā.</w:t>
      </w:r>
    </w:p>
    <w:p w14:paraId="2BE09C66" w14:textId="77777777" w:rsidR="00154189" w:rsidRPr="0004488D" w:rsidRDefault="00154189" w:rsidP="00154189">
      <w:pPr>
        <w:pStyle w:val="ListParagraph"/>
        <w:ind w:left="0" w:firstLine="567"/>
        <w:rPr>
          <w:rFonts w:ascii="Times New Roman" w:hAnsi="Times New Roman" w:cs="Times New Roman"/>
          <w:sz w:val="24"/>
          <w:szCs w:val="24"/>
        </w:rPr>
      </w:pPr>
      <w:r w:rsidRPr="0004488D">
        <w:rPr>
          <w:rFonts w:ascii="Times New Roman" w:hAnsi="Times New Roman" w:cs="Times New Roman"/>
          <w:sz w:val="24"/>
          <w:szCs w:val="24"/>
        </w:rPr>
        <w:t>Pārbaudēs tika konstatēts, ka:</w:t>
      </w:r>
    </w:p>
    <w:p w14:paraId="62DCB591" w14:textId="77777777" w:rsidR="00154189" w:rsidRPr="0004488D" w:rsidRDefault="00154189" w:rsidP="00154189">
      <w:pPr>
        <w:pStyle w:val="ListParagraph"/>
        <w:ind w:left="0" w:firstLine="567"/>
        <w:rPr>
          <w:rFonts w:ascii="Times New Roman" w:hAnsi="Times New Roman" w:cs="Times New Roman"/>
          <w:sz w:val="24"/>
          <w:szCs w:val="24"/>
        </w:rPr>
      </w:pPr>
      <w:r w:rsidRPr="0004488D">
        <w:rPr>
          <w:rFonts w:ascii="Times New Roman" w:hAnsi="Times New Roman" w:cs="Times New Roman"/>
          <w:sz w:val="24"/>
          <w:szCs w:val="24"/>
        </w:rPr>
        <w:t>–</w:t>
      </w:r>
      <w:r>
        <w:rPr>
          <w:rFonts w:ascii="Times New Roman" w:hAnsi="Times New Roman" w:cs="Times New Roman"/>
          <w:sz w:val="24"/>
          <w:szCs w:val="24"/>
        </w:rPr>
        <w:t xml:space="preserve"> 7</w:t>
      </w:r>
      <w:r w:rsidRPr="0004488D">
        <w:rPr>
          <w:rFonts w:ascii="Times New Roman" w:hAnsi="Times New Roman" w:cs="Times New Roman"/>
          <w:sz w:val="24"/>
          <w:szCs w:val="24"/>
        </w:rPr>
        <w:t xml:space="preserve"> būvobjektos nebija ieviests EDLUS;</w:t>
      </w:r>
    </w:p>
    <w:p w14:paraId="482E6493" w14:textId="77777777" w:rsidR="00154189" w:rsidRPr="0004488D" w:rsidRDefault="00154189" w:rsidP="00154189">
      <w:pPr>
        <w:pStyle w:val="ListParagraph"/>
        <w:ind w:left="0" w:firstLine="567"/>
        <w:rPr>
          <w:rFonts w:ascii="Times New Roman" w:hAnsi="Times New Roman" w:cs="Times New Roman"/>
          <w:sz w:val="24"/>
          <w:szCs w:val="24"/>
        </w:rPr>
      </w:pPr>
      <w:r w:rsidRPr="0004488D">
        <w:rPr>
          <w:rFonts w:ascii="Times New Roman" w:hAnsi="Times New Roman" w:cs="Times New Roman"/>
          <w:sz w:val="24"/>
          <w:szCs w:val="24"/>
        </w:rPr>
        <w:t>–</w:t>
      </w:r>
      <w:r w:rsidRPr="0004488D">
        <w:rPr>
          <w:rFonts w:ascii="Times New Roman" w:hAnsi="Times New Roman" w:cs="Times New Roman"/>
          <w:sz w:val="24"/>
          <w:szCs w:val="24"/>
        </w:rPr>
        <w:tab/>
        <w:t>10 būvobjektos nevar uzrādīt EDLUS datus;</w:t>
      </w:r>
    </w:p>
    <w:p w14:paraId="36D540A2" w14:textId="77777777" w:rsidR="00154189" w:rsidRPr="0004488D" w:rsidRDefault="00154189" w:rsidP="00154189">
      <w:pPr>
        <w:pStyle w:val="ListParagraph"/>
        <w:ind w:left="0" w:firstLine="567"/>
        <w:rPr>
          <w:rFonts w:ascii="Times New Roman" w:hAnsi="Times New Roman" w:cs="Times New Roman"/>
          <w:sz w:val="24"/>
          <w:szCs w:val="24"/>
        </w:rPr>
      </w:pPr>
      <w:r w:rsidRPr="0004488D">
        <w:rPr>
          <w:rFonts w:ascii="Times New Roman" w:hAnsi="Times New Roman" w:cs="Times New Roman"/>
          <w:sz w:val="24"/>
          <w:szCs w:val="24"/>
        </w:rPr>
        <w:t>–</w:t>
      </w:r>
      <w:r w:rsidRPr="0004488D">
        <w:rPr>
          <w:rFonts w:ascii="Times New Roman" w:hAnsi="Times New Roman" w:cs="Times New Roman"/>
          <w:sz w:val="24"/>
          <w:szCs w:val="24"/>
        </w:rPr>
        <w:tab/>
        <w:t>13 būvobjektos EDLUS nenodrošina pilnīgas informācijas reģistrēšanu;</w:t>
      </w:r>
    </w:p>
    <w:p w14:paraId="2E1D498A" w14:textId="77777777" w:rsidR="00154189" w:rsidRPr="0004488D" w:rsidRDefault="00154189" w:rsidP="00154189">
      <w:pPr>
        <w:pStyle w:val="ListParagraph"/>
        <w:ind w:left="0" w:firstLine="567"/>
        <w:rPr>
          <w:rFonts w:ascii="Times New Roman" w:hAnsi="Times New Roman" w:cs="Times New Roman"/>
          <w:sz w:val="24"/>
          <w:szCs w:val="24"/>
        </w:rPr>
      </w:pPr>
      <w:r w:rsidRPr="0004488D">
        <w:rPr>
          <w:rFonts w:ascii="Times New Roman" w:hAnsi="Times New Roman" w:cs="Times New Roman"/>
          <w:sz w:val="24"/>
          <w:szCs w:val="24"/>
        </w:rPr>
        <w:t>–</w:t>
      </w:r>
      <w:r w:rsidRPr="0004488D">
        <w:rPr>
          <w:rFonts w:ascii="Times New Roman" w:hAnsi="Times New Roman" w:cs="Times New Roman"/>
          <w:sz w:val="24"/>
          <w:szCs w:val="24"/>
        </w:rPr>
        <w:tab/>
        <w:t>53 būvobjektos EDLUS nebija reģistrēti 230 darba ņēmēji, t.sk. apakšuzņēmēju 216 darba ņēmēji un ģenerāluzņēmēja 14 darba ņēmēji.</w:t>
      </w:r>
    </w:p>
    <w:p w14:paraId="349AFFEF" w14:textId="6B9C162F" w:rsidR="00154189" w:rsidRDefault="00154189" w:rsidP="00154189">
      <w:pPr>
        <w:pStyle w:val="ListParagraph"/>
        <w:ind w:left="0" w:firstLine="567"/>
        <w:rPr>
          <w:rFonts w:ascii="Times New Roman" w:hAnsi="Times New Roman" w:cs="Times New Roman"/>
          <w:sz w:val="24"/>
          <w:szCs w:val="24"/>
        </w:rPr>
      </w:pPr>
      <w:r w:rsidRPr="0004488D">
        <w:rPr>
          <w:rFonts w:ascii="Times New Roman" w:hAnsi="Times New Roman" w:cs="Times New Roman"/>
          <w:sz w:val="24"/>
          <w:szCs w:val="24"/>
        </w:rPr>
        <w:tab/>
      </w:r>
      <w:r>
        <w:rPr>
          <w:rFonts w:ascii="Times New Roman" w:hAnsi="Times New Roman" w:cs="Times New Roman"/>
          <w:sz w:val="24"/>
          <w:szCs w:val="24"/>
        </w:rPr>
        <w:t xml:space="preserve">Pēc veiktajām pārbaudēm VID nosūtīja </w:t>
      </w:r>
      <w:r w:rsidRPr="0004488D">
        <w:rPr>
          <w:rFonts w:ascii="Times New Roman" w:hAnsi="Times New Roman" w:cs="Times New Roman"/>
          <w:sz w:val="24"/>
          <w:szCs w:val="24"/>
        </w:rPr>
        <w:t>Valsts darba inspekcijai lēmuma pieņemšanai pēc piekritības astoņas lietas.</w:t>
      </w:r>
    </w:p>
    <w:p w14:paraId="5E0BE8FB" w14:textId="31AB2FC6" w:rsidR="00310A6B" w:rsidRDefault="00310A6B" w:rsidP="00154189">
      <w:pPr>
        <w:pStyle w:val="ListParagraph"/>
        <w:ind w:left="0" w:firstLine="567"/>
        <w:rPr>
          <w:rFonts w:ascii="Times New Roman" w:hAnsi="Times New Roman" w:cs="Times New Roman"/>
          <w:sz w:val="24"/>
          <w:szCs w:val="24"/>
        </w:rPr>
      </w:pPr>
    </w:p>
    <w:p w14:paraId="0F5480A5" w14:textId="75B10DF0" w:rsidR="00310A6B" w:rsidRDefault="00310A6B" w:rsidP="00154189">
      <w:pPr>
        <w:pStyle w:val="ListParagraph"/>
        <w:ind w:left="0" w:firstLine="567"/>
        <w:rPr>
          <w:rFonts w:ascii="Times New Roman" w:hAnsi="Times New Roman" w:cs="Times New Roman"/>
          <w:sz w:val="24"/>
          <w:szCs w:val="24"/>
        </w:rPr>
      </w:pPr>
    </w:p>
    <w:p w14:paraId="2470A8E6" w14:textId="6C9D89CE" w:rsidR="00310A6B" w:rsidRDefault="00310A6B" w:rsidP="00154189">
      <w:pPr>
        <w:pStyle w:val="ListParagraph"/>
        <w:ind w:left="0" w:firstLine="567"/>
        <w:rPr>
          <w:rFonts w:ascii="Times New Roman" w:hAnsi="Times New Roman" w:cs="Times New Roman"/>
          <w:sz w:val="24"/>
          <w:szCs w:val="24"/>
        </w:rPr>
      </w:pPr>
    </w:p>
    <w:p w14:paraId="72BC8E15" w14:textId="63753ED9" w:rsidR="00310A6B" w:rsidRDefault="00310A6B" w:rsidP="00154189">
      <w:pPr>
        <w:pStyle w:val="ListParagraph"/>
        <w:ind w:left="0" w:firstLine="567"/>
        <w:rPr>
          <w:rFonts w:ascii="Times New Roman" w:hAnsi="Times New Roman" w:cs="Times New Roman"/>
          <w:sz w:val="24"/>
          <w:szCs w:val="24"/>
        </w:rPr>
      </w:pPr>
    </w:p>
    <w:p w14:paraId="23F905A4" w14:textId="2D82FE7A" w:rsidR="00310A6B" w:rsidRDefault="00310A6B" w:rsidP="00154189">
      <w:pPr>
        <w:pStyle w:val="ListParagraph"/>
        <w:ind w:left="0" w:firstLine="567"/>
        <w:rPr>
          <w:rFonts w:ascii="Times New Roman" w:hAnsi="Times New Roman" w:cs="Times New Roman"/>
          <w:sz w:val="24"/>
          <w:szCs w:val="24"/>
        </w:rPr>
      </w:pPr>
    </w:p>
    <w:p w14:paraId="1569628B" w14:textId="4AA2B689" w:rsidR="00A95D35" w:rsidRDefault="00A95D35" w:rsidP="00154189">
      <w:pPr>
        <w:pStyle w:val="ListParagraph"/>
        <w:ind w:left="0" w:firstLine="567"/>
        <w:rPr>
          <w:rFonts w:ascii="Times New Roman" w:hAnsi="Times New Roman" w:cs="Times New Roman"/>
          <w:sz w:val="24"/>
          <w:szCs w:val="24"/>
        </w:rPr>
      </w:pPr>
    </w:p>
    <w:p w14:paraId="5F418B5F" w14:textId="408F84DE" w:rsidR="00A95D35" w:rsidRDefault="00A95D35" w:rsidP="00154189">
      <w:pPr>
        <w:pStyle w:val="ListParagraph"/>
        <w:ind w:left="0" w:firstLine="567"/>
        <w:rPr>
          <w:rFonts w:ascii="Times New Roman" w:hAnsi="Times New Roman" w:cs="Times New Roman"/>
          <w:sz w:val="24"/>
          <w:szCs w:val="24"/>
        </w:rPr>
      </w:pPr>
    </w:p>
    <w:p w14:paraId="5CE9199B" w14:textId="77777777" w:rsidR="00A95D35" w:rsidRDefault="00A95D35" w:rsidP="00154189">
      <w:pPr>
        <w:pStyle w:val="ListParagraph"/>
        <w:ind w:left="0" w:firstLine="567"/>
        <w:rPr>
          <w:rFonts w:ascii="Times New Roman" w:hAnsi="Times New Roman" w:cs="Times New Roman"/>
          <w:sz w:val="24"/>
          <w:szCs w:val="24"/>
        </w:rPr>
      </w:pPr>
    </w:p>
    <w:p w14:paraId="174B78D1" w14:textId="21B5A9C8" w:rsidR="00310A6B" w:rsidRDefault="00310A6B" w:rsidP="00154189">
      <w:pPr>
        <w:pStyle w:val="ListParagraph"/>
        <w:ind w:left="0" w:firstLine="567"/>
        <w:rPr>
          <w:rFonts w:ascii="Times New Roman" w:hAnsi="Times New Roman" w:cs="Times New Roman"/>
          <w:sz w:val="24"/>
          <w:szCs w:val="24"/>
        </w:rPr>
      </w:pPr>
    </w:p>
    <w:p w14:paraId="513F1CD2" w14:textId="2276F5AF" w:rsidR="00310A6B" w:rsidRDefault="00310A6B" w:rsidP="00154189">
      <w:pPr>
        <w:pStyle w:val="ListParagraph"/>
        <w:ind w:left="0" w:firstLine="567"/>
        <w:rPr>
          <w:rFonts w:ascii="Times New Roman" w:hAnsi="Times New Roman" w:cs="Times New Roman"/>
          <w:sz w:val="24"/>
          <w:szCs w:val="24"/>
        </w:rPr>
      </w:pPr>
    </w:p>
    <w:p w14:paraId="48BC0D5F" w14:textId="7074FC75" w:rsidR="00310A6B" w:rsidRDefault="00310A6B" w:rsidP="00154189">
      <w:pPr>
        <w:pStyle w:val="ListParagraph"/>
        <w:ind w:left="0" w:firstLine="567"/>
        <w:rPr>
          <w:rFonts w:ascii="Times New Roman" w:hAnsi="Times New Roman" w:cs="Times New Roman"/>
          <w:sz w:val="24"/>
          <w:szCs w:val="24"/>
        </w:rPr>
      </w:pPr>
    </w:p>
    <w:p w14:paraId="53060AF7" w14:textId="77777777" w:rsidR="00310A6B" w:rsidRDefault="00310A6B" w:rsidP="00154189">
      <w:pPr>
        <w:pStyle w:val="ListParagraph"/>
        <w:ind w:left="0" w:firstLine="567"/>
        <w:rPr>
          <w:rFonts w:ascii="Times New Roman" w:hAnsi="Times New Roman" w:cs="Times New Roman"/>
          <w:sz w:val="24"/>
          <w:szCs w:val="24"/>
        </w:rPr>
      </w:pPr>
    </w:p>
    <w:p w14:paraId="395954A2" w14:textId="77777777" w:rsidR="00154189" w:rsidRPr="000B00A8" w:rsidRDefault="00154189" w:rsidP="00154189">
      <w:pPr>
        <w:jc w:val="right"/>
        <w:rPr>
          <w:rFonts w:ascii="Times New Roman" w:hAnsi="Times New Roman" w:cs="Times New Roman"/>
          <w:i/>
        </w:rPr>
      </w:pPr>
      <w:r>
        <w:rPr>
          <w:rFonts w:ascii="Times New Roman" w:hAnsi="Times New Roman" w:cs="Times New Roman"/>
          <w:i/>
        </w:rPr>
        <w:lastRenderedPageBreak/>
        <w:t>7</w:t>
      </w:r>
      <w:r w:rsidRPr="00033E92">
        <w:rPr>
          <w:rFonts w:ascii="Times New Roman" w:hAnsi="Times New Roman" w:cs="Times New Roman"/>
          <w:i/>
        </w:rPr>
        <w:t>.</w:t>
      </w:r>
      <w:r>
        <w:rPr>
          <w:rFonts w:ascii="Times New Roman" w:hAnsi="Times New Roman" w:cs="Times New Roman"/>
          <w:i/>
        </w:rPr>
        <w:t> </w:t>
      </w:r>
      <w:r w:rsidRPr="00033E92">
        <w:rPr>
          <w:rFonts w:ascii="Times New Roman" w:hAnsi="Times New Roman" w:cs="Times New Roman"/>
          <w:i/>
        </w:rPr>
        <w:t>grafiks</w:t>
      </w:r>
    </w:p>
    <w:p w14:paraId="33109867" w14:textId="77777777" w:rsidR="00154189" w:rsidRPr="00FA08E8" w:rsidRDefault="00485F09" w:rsidP="00154189">
      <w:pPr>
        <w:ind w:firstLine="0"/>
        <w:rPr>
          <w:rFonts w:ascii="Times New Roman" w:hAnsi="Times New Roman" w:cs="Times New Roman"/>
          <w:sz w:val="24"/>
          <w:szCs w:val="24"/>
        </w:rPr>
      </w:pPr>
      <w:r>
        <w:rPr>
          <w:noProof/>
          <w:lang w:eastAsia="lv-LV"/>
        </w:rPr>
        <w:drawing>
          <wp:inline distT="0" distB="0" distL="0" distR="0" wp14:anchorId="762EE9DB" wp14:editId="4D0579E4">
            <wp:extent cx="4209690" cy="2743200"/>
            <wp:effectExtent l="0" t="0" r="63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154189" w:rsidRPr="000233E4">
        <w:rPr>
          <w:noProof/>
          <w:lang w:eastAsia="lv-LV"/>
        </w:rPr>
        <mc:AlternateContent>
          <mc:Choice Requires="wps">
            <w:drawing>
              <wp:anchor distT="0" distB="0" distL="114300" distR="114300" simplePos="0" relativeHeight="251659264" behindDoc="0" locked="0" layoutInCell="1" allowOverlap="1" wp14:anchorId="07BB161D" wp14:editId="2F4C0957">
                <wp:simplePos x="0" y="0"/>
                <wp:positionH relativeFrom="margin">
                  <wp:posOffset>4211955</wp:posOffset>
                </wp:positionH>
                <wp:positionV relativeFrom="paragraph">
                  <wp:posOffset>13970</wp:posOffset>
                </wp:positionV>
                <wp:extent cx="1568450" cy="2863850"/>
                <wp:effectExtent l="0" t="0" r="0" b="0"/>
                <wp:wrapNone/>
                <wp:docPr id="3" name="TextBox 9"/>
                <wp:cNvGraphicFramePr/>
                <a:graphic xmlns:a="http://schemas.openxmlformats.org/drawingml/2006/main">
                  <a:graphicData uri="http://schemas.microsoft.com/office/word/2010/wordprocessingShape">
                    <wps:wsp>
                      <wps:cNvSpPr txBox="1"/>
                      <wps:spPr>
                        <a:xfrm>
                          <a:off x="0" y="0"/>
                          <a:ext cx="1568450" cy="2863850"/>
                        </a:xfrm>
                        <a:prstGeom prst="rect">
                          <a:avLst/>
                        </a:prstGeom>
                        <a:solidFill>
                          <a:sysClr val="window" lastClr="FFFFFF"/>
                        </a:solidFill>
                        <a:ln w="12700" cap="flat" cmpd="sng" algn="ctr">
                          <a:noFill/>
                          <a:prstDash val="solid"/>
                          <a:miter lim="800000"/>
                        </a:ln>
                        <a:effectLst/>
                      </wps:spPr>
                      <wps:txbx>
                        <w:txbxContent>
                          <w:p w14:paraId="3E0D0051" w14:textId="77777777" w:rsidR="004A7BDB" w:rsidRPr="003649CC" w:rsidRDefault="004A7BDB" w:rsidP="00154189">
                            <w:pPr>
                              <w:pStyle w:val="NormalWeb"/>
                              <w:ind w:firstLine="0"/>
                              <w:rPr>
                                <w:sz w:val="22"/>
                                <w:szCs w:val="22"/>
                              </w:rPr>
                            </w:pPr>
                            <w:r>
                              <w:rPr>
                                <w:color w:val="000000" w:themeColor="dark1"/>
                                <w:kern w:val="24"/>
                                <w:sz w:val="22"/>
                                <w:szCs w:val="22"/>
                              </w:rPr>
                              <w:t>N</w:t>
                            </w:r>
                            <w:r w:rsidRPr="003649CC">
                              <w:rPr>
                                <w:color w:val="000000" w:themeColor="dark1"/>
                                <w:kern w:val="24"/>
                                <w:sz w:val="22"/>
                                <w:szCs w:val="22"/>
                              </w:rPr>
                              <w:t>odokļu ieņēmumu pieaugums</w:t>
                            </w:r>
                            <w:r>
                              <w:rPr>
                                <w:color w:val="000000" w:themeColor="dark1"/>
                                <w:kern w:val="24"/>
                                <w:sz w:val="22"/>
                                <w:szCs w:val="22"/>
                              </w:rPr>
                              <w:t xml:space="preserve"> salīdzinot ar 2018.g. - </w:t>
                            </w:r>
                            <w:r w:rsidRPr="003649CC">
                              <w:rPr>
                                <w:color w:val="000000" w:themeColor="dark1"/>
                                <w:kern w:val="24"/>
                                <w:sz w:val="22"/>
                                <w:szCs w:val="22"/>
                              </w:rPr>
                              <w:t xml:space="preserve"> </w:t>
                            </w:r>
                          </w:p>
                          <w:p w14:paraId="13D1FD58" w14:textId="452007F6" w:rsidR="004A7BDB" w:rsidRPr="003649CC" w:rsidRDefault="004A7BDB" w:rsidP="00154189">
                            <w:pPr>
                              <w:pStyle w:val="NormalWeb"/>
                              <w:ind w:firstLine="0"/>
                              <w:rPr>
                                <w:sz w:val="22"/>
                                <w:szCs w:val="22"/>
                              </w:rPr>
                            </w:pPr>
                            <w:r w:rsidRPr="003649CC">
                              <w:rPr>
                                <w:color w:val="000000" w:themeColor="dark1"/>
                                <w:kern w:val="24"/>
                                <w:sz w:val="22"/>
                                <w:szCs w:val="22"/>
                              </w:rPr>
                              <w:t>+</w:t>
                            </w:r>
                            <w:r>
                              <w:rPr>
                                <w:b/>
                                <w:bCs/>
                                <w:color w:val="000000" w:themeColor="dark1"/>
                                <w:kern w:val="24"/>
                                <w:sz w:val="22"/>
                                <w:szCs w:val="22"/>
                              </w:rPr>
                              <w:t>40,44</w:t>
                            </w:r>
                            <w:r w:rsidRPr="003649CC">
                              <w:rPr>
                                <w:b/>
                                <w:bCs/>
                                <w:color w:val="000000" w:themeColor="dark1"/>
                                <w:kern w:val="24"/>
                                <w:sz w:val="22"/>
                                <w:szCs w:val="22"/>
                              </w:rPr>
                              <w:t xml:space="preserve"> milj.</w:t>
                            </w:r>
                            <w:r>
                              <w:rPr>
                                <w:b/>
                                <w:bCs/>
                                <w:color w:val="000000" w:themeColor="dark1"/>
                                <w:kern w:val="24"/>
                                <w:sz w:val="22"/>
                                <w:szCs w:val="22"/>
                              </w:rPr>
                              <w:t> </w:t>
                            </w:r>
                            <w:r w:rsidRPr="00ED7491">
                              <w:rPr>
                                <w:b/>
                                <w:bCs/>
                                <w:i/>
                                <w:color w:val="000000" w:themeColor="dark1"/>
                                <w:kern w:val="24"/>
                                <w:sz w:val="22"/>
                                <w:szCs w:val="22"/>
                              </w:rPr>
                              <w:t>euro</w:t>
                            </w:r>
                            <w:r>
                              <w:rPr>
                                <w:b/>
                                <w:bCs/>
                                <w:iCs/>
                                <w:color w:val="000000" w:themeColor="dark1"/>
                                <w:kern w:val="24"/>
                                <w:sz w:val="22"/>
                                <w:szCs w:val="22"/>
                              </w:rPr>
                              <w:t xml:space="preserve"> </w:t>
                            </w:r>
                            <w:r w:rsidRPr="00E4219B">
                              <w:rPr>
                                <w:b/>
                                <w:bCs/>
                                <w:color w:val="000000" w:themeColor="dark1"/>
                                <w:kern w:val="24"/>
                                <w:sz w:val="22"/>
                                <w:szCs w:val="22"/>
                              </w:rPr>
                              <w:t>j</w:t>
                            </w:r>
                            <w:r>
                              <w:rPr>
                                <w:b/>
                                <w:bCs/>
                                <w:color w:val="000000" w:themeColor="dark1"/>
                                <w:kern w:val="24"/>
                                <w:sz w:val="22"/>
                                <w:szCs w:val="22"/>
                              </w:rPr>
                              <w:t>eb 14,1</w:t>
                            </w:r>
                            <w:r w:rsidRPr="003649CC">
                              <w:rPr>
                                <w:b/>
                                <w:bCs/>
                                <w:color w:val="000000" w:themeColor="dark1"/>
                                <w:kern w:val="24"/>
                                <w:sz w:val="22"/>
                                <w:szCs w:val="22"/>
                              </w:rPr>
                              <w:t>%</w:t>
                            </w:r>
                          </w:p>
                          <w:p w14:paraId="79F0CB3E" w14:textId="77777777" w:rsidR="004A7BDB" w:rsidRPr="003649CC" w:rsidRDefault="004A7BDB" w:rsidP="00154189">
                            <w:pPr>
                              <w:pStyle w:val="NormalWeb"/>
                              <w:ind w:firstLine="0"/>
                              <w:jc w:val="left"/>
                              <w:rPr>
                                <w:sz w:val="22"/>
                                <w:szCs w:val="22"/>
                              </w:rPr>
                            </w:pPr>
                            <w:r w:rsidRPr="003649CC">
                              <w:rPr>
                                <w:color w:val="000000" w:themeColor="dark1"/>
                                <w:kern w:val="24"/>
                                <w:sz w:val="22"/>
                                <w:szCs w:val="22"/>
                                <w:u w:val="single"/>
                              </w:rPr>
                              <w:t>Salīdzinājumam</w:t>
                            </w:r>
                          </w:p>
                          <w:p w14:paraId="25B20528" w14:textId="77777777" w:rsidR="004A7BDB" w:rsidRPr="006F52F1" w:rsidRDefault="004A7BDB" w:rsidP="00154189">
                            <w:pPr>
                              <w:ind w:firstLine="0"/>
                              <w:rPr>
                                <w:rFonts w:ascii="Times New Roman" w:eastAsia="Times New Roman" w:hAnsi="Times New Roman" w:cs="Times New Roman"/>
                              </w:rPr>
                            </w:pPr>
                            <w:r w:rsidRPr="006F52F1">
                              <w:rPr>
                                <w:rFonts w:ascii="Times New Roman" w:hAnsi="Times New Roman" w:cs="Times New Roman"/>
                                <w:color w:val="000000" w:themeColor="dark1"/>
                                <w:kern w:val="24"/>
                              </w:rPr>
                              <w:t>2018.</w:t>
                            </w:r>
                            <w:r>
                              <w:rPr>
                                <w:rFonts w:ascii="Times New Roman" w:hAnsi="Times New Roman" w:cs="Times New Roman"/>
                                <w:color w:val="000000" w:themeColor="dark1"/>
                                <w:kern w:val="24"/>
                              </w:rPr>
                              <w:t> g. attiecībā pret 2017. g. pieaugums par 47,6</w:t>
                            </w:r>
                            <w:r w:rsidRPr="006F52F1">
                              <w:rPr>
                                <w:rFonts w:ascii="Times New Roman" w:hAnsi="Times New Roman" w:cs="Times New Roman"/>
                                <w:color w:val="000000" w:themeColor="dark1"/>
                                <w:kern w:val="24"/>
                              </w:rPr>
                              <w:t>%</w:t>
                            </w:r>
                          </w:p>
                          <w:p w14:paraId="397C9E48" w14:textId="77777777" w:rsidR="004A7BDB" w:rsidRPr="00056506" w:rsidRDefault="004A7BDB" w:rsidP="00154189">
                            <w:pPr>
                              <w:pStyle w:val="ListParagraph"/>
                              <w:rPr>
                                <w:rFonts w:ascii="Times New Roman" w:eastAsia="Times New Roman" w:hAnsi="Times New Roman" w:cs="Times New Roman"/>
                                <w:sz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7BB161D" id="_x0000_t202" coordsize="21600,21600" o:spt="202" path="m,l,21600r21600,l21600,xe">
                <v:stroke joinstyle="miter"/>
                <v:path gradientshapeok="t" o:connecttype="rect"/>
              </v:shapetype>
              <v:shape id="TextBox 9" o:spid="_x0000_s1026" type="#_x0000_t202" style="position:absolute;left:0;text-align:left;margin-left:331.65pt;margin-top:1.1pt;width:123.5pt;height:2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" fillcolor="window" stroked="f" strokeweight="1pt">
                <v:textbox>
                  <w:txbxContent>
                    <w:p w14:paraId="3E0D0051" w14:textId="77777777" w:rsidR="004A7BDB" w:rsidRPr="003649CC" w:rsidRDefault="004A7BDB" w:rsidP="00154189">
                      <w:pPr>
                        <w:pStyle w:val="NormalWeb"/>
                        <w:ind w:firstLine="0"/>
                        <w:rPr>
                          <w:sz w:val="22"/>
                          <w:szCs w:val="22"/>
                        </w:rPr>
                      </w:pPr>
                      <w:r>
                        <w:rPr>
                          <w:color w:val="000000" w:themeColor="dark1"/>
                          <w:kern w:val="24"/>
                          <w:sz w:val="22"/>
                          <w:szCs w:val="22"/>
                        </w:rPr>
                        <w:t>N</w:t>
                      </w:r>
                      <w:r w:rsidRPr="003649CC">
                        <w:rPr>
                          <w:color w:val="000000" w:themeColor="dark1"/>
                          <w:kern w:val="24"/>
                          <w:sz w:val="22"/>
                          <w:szCs w:val="22"/>
                        </w:rPr>
                        <w:t>odokļu ieņēmumu pieaugums</w:t>
                      </w:r>
                      <w:r>
                        <w:rPr>
                          <w:color w:val="000000" w:themeColor="dark1"/>
                          <w:kern w:val="24"/>
                          <w:sz w:val="22"/>
                          <w:szCs w:val="22"/>
                        </w:rPr>
                        <w:t xml:space="preserve"> salīdzinot ar 2018.g. - </w:t>
                      </w:r>
                      <w:r w:rsidRPr="003649CC">
                        <w:rPr>
                          <w:color w:val="000000" w:themeColor="dark1"/>
                          <w:kern w:val="24"/>
                          <w:sz w:val="22"/>
                          <w:szCs w:val="22"/>
                        </w:rPr>
                        <w:t xml:space="preserve"> </w:t>
                      </w:r>
                    </w:p>
                    <w:p w14:paraId="13D1FD58" w14:textId="452007F6" w:rsidR="004A7BDB" w:rsidRPr="003649CC" w:rsidRDefault="004A7BDB" w:rsidP="00154189">
                      <w:pPr>
                        <w:pStyle w:val="NormalWeb"/>
                        <w:ind w:firstLine="0"/>
                        <w:rPr>
                          <w:sz w:val="22"/>
                          <w:szCs w:val="22"/>
                        </w:rPr>
                      </w:pPr>
                      <w:r w:rsidRPr="003649CC">
                        <w:rPr>
                          <w:color w:val="000000" w:themeColor="dark1"/>
                          <w:kern w:val="24"/>
                          <w:sz w:val="22"/>
                          <w:szCs w:val="22"/>
                        </w:rPr>
                        <w:t>+</w:t>
                      </w:r>
                      <w:r>
                        <w:rPr>
                          <w:b/>
                          <w:bCs/>
                          <w:color w:val="000000" w:themeColor="dark1"/>
                          <w:kern w:val="24"/>
                          <w:sz w:val="22"/>
                          <w:szCs w:val="22"/>
                        </w:rPr>
                        <w:t>40,44</w:t>
                      </w:r>
                      <w:r w:rsidRPr="003649CC">
                        <w:rPr>
                          <w:b/>
                          <w:bCs/>
                          <w:color w:val="000000" w:themeColor="dark1"/>
                          <w:kern w:val="24"/>
                          <w:sz w:val="22"/>
                          <w:szCs w:val="22"/>
                        </w:rPr>
                        <w:t xml:space="preserve"> milj.</w:t>
                      </w:r>
                      <w:r>
                        <w:rPr>
                          <w:b/>
                          <w:bCs/>
                          <w:color w:val="000000" w:themeColor="dark1"/>
                          <w:kern w:val="24"/>
                          <w:sz w:val="22"/>
                          <w:szCs w:val="22"/>
                        </w:rPr>
                        <w:t> </w:t>
                      </w:r>
                      <w:r w:rsidRPr="00ED7491">
                        <w:rPr>
                          <w:b/>
                          <w:bCs/>
                          <w:i/>
                          <w:color w:val="000000" w:themeColor="dark1"/>
                          <w:kern w:val="24"/>
                          <w:sz w:val="22"/>
                          <w:szCs w:val="22"/>
                        </w:rPr>
                        <w:t>euro</w:t>
                      </w:r>
                      <w:r>
                        <w:rPr>
                          <w:b/>
                          <w:bCs/>
                          <w:iCs/>
                          <w:color w:val="000000" w:themeColor="dark1"/>
                          <w:kern w:val="24"/>
                          <w:sz w:val="22"/>
                          <w:szCs w:val="22"/>
                        </w:rPr>
                        <w:t xml:space="preserve"> </w:t>
                      </w:r>
                      <w:r w:rsidRPr="00E4219B">
                        <w:rPr>
                          <w:b/>
                          <w:bCs/>
                          <w:color w:val="000000" w:themeColor="dark1"/>
                          <w:kern w:val="24"/>
                          <w:sz w:val="22"/>
                          <w:szCs w:val="22"/>
                        </w:rPr>
                        <w:t>j</w:t>
                      </w:r>
                      <w:r>
                        <w:rPr>
                          <w:b/>
                          <w:bCs/>
                          <w:color w:val="000000" w:themeColor="dark1"/>
                          <w:kern w:val="24"/>
                          <w:sz w:val="22"/>
                          <w:szCs w:val="22"/>
                        </w:rPr>
                        <w:t>eb 14,1</w:t>
                      </w:r>
                      <w:r w:rsidRPr="003649CC">
                        <w:rPr>
                          <w:b/>
                          <w:bCs/>
                          <w:color w:val="000000" w:themeColor="dark1"/>
                          <w:kern w:val="24"/>
                          <w:sz w:val="22"/>
                          <w:szCs w:val="22"/>
                        </w:rPr>
                        <w:t>%</w:t>
                      </w:r>
                    </w:p>
                    <w:p w14:paraId="79F0CB3E" w14:textId="77777777" w:rsidR="004A7BDB" w:rsidRPr="003649CC" w:rsidRDefault="004A7BDB" w:rsidP="00154189">
                      <w:pPr>
                        <w:pStyle w:val="NormalWeb"/>
                        <w:ind w:firstLine="0"/>
                        <w:jc w:val="left"/>
                        <w:rPr>
                          <w:sz w:val="22"/>
                          <w:szCs w:val="22"/>
                        </w:rPr>
                      </w:pPr>
                      <w:r w:rsidRPr="003649CC">
                        <w:rPr>
                          <w:color w:val="000000" w:themeColor="dark1"/>
                          <w:kern w:val="24"/>
                          <w:sz w:val="22"/>
                          <w:szCs w:val="22"/>
                          <w:u w:val="single"/>
                        </w:rPr>
                        <w:t>Salīdzinājumam</w:t>
                      </w:r>
                    </w:p>
                    <w:p w14:paraId="25B20528" w14:textId="77777777" w:rsidR="004A7BDB" w:rsidRPr="006F52F1" w:rsidRDefault="004A7BDB" w:rsidP="00154189">
                      <w:pPr>
                        <w:ind w:firstLine="0"/>
                        <w:rPr>
                          <w:rFonts w:ascii="Times New Roman" w:eastAsia="Times New Roman" w:hAnsi="Times New Roman" w:cs="Times New Roman"/>
                        </w:rPr>
                      </w:pPr>
                      <w:r w:rsidRPr="006F52F1">
                        <w:rPr>
                          <w:rFonts w:ascii="Times New Roman" w:hAnsi="Times New Roman" w:cs="Times New Roman"/>
                          <w:color w:val="000000" w:themeColor="dark1"/>
                          <w:kern w:val="24"/>
                        </w:rPr>
                        <w:t>2018.</w:t>
                      </w:r>
                      <w:r>
                        <w:rPr>
                          <w:rFonts w:ascii="Times New Roman" w:hAnsi="Times New Roman" w:cs="Times New Roman"/>
                          <w:color w:val="000000" w:themeColor="dark1"/>
                          <w:kern w:val="24"/>
                        </w:rPr>
                        <w:t> g. attiecībā pret 2017. g. pieaugums par 47,6</w:t>
                      </w:r>
                      <w:r w:rsidRPr="006F52F1">
                        <w:rPr>
                          <w:rFonts w:ascii="Times New Roman" w:hAnsi="Times New Roman" w:cs="Times New Roman"/>
                          <w:color w:val="000000" w:themeColor="dark1"/>
                          <w:kern w:val="24"/>
                        </w:rPr>
                        <w:t>%</w:t>
                      </w:r>
                    </w:p>
                    <w:p w14:paraId="397C9E48" w14:textId="77777777" w:rsidR="004A7BDB" w:rsidRPr="00056506" w:rsidRDefault="004A7BDB" w:rsidP="00154189">
                      <w:pPr>
                        <w:pStyle w:val="ListParagraph"/>
                        <w:rPr>
                          <w:rFonts w:ascii="Times New Roman" w:eastAsia="Times New Roman" w:hAnsi="Times New Roman" w:cs="Times New Roman"/>
                          <w:sz w:val="32"/>
                        </w:rPr>
                      </w:pPr>
                    </w:p>
                  </w:txbxContent>
                </v:textbox>
                <w10:wrap anchorx="margin"/>
              </v:shape>
            </w:pict>
          </mc:Fallback>
        </mc:AlternateContent>
      </w:r>
    </w:p>
    <w:p w14:paraId="1EB3812F" w14:textId="77777777" w:rsidR="00154189" w:rsidRPr="001E7993" w:rsidRDefault="00154189" w:rsidP="00154189">
      <w:pPr>
        <w:ind w:firstLine="0"/>
        <w:rPr>
          <w:rFonts w:ascii="Times New Roman" w:eastAsia="Calibri" w:hAnsi="Times New Roman" w:cs="Times New Roman"/>
          <w:i/>
        </w:rPr>
      </w:pPr>
      <w:r w:rsidRPr="001E7993">
        <w:rPr>
          <w:rFonts w:ascii="Times New Roman" w:eastAsia="Calibri" w:hAnsi="Times New Roman" w:cs="Times New Roman"/>
          <w:i/>
        </w:rPr>
        <w:t>Avots: VID dati</w:t>
      </w:r>
    </w:p>
    <w:p w14:paraId="676FB2C7" w14:textId="77777777" w:rsidR="00154189" w:rsidRDefault="00154189" w:rsidP="00154189">
      <w:pPr>
        <w:pStyle w:val="ListParagraph"/>
        <w:ind w:left="0" w:firstLine="567"/>
        <w:rPr>
          <w:rFonts w:ascii="Times New Roman" w:hAnsi="Times New Roman" w:cs="Times New Roman"/>
          <w:sz w:val="24"/>
          <w:szCs w:val="24"/>
        </w:rPr>
      </w:pPr>
    </w:p>
    <w:p w14:paraId="432A59CE" w14:textId="77777777" w:rsidR="00154189" w:rsidRPr="00625266" w:rsidRDefault="00154189" w:rsidP="00154189">
      <w:pPr>
        <w:pStyle w:val="ListParagraph"/>
        <w:ind w:left="0" w:firstLine="567"/>
        <w:rPr>
          <w:rFonts w:ascii="Times New Roman" w:hAnsi="Times New Roman" w:cs="Times New Roman"/>
          <w:sz w:val="24"/>
          <w:szCs w:val="24"/>
        </w:rPr>
      </w:pPr>
      <w:r>
        <w:rPr>
          <w:rFonts w:ascii="Times New Roman" w:hAnsi="Times New Roman" w:cs="Times New Roman"/>
          <w:sz w:val="24"/>
          <w:szCs w:val="24"/>
        </w:rPr>
        <w:t>Analizējot nodokļu ieņēmumu tendences b</w:t>
      </w:r>
      <w:r w:rsidRPr="0071166E">
        <w:rPr>
          <w:rFonts w:ascii="Times New Roman" w:hAnsi="Times New Roman" w:cs="Times New Roman"/>
          <w:sz w:val="24"/>
          <w:szCs w:val="24"/>
        </w:rPr>
        <w:t>ūvniecības nozarē</w:t>
      </w:r>
      <w:r w:rsidR="00B62F44">
        <w:rPr>
          <w:rFonts w:ascii="Times New Roman" w:hAnsi="Times New Roman" w:cs="Times New Roman"/>
          <w:sz w:val="24"/>
          <w:szCs w:val="24"/>
        </w:rPr>
        <w:t xml:space="preserve"> </w:t>
      </w:r>
      <w:r w:rsidRPr="0071166E">
        <w:rPr>
          <w:rFonts w:ascii="Times New Roman" w:hAnsi="Times New Roman" w:cs="Times New Roman"/>
          <w:sz w:val="24"/>
          <w:szCs w:val="24"/>
        </w:rPr>
        <w:t>2019.</w:t>
      </w:r>
      <w:r>
        <w:rPr>
          <w:rFonts w:ascii="Times New Roman" w:hAnsi="Times New Roman" w:cs="Times New Roman"/>
          <w:sz w:val="24"/>
          <w:szCs w:val="24"/>
        </w:rPr>
        <w:t> </w:t>
      </w:r>
      <w:r w:rsidRPr="0071166E">
        <w:rPr>
          <w:rFonts w:ascii="Times New Roman" w:hAnsi="Times New Roman" w:cs="Times New Roman"/>
          <w:sz w:val="24"/>
          <w:szCs w:val="24"/>
        </w:rPr>
        <w:t>gadā salīdzinājumā ar 2018. gadu</w:t>
      </w:r>
      <w:r w:rsidR="00227740">
        <w:rPr>
          <w:rFonts w:ascii="Times New Roman" w:hAnsi="Times New Roman" w:cs="Times New Roman"/>
          <w:sz w:val="24"/>
          <w:szCs w:val="24"/>
        </w:rPr>
        <w:t>,</w:t>
      </w:r>
      <w:r w:rsidRPr="0071166E">
        <w:rPr>
          <w:rFonts w:ascii="Times New Roman" w:hAnsi="Times New Roman" w:cs="Times New Roman"/>
          <w:sz w:val="24"/>
          <w:szCs w:val="24"/>
        </w:rPr>
        <w:t xml:space="preserve"> kopumā tika</w:t>
      </w:r>
      <w:r w:rsidRPr="00625266">
        <w:rPr>
          <w:rFonts w:ascii="Times New Roman" w:hAnsi="Times New Roman" w:cs="Times New Roman"/>
          <w:sz w:val="24"/>
          <w:szCs w:val="24"/>
        </w:rPr>
        <w:t xml:space="preserve"> vērojams nodokļu ieņēmumu pieaugums </w:t>
      </w:r>
      <w:r w:rsidR="00A45971">
        <w:rPr>
          <w:rFonts w:ascii="Times New Roman" w:hAnsi="Times New Roman" w:cs="Times New Roman"/>
          <w:bCs/>
          <w:sz w:val="24"/>
          <w:szCs w:val="24"/>
        </w:rPr>
        <w:t>par 14,1</w:t>
      </w:r>
      <w:r w:rsidRPr="004932C6">
        <w:rPr>
          <w:rFonts w:ascii="Times New Roman" w:hAnsi="Times New Roman" w:cs="Times New Roman"/>
          <w:bCs/>
          <w:sz w:val="24"/>
          <w:szCs w:val="24"/>
        </w:rPr>
        <w:t xml:space="preserve"> %,</w:t>
      </w:r>
      <w:r w:rsidRPr="00625266">
        <w:rPr>
          <w:rFonts w:ascii="Times New Roman" w:hAnsi="Times New Roman" w:cs="Times New Roman"/>
          <w:sz w:val="24"/>
          <w:szCs w:val="24"/>
        </w:rPr>
        <w:t xml:space="preserve"> kas ir vērtējams, kā pozitīva tendence nozares attīstībā. Vislielākais pieaugums ir nozarē samaksāto </w:t>
      </w:r>
      <w:r w:rsidR="00227740">
        <w:rPr>
          <w:rFonts w:ascii="Times New Roman" w:hAnsi="Times New Roman" w:cs="Times New Roman"/>
          <w:sz w:val="24"/>
          <w:szCs w:val="24"/>
        </w:rPr>
        <w:t>VSAOI</w:t>
      </w:r>
      <w:r w:rsidRPr="00625266">
        <w:rPr>
          <w:rFonts w:ascii="Times New Roman" w:hAnsi="Times New Roman" w:cs="Times New Roman"/>
          <w:sz w:val="24"/>
          <w:szCs w:val="24"/>
        </w:rPr>
        <w:t xml:space="preserve"> apjomam – </w:t>
      </w:r>
      <w:r w:rsidR="00B21099">
        <w:rPr>
          <w:rFonts w:ascii="Times New Roman" w:hAnsi="Times New Roman" w:cs="Times New Roman"/>
          <w:bCs/>
          <w:sz w:val="24"/>
          <w:szCs w:val="24"/>
        </w:rPr>
        <w:t>par 16,1</w:t>
      </w:r>
      <w:r w:rsidRPr="004932C6">
        <w:rPr>
          <w:rFonts w:ascii="Times New Roman" w:hAnsi="Times New Roman" w:cs="Times New Roman"/>
          <w:bCs/>
          <w:sz w:val="24"/>
          <w:szCs w:val="24"/>
        </w:rPr>
        <w:t xml:space="preserve"> %. </w:t>
      </w:r>
      <w:r w:rsidRPr="00625266">
        <w:rPr>
          <w:rFonts w:ascii="Times New Roman" w:hAnsi="Times New Roman" w:cs="Times New Roman"/>
          <w:sz w:val="24"/>
          <w:szCs w:val="24"/>
        </w:rPr>
        <w:t xml:space="preserve">Minēto iemaksu ieņēmumus pozitīvi ietekmē darba samaksas fonda rādītāju pozitīvās tendences. Salīdzinot ar 2018. gadu, 2019. gadā vidējā bruto mēneša darba samaksa būvniecības nozarē pieauga par 10,3 % un sasniedza 1048 </w:t>
      </w:r>
      <w:r w:rsidRPr="009A09D2">
        <w:rPr>
          <w:rFonts w:ascii="Times New Roman" w:hAnsi="Times New Roman" w:cs="Times New Roman"/>
          <w:i/>
          <w:iCs/>
          <w:sz w:val="24"/>
          <w:szCs w:val="24"/>
        </w:rPr>
        <w:t>euro</w:t>
      </w:r>
      <w:r w:rsidRPr="00625266">
        <w:rPr>
          <w:rFonts w:ascii="Times New Roman" w:hAnsi="Times New Roman" w:cs="Times New Roman"/>
          <w:sz w:val="24"/>
          <w:szCs w:val="24"/>
        </w:rPr>
        <w:t>.</w:t>
      </w:r>
    </w:p>
    <w:p w14:paraId="4AC401B0" w14:textId="63794E40" w:rsidR="00154189" w:rsidRDefault="00154189" w:rsidP="00154189">
      <w:pPr>
        <w:pStyle w:val="ListParagraph"/>
        <w:ind w:left="0" w:firstLine="567"/>
        <w:rPr>
          <w:rFonts w:ascii="Times New Roman" w:eastAsia="Calibri" w:hAnsi="Times New Roman" w:cs="Times New Roman"/>
          <w:sz w:val="24"/>
          <w:szCs w:val="24"/>
        </w:rPr>
      </w:pPr>
      <w:r w:rsidRPr="00625266">
        <w:rPr>
          <w:rFonts w:ascii="Times New Roman" w:hAnsi="Times New Roman" w:cs="Times New Roman"/>
          <w:sz w:val="24"/>
          <w:szCs w:val="24"/>
        </w:rPr>
        <w:t>Samazinājās PVN pārmaksu atmaksas – kļuva mazāka negatīvā budžeta ieņēmumu pozīcija (atmaksas rezultātā būvniecības nozares uzņēmumu atgūtās nodokļu pārmaksas</w:t>
      </w:r>
      <w:r w:rsidRPr="0071166E">
        <w:rPr>
          <w:rFonts w:ascii="Times New Roman" w:eastAsia="Calibri" w:hAnsi="Times New Roman" w:cs="Times New Roman"/>
          <w:sz w:val="24"/>
          <w:szCs w:val="24"/>
        </w:rPr>
        <w:t xml:space="preserve"> joprojām pārsniedz nodokļa iemaksas un veidojas negatīvi budžeta ieņēmumi PVN pozīcijā).</w:t>
      </w:r>
    </w:p>
    <w:p w14:paraId="3FBBEAAF" w14:textId="767B9C47" w:rsidR="007852DF" w:rsidRDefault="007852DF" w:rsidP="00154189">
      <w:pPr>
        <w:pStyle w:val="ListParagraph"/>
        <w:ind w:left="0" w:firstLine="567"/>
        <w:rPr>
          <w:rFonts w:ascii="Times New Roman" w:eastAsia="Calibri" w:hAnsi="Times New Roman" w:cs="Times New Roman"/>
          <w:sz w:val="24"/>
          <w:szCs w:val="24"/>
        </w:rPr>
      </w:pPr>
      <w:r w:rsidRPr="00182A64">
        <w:rPr>
          <w:rFonts w:ascii="Times New Roman" w:eastAsia="Calibri" w:hAnsi="Times New Roman" w:cs="Times New Roman"/>
          <w:sz w:val="24"/>
          <w:szCs w:val="24"/>
        </w:rPr>
        <w:t xml:space="preserve">Nodokļu ieņēmumi </w:t>
      </w:r>
      <w:r w:rsidR="00704C31" w:rsidRPr="00182A64">
        <w:rPr>
          <w:rFonts w:ascii="Times New Roman" w:eastAsia="Calibri" w:hAnsi="Times New Roman" w:cs="Times New Roman"/>
          <w:sz w:val="24"/>
          <w:szCs w:val="24"/>
        </w:rPr>
        <w:t xml:space="preserve">būvniecības nozarē </w:t>
      </w:r>
      <w:r w:rsidRPr="00182A64">
        <w:rPr>
          <w:rFonts w:ascii="Times New Roman" w:eastAsia="Calibri" w:hAnsi="Times New Roman" w:cs="Times New Roman"/>
          <w:sz w:val="24"/>
          <w:szCs w:val="24"/>
        </w:rPr>
        <w:t xml:space="preserve">2020. gada 1. pusgadā sastāda 126,38 milj. </w:t>
      </w:r>
      <w:r w:rsidRPr="00182A64">
        <w:rPr>
          <w:rFonts w:ascii="Times New Roman" w:hAnsi="Times New Roman" w:cs="Times New Roman"/>
          <w:i/>
          <w:iCs/>
          <w:sz w:val="24"/>
          <w:szCs w:val="24"/>
        </w:rPr>
        <w:t>euro.</w:t>
      </w:r>
    </w:p>
    <w:p w14:paraId="5C818C36" w14:textId="77777777" w:rsidR="0010425A" w:rsidRDefault="0010425A" w:rsidP="00154189">
      <w:pPr>
        <w:pStyle w:val="ListParagraph"/>
        <w:ind w:left="0" w:firstLine="567"/>
        <w:rPr>
          <w:rFonts w:ascii="Times New Roman" w:eastAsia="Calibri" w:hAnsi="Times New Roman" w:cs="Times New Roman"/>
          <w:sz w:val="24"/>
          <w:szCs w:val="24"/>
        </w:rPr>
      </w:pPr>
    </w:p>
    <w:p w14:paraId="70ECD432" w14:textId="77777777" w:rsidR="00154189" w:rsidRPr="00F863E8" w:rsidRDefault="00154189" w:rsidP="00154189">
      <w:pPr>
        <w:jc w:val="right"/>
        <w:rPr>
          <w:rFonts w:ascii="Times New Roman" w:hAnsi="Times New Roman" w:cs="Times New Roman"/>
          <w:i/>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bookmarkStart w:id="8" w:name="_Hlk36214519"/>
      <w:r>
        <w:rPr>
          <w:rFonts w:ascii="Times New Roman" w:hAnsi="Times New Roman" w:cs="Times New Roman"/>
          <w:i/>
        </w:rPr>
        <w:t>8</w:t>
      </w:r>
      <w:r w:rsidRPr="00033E92">
        <w:rPr>
          <w:rFonts w:ascii="Times New Roman" w:hAnsi="Times New Roman" w:cs="Times New Roman"/>
          <w:i/>
        </w:rPr>
        <w:t>. grafiks</w:t>
      </w:r>
      <w:bookmarkEnd w:id="8"/>
    </w:p>
    <w:p w14:paraId="48958789" w14:textId="77777777" w:rsidR="00154189" w:rsidRPr="008F3E6F" w:rsidRDefault="00A86A8E" w:rsidP="00154189">
      <w:pPr>
        <w:ind w:firstLine="0"/>
        <w:rPr>
          <w:rFonts w:eastAsia="Calibri"/>
        </w:rPr>
      </w:pPr>
      <w:r>
        <w:rPr>
          <w:noProof/>
          <w:lang w:eastAsia="lv-LV"/>
        </w:rPr>
        <w:drawing>
          <wp:inline distT="0" distB="0" distL="0" distR="0" wp14:anchorId="130F136E" wp14:editId="4469235D">
            <wp:extent cx="5857336" cy="2518410"/>
            <wp:effectExtent l="0" t="0" r="10160"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7D78E6" w14:textId="77777777" w:rsidR="00154189" w:rsidRPr="00A7433A" w:rsidRDefault="00154189" w:rsidP="00154189">
      <w:pPr>
        <w:ind w:firstLine="0"/>
        <w:rPr>
          <w:rFonts w:ascii="Times New Roman" w:eastAsia="Calibri" w:hAnsi="Times New Roman" w:cs="Times New Roman"/>
          <w:i/>
        </w:rPr>
      </w:pPr>
      <w:r w:rsidRPr="00A7433A">
        <w:rPr>
          <w:rFonts w:ascii="Times New Roman" w:eastAsia="Calibri" w:hAnsi="Times New Roman" w:cs="Times New Roman"/>
          <w:i/>
        </w:rPr>
        <w:t xml:space="preserve">Avots: VID dati </w:t>
      </w:r>
    </w:p>
    <w:p w14:paraId="0793D923" w14:textId="77777777" w:rsidR="00154189" w:rsidRDefault="00154189" w:rsidP="00154189">
      <w:pPr>
        <w:pStyle w:val="ListParagraph"/>
        <w:ind w:left="0" w:firstLine="567"/>
        <w:rPr>
          <w:rFonts w:ascii="Times New Roman" w:hAnsi="Times New Roman" w:cs="Times New Roman"/>
          <w:sz w:val="24"/>
          <w:szCs w:val="24"/>
        </w:rPr>
      </w:pPr>
    </w:p>
    <w:p w14:paraId="4DFDD56D" w14:textId="77777777" w:rsidR="00154189" w:rsidRDefault="00154189" w:rsidP="00154189">
      <w:pPr>
        <w:pStyle w:val="ListParagraph"/>
        <w:ind w:left="0" w:firstLine="567"/>
        <w:rPr>
          <w:rFonts w:ascii="Times New Roman" w:hAnsi="Times New Roman" w:cs="Times New Roman"/>
          <w:sz w:val="24"/>
          <w:szCs w:val="24"/>
        </w:rPr>
      </w:pPr>
      <w:r w:rsidRPr="006004BB">
        <w:rPr>
          <w:rFonts w:ascii="Times New Roman" w:hAnsi="Times New Roman" w:cs="Times New Roman"/>
          <w:sz w:val="24"/>
          <w:szCs w:val="24"/>
        </w:rPr>
        <w:lastRenderedPageBreak/>
        <w:t xml:space="preserve">Saskaņā ar </w:t>
      </w:r>
      <w:r w:rsidR="009C2BE5">
        <w:rPr>
          <w:rFonts w:ascii="Times New Roman" w:hAnsi="Times New Roman" w:cs="Times New Roman"/>
          <w:sz w:val="24"/>
          <w:szCs w:val="24"/>
        </w:rPr>
        <w:t>PVN</w:t>
      </w:r>
      <w:r w:rsidRPr="006004BB">
        <w:rPr>
          <w:rFonts w:ascii="Times New Roman" w:hAnsi="Times New Roman" w:cs="Times New Roman"/>
          <w:sz w:val="24"/>
          <w:szCs w:val="24"/>
        </w:rPr>
        <w:t xml:space="preserve"> deklarāciju pielikumu datiem, 2019.</w:t>
      </w:r>
      <w:r>
        <w:rPr>
          <w:rFonts w:ascii="Times New Roman" w:hAnsi="Times New Roman" w:cs="Times New Roman"/>
          <w:sz w:val="24"/>
          <w:szCs w:val="24"/>
        </w:rPr>
        <w:t> </w:t>
      </w:r>
      <w:r w:rsidRPr="006004BB">
        <w:rPr>
          <w:rFonts w:ascii="Times New Roman" w:hAnsi="Times New Roman" w:cs="Times New Roman"/>
          <w:sz w:val="24"/>
          <w:szCs w:val="24"/>
        </w:rPr>
        <w:t>gad</w:t>
      </w:r>
      <w:r>
        <w:rPr>
          <w:rFonts w:ascii="Times New Roman" w:hAnsi="Times New Roman" w:cs="Times New Roman"/>
          <w:sz w:val="24"/>
          <w:szCs w:val="24"/>
        </w:rPr>
        <w:t xml:space="preserve">ā </w:t>
      </w:r>
      <w:r w:rsidRPr="006004BB">
        <w:rPr>
          <w:rFonts w:ascii="Times New Roman" w:hAnsi="Times New Roman" w:cs="Times New Roman"/>
          <w:sz w:val="24"/>
          <w:szCs w:val="24"/>
        </w:rPr>
        <w:t>salīdzinot ar 2018.</w:t>
      </w:r>
      <w:r>
        <w:rPr>
          <w:rFonts w:ascii="Times New Roman" w:hAnsi="Times New Roman" w:cs="Times New Roman"/>
          <w:sz w:val="24"/>
          <w:szCs w:val="24"/>
        </w:rPr>
        <w:t> </w:t>
      </w:r>
      <w:r w:rsidRPr="006004BB">
        <w:rPr>
          <w:rFonts w:ascii="Times New Roman" w:hAnsi="Times New Roman" w:cs="Times New Roman"/>
          <w:sz w:val="24"/>
          <w:szCs w:val="24"/>
        </w:rPr>
        <w:t xml:space="preserve">gada attiecīgo periodu, iekšzemē veikto būvniecības pakalpojumu, kurus deklarējuši un par kuriem nodokli maksā preču vai pakalpojumu saņēmēji </w:t>
      </w:r>
      <w:r w:rsidRPr="00DD72A8">
        <w:rPr>
          <w:rFonts w:ascii="Times New Roman" w:hAnsi="Times New Roman" w:cs="Times New Roman"/>
          <w:sz w:val="24"/>
          <w:szCs w:val="24"/>
        </w:rPr>
        <w:t>(</w:t>
      </w:r>
      <w:r w:rsidR="00FC0B38" w:rsidRPr="00DD72A8">
        <w:rPr>
          <w:rFonts w:ascii="Times New Roman" w:hAnsi="Times New Roman" w:cs="Times New Roman"/>
          <w:sz w:val="24"/>
          <w:szCs w:val="24"/>
        </w:rPr>
        <w:t>tā sauktā reversā jeb apgrieztā PVN maksāšanas kārtība</w:t>
      </w:r>
      <w:r w:rsidRPr="00DD72A8">
        <w:rPr>
          <w:rFonts w:ascii="Times New Roman" w:hAnsi="Times New Roman" w:cs="Times New Roman"/>
          <w:sz w:val="24"/>
          <w:szCs w:val="24"/>
        </w:rPr>
        <w:t>), vērtība palielinājusies par 9,7 %, darījumu vērtība par būvizstrādājumiem ir pieaugusi par 25,7 %.</w:t>
      </w:r>
      <w:r w:rsidRPr="006004BB">
        <w:rPr>
          <w:rFonts w:ascii="Times New Roman" w:hAnsi="Times New Roman" w:cs="Times New Roman"/>
          <w:sz w:val="24"/>
          <w:szCs w:val="24"/>
        </w:rPr>
        <w:t xml:space="preserve"> </w:t>
      </w:r>
    </w:p>
    <w:p w14:paraId="1DF19BE7" w14:textId="7D938104" w:rsidR="00154189" w:rsidRDefault="00154189" w:rsidP="00154189">
      <w:pPr>
        <w:pStyle w:val="ListParagraph"/>
        <w:ind w:left="0" w:firstLine="567"/>
        <w:rPr>
          <w:rFonts w:ascii="Times New Roman" w:hAnsi="Times New Roman" w:cs="Times New Roman"/>
          <w:sz w:val="24"/>
          <w:szCs w:val="24"/>
        </w:rPr>
      </w:pPr>
      <w:r w:rsidRPr="0055386A">
        <w:rPr>
          <w:rFonts w:ascii="Times New Roman" w:hAnsi="Times New Roman" w:cs="Times New Roman"/>
          <w:sz w:val="24"/>
          <w:szCs w:val="24"/>
        </w:rPr>
        <w:t>V</w:t>
      </w:r>
      <w:r w:rsidR="00B37E38">
        <w:rPr>
          <w:rFonts w:ascii="Times New Roman" w:hAnsi="Times New Roman" w:cs="Times New Roman"/>
          <w:sz w:val="24"/>
          <w:szCs w:val="24"/>
        </w:rPr>
        <w:t xml:space="preserve">ID apkopotā informācija par </w:t>
      </w:r>
      <w:r w:rsidR="00B37E38" w:rsidRPr="003838FD">
        <w:rPr>
          <w:rFonts w:ascii="Times New Roman" w:hAnsi="Times New Roman" w:cs="Times New Roman"/>
          <w:sz w:val="24"/>
          <w:szCs w:val="24"/>
        </w:rPr>
        <w:t>2019</w:t>
      </w:r>
      <w:r w:rsidRPr="003838FD">
        <w:rPr>
          <w:rFonts w:ascii="Times New Roman" w:hAnsi="Times New Roman" w:cs="Times New Roman"/>
          <w:sz w:val="24"/>
          <w:szCs w:val="24"/>
        </w:rPr>
        <w:t>. gadā</w:t>
      </w:r>
      <w:r w:rsidRPr="0055386A">
        <w:rPr>
          <w:rFonts w:ascii="Times New Roman" w:hAnsi="Times New Roman" w:cs="Times New Roman"/>
          <w:sz w:val="24"/>
          <w:szCs w:val="24"/>
        </w:rPr>
        <w:t xml:space="preserve"> nedeklarēto darba algu apjomiem būvniecības jomā liecina, ka nedeklarēto darba algu īpatsvars konstanti samazinās un atšķirībā no būvnie</w:t>
      </w:r>
      <w:r w:rsidR="00B37E38">
        <w:rPr>
          <w:rFonts w:ascii="Times New Roman" w:hAnsi="Times New Roman" w:cs="Times New Roman"/>
          <w:sz w:val="24"/>
          <w:szCs w:val="24"/>
        </w:rPr>
        <w:t xml:space="preserve">cības jomas </w:t>
      </w:r>
      <w:r w:rsidR="00B37E38" w:rsidRPr="003838FD">
        <w:rPr>
          <w:rFonts w:ascii="Times New Roman" w:hAnsi="Times New Roman" w:cs="Times New Roman"/>
          <w:sz w:val="24"/>
          <w:szCs w:val="24"/>
        </w:rPr>
        <w:t>specializācijas 2019</w:t>
      </w:r>
      <w:r w:rsidRPr="003838FD">
        <w:rPr>
          <w:rFonts w:ascii="Times New Roman" w:hAnsi="Times New Roman" w:cs="Times New Roman"/>
          <w:sz w:val="24"/>
          <w:szCs w:val="24"/>
        </w:rPr>
        <w:t>. gadā</w:t>
      </w:r>
      <w:r w:rsidR="00B37E38">
        <w:rPr>
          <w:rFonts w:ascii="Times New Roman" w:hAnsi="Times New Roman" w:cs="Times New Roman"/>
          <w:sz w:val="24"/>
          <w:szCs w:val="24"/>
        </w:rPr>
        <w:t xml:space="preserve"> ir robežās no 18,16 % līdz 23</w:t>
      </w:r>
      <w:r w:rsidRPr="0055386A">
        <w:rPr>
          <w:rFonts w:ascii="Times New Roman" w:hAnsi="Times New Roman" w:cs="Times New Roman"/>
          <w:sz w:val="24"/>
          <w:szCs w:val="24"/>
        </w:rPr>
        <w:t>,5</w:t>
      </w:r>
      <w:r w:rsidR="00B37E38">
        <w:rPr>
          <w:rFonts w:ascii="Times New Roman" w:hAnsi="Times New Roman" w:cs="Times New Roman"/>
          <w:sz w:val="24"/>
          <w:szCs w:val="24"/>
        </w:rPr>
        <w:t>5</w:t>
      </w:r>
      <w:r>
        <w:rPr>
          <w:rFonts w:ascii="Times New Roman" w:hAnsi="Times New Roman" w:cs="Times New Roman"/>
          <w:sz w:val="24"/>
          <w:szCs w:val="24"/>
        </w:rPr>
        <w:t> </w:t>
      </w:r>
      <w:r w:rsidR="00B37E38">
        <w:rPr>
          <w:rFonts w:ascii="Times New Roman" w:hAnsi="Times New Roman" w:cs="Times New Roman"/>
          <w:sz w:val="24"/>
          <w:szCs w:val="24"/>
        </w:rPr>
        <w:t>%. (sk.</w:t>
      </w:r>
      <w:r>
        <w:rPr>
          <w:rFonts w:ascii="Times New Roman" w:hAnsi="Times New Roman" w:cs="Times New Roman"/>
          <w:sz w:val="24"/>
          <w:szCs w:val="24"/>
        </w:rPr>
        <w:t>1</w:t>
      </w:r>
      <w:r w:rsidRPr="0055386A">
        <w:rPr>
          <w:rFonts w:ascii="Times New Roman" w:hAnsi="Times New Roman" w:cs="Times New Roman"/>
          <w:sz w:val="24"/>
          <w:szCs w:val="24"/>
        </w:rPr>
        <w:t>. tabulā).</w:t>
      </w:r>
    </w:p>
    <w:p w14:paraId="58F6B692" w14:textId="77777777" w:rsidR="0010425A" w:rsidRPr="0055386A" w:rsidRDefault="0010425A" w:rsidP="00154189">
      <w:pPr>
        <w:pStyle w:val="ListParagraph"/>
        <w:ind w:left="0" w:firstLine="567"/>
        <w:rPr>
          <w:rFonts w:ascii="Times New Roman" w:hAnsi="Times New Roman" w:cs="Times New Roman"/>
          <w:sz w:val="24"/>
          <w:szCs w:val="24"/>
        </w:rPr>
      </w:pPr>
    </w:p>
    <w:p w14:paraId="0BC6EE16" w14:textId="77777777" w:rsidR="00154189" w:rsidRPr="00DD641C" w:rsidRDefault="00154189" w:rsidP="00154189">
      <w:pPr>
        <w:jc w:val="right"/>
        <w:rPr>
          <w:rFonts w:ascii="Times New Roman" w:eastAsia="Calibri" w:hAnsi="Times New Roman" w:cs="Times New Roman"/>
          <w:i/>
        </w:rPr>
      </w:pPr>
      <w:r w:rsidRPr="00633C14">
        <w:rPr>
          <w:rFonts w:eastAsia="Calibri"/>
        </w:rPr>
        <w:tab/>
      </w:r>
      <w:r w:rsidRPr="00633C14">
        <w:rPr>
          <w:rFonts w:eastAsia="Calibri"/>
        </w:rPr>
        <w:tab/>
      </w:r>
      <w:r w:rsidRPr="00633C14">
        <w:rPr>
          <w:rFonts w:eastAsia="Calibri"/>
        </w:rPr>
        <w:tab/>
      </w:r>
      <w:r w:rsidRPr="00633C14">
        <w:rPr>
          <w:rFonts w:eastAsia="Calibri"/>
        </w:rPr>
        <w:tab/>
      </w:r>
      <w:r w:rsidRPr="00633C14">
        <w:rPr>
          <w:rFonts w:eastAsia="Calibri"/>
        </w:rPr>
        <w:tab/>
      </w:r>
      <w:r w:rsidRPr="00633C14">
        <w:rPr>
          <w:rFonts w:eastAsia="Calibri"/>
        </w:rPr>
        <w:tab/>
      </w:r>
      <w:r w:rsidRPr="00633C14">
        <w:rPr>
          <w:rFonts w:eastAsia="Calibri"/>
        </w:rPr>
        <w:tab/>
      </w:r>
      <w:r w:rsidRPr="00633C14">
        <w:rPr>
          <w:rFonts w:eastAsia="Calibri"/>
        </w:rPr>
        <w:tab/>
      </w:r>
      <w:r w:rsidRPr="00633C14">
        <w:rPr>
          <w:rFonts w:eastAsia="Calibri"/>
        </w:rPr>
        <w:tab/>
      </w:r>
      <w:r>
        <w:rPr>
          <w:rFonts w:ascii="Times New Roman" w:eastAsia="Calibri" w:hAnsi="Times New Roman" w:cs="Times New Roman"/>
          <w:i/>
        </w:rPr>
        <w:t>1</w:t>
      </w:r>
      <w:r w:rsidRPr="00DD641C">
        <w:rPr>
          <w:rFonts w:ascii="Times New Roman" w:eastAsia="Calibri" w:hAnsi="Times New Roman" w:cs="Times New Roman"/>
          <w:i/>
        </w:rPr>
        <w:t>. tabula</w:t>
      </w:r>
    </w:p>
    <w:p w14:paraId="69A87CCF" w14:textId="77777777" w:rsidR="00154189" w:rsidRDefault="00154189" w:rsidP="00154189">
      <w:pPr>
        <w:pStyle w:val="BodyTextIndent2"/>
        <w:tabs>
          <w:tab w:val="left" w:pos="709"/>
        </w:tabs>
        <w:rPr>
          <w:rFonts w:eastAsiaTheme="minorHAnsi"/>
          <w:b/>
          <w:sz w:val="24"/>
          <w:szCs w:val="24"/>
          <w:lang w:eastAsia="en-US"/>
        </w:rPr>
      </w:pPr>
      <w:r w:rsidRPr="00437CDC">
        <w:rPr>
          <w:rFonts w:eastAsiaTheme="minorHAnsi"/>
          <w:b/>
          <w:sz w:val="24"/>
          <w:szCs w:val="24"/>
          <w:lang w:eastAsia="en-US"/>
        </w:rPr>
        <w:t xml:space="preserve">Nedeklarēto darba algu ienākumu īpatsvars būvniecībā, </w:t>
      </w:r>
      <w:r>
        <w:rPr>
          <w:rFonts w:eastAsiaTheme="minorHAnsi"/>
          <w:b/>
          <w:sz w:val="24"/>
          <w:szCs w:val="24"/>
          <w:lang w:eastAsia="en-US"/>
        </w:rPr>
        <w:t>procentos</w:t>
      </w:r>
    </w:p>
    <w:tbl>
      <w:tblPr>
        <w:tblStyle w:val="TableGrid"/>
        <w:tblW w:w="0" w:type="auto"/>
        <w:tblLook w:val="04A0" w:firstRow="1" w:lastRow="0" w:firstColumn="1" w:lastColumn="0" w:noHBand="0" w:noVBand="1"/>
      </w:tblPr>
      <w:tblGrid>
        <w:gridCol w:w="1278"/>
        <w:gridCol w:w="2122"/>
        <w:gridCol w:w="1560"/>
        <w:gridCol w:w="1560"/>
        <w:gridCol w:w="1560"/>
      </w:tblGrid>
      <w:tr w:rsidR="00154189" w14:paraId="254DE04E" w14:textId="77777777" w:rsidTr="004932C6">
        <w:trPr>
          <w:trHeight w:val="505"/>
        </w:trPr>
        <w:tc>
          <w:tcPr>
            <w:tcW w:w="1278" w:type="dxa"/>
            <w:vAlign w:val="center"/>
          </w:tcPr>
          <w:p w14:paraId="7FC90197" w14:textId="77777777" w:rsidR="00154189" w:rsidRPr="000A3317" w:rsidRDefault="00154189" w:rsidP="004932C6">
            <w:pPr>
              <w:ind w:firstLine="0"/>
              <w:jc w:val="center"/>
              <w:rPr>
                <w:rFonts w:ascii="Times New Roman" w:hAnsi="Times New Roman" w:cs="Times New Roman"/>
                <w:b/>
                <w:color w:val="000000"/>
                <w:lang w:eastAsia="lv-LV"/>
              </w:rPr>
            </w:pPr>
            <w:r w:rsidRPr="000A3317">
              <w:rPr>
                <w:rFonts w:ascii="Times New Roman" w:hAnsi="Times New Roman" w:cs="Times New Roman"/>
                <w:b/>
                <w:color w:val="000000"/>
                <w:lang w:eastAsia="lv-LV"/>
              </w:rPr>
              <w:t xml:space="preserve">NACE </w:t>
            </w:r>
            <w:r w:rsidRPr="000A3317">
              <w:rPr>
                <w:rFonts w:ascii="Times New Roman" w:hAnsi="Times New Roman" w:cs="Times New Roman"/>
                <w:b/>
                <w:color w:val="000000"/>
                <w:lang w:val="lv-LV" w:eastAsia="lv-LV"/>
              </w:rPr>
              <w:t>kods</w:t>
            </w:r>
          </w:p>
        </w:tc>
        <w:tc>
          <w:tcPr>
            <w:tcW w:w="2122" w:type="dxa"/>
            <w:vAlign w:val="center"/>
          </w:tcPr>
          <w:p w14:paraId="5D4EE960" w14:textId="77777777" w:rsidR="00154189" w:rsidRPr="000A3317" w:rsidRDefault="00154189" w:rsidP="004932C6">
            <w:pPr>
              <w:ind w:firstLine="0"/>
              <w:jc w:val="center"/>
              <w:rPr>
                <w:rFonts w:ascii="Times New Roman" w:hAnsi="Times New Roman" w:cs="Times New Roman"/>
                <w:b/>
                <w:color w:val="000000"/>
                <w:lang w:val="lv-LV" w:eastAsia="lv-LV"/>
              </w:rPr>
            </w:pPr>
            <w:r w:rsidRPr="000A3317">
              <w:rPr>
                <w:rFonts w:ascii="Times New Roman" w:hAnsi="Times New Roman" w:cs="Times New Roman"/>
                <w:b/>
                <w:color w:val="000000"/>
                <w:lang w:val="lv-LV" w:eastAsia="lv-LV"/>
              </w:rPr>
              <w:t>NACE nosaukums</w:t>
            </w:r>
          </w:p>
        </w:tc>
        <w:tc>
          <w:tcPr>
            <w:tcW w:w="1560" w:type="dxa"/>
            <w:vAlign w:val="center"/>
          </w:tcPr>
          <w:p w14:paraId="375BFAE4" w14:textId="1836DF31" w:rsidR="00154189" w:rsidRPr="000A3317" w:rsidRDefault="00BD241D" w:rsidP="004932C6">
            <w:pPr>
              <w:ind w:firstLine="0"/>
              <w:jc w:val="center"/>
              <w:rPr>
                <w:rFonts w:ascii="Times New Roman" w:hAnsi="Times New Roman" w:cs="Times New Roman"/>
                <w:b/>
                <w:color w:val="000000"/>
                <w:lang w:eastAsia="lv-LV"/>
              </w:rPr>
            </w:pPr>
            <w:r>
              <w:rPr>
                <w:rFonts w:ascii="Times New Roman" w:hAnsi="Times New Roman" w:cs="Times New Roman"/>
                <w:b/>
                <w:color w:val="000000"/>
                <w:lang w:eastAsia="lv-LV"/>
              </w:rPr>
              <w:t>2017</w:t>
            </w:r>
            <w:r w:rsidR="00154189">
              <w:rPr>
                <w:rFonts w:ascii="Times New Roman" w:hAnsi="Times New Roman" w:cs="Times New Roman"/>
                <w:b/>
                <w:color w:val="000000"/>
                <w:lang w:eastAsia="lv-LV"/>
              </w:rPr>
              <w:t>. gads</w:t>
            </w:r>
          </w:p>
        </w:tc>
        <w:tc>
          <w:tcPr>
            <w:tcW w:w="1560" w:type="dxa"/>
            <w:vAlign w:val="center"/>
          </w:tcPr>
          <w:p w14:paraId="5EB4CFB3" w14:textId="1062B696" w:rsidR="00154189" w:rsidRPr="000A3317" w:rsidRDefault="00BD241D" w:rsidP="004932C6">
            <w:pPr>
              <w:ind w:firstLine="0"/>
              <w:jc w:val="center"/>
              <w:rPr>
                <w:rFonts w:ascii="Times New Roman" w:hAnsi="Times New Roman" w:cs="Times New Roman"/>
                <w:b/>
                <w:color w:val="000000"/>
                <w:lang w:eastAsia="lv-LV"/>
              </w:rPr>
            </w:pPr>
            <w:r>
              <w:rPr>
                <w:rFonts w:ascii="Times New Roman" w:hAnsi="Times New Roman" w:cs="Times New Roman"/>
                <w:b/>
                <w:color w:val="000000"/>
                <w:lang w:eastAsia="lv-LV"/>
              </w:rPr>
              <w:t>2018</w:t>
            </w:r>
            <w:r w:rsidR="00154189">
              <w:rPr>
                <w:rFonts w:ascii="Times New Roman" w:hAnsi="Times New Roman" w:cs="Times New Roman"/>
                <w:b/>
                <w:color w:val="000000"/>
                <w:lang w:eastAsia="lv-LV"/>
              </w:rPr>
              <w:t>. gads</w:t>
            </w:r>
          </w:p>
        </w:tc>
        <w:tc>
          <w:tcPr>
            <w:tcW w:w="1560" w:type="dxa"/>
            <w:vAlign w:val="center"/>
          </w:tcPr>
          <w:p w14:paraId="5990DBD2" w14:textId="2A240E82" w:rsidR="00154189" w:rsidRPr="000A3317" w:rsidRDefault="00BD241D" w:rsidP="004932C6">
            <w:pPr>
              <w:ind w:firstLine="0"/>
              <w:jc w:val="center"/>
              <w:rPr>
                <w:rFonts w:ascii="Times New Roman" w:hAnsi="Times New Roman" w:cs="Times New Roman"/>
                <w:b/>
                <w:bCs/>
                <w:color w:val="000000"/>
                <w:lang w:eastAsia="lv-LV"/>
              </w:rPr>
            </w:pPr>
            <w:r>
              <w:rPr>
                <w:rFonts w:ascii="Times New Roman" w:hAnsi="Times New Roman" w:cs="Times New Roman"/>
                <w:b/>
                <w:bCs/>
                <w:color w:val="000000"/>
                <w:lang w:eastAsia="lv-LV"/>
              </w:rPr>
              <w:t>2019</w:t>
            </w:r>
            <w:r w:rsidR="00154189" w:rsidRPr="000A3317">
              <w:rPr>
                <w:rFonts w:ascii="Times New Roman" w:hAnsi="Times New Roman" w:cs="Times New Roman"/>
                <w:b/>
                <w:bCs/>
                <w:color w:val="000000"/>
                <w:lang w:eastAsia="lv-LV"/>
              </w:rPr>
              <w:t>.</w:t>
            </w:r>
            <w:r w:rsidR="00154189">
              <w:rPr>
                <w:rFonts w:ascii="Times New Roman" w:hAnsi="Times New Roman" w:cs="Times New Roman"/>
                <w:b/>
                <w:bCs/>
                <w:color w:val="000000"/>
                <w:lang w:eastAsia="lv-LV"/>
              </w:rPr>
              <w:t> </w:t>
            </w:r>
            <w:r w:rsidR="00154189" w:rsidRPr="000A3317">
              <w:rPr>
                <w:rFonts w:ascii="Times New Roman" w:hAnsi="Times New Roman" w:cs="Times New Roman"/>
                <w:b/>
                <w:bCs/>
                <w:color w:val="000000"/>
                <w:lang w:eastAsia="lv-LV"/>
              </w:rPr>
              <w:t>g</w:t>
            </w:r>
            <w:r w:rsidR="00154189">
              <w:rPr>
                <w:rFonts w:ascii="Times New Roman" w:hAnsi="Times New Roman" w:cs="Times New Roman"/>
                <w:b/>
                <w:bCs/>
                <w:color w:val="000000"/>
                <w:lang w:eastAsia="lv-LV"/>
              </w:rPr>
              <w:t>ads</w:t>
            </w:r>
          </w:p>
        </w:tc>
      </w:tr>
      <w:tr w:rsidR="00154189" w14:paraId="7DDFFCA8" w14:textId="77777777" w:rsidTr="004932C6">
        <w:trPr>
          <w:trHeight w:val="496"/>
        </w:trPr>
        <w:tc>
          <w:tcPr>
            <w:tcW w:w="1278" w:type="dxa"/>
            <w:vAlign w:val="bottom"/>
          </w:tcPr>
          <w:p w14:paraId="37A2E215" w14:textId="77777777" w:rsidR="00154189" w:rsidRPr="00E10209" w:rsidRDefault="00154189" w:rsidP="004932C6">
            <w:pPr>
              <w:ind w:firstLine="0"/>
              <w:jc w:val="center"/>
              <w:rPr>
                <w:rFonts w:ascii="Times New Roman" w:hAnsi="Times New Roman" w:cs="Times New Roman"/>
                <w:color w:val="000000"/>
                <w:lang w:eastAsia="lv-LV"/>
              </w:rPr>
            </w:pPr>
            <w:bookmarkStart w:id="9" w:name="_Hlk36129668"/>
            <w:r w:rsidRPr="00E10209">
              <w:rPr>
                <w:rFonts w:ascii="Times New Roman" w:hAnsi="Times New Roman" w:cs="Times New Roman"/>
                <w:color w:val="000000"/>
                <w:lang w:eastAsia="lv-LV"/>
              </w:rPr>
              <w:t>4</w:t>
            </w:r>
            <w:r>
              <w:rPr>
                <w:rFonts w:ascii="Times New Roman" w:hAnsi="Times New Roman" w:cs="Times New Roman"/>
                <w:color w:val="000000"/>
                <w:lang w:eastAsia="lv-LV"/>
              </w:rPr>
              <w:t>1</w:t>
            </w:r>
          </w:p>
        </w:tc>
        <w:tc>
          <w:tcPr>
            <w:tcW w:w="2122" w:type="dxa"/>
            <w:vAlign w:val="bottom"/>
          </w:tcPr>
          <w:p w14:paraId="7EC81FFC" w14:textId="77777777" w:rsidR="00154189" w:rsidRPr="000A3317" w:rsidRDefault="00154189" w:rsidP="004932C6">
            <w:pPr>
              <w:ind w:firstLine="0"/>
              <w:rPr>
                <w:rFonts w:ascii="Times New Roman" w:hAnsi="Times New Roman" w:cs="Times New Roman"/>
                <w:color w:val="000000"/>
                <w:lang w:val="lv-LV" w:eastAsia="lv-LV"/>
              </w:rPr>
            </w:pPr>
            <w:r>
              <w:rPr>
                <w:rFonts w:ascii="Times New Roman" w:hAnsi="Times New Roman" w:cs="Times New Roman"/>
                <w:color w:val="000000"/>
                <w:lang w:val="lv-LV" w:eastAsia="lv-LV"/>
              </w:rPr>
              <w:t>Ēku būvniecība</w:t>
            </w:r>
          </w:p>
        </w:tc>
        <w:tc>
          <w:tcPr>
            <w:tcW w:w="1560" w:type="dxa"/>
            <w:vAlign w:val="bottom"/>
          </w:tcPr>
          <w:p w14:paraId="5E7FF703" w14:textId="1D99371A" w:rsidR="00154189" w:rsidRPr="003838FD" w:rsidRDefault="00BD241D" w:rsidP="004932C6">
            <w:pPr>
              <w:ind w:firstLine="0"/>
              <w:jc w:val="center"/>
              <w:rPr>
                <w:rFonts w:ascii="Times New Roman" w:hAnsi="Times New Roman" w:cs="Times New Roman"/>
                <w:color w:val="000000"/>
                <w:lang w:eastAsia="lv-LV"/>
              </w:rPr>
            </w:pPr>
            <w:r w:rsidRPr="003838FD">
              <w:rPr>
                <w:rFonts w:ascii="Times New Roman" w:hAnsi="Times New Roman" w:cs="Times New Roman"/>
                <w:color w:val="000000"/>
                <w:lang w:eastAsia="lv-LV"/>
              </w:rPr>
              <w:t>21</w:t>
            </w:r>
            <w:r w:rsidR="00154189" w:rsidRPr="003838FD">
              <w:rPr>
                <w:rFonts w:ascii="Times New Roman" w:hAnsi="Times New Roman" w:cs="Times New Roman"/>
                <w:color w:val="000000"/>
                <w:lang w:eastAsia="lv-LV"/>
              </w:rPr>
              <w:t>,0</w:t>
            </w:r>
            <w:r w:rsidRPr="003838FD">
              <w:rPr>
                <w:rFonts w:ascii="Times New Roman" w:hAnsi="Times New Roman" w:cs="Times New Roman"/>
                <w:color w:val="000000"/>
                <w:lang w:eastAsia="lv-LV"/>
              </w:rPr>
              <w:t>4</w:t>
            </w:r>
          </w:p>
        </w:tc>
        <w:tc>
          <w:tcPr>
            <w:tcW w:w="1560" w:type="dxa"/>
            <w:vAlign w:val="bottom"/>
          </w:tcPr>
          <w:p w14:paraId="6E3420A7" w14:textId="1560C6CD" w:rsidR="00154189" w:rsidRPr="003838FD" w:rsidRDefault="00BD241D" w:rsidP="004932C6">
            <w:pPr>
              <w:ind w:firstLine="0"/>
              <w:jc w:val="center"/>
              <w:rPr>
                <w:rFonts w:ascii="Times New Roman" w:hAnsi="Times New Roman" w:cs="Times New Roman"/>
                <w:color w:val="000000"/>
                <w:lang w:eastAsia="lv-LV"/>
              </w:rPr>
            </w:pPr>
            <w:r w:rsidRPr="003838FD">
              <w:rPr>
                <w:rFonts w:ascii="Times New Roman" w:hAnsi="Times New Roman" w:cs="Times New Roman"/>
                <w:color w:val="000000"/>
                <w:lang w:eastAsia="lv-LV"/>
              </w:rPr>
              <w:t>19,55</w:t>
            </w:r>
          </w:p>
        </w:tc>
        <w:tc>
          <w:tcPr>
            <w:tcW w:w="1560" w:type="dxa"/>
            <w:vAlign w:val="bottom"/>
          </w:tcPr>
          <w:p w14:paraId="60D59C74" w14:textId="5BAB008E" w:rsidR="00154189" w:rsidRPr="003838FD" w:rsidRDefault="00BD241D" w:rsidP="004932C6">
            <w:pPr>
              <w:ind w:firstLine="0"/>
              <w:jc w:val="center"/>
              <w:rPr>
                <w:rFonts w:ascii="Times New Roman" w:hAnsi="Times New Roman" w:cs="Times New Roman"/>
                <w:bCs/>
                <w:color w:val="000000"/>
                <w:lang w:eastAsia="lv-LV"/>
              </w:rPr>
            </w:pPr>
            <w:r w:rsidRPr="003838FD">
              <w:rPr>
                <w:rFonts w:ascii="Times New Roman" w:hAnsi="Times New Roman" w:cs="Times New Roman"/>
                <w:bCs/>
                <w:color w:val="000000"/>
                <w:lang w:eastAsia="lv-LV"/>
              </w:rPr>
              <w:t>18,16</w:t>
            </w:r>
          </w:p>
        </w:tc>
      </w:tr>
      <w:bookmarkEnd w:id="9"/>
      <w:tr w:rsidR="00154189" w14:paraId="2C347921" w14:textId="77777777" w:rsidTr="004932C6">
        <w:trPr>
          <w:trHeight w:val="496"/>
        </w:trPr>
        <w:tc>
          <w:tcPr>
            <w:tcW w:w="1278" w:type="dxa"/>
            <w:vAlign w:val="bottom"/>
          </w:tcPr>
          <w:p w14:paraId="14ECB62A" w14:textId="77777777" w:rsidR="00154189" w:rsidRPr="00E10209" w:rsidRDefault="00154189" w:rsidP="004932C6">
            <w:pPr>
              <w:ind w:firstLine="0"/>
              <w:jc w:val="center"/>
              <w:rPr>
                <w:rFonts w:ascii="Times New Roman" w:hAnsi="Times New Roman" w:cs="Times New Roman"/>
                <w:color w:val="000000"/>
                <w:lang w:eastAsia="lv-LV"/>
              </w:rPr>
            </w:pPr>
            <w:r>
              <w:rPr>
                <w:rFonts w:ascii="Times New Roman" w:hAnsi="Times New Roman" w:cs="Times New Roman"/>
                <w:color w:val="000000"/>
                <w:lang w:eastAsia="lv-LV"/>
              </w:rPr>
              <w:t>42</w:t>
            </w:r>
          </w:p>
        </w:tc>
        <w:tc>
          <w:tcPr>
            <w:tcW w:w="2122" w:type="dxa"/>
            <w:vAlign w:val="bottom"/>
          </w:tcPr>
          <w:p w14:paraId="581529EB" w14:textId="77777777" w:rsidR="00154189" w:rsidRPr="000A3317" w:rsidRDefault="00154189" w:rsidP="004932C6">
            <w:pPr>
              <w:ind w:firstLine="0"/>
              <w:rPr>
                <w:rFonts w:ascii="Times New Roman" w:hAnsi="Times New Roman" w:cs="Times New Roman"/>
                <w:color w:val="000000"/>
                <w:lang w:eastAsia="lv-LV"/>
              </w:rPr>
            </w:pPr>
            <w:r>
              <w:rPr>
                <w:rFonts w:ascii="Times New Roman" w:hAnsi="Times New Roman" w:cs="Times New Roman"/>
                <w:color w:val="000000"/>
                <w:lang w:eastAsia="lv-LV"/>
              </w:rPr>
              <w:t>Inženierbūvniecība</w:t>
            </w:r>
          </w:p>
        </w:tc>
        <w:tc>
          <w:tcPr>
            <w:tcW w:w="1560" w:type="dxa"/>
            <w:vAlign w:val="bottom"/>
          </w:tcPr>
          <w:p w14:paraId="3EF61335" w14:textId="3FCECB9F" w:rsidR="00154189" w:rsidRPr="003838FD" w:rsidRDefault="00BD241D" w:rsidP="004932C6">
            <w:pPr>
              <w:ind w:firstLine="0"/>
              <w:jc w:val="center"/>
              <w:rPr>
                <w:rFonts w:ascii="Times New Roman" w:hAnsi="Times New Roman" w:cs="Times New Roman"/>
                <w:color w:val="000000"/>
                <w:lang w:eastAsia="lv-LV"/>
              </w:rPr>
            </w:pPr>
            <w:r w:rsidRPr="003838FD">
              <w:rPr>
                <w:rFonts w:ascii="Times New Roman" w:hAnsi="Times New Roman" w:cs="Times New Roman"/>
                <w:color w:val="000000"/>
                <w:lang w:eastAsia="lv-LV"/>
              </w:rPr>
              <w:t>10,40</w:t>
            </w:r>
          </w:p>
        </w:tc>
        <w:tc>
          <w:tcPr>
            <w:tcW w:w="1560" w:type="dxa"/>
            <w:vAlign w:val="bottom"/>
          </w:tcPr>
          <w:p w14:paraId="014BB53E" w14:textId="0F5F19C0" w:rsidR="00154189" w:rsidRPr="003838FD" w:rsidRDefault="00BD241D" w:rsidP="004932C6">
            <w:pPr>
              <w:ind w:firstLine="0"/>
              <w:jc w:val="center"/>
              <w:rPr>
                <w:rFonts w:ascii="Times New Roman" w:hAnsi="Times New Roman" w:cs="Times New Roman"/>
                <w:color w:val="000000"/>
                <w:lang w:eastAsia="lv-LV"/>
              </w:rPr>
            </w:pPr>
            <w:r w:rsidRPr="003838FD">
              <w:rPr>
                <w:rFonts w:ascii="Times New Roman" w:hAnsi="Times New Roman" w:cs="Times New Roman"/>
                <w:color w:val="000000"/>
                <w:lang w:eastAsia="lv-LV"/>
              </w:rPr>
              <w:t>10,57</w:t>
            </w:r>
          </w:p>
        </w:tc>
        <w:tc>
          <w:tcPr>
            <w:tcW w:w="1560" w:type="dxa"/>
            <w:vAlign w:val="bottom"/>
          </w:tcPr>
          <w:p w14:paraId="5074CEF5" w14:textId="3E6950D3" w:rsidR="00154189" w:rsidRPr="003838FD" w:rsidRDefault="00BD241D" w:rsidP="004932C6">
            <w:pPr>
              <w:ind w:firstLine="0"/>
              <w:jc w:val="center"/>
              <w:rPr>
                <w:rFonts w:ascii="Times New Roman" w:hAnsi="Times New Roman" w:cs="Times New Roman"/>
                <w:bCs/>
                <w:color w:val="000000"/>
                <w:lang w:eastAsia="lv-LV"/>
              </w:rPr>
            </w:pPr>
            <w:r w:rsidRPr="003838FD">
              <w:rPr>
                <w:rFonts w:ascii="Times New Roman" w:hAnsi="Times New Roman" w:cs="Times New Roman"/>
                <w:bCs/>
                <w:color w:val="000000"/>
                <w:lang w:eastAsia="lv-LV"/>
              </w:rPr>
              <w:t>10</w:t>
            </w:r>
            <w:r w:rsidR="00154189" w:rsidRPr="003838FD">
              <w:rPr>
                <w:rFonts w:ascii="Times New Roman" w:hAnsi="Times New Roman" w:cs="Times New Roman"/>
                <w:bCs/>
                <w:color w:val="000000"/>
                <w:lang w:eastAsia="lv-LV"/>
              </w:rPr>
              <w:t>,5</w:t>
            </w:r>
            <w:r w:rsidRPr="003838FD">
              <w:rPr>
                <w:rFonts w:ascii="Times New Roman" w:hAnsi="Times New Roman" w:cs="Times New Roman"/>
                <w:bCs/>
                <w:color w:val="000000"/>
                <w:lang w:eastAsia="lv-LV"/>
              </w:rPr>
              <w:t>0</w:t>
            </w:r>
          </w:p>
        </w:tc>
      </w:tr>
      <w:tr w:rsidR="00154189" w:rsidRPr="000A3317" w14:paraId="3A36561E" w14:textId="77777777" w:rsidTr="004932C6">
        <w:trPr>
          <w:trHeight w:val="496"/>
        </w:trPr>
        <w:tc>
          <w:tcPr>
            <w:tcW w:w="1278" w:type="dxa"/>
            <w:vAlign w:val="bottom"/>
          </w:tcPr>
          <w:p w14:paraId="7417AA0C" w14:textId="77777777" w:rsidR="00154189" w:rsidRPr="00E10209" w:rsidRDefault="00154189" w:rsidP="004932C6">
            <w:pPr>
              <w:ind w:firstLine="0"/>
              <w:jc w:val="center"/>
              <w:rPr>
                <w:rFonts w:ascii="Times New Roman" w:hAnsi="Times New Roman" w:cs="Times New Roman"/>
                <w:color w:val="000000"/>
                <w:lang w:eastAsia="lv-LV"/>
              </w:rPr>
            </w:pPr>
            <w:r w:rsidRPr="00E10209">
              <w:rPr>
                <w:rFonts w:ascii="Times New Roman" w:hAnsi="Times New Roman" w:cs="Times New Roman"/>
                <w:color w:val="000000"/>
                <w:lang w:eastAsia="lv-LV"/>
              </w:rPr>
              <w:t>43</w:t>
            </w:r>
          </w:p>
        </w:tc>
        <w:tc>
          <w:tcPr>
            <w:tcW w:w="2122" w:type="dxa"/>
            <w:vAlign w:val="bottom"/>
          </w:tcPr>
          <w:p w14:paraId="4AE37E01" w14:textId="77777777" w:rsidR="00154189" w:rsidRPr="000A3317" w:rsidRDefault="00154189" w:rsidP="004932C6">
            <w:pPr>
              <w:ind w:firstLine="0"/>
              <w:rPr>
                <w:rFonts w:ascii="Times New Roman" w:hAnsi="Times New Roman" w:cs="Times New Roman"/>
                <w:color w:val="000000"/>
                <w:lang w:val="lv-LV" w:eastAsia="lv-LV"/>
              </w:rPr>
            </w:pPr>
            <w:r w:rsidRPr="000A3317">
              <w:rPr>
                <w:rFonts w:ascii="Times New Roman" w:hAnsi="Times New Roman" w:cs="Times New Roman"/>
                <w:color w:val="000000"/>
                <w:lang w:val="lv-LV" w:eastAsia="lv-LV"/>
              </w:rPr>
              <w:t>Specializētie būvdarbi</w:t>
            </w:r>
          </w:p>
        </w:tc>
        <w:tc>
          <w:tcPr>
            <w:tcW w:w="1560" w:type="dxa"/>
            <w:vAlign w:val="bottom"/>
          </w:tcPr>
          <w:p w14:paraId="1465B8B8" w14:textId="367279B1" w:rsidR="00154189" w:rsidRPr="003838FD" w:rsidRDefault="00BD241D" w:rsidP="004932C6">
            <w:pPr>
              <w:ind w:firstLine="0"/>
              <w:jc w:val="center"/>
              <w:rPr>
                <w:rFonts w:ascii="Times New Roman" w:hAnsi="Times New Roman" w:cs="Times New Roman"/>
                <w:color w:val="000000"/>
                <w:lang w:eastAsia="lv-LV"/>
              </w:rPr>
            </w:pPr>
            <w:r w:rsidRPr="003838FD">
              <w:rPr>
                <w:rFonts w:ascii="Times New Roman" w:hAnsi="Times New Roman" w:cs="Times New Roman"/>
                <w:color w:val="000000"/>
                <w:lang w:eastAsia="lv-LV"/>
              </w:rPr>
              <w:t>24</w:t>
            </w:r>
            <w:r w:rsidR="00BE53FF" w:rsidRPr="003838FD">
              <w:rPr>
                <w:rFonts w:ascii="Times New Roman" w:hAnsi="Times New Roman" w:cs="Times New Roman"/>
                <w:color w:val="000000"/>
                <w:lang w:eastAsia="lv-LV"/>
              </w:rPr>
              <w:t>,</w:t>
            </w:r>
            <w:r w:rsidRPr="003838FD">
              <w:rPr>
                <w:rFonts w:ascii="Times New Roman" w:hAnsi="Times New Roman" w:cs="Times New Roman"/>
                <w:color w:val="000000"/>
                <w:lang w:eastAsia="lv-LV"/>
              </w:rPr>
              <w:t>81</w:t>
            </w:r>
          </w:p>
        </w:tc>
        <w:tc>
          <w:tcPr>
            <w:tcW w:w="1560" w:type="dxa"/>
            <w:vAlign w:val="bottom"/>
          </w:tcPr>
          <w:p w14:paraId="1D6C21D8" w14:textId="1735F130" w:rsidR="00154189" w:rsidRPr="003838FD" w:rsidRDefault="00BD241D" w:rsidP="004932C6">
            <w:pPr>
              <w:ind w:firstLine="0"/>
              <w:jc w:val="center"/>
              <w:rPr>
                <w:rFonts w:ascii="Times New Roman" w:hAnsi="Times New Roman" w:cs="Times New Roman"/>
                <w:color w:val="000000"/>
                <w:lang w:eastAsia="lv-LV"/>
              </w:rPr>
            </w:pPr>
            <w:r w:rsidRPr="003838FD">
              <w:rPr>
                <w:rFonts w:ascii="Times New Roman" w:hAnsi="Times New Roman" w:cs="Times New Roman"/>
                <w:color w:val="000000"/>
                <w:lang w:eastAsia="lv-LV"/>
              </w:rPr>
              <w:t>23,90</w:t>
            </w:r>
          </w:p>
        </w:tc>
        <w:tc>
          <w:tcPr>
            <w:tcW w:w="1560" w:type="dxa"/>
            <w:vAlign w:val="bottom"/>
          </w:tcPr>
          <w:p w14:paraId="585B1B62" w14:textId="3AD837B9" w:rsidR="00154189" w:rsidRPr="003838FD" w:rsidRDefault="00BD241D" w:rsidP="004932C6">
            <w:pPr>
              <w:ind w:firstLine="0"/>
              <w:jc w:val="center"/>
              <w:rPr>
                <w:rFonts w:ascii="Times New Roman" w:hAnsi="Times New Roman" w:cs="Times New Roman"/>
                <w:bCs/>
                <w:color w:val="000000"/>
                <w:lang w:eastAsia="lv-LV"/>
              </w:rPr>
            </w:pPr>
            <w:r w:rsidRPr="003838FD">
              <w:rPr>
                <w:rFonts w:ascii="Times New Roman" w:hAnsi="Times New Roman" w:cs="Times New Roman"/>
                <w:bCs/>
                <w:color w:val="000000"/>
                <w:lang w:eastAsia="lv-LV"/>
              </w:rPr>
              <w:t>23</w:t>
            </w:r>
            <w:r w:rsidR="00154189" w:rsidRPr="003838FD">
              <w:rPr>
                <w:rFonts w:ascii="Times New Roman" w:hAnsi="Times New Roman" w:cs="Times New Roman"/>
                <w:bCs/>
                <w:color w:val="000000"/>
                <w:lang w:eastAsia="lv-LV"/>
              </w:rPr>
              <w:t>,5</w:t>
            </w:r>
            <w:r w:rsidRPr="003838FD">
              <w:rPr>
                <w:rFonts w:ascii="Times New Roman" w:hAnsi="Times New Roman" w:cs="Times New Roman"/>
                <w:bCs/>
                <w:color w:val="000000"/>
                <w:lang w:eastAsia="lv-LV"/>
              </w:rPr>
              <w:t>5</w:t>
            </w:r>
          </w:p>
        </w:tc>
      </w:tr>
    </w:tbl>
    <w:p w14:paraId="51929CBB" w14:textId="77777777" w:rsidR="00154189" w:rsidRPr="0071166E" w:rsidRDefault="00154189" w:rsidP="00154189">
      <w:pPr>
        <w:ind w:firstLine="0"/>
        <w:rPr>
          <w:rFonts w:ascii="Times New Roman" w:eastAsia="Calibri" w:hAnsi="Times New Roman" w:cs="Times New Roman"/>
          <w:i/>
        </w:rPr>
      </w:pPr>
      <w:r w:rsidRPr="0071166E">
        <w:rPr>
          <w:rFonts w:ascii="Times New Roman" w:eastAsia="Calibri" w:hAnsi="Times New Roman" w:cs="Times New Roman"/>
          <w:i/>
        </w:rPr>
        <w:t>Avots: VID dati</w:t>
      </w:r>
      <w:r w:rsidRPr="0071166E">
        <w:rPr>
          <w:rFonts w:ascii="Times New Roman" w:eastAsia="Calibri" w:hAnsi="Times New Roman" w:cs="Times New Roman"/>
          <w:i/>
        </w:rPr>
        <w:tab/>
      </w:r>
      <w:r w:rsidRPr="0071166E">
        <w:rPr>
          <w:rFonts w:ascii="Times New Roman" w:eastAsia="Calibri" w:hAnsi="Times New Roman" w:cs="Times New Roman"/>
          <w:i/>
        </w:rPr>
        <w:tab/>
      </w:r>
      <w:r w:rsidRPr="0071166E">
        <w:rPr>
          <w:rFonts w:ascii="Times New Roman" w:eastAsia="Calibri" w:hAnsi="Times New Roman" w:cs="Times New Roman"/>
          <w:i/>
        </w:rPr>
        <w:tab/>
      </w:r>
      <w:r w:rsidRPr="0071166E">
        <w:rPr>
          <w:rFonts w:ascii="Times New Roman" w:eastAsia="Calibri" w:hAnsi="Times New Roman" w:cs="Times New Roman"/>
          <w:i/>
        </w:rPr>
        <w:tab/>
      </w:r>
      <w:r w:rsidRPr="0071166E">
        <w:rPr>
          <w:rFonts w:ascii="Times New Roman" w:eastAsia="Calibri" w:hAnsi="Times New Roman" w:cs="Times New Roman"/>
          <w:i/>
        </w:rPr>
        <w:tab/>
      </w:r>
      <w:r w:rsidRPr="0071166E">
        <w:rPr>
          <w:rFonts w:ascii="Times New Roman" w:eastAsia="Calibri" w:hAnsi="Times New Roman" w:cs="Times New Roman"/>
          <w:i/>
        </w:rPr>
        <w:tab/>
      </w:r>
      <w:r w:rsidRPr="0071166E">
        <w:rPr>
          <w:rFonts w:ascii="Times New Roman" w:eastAsia="Calibri" w:hAnsi="Times New Roman" w:cs="Times New Roman"/>
          <w:i/>
        </w:rPr>
        <w:tab/>
      </w:r>
      <w:r w:rsidRPr="0071166E">
        <w:rPr>
          <w:rFonts w:ascii="Times New Roman" w:eastAsia="Calibri" w:hAnsi="Times New Roman" w:cs="Times New Roman"/>
          <w:i/>
        </w:rPr>
        <w:tab/>
      </w:r>
      <w:r w:rsidRPr="0071166E">
        <w:rPr>
          <w:rFonts w:ascii="Times New Roman" w:eastAsia="Calibri" w:hAnsi="Times New Roman" w:cs="Times New Roman"/>
          <w:i/>
        </w:rPr>
        <w:tab/>
      </w:r>
      <w:r w:rsidRPr="0071166E">
        <w:rPr>
          <w:rFonts w:ascii="Times New Roman" w:eastAsia="Calibri" w:hAnsi="Times New Roman" w:cs="Times New Roman"/>
          <w:i/>
        </w:rPr>
        <w:tab/>
      </w:r>
    </w:p>
    <w:p w14:paraId="009397FD" w14:textId="77777777" w:rsidR="00154189" w:rsidRDefault="00154189" w:rsidP="00154189">
      <w:pPr>
        <w:ind w:firstLine="0"/>
        <w:rPr>
          <w:rFonts w:ascii="Times New Roman" w:hAnsi="Times New Roman" w:cs="Times New Roman"/>
          <w:b/>
          <w:sz w:val="24"/>
          <w:szCs w:val="24"/>
        </w:rPr>
      </w:pPr>
    </w:p>
    <w:p w14:paraId="393A8786" w14:textId="77777777" w:rsidR="00553FF7" w:rsidRPr="00BD1335" w:rsidRDefault="00BD1335" w:rsidP="00BD1335">
      <w:pPr>
        <w:rPr>
          <w:rFonts w:ascii="Times New Roman" w:hAnsi="Times New Roman" w:cs="Times New Roman"/>
          <w:sz w:val="24"/>
          <w:szCs w:val="24"/>
        </w:rPr>
      </w:pPr>
      <w:r w:rsidRPr="00CA5379">
        <w:rPr>
          <w:rFonts w:ascii="Times New Roman" w:hAnsi="Times New Roman" w:cs="Times New Roman"/>
          <w:sz w:val="24"/>
          <w:szCs w:val="24"/>
        </w:rPr>
        <w:t>Ņemot vērā, ka divi nozīmīgākie ēnu ekonomikas ierobežošanas pasākumi pilnvērtīgi sāka strādāt tikai 2020. gadā, t.i. ģenerālvienošanās regulējums stājās spēkā un kļuva saistošs visiem nozarē strādājošiem 2019. gada 3. novembrī un VEDLUDB tika ieviesta ar 2020. gada 1. februāri, vienlaicīgi paredzot administratīvo atbildību, šo komplekso pasākumu ietekmi varēs novērtēt tikai 2021. gadā.</w:t>
      </w:r>
    </w:p>
    <w:p w14:paraId="156DE584" w14:textId="77777777" w:rsidR="00BD1335" w:rsidRPr="00574833" w:rsidRDefault="00BD1335" w:rsidP="00154189">
      <w:pPr>
        <w:ind w:firstLine="0"/>
        <w:rPr>
          <w:rFonts w:ascii="Times New Roman" w:hAnsi="Times New Roman" w:cs="Times New Roman"/>
          <w:b/>
          <w:sz w:val="24"/>
          <w:szCs w:val="24"/>
        </w:rPr>
      </w:pPr>
    </w:p>
    <w:p w14:paraId="340AC2FC" w14:textId="77777777" w:rsidR="00154189" w:rsidRDefault="00154189" w:rsidP="00154189">
      <w:pPr>
        <w:pStyle w:val="Heading2"/>
      </w:pPr>
      <w:bookmarkStart w:id="10" w:name="_Toc63687768"/>
      <w:r w:rsidRPr="00587D81">
        <w:t>T</w:t>
      </w:r>
      <w:r>
        <w:t>ransporta</w:t>
      </w:r>
      <w:r w:rsidRPr="00587D81">
        <w:t xml:space="preserve"> pakalpojum</w:t>
      </w:r>
      <w:r>
        <w:t>u nozare</w:t>
      </w:r>
      <w:bookmarkEnd w:id="10"/>
    </w:p>
    <w:p w14:paraId="1BE702B5" w14:textId="77777777" w:rsidR="00154189" w:rsidRPr="00587D81" w:rsidRDefault="00154189" w:rsidP="00154189">
      <w:pPr>
        <w:pStyle w:val="ListParagraph"/>
        <w:ind w:left="0" w:firstLine="567"/>
        <w:rPr>
          <w:rFonts w:ascii="Times New Roman" w:hAnsi="Times New Roman" w:cs="Times New Roman"/>
          <w:sz w:val="24"/>
          <w:szCs w:val="24"/>
        </w:rPr>
      </w:pPr>
      <w:r w:rsidRPr="00587D81">
        <w:rPr>
          <w:rFonts w:ascii="Times New Roman" w:hAnsi="Times New Roman" w:cs="Times New Roman"/>
          <w:sz w:val="24"/>
          <w:szCs w:val="24"/>
        </w:rPr>
        <w:t>Lai samazinātu ēnu ekonomiku taksometru nozarē attiecībā uz darbaspēka izmaksām</w:t>
      </w:r>
      <w:r>
        <w:rPr>
          <w:rFonts w:ascii="Times New Roman" w:hAnsi="Times New Roman" w:cs="Times New Roman"/>
          <w:sz w:val="24"/>
          <w:szCs w:val="24"/>
        </w:rPr>
        <w:t>,</w:t>
      </w:r>
      <w:r w:rsidRPr="00587D81">
        <w:rPr>
          <w:rFonts w:ascii="Times New Roman" w:hAnsi="Times New Roman" w:cs="Times New Roman"/>
          <w:sz w:val="24"/>
          <w:szCs w:val="24"/>
        </w:rPr>
        <w:t xml:space="preserve"> </w:t>
      </w:r>
      <w:r>
        <w:rPr>
          <w:rFonts w:ascii="Times New Roman" w:hAnsi="Times New Roman" w:cs="Times New Roman"/>
          <w:sz w:val="24"/>
          <w:szCs w:val="24"/>
        </w:rPr>
        <w:t>tika izstrādāts normatīvais regulējums, kas noteica, ka no 2017. gada 1. janvāra</w:t>
      </w:r>
      <w:r w:rsidRPr="00587D81">
        <w:rPr>
          <w:rFonts w:ascii="Times New Roman" w:hAnsi="Times New Roman" w:cs="Times New Roman"/>
          <w:sz w:val="24"/>
          <w:szCs w:val="24"/>
        </w:rPr>
        <w:t xml:space="preserve"> </w:t>
      </w:r>
      <w:r>
        <w:rPr>
          <w:rFonts w:ascii="Times New Roman" w:hAnsi="Times New Roman" w:cs="Times New Roman"/>
          <w:sz w:val="24"/>
          <w:szCs w:val="24"/>
        </w:rPr>
        <w:t>Autopārvadājumu likuma 35. </w:t>
      </w:r>
      <w:r w:rsidRPr="00587D81">
        <w:rPr>
          <w:rFonts w:ascii="Times New Roman" w:hAnsi="Times New Roman" w:cs="Times New Roman"/>
          <w:sz w:val="24"/>
          <w:szCs w:val="24"/>
        </w:rPr>
        <w:t xml:space="preserve">pantā minētais pārvadātājs maksā </w:t>
      </w:r>
      <w:r w:rsidR="00C56340">
        <w:rPr>
          <w:rFonts w:ascii="Times New Roman" w:hAnsi="Times New Roman" w:cs="Times New Roman"/>
          <w:sz w:val="24"/>
          <w:szCs w:val="24"/>
        </w:rPr>
        <w:t>VSAOI</w:t>
      </w:r>
      <w:r w:rsidRPr="00587D81">
        <w:rPr>
          <w:rFonts w:ascii="Times New Roman" w:hAnsi="Times New Roman" w:cs="Times New Roman"/>
          <w:sz w:val="24"/>
          <w:szCs w:val="24"/>
        </w:rPr>
        <w:t xml:space="preserve"> avansu 130 </w:t>
      </w:r>
      <w:r w:rsidRPr="009A09D2">
        <w:rPr>
          <w:rFonts w:ascii="Times New Roman" w:hAnsi="Times New Roman" w:cs="Times New Roman"/>
          <w:i/>
          <w:iCs/>
          <w:sz w:val="24"/>
          <w:szCs w:val="24"/>
        </w:rPr>
        <w:t>euro</w:t>
      </w:r>
      <w:r w:rsidRPr="00587D81">
        <w:rPr>
          <w:rFonts w:ascii="Times New Roman" w:hAnsi="Times New Roman" w:cs="Times New Roman"/>
          <w:sz w:val="24"/>
          <w:szCs w:val="24"/>
        </w:rPr>
        <w:t xml:space="preserve"> kalendāra mēnesī par katru vieglo taksometru, ar kuru tiek veikti pārvadājumi, īpaši šim mērķim paredzē</w:t>
      </w:r>
      <w:r w:rsidR="00680070">
        <w:rPr>
          <w:rFonts w:ascii="Times New Roman" w:hAnsi="Times New Roman" w:cs="Times New Roman"/>
          <w:sz w:val="24"/>
          <w:szCs w:val="24"/>
        </w:rPr>
        <w:t>t</w:t>
      </w:r>
      <w:r w:rsidRPr="00587D81">
        <w:rPr>
          <w:rFonts w:ascii="Times New Roman" w:hAnsi="Times New Roman" w:cs="Times New Roman"/>
          <w:sz w:val="24"/>
          <w:szCs w:val="24"/>
        </w:rPr>
        <w:t xml:space="preserve">ā kontā. </w:t>
      </w:r>
      <w:r>
        <w:rPr>
          <w:rFonts w:ascii="Times New Roman" w:hAnsi="Times New Roman" w:cs="Times New Roman"/>
          <w:sz w:val="24"/>
          <w:szCs w:val="24"/>
        </w:rPr>
        <w:t>Lai veicinātu godīgāku konkurenci,</w:t>
      </w:r>
      <w:r w:rsidRPr="00587D81">
        <w:rPr>
          <w:rFonts w:ascii="Times New Roman" w:hAnsi="Times New Roman" w:cs="Times New Roman"/>
          <w:sz w:val="24"/>
          <w:szCs w:val="24"/>
        </w:rPr>
        <w:t xml:space="preserve"> Satiksmes ministrija izstrādāja grozījumus saistībā ar avansa maksājumu pārvadātājiem, kas veic pasažieru komercpārvadājumus ar vieglo automobili un 2019.</w:t>
      </w:r>
      <w:r>
        <w:rPr>
          <w:rFonts w:ascii="Times New Roman" w:hAnsi="Times New Roman" w:cs="Times New Roman"/>
          <w:sz w:val="24"/>
          <w:szCs w:val="24"/>
        </w:rPr>
        <w:t> </w:t>
      </w:r>
      <w:r w:rsidRPr="00587D81">
        <w:rPr>
          <w:rFonts w:ascii="Times New Roman" w:hAnsi="Times New Roman" w:cs="Times New Roman"/>
          <w:sz w:val="24"/>
          <w:szCs w:val="24"/>
        </w:rPr>
        <w:t>gada 3.</w:t>
      </w:r>
      <w:r>
        <w:rPr>
          <w:rFonts w:ascii="Times New Roman" w:hAnsi="Times New Roman" w:cs="Times New Roman"/>
          <w:sz w:val="24"/>
          <w:szCs w:val="24"/>
        </w:rPr>
        <w:t> </w:t>
      </w:r>
      <w:r w:rsidRPr="00587D81">
        <w:rPr>
          <w:rFonts w:ascii="Times New Roman" w:hAnsi="Times New Roman" w:cs="Times New Roman"/>
          <w:sz w:val="24"/>
          <w:szCs w:val="24"/>
        </w:rPr>
        <w:t xml:space="preserve">aprīlī Saeima pieņēma likumu “Grozījumi likumā “Par valsts sociālo apdrošināšanu””, kas stājas spēkā 2019. gada 13. aprīlī. Likums </w:t>
      </w:r>
      <w:r w:rsidR="004932C6">
        <w:rPr>
          <w:rFonts w:ascii="Times New Roman" w:hAnsi="Times New Roman" w:cs="Times New Roman"/>
          <w:sz w:val="24"/>
          <w:szCs w:val="24"/>
        </w:rPr>
        <w:t>nosaka</w:t>
      </w:r>
      <w:r w:rsidRPr="00587D81">
        <w:rPr>
          <w:rFonts w:ascii="Times New Roman" w:hAnsi="Times New Roman" w:cs="Times New Roman"/>
          <w:sz w:val="24"/>
          <w:szCs w:val="24"/>
        </w:rPr>
        <w:t>, ka pārvadātājiem, kas veic pasažieru komercpārvadājumus ar vieglo automobili, līdzvērt</w:t>
      </w:r>
      <w:r>
        <w:rPr>
          <w:rFonts w:ascii="Times New Roman" w:hAnsi="Times New Roman" w:cs="Times New Roman"/>
          <w:sz w:val="24"/>
          <w:szCs w:val="24"/>
        </w:rPr>
        <w:t xml:space="preserve">īgi kā taksometru pārvadājumos </w:t>
      </w:r>
      <w:r w:rsidRPr="00587D81">
        <w:rPr>
          <w:rFonts w:ascii="Times New Roman" w:hAnsi="Times New Roman" w:cs="Times New Roman"/>
          <w:sz w:val="24"/>
          <w:szCs w:val="24"/>
        </w:rPr>
        <w:t xml:space="preserve">jāveic </w:t>
      </w:r>
      <w:r w:rsidR="00C56340">
        <w:rPr>
          <w:rFonts w:ascii="Times New Roman" w:hAnsi="Times New Roman" w:cs="Times New Roman"/>
          <w:sz w:val="24"/>
          <w:szCs w:val="24"/>
        </w:rPr>
        <w:t>VSAOI</w:t>
      </w:r>
      <w:r w:rsidRPr="00587D81">
        <w:rPr>
          <w:rFonts w:ascii="Times New Roman" w:hAnsi="Times New Roman" w:cs="Times New Roman"/>
          <w:sz w:val="24"/>
          <w:szCs w:val="24"/>
        </w:rPr>
        <w:t xml:space="preserve"> avanss (maksājums 130 </w:t>
      </w:r>
      <w:r w:rsidRPr="009A09D2">
        <w:rPr>
          <w:rFonts w:ascii="Times New Roman" w:hAnsi="Times New Roman" w:cs="Times New Roman"/>
          <w:i/>
          <w:iCs/>
          <w:sz w:val="24"/>
          <w:szCs w:val="24"/>
        </w:rPr>
        <w:t>euro</w:t>
      </w:r>
      <w:r w:rsidRPr="00587D81">
        <w:rPr>
          <w:rFonts w:ascii="Times New Roman" w:hAnsi="Times New Roman" w:cs="Times New Roman"/>
          <w:sz w:val="24"/>
          <w:szCs w:val="24"/>
        </w:rPr>
        <w:t xml:space="preserve"> apmērā uzskaitot par katru transportlīdzekli) mēnesī, kā arī no</w:t>
      </w:r>
      <w:r w:rsidR="004932C6">
        <w:rPr>
          <w:rFonts w:ascii="Times New Roman" w:hAnsi="Times New Roman" w:cs="Times New Roman"/>
          <w:sz w:val="24"/>
          <w:szCs w:val="24"/>
        </w:rPr>
        <w:t>saka</w:t>
      </w:r>
      <w:r w:rsidR="0050454D" w:rsidRPr="0050454D">
        <w:rPr>
          <w:rFonts w:ascii="Times New Roman" w:hAnsi="Times New Roman" w:cs="Times New Roman"/>
          <w:sz w:val="24"/>
          <w:szCs w:val="24"/>
        </w:rPr>
        <w:t>, ka, ja pārvadātājs ir likvidēts vai triju gadu laikā no obligāto iemaksu avansa maksājuma veikšanas nav izmantojis obligāto iemaksu avansu, iemaksa tiek ieskaitīta valsts pensiju speciālajā budžetā</w:t>
      </w:r>
      <w:r w:rsidRPr="00587D81">
        <w:rPr>
          <w:rFonts w:ascii="Times New Roman" w:hAnsi="Times New Roman" w:cs="Times New Roman"/>
          <w:sz w:val="24"/>
          <w:szCs w:val="24"/>
        </w:rPr>
        <w:t>.</w:t>
      </w:r>
    </w:p>
    <w:p w14:paraId="085FA656" w14:textId="77777777" w:rsidR="00154189" w:rsidRPr="00587D81" w:rsidRDefault="00154189" w:rsidP="00154189">
      <w:pPr>
        <w:pStyle w:val="ListParagraph"/>
        <w:ind w:left="0" w:firstLine="567"/>
        <w:rPr>
          <w:rFonts w:ascii="Times New Roman" w:hAnsi="Times New Roman" w:cs="Times New Roman"/>
          <w:sz w:val="24"/>
          <w:szCs w:val="24"/>
        </w:rPr>
      </w:pPr>
      <w:r w:rsidRPr="00587D81">
        <w:rPr>
          <w:rFonts w:ascii="Times New Roman" w:hAnsi="Times New Roman" w:cs="Times New Roman"/>
          <w:sz w:val="24"/>
          <w:szCs w:val="24"/>
        </w:rPr>
        <w:t>Saeimā 2019.</w:t>
      </w:r>
      <w:r>
        <w:rPr>
          <w:rFonts w:ascii="Times New Roman" w:hAnsi="Times New Roman" w:cs="Times New Roman"/>
          <w:sz w:val="24"/>
          <w:szCs w:val="24"/>
        </w:rPr>
        <w:t> </w:t>
      </w:r>
      <w:r w:rsidRPr="00587D81">
        <w:rPr>
          <w:rFonts w:ascii="Times New Roman" w:hAnsi="Times New Roman" w:cs="Times New Roman"/>
          <w:sz w:val="24"/>
          <w:szCs w:val="24"/>
        </w:rPr>
        <w:t>gada 13.</w:t>
      </w:r>
      <w:r>
        <w:rPr>
          <w:rFonts w:ascii="Times New Roman" w:hAnsi="Times New Roman" w:cs="Times New Roman"/>
          <w:sz w:val="24"/>
          <w:szCs w:val="24"/>
        </w:rPr>
        <w:t> </w:t>
      </w:r>
      <w:r w:rsidRPr="00587D81">
        <w:rPr>
          <w:rFonts w:ascii="Times New Roman" w:hAnsi="Times New Roman" w:cs="Times New Roman"/>
          <w:sz w:val="24"/>
          <w:szCs w:val="24"/>
        </w:rPr>
        <w:t>jūnijā ir pieņemts likums “Gr</w:t>
      </w:r>
      <w:r>
        <w:rPr>
          <w:rFonts w:ascii="Times New Roman" w:hAnsi="Times New Roman" w:cs="Times New Roman"/>
          <w:sz w:val="24"/>
          <w:szCs w:val="24"/>
        </w:rPr>
        <w:t>ozījumi Autopārvadājumu likumā”,</w:t>
      </w:r>
      <w:r w:rsidRPr="00587D81">
        <w:rPr>
          <w:rFonts w:ascii="Times New Roman" w:hAnsi="Times New Roman" w:cs="Times New Roman"/>
          <w:sz w:val="24"/>
          <w:szCs w:val="24"/>
        </w:rPr>
        <w:t xml:space="preserve"> paredz</w:t>
      </w:r>
      <w:r w:rsidR="003B2087">
        <w:rPr>
          <w:rFonts w:ascii="Times New Roman" w:hAnsi="Times New Roman" w:cs="Times New Roman"/>
          <w:sz w:val="24"/>
          <w:szCs w:val="24"/>
        </w:rPr>
        <w:t>ot</w:t>
      </w:r>
      <w:r w:rsidRPr="00587D81">
        <w:rPr>
          <w:rFonts w:ascii="Times New Roman" w:hAnsi="Times New Roman" w:cs="Times New Roman"/>
          <w:sz w:val="24"/>
          <w:szCs w:val="24"/>
        </w:rPr>
        <w:t xml:space="preserve"> virkni būtisku izmaiņu pasažieru komercpārvadājumu ar taksometru un vieglo automobiļu nozares regulējumā, tostarp pieņemts regulējums tīmekļvietnes vai mobilās lietotnes pakalpojumiem autopārvadājumos.</w:t>
      </w:r>
    </w:p>
    <w:p w14:paraId="587CD6C8" w14:textId="77777777" w:rsidR="00154189" w:rsidRPr="00DA2EED" w:rsidRDefault="00154189" w:rsidP="00DA2EED">
      <w:pPr>
        <w:pStyle w:val="ListParagraph"/>
        <w:ind w:left="0" w:firstLine="567"/>
        <w:rPr>
          <w:rFonts w:ascii="Times New Roman" w:hAnsi="Times New Roman" w:cs="Times New Roman"/>
          <w:sz w:val="24"/>
          <w:szCs w:val="24"/>
        </w:rPr>
      </w:pPr>
      <w:r w:rsidRPr="00587D81">
        <w:rPr>
          <w:rFonts w:ascii="Times New Roman" w:hAnsi="Times New Roman" w:cs="Times New Roman"/>
          <w:sz w:val="24"/>
          <w:szCs w:val="24"/>
        </w:rPr>
        <w:lastRenderedPageBreak/>
        <w:t>Lai samazinātu ēnu ekonomiku un tā dēvētos “uzņēmumu karuseļus”, ja pārvadātājs ierosinās anulēt speciālo atļauju (licenci) vai licences kartīti transportlīdzeklim, institūcija</w:t>
      </w:r>
      <w:r w:rsidR="00BC32DB">
        <w:rPr>
          <w:rFonts w:ascii="Times New Roman" w:hAnsi="Times New Roman" w:cs="Times New Roman"/>
          <w:sz w:val="24"/>
          <w:szCs w:val="24"/>
        </w:rPr>
        <w:t>i</w:t>
      </w:r>
      <w:r w:rsidRPr="00587D81">
        <w:rPr>
          <w:rFonts w:ascii="Times New Roman" w:hAnsi="Times New Roman" w:cs="Times New Roman"/>
          <w:sz w:val="24"/>
          <w:szCs w:val="24"/>
        </w:rPr>
        <w:t xml:space="preserve">, kas izsniedz šos dokumentus, </w:t>
      </w:r>
      <w:r w:rsidR="00BC32DB">
        <w:rPr>
          <w:rFonts w:ascii="Times New Roman" w:hAnsi="Times New Roman" w:cs="Times New Roman"/>
          <w:sz w:val="24"/>
          <w:szCs w:val="24"/>
        </w:rPr>
        <w:t>paredzēts pienākums</w:t>
      </w:r>
      <w:r>
        <w:rPr>
          <w:rFonts w:ascii="Times New Roman" w:hAnsi="Times New Roman" w:cs="Times New Roman"/>
          <w:sz w:val="24"/>
          <w:szCs w:val="24"/>
        </w:rPr>
        <w:t xml:space="preserve"> pārbaudīt</w:t>
      </w:r>
      <w:r w:rsidRPr="00587D81">
        <w:rPr>
          <w:rFonts w:ascii="Times New Roman" w:hAnsi="Times New Roman" w:cs="Times New Roman"/>
          <w:sz w:val="24"/>
          <w:szCs w:val="24"/>
        </w:rPr>
        <w:t xml:space="preserve"> informāciju VID Publiskojamo datu bāzē par pārvadātāja nodokļu saistību</w:t>
      </w:r>
      <w:r w:rsidR="00BC32DB">
        <w:rPr>
          <w:rFonts w:ascii="Times New Roman" w:hAnsi="Times New Roman" w:cs="Times New Roman"/>
          <w:sz w:val="24"/>
          <w:szCs w:val="24"/>
        </w:rPr>
        <w:t xml:space="preserve"> izpildi</w:t>
      </w:r>
      <w:r w:rsidRPr="00587D81">
        <w:rPr>
          <w:rFonts w:ascii="Times New Roman" w:hAnsi="Times New Roman" w:cs="Times New Roman"/>
          <w:sz w:val="24"/>
          <w:szCs w:val="24"/>
        </w:rPr>
        <w:t xml:space="preserve"> un Sodu reģistrā par administratīvo sodu izpildi, kas piemēroti par pārvadājumu pakalpojumu reglamentējošo normatīvo aktu pārkāpumiem.</w:t>
      </w:r>
    </w:p>
    <w:p w14:paraId="48489092" w14:textId="6DB6BB01" w:rsidR="00154189" w:rsidRPr="00586680" w:rsidRDefault="00154189" w:rsidP="00154189">
      <w:pPr>
        <w:pStyle w:val="ListParagraph"/>
        <w:ind w:left="0" w:firstLine="567"/>
        <w:rPr>
          <w:rFonts w:ascii="Times New Roman" w:hAnsi="Times New Roman" w:cs="Times New Roman"/>
          <w:sz w:val="24"/>
          <w:szCs w:val="24"/>
        </w:rPr>
      </w:pPr>
      <w:r w:rsidRPr="00587D81">
        <w:rPr>
          <w:rFonts w:ascii="Times New Roman" w:hAnsi="Times New Roman" w:cs="Times New Roman"/>
          <w:sz w:val="24"/>
          <w:szCs w:val="24"/>
        </w:rPr>
        <w:t>Lai uzlabotu situāciju nodokļu jomā, paredzēts, ka par veiktajiem pakalpojumiem pārvadātājiem</w:t>
      </w:r>
      <w:r w:rsidR="0050454D">
        <w:rPr>
          <w:rFonts w:ascii="Times New Roman" w:hAnsi="Times New Roman" w:cs="Times New Roman"/>
          <w:sz w:val="24"/>
          <w:szCs w:val="24"/>
        </w:rPr>
        <w:t>, kas</w:t>
      </w:r>
      <w:r w:rsidR="0050454D" w:rsidRPr="0050454D">
        <w:rPr>
          <w:rFonts w:ascii="Times New Roman" w:hAnsi="Times New Roman" w:cs="Times New Roman"/>
          <w:sz w:val="24"/>
          <w:szCs w:val="24"/>
        </w:rPr>
        <w:t xml:space="preserve"> veic pasažieru komercpārvadājumus ar taksometriem</w:t>
      </w:r>
      <w:r w:rsidR="0050454D">
        <w:rPr>
          <w:rFonts w:ascii="Times New Roman" w:hAnsi="Times New Roman" w:cs="Times New Roman"/>
          <w:sz w:val="24"/>
          <w:szCs w:val="24"/>
        </w:rPr>
        <w:t>,</w:t>
      </w:r>
      <w:r w:rsidRPr="00587D81">
        <w:rPr>
          <w:rFonts w:ascii="Times New Roman" w:hAnsi="Times New Roman" w:cs="Times New Roman"/>
          <w:sz w:val="24"/>
          <w:szCs w:val="24"/>
        </w:rPr>
        <w:t xml:space="preserve"> būs jāsniedz informācija VID tiešsaistes režīmā. </w:t>
      </w:r>
      <w:r w:rsidR="0050454D" w:rsidRPr="0050454D">
        <w:rPr>
          <w:rFonts w:ascii="Times New Roman" w:hAnsi="Times New Roman" w:cs="Times New Roman"/>
          <w:sz w:val="24"/>
          <w:szCs w:val="24"/>
        </w:rPr>
        <w:t>Savukārt atbilstoši likuma regulējumam, tīmekļvietnes vai mobilās lietotnes pakalpojuma sniedzējam ir pienākums sniegt Valsts ieņēmumu dienestam informāciju par Latvijas teritorijā tīmekļvietnē vai mobilajā lietotnē piedāvātajiem, pārvadātāja atteiktajiem un sniegtajiem pasažieru komercpārvadājumiem, autovadītājiem un autotransporta līdzekļiem, kā arī apstrādāt un uzglabāt šo informāciju Eiropas Savienības dalībvalstī vai Ziemeļatlantijas līguma organizācijas (NATO) dalībvalstī vismaz piecus gadus.</w:t>
      </w:r>
      <w:r w:rsidR="0050454D">
        <w:rPr>
          <w:rFonts w:ascii="Times New Roman" w:hAnsi="Times New Roman" w:cs="Times New Roman"/>
          <w:sz w:val="24"/>
          <w:szCs w:val="24"/>
        </w:rPr>
        <w:t xml:space="preserve"> </w:t>
      </w:r>
      <w:r w:rsidRPr="00587D81">
        <w:rPr>
          <w:rFonts w:ascii="Times New Roman" w:hAnsi="Times New Roman" w:cs="Times New Roman"/>
          <w:sz w:val="24"/>
          <w:szCs w:val="24"/>
        </w:rPr>
        <w:t xml:space="preserve">Pārvadātāji to </w:t>
      </w:r>
      <w:r w:rsidR="00654C12">
        <w:rPr>
          <w:rFonts w:ascii="Times New Roman" w:hAnsi="Times New Roman" w:cs="Times New Roman"/>
          <w:sz w:val="24"/>
          <w:szCs w:val="24"/>
        </w:rPr>
        <w:t>var</w:t>
      </w:r>
      <w:r w:rsidR="00654C12" w:rsidRPr="00587D81">
        <w:rPr>
          <w:rFonts w:ascii="Times New Roman" w:hAnsi="Times New Roman" w:cs="Times New Roman"/>
          <w:sz w:val="24"/>
          <w:szCs w:val="24"/>
        </w:rPr>
        <w:t xml:space="preserve"> </w:t>
      </w:r>
      <w:r w:rsidRPr="00587D81">
        <w:rPr>
          <w:rFonts w:ascii="Times New Roman" w:hAnsi="Times New Roman" w:cs="Times New Roman"/>
          <w:sz w:val="24"/>
          <w:szCs w:val="24"/>
        </w:rPr>
        <w:t>uzsākt no 2020.</w:t>
      </w:r>
      <w:r>
        <w:rPr>
          <w:rFonts w:ascii="Times New Roman" w:hAnsi="Times New Roman" w:cs="Times New Roman"/>
          <w:sz w:val="24"/>
          <w:szCs w:val="24"/>
        </w:rPr>
        <w:t> </w:t>
      </w:r>
      <w:r w:rsidRPr="00587D81">
        <w:rPr>
          <w:rFonts w:ascii="Times New Roman" w:hAnsi="Times New Roman" w:cs="Times New Roman"/>
          <w:sz w:val="24"/>
          <w:szCs w:val="24"/>
        </w:rPr>
        <w:t>gada 1.</w:t>
      </w:r>
      <w:r>
        <w:rPr>
          <w:rFonts w:ascii="Times New Roman" w:hAnsi="Times New Roman" w:cs="Times New Roman"/>
          <w:sz w:val="24"/>
          <w:szCs w:val="24"/>
        </w:rPr>
        <w:t> </w:t>
      </w:r>
      <w:r w:rsidRPr="00587D81">
        <w:rPr>
          <w:rFonts w:ascii="Times New Roman" w:hAnsi="Times New Roman" w:cs="Times New Roman"/>
          <w:sz w:val="24"/>
          <w:szCs w:val="24"/>
        </w:rPr>
        <w:t>jūlija, bet obligāti informācija būs jāsniedz no 2021.</w:t>
      </w:r>
      <w:r>
        <w:rPr>
          <w:rFonts w:ascii="Times New Roman" w:hAnsi="Times New Roman" w:cs="Times New Roman"/>
          <w:sz w:val="24"/>
          <w:szCs w:val="24"/>
        </w:rPr>
        <w:t> </w:t>
      </w:r>
      <w:r w:rsidRPr="00587D81">
        <w:rPr>
          <w:rFonts w:ascii="Times New Roman" w:hAnsi="Times New Roman" w:cs="Times New Roman"/>
          <w:sz w:val="24"/>
          <w:szCs w:val="24"/>
        </w:rPr>
        <w:t xml:space="preserve">gada </w:t>
      </w:r>
      <w:r>
        <w:rPr>
          <w:rFonts w:ascii="Times New Roman" w:hAnsi="Times New Roman" w:cs="Times New Roman"/>
          <w:sz w:val="24"/>
          <w:szCs w:val="24"/>
        </w:rPr>
        <w:t>1. jūlija</w:t>
      </w:r>
      <w:r w:rsidRPr="00587D81">
        <w:rPr>
          <w:rFonts w:ascii="Times New Roman" w:hAnsi="Times New Roman" w:cs="Times New Roman"/>
          <w:sz w:val="24"/>
          <w:szCs w:val="24"/>
        </w:rPr>
        <w:t>.</w:t>
      </w:r>
    </w:p>
    <w:p w14:paraId="22DF09AE" w14:textId="77777777" w:rsidR="00AF25F8" w:rsidRDefault="00154189" w:rsidP="00154189">
      <w:pPr>
        <w:pStyle w:val="ListParagraph"/>
        <w:ind w:left="0" w:firstLine="567"/>
        <w:rPr>
          <w:rFonts w:ascii="Times New Roman" w:hAnsi="Times New Roman" w:cs="Times New Roman"/>
          <w:sz w:val="24"/>
          <w:szCs w:val="24"/>
        </w:rPr>
      </w:pPr>
      <w:r w:rsidRPr="00DD72A8">
        <w:rPr>
          <w:rFonts w:ascii="Times New Roman" w:hAnsi="Times New Roman" w:cs="Times New Roman"/>
          <w:sz w:val="24"/>
          <w:szCs w:val="24"/>
        </w:rPr>
        <w:t xml:space="preserve">Analizējot 2019. gada VID administrēto nodokļu ieņēmumus taksometru pakalpojumu nozarē, </w:t>
      </w:r>
      <w:r w:rsidR="00900462" w:rsidRPr="00DD72A8">
        <w:rPr>
          <w:rFonts w:ascii="Times New Roman" w:hAnsi="Times New Roman" w:cs="Times New Roman"/>
          <w:sz w:val="24"/>
          <w:szCs w:val="24"/>
        </w:rPr>
        <w:t>konstatēts samazinājums</w:t>
      </w:r>
      <w:r w:rsidRPr="00DD72A8">
        <w:rPr>
          <w:rFonts w:ascii="Times New Roman" w:hAnsi="Times New Roman" w:cs="Times New Roman"/>
          <w:sz w:val="24"/>
          <w:szCs w:val="24"/>
        </w:rPr>
        <w:t xml:space="preserve"> par 0,</w:t>
      </w:r>
      <w:r w:rsidR="00900462" w:rsidRPr="00DD72A8">
        <w:rPr>
          <w:rFonts w:ascii="Times New Roman" w:hAnsi="Times New Roman" w:cs="Times New Roman"/>
          <w:sz w:val="24"/>
          <w:szCs w:val="24"/>
        </w:rPr>
        <w:t>34</w:t>
      </w:r>
      <w:r w:rsidRPr="00DD72A8">
        <w:rPr>
          <w:rFonts w:ascii="Times New Roman" w:hAnsi="Times New Roman" w:cs="Times New Roman"/>
          <w:sz w:val="24"/>
          <w:szCs w:val="24"/>
        </w:rPr>
        <w:t xml:space="preserve"> milj. </w:t>
      </w:r>
      <w:r w:rsidRPr="00DD72A8">
        <w:rPr>
          <w:rFonts w:ascii="Times New Roman" w:hAnsi="Times New Roman" w:cs="Times New Roman"/>
          <w:i/>
          <w:iCs/>
          <w:sz w:val="24"/>
          <w:szCs w:val="24"/>
        </w:rPr>
        <w:t>euro</w:t>
      </w:r>
      <w:r w:rsidRPr="00DD72A8">
        <w:rPr>
          <w:rFonts w:ascii="Times New Roman" w:hAnsi="Times New Roman" w:cs="Times New Roman"/>
          <w:sz w:val="24"/>
          <w:szCs w:val="24"/>
        </w:rPr>
        <w:t xml:space="preserve"> jeb </w:t>
      </w:r>
      <w:r w:rsidR="00900462" w:rsidRPr="00DD72A8">
        <w:rPr>
          <w:rFonts w:ascii="Times New Roman" w:hAnsi="Times New Roman" w:cs="Times New Roman"/>
          <w:sz w:val="24"/>
          <w:szCs w:val="24"/>
        </w:rPr>
        <w:t>10,9</w:t>
      </w:r>
      <w:r w:rsidRPr="00DD72A8">
        <w:rPr>
          <w:rFonts w:ascii="Times New Roman" w:hAnsi="Times New Roman" w:cs="Times New Roman"/>
          <w:sz w:val="24"/>
          <w:szCs w:val="24"/>
        </w:rPr>
        <w:t xml:space="preserve"> % salīdzinājumā ar 2018. gada</w:t>
      </w:r>
      <w:r w:rsidR="002F2953" w:rsidRPr="00DD72A8">
        <w:rPr>
          <w:rFonts w:ascii="Times New Roman" w:hAnsi="Times New Roman" w:cs="Times New Roman"/>
          <w:sz w:val="24"/>
          <w:szCs w:val="24"/>
        </w:rPr>
        <w:t xml:space="preserve"> ieņēmumu apjomu, ko ietekmēja PVN ieņēmumu samazin</w:t>
      </w:r>
      <w:r w:rsidR="00B21099" w:rsidRPr="00DD72A8">
        <w:rPr>
          <w:rFonts w:ascii="Times New Roman" w:hAnsi="Times New Roman" w:cs="Times New Roman"/>
          <w:sz w:val="24"/>
          <w:szCs w:val="24"/>
        </w:rPr>
        <w:t xml:space="preserve">ājums par </w:t>
      </w:r>
      <w:r w:rsidR="0014580A" w:rsidRPr="00DD72A8">
        <w:rPr>
          <w:rFonts w:ascii="Times New Roman" w:hAnsi="Times New Roman" w:cs="Times New Roman"/>
          <w:sz w:val="24"/>
          <w:szCs w:val="24"/>
        </w:rPr>
        <w:t>47</w:t>
      </w:r>
      <w:r w:rsidR="00B21099" w:rsidRPr="00DD72A8">
        <w:rPr>
          <w:rFonts w:ascii="Times New Roman" w:hAnsi="Times New Roman" w:cs="Times New Roman"/>
          <w:sz w:val="24"/>
          <w:szCs w:val="24"/>
        </w:rPr>
        <w:t>,</w:t>
      </w:r>
      <w:r w:rsidR="0014580A" w:rsidRPr="00DD72A8">
        <w:rPr>
          <w:rFonts w:ascii="Times New Roman" w:hAnsi="Times New Roman" w:cs="Times New Roman"/>
          <w:sz w:val="24"/>
          <w:szCs w:val="24"/>
        </w:rPr>
        <w:t>1</w:t>
      </w:r>
      <w:r w:rsidR="00B21099" w:rsidRPr="00DD72A8">
        <w:rPr>
          <w:rFonts w:ascii="Times New Roman" w:hAnsi="Times New Roman" w:cs="Times New Roman"/>
          <w:sz w:val="24"/>
          <w:szCs w:val="24"/>
        </w:rPr>
        <w:t xml:space="preserve"> procentiem.</w:t>
      </w:r>
      <w:r w:rsidR="002F2953">
        <w:rPr>
          <w:rFonts w:ascii="Times New Roman" w:hAnsi="Times New Roman" w:cs="Times New Roman"/>
          <w:sz w:val="24"/>
          <w:szCs w:val="24"/>
        </w:rPr>
        <w:t xml:space="preserve"> </w:t>
      </w:r>
    </w:p>
    <w:p w14:paraId="61832D7A" w14:textId="288FE452" w:rsidR="00154189" w:rsidRDefault="00154189" w:rsidP="00154189">
      <w:pPr>
        <w:pStyle w:val="ListParagraph"/>
        <w:ind w:left="0" w:firstLine="567"/>
        <w:rPr>
          <w:rFonts w:ascii="Times New Roman" w:hAnsi="Times New Roman" w:cs="Times New Roman"/>
          <w:sz w:val="24"/>
          <w:szCs w:val="24"/>
        </w:rPr>
      </w:pPr>
      <w:r>
        <w:rPr>
          <w:rFonts w:ascii="Times New Roman" w:hAnsi="Times New Roman" w:cs="Times New Roman"/>
          <w:sz w:val="24"/>
          <w:szCs w:val="24"/>
        </w:rPr>
        <w:t>Prognozējot papildu ieņēmumus 2019. gada budžetā</w:t>
      </w:r>
      <w:r w:rsidR="00F24C00">
        <w:rPr>
          <w:rFonts w:ascii="Times New Roman" w:hAnsi="Times New Roman" w:cs="Times New Roman"/>
          <w:sz w:val="24"/>
          <w:szCs w:val="24"/>
        </w:rPr>
        <w:t>,</w:t>
      </w:r>
      <w:r>
        <w:rPr>
          <w:rFonts w:ascii="Times New Roman" w:hAnsi="Times New Roman" w:cs="Times New Roman"/>
          <w:sz w:val="24"/>
          <w:szCs w:val="24"/>
        </w:rPr>
        <w:t xml:space="preserve"> tika plānots, ka ieviešot </w:t>
      </w:r>
      <w:r w:rsidR="00BC32DB">
        <w:rPr>
          <w:rFonts w:ascii="Times New Roman" w:hAnsi="Times New Roman" w:cs="Times New Roman"/>
          <w:sz w:val="24"/>
          <w:szCs w:val="24"/>
        </w:rPr>
        <w:t>izmaiņas normatīvajā regulējumā un nosakot,</w:t>
      </w:r>
      <w:r>
        <w:rPr>
          <w:rFonts w:ascii="Times New Roman" w:hAnsi="Times New Roman" w:cs="Times New Roman"/>
          <w:sz w:val="24"/>
          <w:szCs w:val="24"/>
        </w:rPr>
        <w:t xml:space="preserve"> </w:t>
      </w:r>
      <w:r w:rsidRPr="00852AA6">
        <w:rPr>
          <w:rFonts w:ascii="Times New Roman" w:hAnsi="Times New Roman" w:cs="Times New Roman"/>
          <w:sz w:val="24"/>
          <w:szCs w:val="24"/>
        </w:rPr>
        <w:t xml:space="preserve">ka pārvadātājiem, kas veic pasažieru komercpārvadājumus ar vieglo automobili, līdzvērtīgi kā taksometru pārvadājumos jāveic </w:t>
      </w:r>
      <w:r w:rsidR="00F24C00">
        <w:rPr>
          <w:rFonts w:ascii="Times New Roman" w:hAnsi="Times New Roman" w:cs="Times New Roman"/>
          <w:sz w:val="24"/>
          <w:szCs w:val="24"/>
        </w:rPr>
        <w:t>VSAOI</w:t>
      </w:r>
      <w:r w:rsidRPr="00852AA6">
        <w:rPr>
          <w:rFonts w:ascii="Times New Roman" w:hAnsi="Times New Roman" w:cs="Times New Roman"/>
          <w:sz w:val="24"/>
          <w:szCs w:val="24"/>
        </w:rPr>
        <w:t xml:space="preserve"> avanss</w:t>
      </w:r>
      <w:r>
        <w:rPr>
          <w:rFonts w:ascii="Times New Roman" w:hAnsi="Times New Roman" w:cs="Times New Roman"/>
          <w:sz w:val="24"/>
          <w:szCs w:val="24"/>
        </w:rPr>
        <w:t xml:space="preserve">, kopumā </w:t>
      </w:r>
      <w:r w:rsidRPr="0056044C">
        <w:rPr>
          <w:rFonts w:ascii="Times New Roman" w:hAnsi="Times New Roman" w:cs="Times New Roman"/>
          <w:sz w:val="24"/>
          <w:szCs w:val="24"/>
        </w:rPr>
        <w:t>sociālās apdrošināšanas budžetā papildu tiktu iemaksāti</w:t>
      </w:r>
      <w:r>
        <w:rPr>
          <w:rFonts w:ascii="Times New Roman" w:hAnsi="Times New Roman" w:cs="Times New Roman"/>
          <w:sz w:val="24"/>
          <w:szCs w:val="24"/>
        </w:rPr>
        <w:t xml:space="preserve"> 0,</w:t>
      </w:r>
      <w:r w:rsidRPr="0056044C">
        <w:rPr>
          <w:rFonts w:ascii="Times New Roman" w:hAnsi="Times New Roman" w:cs="Times New Roman"/>
          <w:sz w:val="24"/>
          <w:szCs w:val="24"/>
        </w:rPr>
        <w:t>4</w:t>
      </w:r>
      <w:r>
        <w:rPr>
          <w:rFonts w:ascii="Times New Roman" w:hAnsi="Times New Roman" w:cs="Times New Roman"/>
          <w:sz w:val="24"/>
          <w:szCs w:val="24"/>
        </w:rPr>
        <w:t>4</w:t>
      </w:r>
      <w:r w:rsidRPr="0056044C">
        <w:rPr>
          <w:rFonts w:ascii="Times New Roman" w:hAnsi="Times New Roman" w:cs="Times New Roman"/>
          <w:sz w:val="24"/>
          <w:szCs w:val="24"/>
        </w:rPr>
        <w:t> </w:t>
      </w:r>
      <w:r>
        <w:rPr>
          <w:rFonts w:ascii="Times New Roman" w:hAnsi="Times New Roman" w:cs="Times New Roman"/>
          <w:sz w:val="24"/>
          <w:szCs w:val="24"/>
        </w:rPr>
        <w:t xml:space="preserve">milj. </w:t>
      </w:r>
      <w:r w:rsidRPr="009A09D2">
        <w:rPr>
          <w:rFonts w:ascii="Times New Roman" w:hAnsi="Times New Roman" w:cs="Times New Roman"/>
          <w:i/>
          <w:iCs/>
          <w:sz w:val="24"/>
          <w:szCs w:val="24"/>
        </w:rPr>
        <w:t>euro</w:t>
      </w:r>
      <w:r w:rsidRPr="0056044C">
        <w:rPr>
          <w:rFonts w:ascii="Times New Roman" w:hAnsi="Times New Roman" w:cs="Times New Roman"/>
          <w:sz w:val="24"/>
          <w:szCs w:val="24"/>
        </w:rPr>
        <w:t>.</w:t>
      </w:r>
      <w:r w:rsidR="00AF25F8">
        <w:rPr>
          <w:rFonts w:ascii="Times New Roman" w:hAnsi="Times New Roman" w:cs="Times New Roman"/>
          <w:sz w:val="24"/>
          <w:szCs w:val="24"/>
        </w:rPr>
        <w:t xml:space="preserve"> </w:t>
      </w:r>
      <w:r w:rsidR="00D47753">
        <w:rPr>
          <w:rFonts w:ascii="Times New Roman" w:hAnsi="Times New Roman" w:cs="Times New Roman"/>
          <w:sz w:val="24"/>
          <w:szCs w:val="24"/>
        </w:rPr>
        <w:t>VSAOI</w:t>
      </w:r>
      <w:r w:rsidR="00AF25F8">
        <w:rPr>
          <w:rFonts w:ascii="Times New Roman" w:hAnsi="Times New Roman" w:cs="Times New Roman"/>
          <w:sz w:val="24"/>
          <w:szCs w:val="24"/>
        </w:rPr>
        <w:t xml:space="preserve"> pieaudzis par </w:t>
      </w:r>
      <w:r w:rsidR="00AF25F8" w:rsidRPr="0056044C">
        <w:rPr>
          <w:rFonts w:ascii="Times New Roman" w:hAnsi="Times New Roman" w:cs="Times New Roman"/>
          <w:sz w:val="24"/>
          <w:szCs w:val="24"/>
        </w:rPr>
        <w:t>0,</w:t>
      </w:r>
      <w:r w:rsidR="00AF25F8">
        <w:rPr>
          <w:rFonts w:ascii="Times New Roman" w:hAnsi="Times New Roman" w:cs="Times New Roman"/>
          <w:sz w:val="24"/>
          <w:szCs w:val="24"/>
        </w:rPr>
        <w:t>26</w:t>
      </w:r>
      <w:r w:rsidR="00AF25F8" w:rsidRPr="0056044C">
        <w:rPr>
          <w:rFonts w:ascii="Times New Roman" w:hAnsi="Times New Roman" w:cs="Times New Roman"/>
          <w:sz w:val="24"/>
          <w:szCs w:val="24"/>
        </w:rPr>
        <w:t xml:space="preserve"> milj. </w:t>
      </w:r>
      <w:r w:rsidR="00AF25F8" w:rsidRPr="009A09D2">
        <w:rPr>
          <w:rFonts w:ascii="Times New Roman" w:hAnsi="Times New Roman" w:cs="Times New Roman"/>
          <w:i/>
          <w:iCs/>
          <w:sz w:val="24"/>
          <w:szCs w:val="24"/>
        </w:rPr>
        <w:t>euro</w:t>
      </w:r>
      <w:r w:rsidR="00AF25F8" w:rsidRPr="0056044C">
        <w:rPr>
          <w:rFonts w:ascii="Times New Roman" w:hAnsi="Times New Roman" w:cs="Times New Roman"/>
          <w:sz w:val="24"/>
          <w:szCs w:val="24"/>
        </w:rPr>
        <w:t xml:space="preserve"> jeb</w:t>
      </w:r>
      <w:r w:rsidRPr="0056044C">
        <w:rPr>
          <w:rFonts w:ascii="Times New Roman" w:hAnsi="Times New Roman" w:cs="Times New Roman"/>
          <w:sz w:val="24"/>
          <w:szCs w:val="24"/>
        </w:rPr>
        <w:t xml:space="preserve"> </w:t>
      </w:r>
      <w:r w:rsidR="00AF25F8">
        <w:rPr>
          <w:rFonts w:ascii="Times New Roman" w:hAnsi="Times New Roman" w:cs="Times New Roman"/>
          <w:bCs/>
          <w:sz w:val="24"/>
          <w:szCs w:val="24"/>
        </w:rPr>
        <w:t>19</w:t>
      </w:r>
      <w:r w:rsidRPr="003E7897">
        <w:rPr>
          <w:rFonts w:ascii="Times New Roman" w:hAnsi="Times New Roman" w:cs="Times New Roman"/>
          <w:bCs/>
          <w:sz w:val="24"/>
          <w:szCs w:val="24"/>
        </w:rPr>
        <w:t>,</w:t>
      </w:r>
      <w:r w:rsidR="00AF25F8">
        <w:rPr>
          <w:rFonts w:ascii="Times New Roman" w:hAnsi="Times New Roman" w:cs="Times New Roman"/>
          <w:bCs/>
          <w:sz w:val="24"/>
          <w:szCs w:val="24"/>
        </w:rPr>
        <w:t>4</w:t>
      </w:r>
      <w:r w:rsidRPr="003E7897">
        <w:rPr>
          <w:rFonts w:ascii="Times New Roman" w:hAnsi="Times New Roman" w:cs="Times New Roman"/>
          <w:bCs/>
          <w:sz w:val="24"/>
          <w:szCs w:val="24"/>
        </w:rPr>
        <w:t xml:space="preserve"> %</w:t>
      </w:r>
      <w:r w:rsidR="00AF25F8">
        <w:rPr>
          <w:rFonts w:ascii="Times New Roman" w:hAnsi="Times New Roman" w:cs="Times New Roman"/>
          <w:sz w:val="24"/>
          <w:szCs w:val="24"/>
        </w:rPr>
        <w:t xml:space="preserve">. </w:t>
      </w:r>
      <w:r w:rsidR="000A5FB4" w:rsidRPr="000A5FB4">
        <w:rPr>
          <w:rFonts w:ascii="Times New Roman" w:hAnsi="Times New Roman" w:cs="Times New Roman"/>
          <w:sz w:val="24"/>
          <w:szCs w:val="24"/>
        </w:rPr>
        <w:t xml:space="preserve">Kaut kopumā tas liecina par VSAOI avansa maksājuma ieviešanas efektivitāti taksometru nozarē, taču vēl jārisina virkne problēmu minētās iemaksas mērķa sasniegšanai – taksometru nozarē strādājošo sociālās apdrošināšanas nodrošināšanai pilnā </w:t>
      </w:r>
      <w:r w:rsidR="000A5FB4">
        <w:rPr>
          <w:rFonts w:ascii="Times New Roman" w:hAnsi="Times New Roman" w:cs="Times New Roman"/>
          <w:sz w:val="24"/>
          <w:szCs w:val="24"/>
        </w:rPr>
        <w:t>apmērā</w:t>
      </w:r>
      <w:r w:rsidRPr="0056044C">
        <w:rPr>
          <w:rFonts w:ascii="Times New Roman" w:hAnsi="Times New Roman" w:cs="Times New Roman"/>
          <w:sz w:val="24"/>
          <w:szCs w:val="24"/>
        </w:rPr>
        <w:t xml:space="preserve">. Latvijā joprojām ir </w:t>
      </w:r>
      <w:r>
        <w:rPr>
          <w:rFonts w:ascii="Times New Roman" w:hAnsi="Times New Roman" w:cs="Times New Roman"/>
          <w:sz w:val="24"/>
          <w:szCs w:val="24"/>
        </w:rPr>
        <w:t>pasažieru pārvadājumu pakalpojumu sniedzēji</w:t>
      </w:r>
      <w:r w:rsidRPr="0056044C">
        <w:rPr>
          <w:rFonts w:ascii="Times New Roman" w:hAnsi="Times New Roman" w:cs="Times New Roman"/>
          <w:sz w:val="24"/>
          <w:szCs w:val="24"/>
        </w:rPr>
        <w:t>, kas gada laikā nomaksā nea</w:t>
      </w:r>
      <w:r w:rsidR="00BC32DB">
        <w:rPr>
          <w:rFonts w:ascii="Times New Roman" w:hAnsi="Times New Roman" w:cs="Times New Roman"/>
          <w:sz w:val="24"/>
          <w:szCs w:val="24"/>
        </w:rPr>
        <w:t>dekvāti mazu nodokļu apmēru, neveicinot</w:t>
      </w:r>
      <w:r w:rsidRPr="0056044C">
        <w:rPr>
          <w:rFonts w:ascii="Times New Roman" w:hAnsi="Times New Roman" w:cs="Times New Roman"/>
          <w:sz w:val="24"/>
          <w:szCs w:val="24"/>
        </w:rPr>
        <w:t xml:space="preserve"> godīgu konkurenci tirgū.</w:t>
      </w:r>
    </w:p>
    <w:p w14:paraId="3336F502" w14:textId="3A8FAFD3" w:rsidR="00704C31" w:rsidRDefault="00704C31" w:rsidP="00154189">
      <w:pPr>
        <w:pStyle w:val="ListParagraph"/>
        <w:ind w:left="0" w:firstLine="567"/>
        <w:rPr>
          <w:rFonts w:ascii="Times New Roman" w:hAnsi="Times New Roman" w:cs="Times New Roman"/>
          <w:sz w:val="24"/>
          <w:szCs w:val="24"/>
        </w:rPr>
      </w:pPr>
      <w:r w:rsidRPr="003838FD">
        <w:rPr>
          <w:rFonts w:ascii="Times New Roman" w:hAnsi="Times New Roman" w:cs="Times New Roman"/>
          <w:sz w:val="24"/>
          <w:szCs w:val="24"/>
        </w:rPr>
        <w:t xml:space="preserve">Nodokļu ieņēmumi taksometru nozarē 2020. gada 1. pusgadā sastāda 1,27 milj. </w:t>
      </w:r>
      <w:r w:rsidRPr="003838FD">
        <w:rPr>
          <w:rFonts w:ascii="Times New Roman" w:hAnsi="Times New Roman" w:cs="Times New Roman"/>
          <w:i/>
          <w:iCs/>
          <w:sz w:val="24"/>
          <w:szCs w:val="24"/>
        </w:rPr>
        <w:t>euro.</w:t>
      </w:r>
    </w:p>
    <w:p w14:paraId="0074964A" w14:textId="77777777" w:rsidR="002F2953" w:rsidRPr="00523131" w:rsidRDefault="002F2953" w:rsidP="00154189">
      <w:pPr>
        <w:jc w:val="right"/>
        <w:rPr>
          <w:rFonts w:ascii="Times New Roman" w:hAnsi="Times New Roman" w:cs="Times New Roman"/>
        </w:rPr>
      </w:pPr>
    </w:p>
    <w:p w14:paraId="13B636C1" w14:textId="77777777" w:rsidR="00154189" w:rsidRPr="00033E92" w:rsidRDefault="00154189" w:rsidP="00154189">
      <w:pPr>
        <w:jc w:val="right"/>
        <w:rPr>
          <w:rFonts w:ascii="Times New Roman" w:hAnsi="Times New Roman" w:cs="Times New Roman"/>
          <w:i/>
        </w:rPr>
      </w:pPr>
      <w:r>
        <w:rPr>
          <w:rFonts w:ascii="Times New Roman" w:hAnsi="Times New Roman" w:cs="Times New Roman"/>
          <w:i/>
        </w:rPr>
        <w:t>9</w:t>
      </w:r>
      <w:r w:rsidRPr="00033E92">
        <w:rPr>
          <w:rFonts w:ascii="Times New Roman" w:hAnsi="Times New Roman" w:cs="Times New Roman"/>
          <w:i/>
        </w:rPr>
        <w:t>. grafiks</w:t>
      </w:r>
    </w:p>
    <w:p w14:paraId="505F417C" w14:textId="77777777" w:rsidR="00154189" w:rsidRPr="008F3E6F" w:rsidRDefault="00154189" w:rsidP="00154189">
      <w:pPr>
        <w:ind w:firstLine="0"/>
        <w:rPr>
          <w:rFonts w:eastAsia="Calibri"/>
        </w:rPr>
      </w:pPr>
      <w:r w:rsidRPr="003649CC">
        <w:rPr>
          <w:noProof/>
          <w:lang w:eastAsia="lv-LV"/>
        </w:rPr>
        <mc:AlternateContent>
          <mc:Choice Requires="wps">
            <w:drawing>
              <wp:anchor distT="0" distB="0" distL="114300" distR="114300" simplePos="0" relativeHeight="251660288" behindDoc="0" locked="0" layoutInCell="1" allowOverlap="1" wp14:anchorId="107E720E" wp14:editId="5DEA34FD">
                <wp:simplePos x="0" y="0"/>
                <wp:positionH relativeFrom="margin">
                  <wp:posOffset>4207857</wp:posOffset>
                </wp:positionH>
                <wp:positionV relativeFrom="paragraph">
                  <wp:posOffset>8926</wp:posOffset>
                </wp:positionV>
                <wp:extent cx="1759789" cy="2104654"/>
                <wp:effectExtent l="0" t="0" r="0" b="0"/>
                <wp:wrapNone/>
                <wp:docPr id="24" name="TextBox 9"/>
                <wp:cNvGraphicFramePr/>
                <a:graphic xmlns:a="http://schemas.openxmlformats.org/drawingml/2006/main">
                  <a:graphicData uri="http://schemas.microsoft.com/office/word/2010/wordprocessingShape">
                    <wps:wsp>
                      <wps:cNvSpPr txBox="1"/>
                      <wps:spPr>
                        <a:xfrm>
                          <a:off x="0" y="0"/>
                          <a:ext cx="1759789" cy="2104654"/>
                        </a:xfrm>
                        <a:prstGeom prst="rect">
                          <a:avLst/>
                        </a:prstGeom>
                        <a:solidFill>
                          <a:sysClr val="window" lastClr="FFFFFF"/>
                        </a:solidFill>
                        <a:ln w="12700" cap="flat" cmpd="sng" algn="ctr">
                          <a:noFill/>
                          <a:prstDash val="solid"/>
                          <a:miter lim="800000"/>
                        </a:ln>
                        <a:effectLst/>
                      </wps:spPr>
                      <wps:txbx>
                        <w:txbxContent>
                          <w:p w14:paraId="79EC73A4" w14:textId="77777777" w:rsidR="004A7BDB" w:rsidRPr="003649CC" w:rsidRDefault="004A7BDB" w:rsidP="00154189">
                            <w:pPr>
                              <w:pStyle w:val="NormalWeb"/>
                              <w:ind w:firstLine="0"/>
                              <w:jc w:val="left"/>
                              <w:rPr>
                                <w:sz w:val="22"/>
                                <w:szCs w:val="22"/>
                              </w:rPr>
                            </w:pPr>
                            <w:r>
                              <w:rPr>
                                <w:color w:val="000000" w:themeColor="dark1"/>
                                <w:kern w:val="24"/>
                                <w:sz w:val="22"/>
                                <w:szCs w:val="22"/>
                              </w:rPr>
                              <w:t>Nodokļu ieņēmumu samazinājums</w:t>
                            </w:r>
                            <w:r w:rsidRPr="003649CC">
                              <w:rPr>
                                <w:color w:val="000000" w:themeColor="dark1"/>
                                <w:kern w:val="24"/>
                                <w:sz w:val="22"/>
                                <w:szCs w:val="22"/>
                              </w:rPr>
                              <w:t xml:space="preserve"> </w:t>
                            </w:r>
                            <w:r>
                              <w:rPr>
                                <w:color w:val="000000" w:themeColor="dark1"/>
                                <w:kern w:val="24"/>
                                <w:sz w:val="22"/>
                                <w:szCs w:val="22"/>
                              </w:rPr>
                              <w:t xml:space="preserve">salīdzinot ar 2018.g. </w:t>
                            </w:r>
                            <w:r w:rsidRPr="003649CC">
                              <w:rPr>
                                <w:color w:val="000000" w:themeColor="dark1"/>
                                <w:kern w:val="24"/>
                                <w:sz w:val="22"/>
                                <w:szCs w:val="22"/>
                              </w:rPr>
                              <w:t>-</w:t>
                            </w:r>
                          </w:p>
                          <w:p w14:paraId="7F1D6485" w14:textId="77777777" w:rsidR="004A7BDB" w:rsidRPr="009A0DE3" w:rsidRDefault="004A7BDB" w:rsidP="00154189">
                            <w:pPr>
                              <w:pStyle w:val="NormalWeb"/>
                              <w:ind w:firstLine="0"/>
                              <w:rPr>
                                <w:b/>
                                <w:bCs/>
                                <w:color w:val="000000" w:themeColor="dark1"/>
                                <w:kern w:val="24"/>
                                <w:sz w:val="22"/>
                                <w:szCs w:val="22"/>
                              </w:rPr>
                            </w:pPr>
                            <w:r>
                              <w:rPr>
                                <w:b/>
                                <w:bCs/>
                                <w:color w:val="000000" w:themeColor="dark1"/>
                                <w:kern w:val="24"/>
                                <w:sz w:val="22"/>
                                <w:szCs w:val="22"/>
                              </w:rPr>
                              <w:t xml:space="preserve">0,34 </w:t>
                            </w:r>
                            <w:r w:rsidRPr="003649CC">
                              <w:rPr>
                                <w:b/>
                                <w:bCs/>
                                <w:color w:val="000000" w:themeColor="dark1"/>
                                <w:kern w:val="24"/>
                                <w:sz w:val="22"/>
                                <w:szCs w:val="22"/>
                              </w:rPr>
                              <w:t xml:space="preserve">milj. </w:t>
                            </w:r>
                            <w:r w:rsidRPr="00A041DE">
                              <w:rPr>
                                <w:b/>
                                <w:bCs/>
                                <w:i/>
                                <w:color w:val="000000" w:themeColor="dark1"/>
                                <w:kern w:val="24"/>
                                <w:sz w:val="22"/>
                                <w:szCs w:val="22"/>
                              </w:rPr>
                              <w:t>euro</w:t>
                            </w:r>
                            <w:r>
                              <w:rPr>
                                <w:b/>
                                <w:bCs/>
                                <w:iCs/>
                                <w:color w:val="000000" w:themeColor="dark1"/>
                                <w:kern w:val="24"/>
                                <w:sz w:val="22"/>
                                <w:szCs w:val="22"/>
                              </w:rPr>
                              <w:t xml:space="preserve"> </w:t>
                            </w:r>
                            <w:r w:rsidRPr="00852AA6">
                              <w:rPr>
                                <w:b/>
                                <w:bCs/>
                                <w:color w:val="000000" w:themeColor="dark1"/>
                                <w:kern w:val="24"/>
                                <w:sz w:val="22"/>
                                <w:szCs w:val="22"/>
                              </w:rPr>
                              <w:t>jeb</w:t>
                            </w:r>
                            <w:r>
                              <w:rPr>
                                <w:b/>
                                <w:bCs/>
                                <w:color w:val="000000" w:themeColor="dark1"/>
                                <w:kern w:val="24"/>
                                <w:sz w:val="22"/>
                                <w:szCs w:val="22"/>
                              </w:rPr>
                              <w:t xml:space="preserve"> 10,9 </w:t>
                            </w:r>
                            <w:r w:rsidRPr="003649CC">
                              <w:rPr>
                                <w:b/>
                                <w:bCs/>
                                <w:color w:val="000000" w:themeColor="dark1"/>
                                <w:kern w:val="24"/>
                                <w:sz w:val="22"/>
                                <w:szCs w:val="22"/>
                              </w:rPr>
                              <w:t>%</w:t>
                            </w:r>
                          </w:p>
                          <w:p w14:paraId="25A62B98" w14:textId="77777777" w:rsidR="004A7BDB" w:rsidRPr="003649CC" w:rsidRDefault="004A7BDB" w:rsidP="00154189">
                            <w:pPr>
                              <w:pStyle w:val="NormalWeb"/>
                              <w:ind w:firstLine="0"/>
                              <w:rPr>
                                <w:sz w:val="22"/>
                                <w:szCs w:val="22"/>
                              </w:rPr>
                            </w:pPr>
                            <w:r w:rsidRPr="003649CC">
                              <w:rPr>
                                <w:color w:val="000000" w:themeColor="dark1"/>
                                <w:kern w:val="24"/>
                                <w:sz w:val="22"/>
                                <w:szCs w:val="22"/>
                                <w:u w:val="single"/>
                              </w:rPr>
                              <w:t>Salīdzinājumam</w:t>
                            </w:r>
                          </w:p>
                          <w:p w14:paraId="72E321A2" w14:textId="77777777" w:rsidR="004A7BDB" w:rsidRPr="00574833" w:rsidRDefault="004A7BDB" w:rsidP="00154189">
                            <w:pPr>
                              <w:ind w:firstLine="0"/>
                              <w:rPr>
                                <w:rFonts w:ascii="Times New Roman" w:eastAsia="Times New Roman" w:hAnsi="Times New Roman" w:cs="Times New Roman"/>
                              </w:rPr>
                            </w:pPr>
                            <w:r w:rsidRPr="00574833">
                              <w:rPr>
                                <w:rFonts w:ascii="Times New Roman" w:hAnsi="Times New Roman" w:cs="Times New Roman"/>
                                <w:color w:val="000000" w:themeColor="dark1"/>
                                <w:kern w:val="24"/>
                              </w:rPr>
                              <w:t xml:space="preserve">2018.g. </w:t>
                            </w:r>
                            <w:r>
                              <w:rPr>
                                <w:rFonts w:ascii="Times New Roman" w:hAnsi="Times New Roman" w:cs="Times New Roman"/>
                                <w:color w:val="000000" w:themeColor="dark1"/>
                                <w:kern w:val="24"/>
                              </w:rPr>
                              <w:t>attiecībā pret</w:t>
                            </w:r>
                            <w:r w:rsidRPr="00574833">
                              <w:rPr>
                                <w:rFonts w:ascii="Times New Roman" w:hAnsi="Times New Roman" w:cs="Times New Roman"/>
                                <w:color w:val="000000" w:themeColor="dark1"/>
                                <w:kern w:val="24"/>
                              </w:rPr>
                              <w:t xml:space="preserve"> 2017.g. pieaugums par</w:t>
                            </w:r>
                            <w:r>
                              <w:rPr>
                                <w:rFonts w:ascii="Times New Roman" w:eastAsia="Times New Roman" w:hAnsi="Times New Roman" w:cs="Times New Roman"/>
                              </w:rPr>
                              <w:t xml:space="preserve"> </w:t>
                            </w:r>
                            <w:r>
                              <w:rPr>
                                <w:rFonts w:ascii="Times New Roman" w:hAnsi="Times New Roman" w:cs="Times New Roman"/>
                                <w:color w:val="000000" w:themeColor="dark1"/>
                                <w:kern w:val="24"/>
                              </w:rPr>
                              <w:t>28,2 </w:t>
                            </w:r>
                            <w:r w:rsidRPr="00574833">
                              <w:rPr>
                                <w:rFonts w:ascii="Times New Roman" w:hAnsi="Times New Roman" w:cs="Times New Roman"/>
                                <w:color w:val="000000" w:themeColor="dark1"/>
                                <w:kern w:val="24"/>
                              </w:rPr>
                              <w:t>%</w:t>
                            </w:r>
                          </w:p>
                          <w:p w14:paraId="0E8E45A1" w14:textId="77777777" w:rsidR="004A7BDB" w:rsidRPr="00056506" w:rsidRDefault="004A7BDB" w:rsidP="00154189">
                            <w:pPr>
                              <w:pStyle w:val="ListParagraph"/>
                              <w:rPr>
                                <w:rFonts w:ascii="Times New Roman" w:eastAsia="Times New Roman" w:hAnsi="Times New Roman" w:cs="Times New Roman"/>
                                <w:sz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07E720E" id="_x0000_s1027" type="#_x0000_t202" style="position:absolute;left:0;text-align:left;margin-left:331.35pt;margin-top:.7pt;width:138.55pt;height:16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" fillcolor="window" stroked="f" strokeweight="1pt">
                <v:textbox>
                  <w:txbxContent>
                    <w:p w14:paraId="79EC73A4" w14:textId="77777777" w:rsidR="004A7BDB" w:rsidRPr="003649CC" w:rsidRDefault="004A7BDB" w:rsidP="00154189">
                      <w:pPr>
                        <w:pStyle w:val="NormalWeb"/>
                        <w:ind w:firstLine="0"/>
                        <w:jc w:val="left"/>
                        <w:rPr>
                          <w:sz w:val="22"/>
                          <w:szCs w:val="22"/>
                        </w:rPr>
                      </w:pPr>
                      <w:r>
                        <w:rPr>
                          <w:color w:val="000000" w:themeColor="dark1"/>
                          <w:kern w:val="24"/>
                          <w:sz w:val="22"/>
                          <w:szCs w:val="22"/>
                        </w:rPr>
                        <w:t>Nodokļu ieņēmumu samazinājums</w:t>
                      </w:r>
                      <w:r w:rsidRPr="003649CC">
                        <w:rPr>
                          <w:color w:val="000000" w:themeColor="dark1"/>
                          <w:kern w:val="24"/>
                          <w:sz w:val="22"/>
                          <w:szCs w:val="22"/>
                        </w:rPr>
                        <w:t xml:space="preserve"> </w:t>
                      </w:r>
                      <w:r>
                        <w:rPr>
                          <w:color w:val="000000" w:themeColor="dark1"/>
                          <w:kern w:val="24"/>
                          <w:sz w:val="22"/>
                          <w:szCs w:val="22"/>
                        </w:rPr>
                        <w:t xml:space="preserve">salīdzinot ar 2018.g. </w:t>
                      </w:r>
                      <w:r w:rsidRPr="003649CC">
                        <w:rPr>
                          <w:color w:val="000000" w:themeColor="dark1"/>
                          <w:kern w:val="24"/>
                          <w:sz w:val="22"/>
                          <w:szCs w:val="22"/>
                        </w:rPr>
                        <w:t>-</w:t>
                      </w:r>
                    </w:p>
                    <w:p w14:paraId="7F1D6485" w14:textId="77777777" w:rsidR="004A7BDB" w:rsidRPr="009A0DE3" w:rsidRDefault="004A7BDB" w:rsidP="00154189">
                      <w:pPr>
                        <w:pStyle w:val="NormalWeb"/>
                        <w:ind w:firstLine="0"/>
                        <w:rPr>
                          <w:b/>
                          <w:bCs/>
                          <w:color w:val="000000" w:themeColor="dark1"/>
                          <w:kern w:val="24"/>
                          <w:sz w:val="22"/>
                          <w:szCs w:val="22"/>
                        </w:rPr>
                      </w:pPr>
                      <w:r>
                        <w:rPr>
                          <w:b/>
                          <w:bCs/>
                          <w:color w:val="000000" w:themeColor="dark1"/>
                          <w:kern w:val="24"/>
                          <w:sz w:val="22"/>
                          <w:szCs w:val="22"/>
                        </w:rPr>
                        <w:t xml:space="preserve">0,34 </w:t>
                      </w:r>
                      <w:r w:rsidRPr="003649CC">
                        <w:rPr>
                          <w:b/>
                          <w:bCs/>
                          <w:color w:val="000000" w:themeColor="dark1"/>
                          <w:kern w:val="24"/>
                          <w:sz w:val="22"/>
                          <w:szCs w:val="22"/>
                        </w:rPr>
                        <w:t xml:space="preserve">milj. </w:t>
                      </w:r>
                      <w:r w:rsidRPr="00A041DE">
                        <w:rPr>
                          <w:b/>
                          <w:bCs/>
                          <w:i/>
                          <w:color w:val="000000" w:themeColor="dark1"/>
                          <w:kern w:val="24"/>
                          <w:sz w:val="22"/>
                          <w:szCs w:val="22"/>
                        </w:rPr>
                        <w:t>euro</w:t>
                      </w:r>
                      <w:r>
                        <w:rPr>
                          <w:b/>
                          <w:bCs/>
                          <w:iCs/>
                          <w:color w:val="000000" w:themeColor="dark1"/>
                          <w:kern w:val="24"/>
                          <w:sz w:val="22"/>
                          <w:szCs w:val="22"/>
                        </w:rPr>
                        <w:t xml:space="preserve"> </w:t>
                      </w:r>
                      <w:r w:rsidRPr="00852AA6">
                        <w:rPr>
                          <w:b/>
                          <w:bCs/>
                          <w:color w:val="000000" w:themeColor="dark1"/>
                          <w:kern w:val="24"/>
                          <w:sz w:val="22"/>
                          <w:szCs w:val="22"/>
                        </w:rPr>
                        <w:t>jeb</w:t>
                      </w:r>
                      <w:r>
                        <w:rPr>
                          <w:b/>
                          <w:bCs/>
                          <w:color w:val="000000" w:themeColor="dark1"/>
                          <w:kern w:val="24"/>
                          <w:sz w:val="22"/>
                          <w:szCs w:val="22"/>
                        </w:rPr>
                        <w:t xml:space="preserve"> 10,9 </w:t>
                      </w:r>
                      <w:r w:rsidRPr="003649CC">
                        <w:rPr>
                          <w:b/>
                          <w:bCs/>
                          <w:color w:val="000000" w:themeColor="dark1"/>
                          <w:kern w:val="24"/>
                          <w:sz w:val="22"/>
                          <w:szCs w:val="22"/>
                        </w:rPr>
                        <w:t>%</w:t>
                      </w:r>
                    </w:p>
                    <w:p w14:paraId="25A62B98" w14:textId="77777777" w:rsidR="004A7BDB" w:rsidRPr="003649CC" w:rsidRDefault="004A7BDB" w:rsidP="00154189">
                      <w:pPr>
                        <w:pStyle w:val="NormalWeb"/>
                        <w:ind w:firstLine="0"/>
                        <w:rPr>
                          <w:sz w:val="22"/>
                          <w:szCs w:val="22"/>
                        </w:rPr>
                      </w:pPr>
                      <w:r w:rsidRPr="003649CC">
                        <w:rPr>
                          <w:color w:val="000000" w:themeColor="dark1"/>
                          <w:kern w:val="24"/>
                          <w:sz w:val="22"/>
                          <w:szCs w:val="22"/>
                          <w:u w:val="single"/>
                        </w:rPr>
                        <w:t>Salīdzinājumam</w:t>
                      </w:r>
                    </w:p>
                    <w:p w14:paraId="72E321A2" w14:textId="77777777" w:rsidR="004A7BDB" w:rsidRPr="00574833" w:rsidRDefault="004A7BDB" w:rsidP="00154189">
                      <w:pPr>
                        <w:ind w:firstLine="0"/>
                        <w:rPr>
                          <w:rFonts w:ascii="Times New Roman" w:eastAsia="Times New Roman" w:hAnsi="Times New Roman" w:cs="Times New Roman"/>
                        </w:rPr>
                      </w:pPr>
                      <w:r w:rsidRPr="00574833">
                        <w:rPr>
                          <w:rFonts w:ascii="Times New Roman" w:hAnsi="Times New Roman" w:cs="Times New Roman"/>
                          <w:color w:val="000000" w:themeColor="dark1"/>
                          <w:kern w:val="24"/>
                        </w:rPr>
                        <w:t xml:space="preserve">2018.g. </w:t>
                      </w:r>
                      <w:r>
                        <w:rPr>
                          <w:rFonts w:ascii="Times New Roman" w:hAnsi="Times New Roman" w:cs="Times New Roman"/>
                          <w:color w:val="000000" w:themeColor="dark1"/>
                          <w:kern w:val="24"/>
                        </w:rPr>
                        <w:t>attiecībā pret</w:t>
                      </w:r>
                      <w:r w:rsidRPr="00574833">
                        <w:rPr>
                          <w:rFonts w:ascii="Times New Roman" w:hAnsi="Times New Roman" w:cs="Times New Roman"/>
                          <w:color w:val="000000" w:themeColor="dark1"/>
                          <w:kern w:val="24"/>
                        </w:rPr>
                        <w:t xml:space="preserve"> 2017.g. pieaugums par</w:t>
                      </w:r>
                      <w:r>
                        <w:rPr>
                          <w:rFonts w:ascii="Times New Roman" w:eastAsia="Times New Roman" w:hAnsi="Times New Roman" w:cs="Times New Roman"/>
                        </w:rPr>
                        <w:t xml:space="preserve"> </w:t>
                      </w:r>
                      <w:r>
                        <w:rPr>
                          <w:rFonts w:ascii="Times New Roman" w:hAnsi="Times New Roman" w:cs="Times New Roman"/>
                          <w:color w:val="000000" w:themeColor="dark1"/>
                          <w:kern w:val="24"/>
                        </w:rPr>
                        <w:t>28,2 </w:t>
                      </w:r>
                      <w:r w:rsidRPr="00574833">
                        <w:rPr>
                          <w:rFonts w:ascii="Times New Roman" w:hAnsi="Times New Roman" w:cs="Times New Roman"/>
                          <w:color w:val="000000" w:themeColor="dark1"/>
                          <w:kern w:val="24"/>
                        </w:rPr>
                        <w:t>%</w:t>
                      </w:r>
                    </w:p>
                    <w:p w14:paraId="0E8E45A1" w14:textId="77777777" w:rsidR="004A7BDB" w:rsidRPr="00056506" w:rsidRDefault="004A7BDB" w:rsidP="00154189">
                      <w:pPr>
                        <w:pStyle w:val="ListParagraph"/>
                        <w:rPr>
                          <w:rFonts w:ascii="Times New Roman" w:eastAsia="Times New Roman" w:hAnsi="Times New Roman" w:cs="Times New Roman"/>
                          <w:sz w:val="32"/>
                        </w:rPr>
                      </w:pPr>
                    </w:p>
                  </w:txbxContent>
                </v:textbox>
                <w10:wrap anchorx="margin"/>
              </v:shape>
            </w:pict>
          </mc:Fallback>
        </mc:AlternateContent>
      </w:r>
      <w:r w:rsidRPr="00852AA6">
        <w:rPr>
          <w:noProof/>
          <w:lang w:eastAsia="lv-LV"/>
        </w:rPr>
        <w:t xml:space="preserve"> </w:t>
      </w:r>
      <w:r w:rsidR="00A86A8E">
        <w:rPr>
          <w:noProof/>
          <w:lang w:eastAsia="lv-LV"/>
        </w:rPr>
        <w:drawing>
          <wp:inline distT="0" distB="0" distL="0" distR="0" wp14:anchorId="7CFFA6B2" wp14:editId="76AB043B">
            <wp:extent cx="4175184" cy="2113472"/>
            <wp:effectExtent l="0" t="0" r="15875" b="127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160204D" w14:textId="42F2E9AC" w:rsidR="00154189" w:rsidRDefault="00154189" w:rsidP="00154189">
      <w:pPr>
        <w:rPr>
          <w:rFonts w:eastAsia="Calibri"/>
        </w:rPr>
      </w:pPr>
    </w:p>
    <w:p w14:paraId="7BFB3D14" w14:textId="6419BE5B" w:rsidR="00310A6B" w:rsidRDefault="00B37E38" w:rsidP="00B37E38">
      <w:pPr>
        <w:tabs>
          <w:tab w:val="left" w:pos="1130"/>
        </w:tabs>
        <w:rPr>
          <w:rFonts w:eastAsia="Calibri"/>
        </w:rPr>
      </w:pPr>
      <w:r>
        <w:rPr>
          <w:rFonts w:eastAsia="Calibri"/>
        </w:rPr>
        <w:tab/>
      </w:r>
    </w:p>
    <w:p w14:paraId="421FF735" w14:textId="05430B3D" w:rsidR="00310A6B" w:rsidRDefault="00310A6B" w:rsidP="00154189">
      <w:pPr>
        <w:rPr>
          <w:rFonts w:eastAsia="Calibri"/>
        </w:rPr>
      </w:pPr>
    </w:p>
    <w:p w14:paraId="7812E445" w14:textId="77777777" w:rsidR="00310A6B" w:rsidRDefault="00310A6B" w:rsidP="00154189">
      <w:pPr>
        <w:rPr>
          <w:rFonts w:eastAsia="Calibri"/>
        </w:rPr>
      </w:pPr>
    </w:p>
    <w:p w14:paraId="0FC421DC" w14:textId="77777777" w:rsidR="00154189" w:rsidRPr="00033E92" w:rsidRDefault="00154189" w:rsidP="00154189">
      <w:pPr>
        <w:jc w:val="right"/>
        <w:rPr>
          <w:rFonts w:ascii="Times New Roman" w:eastAsia="Calibri" w:hAnsi="Times New Roman" w:cs="Times New Roman"/>
          <w:noProof/>
          <w:lang w:eastAsia="lv-LV"/>
        </w:rPr>
      </w:pPr>
      <w:r>
        <w:rPr>
          <w:rFonts w:ascii="Times New Roman" w:hAnsi="Times New Roman" w:cs="Times New Roman"/>
          <w:i/>
        </w:rPr>
        <w:lastRenderedPageBreak/>
        <w:t>10</w:t>
      </w:r>
      <w:r w:rsidRPr="00033E92">
        <w:rPr>
          <w:rFonts w:ascii="Times New Roman" w:hAnsi="Times New Roman" w:cs="Times New Roman"/>
          <w:i/>
        </w:rPr>
        <w:t>. grafiks</w:t>
      </w:r>
      <w:r w:rsidRPr="00033E92">
        <w:rPr>
          <w:rFonts w:ascii="Times New Roman" w:eastAsia="Calibri" w:hAnsi="Times New Roman" w:cs="Times New Roman"/>
          <w:noProof/>
          <w:lang w:eastAsia="lv-LV"/>
        </w:rPr>
        <w:t xml:space="preserve"> </w:t>
      </w:r>
    </w:p>
    <w:p w14:paraId="7253C05F" w14:textId="77777777" w:rsidR="00154189" w:rsidRDefault="0057595C" w:rsidP="00154189">
      <w:pPr>
        <w:ind w:firstLine="0"/>
        <w:rPr>
          <w:rFonts w:eastAsia="Calibri"/>
        </w:rPr>
      </w:pPr>
      <w:r>
        <w:rPr>
          <w:noProof/>
          <w:lang w:eastAsia="lv-LV"/>
        </w:rPr>
        <w:drawing>
          <wp:inline distT="0" distB="0" distL="0" distR="0" wp14:anchorId="19CE3828" wp14:editId="174D1F97">
            <wp:extent cx="5667375" cy="2329132"/>
            <wp:effectExtent l="0" t="0" r="9525" b="1460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07F958" w14:textId="77777777" w:rsidR="00154189" w:rsidRPr="008E17EC" w:rsidRDefault="00154189" w:rsidP="00154189">
      <w:pPr>
        <w:ind w:firstLine="0"/>
        <w:rPr>
          <w:rFonts w:ascii="Times New Roman" w:eastAsia="Calibri" w:hAnsi="Times New Roman" w:cs="Times New Roman"/>
          <w:i/>
        </w:rPr>
      </w:pPr>
      <w:r w:rsidRPr="008E17EC">
        <w:rPr>
          <w:rFonts w:ascii="Times New Roman" w:eastAsia="Calibri" w:hAnsi="Times New Roman" w:cs="Times New Roman"/>
          <w:i/>
        </w:rPr>
        <w:t>Avots: VID dati</w:t>
      </w:r>
    </w:p>
    <w:p w14:paraId="56F5701F" w14:textId="77777777" w:rsidR="00154189" w:rsidRDefault="00154189" w:rsidP="00154189">
      <w:pPr>
        <w:pStyle w:val="ListParagraph"/>
        <w:ind w:left="0" w:firstLine="567"/>
        <w:rPr>
          <w:rFonts w:ascii="Times New Roman" w:hAnsi="Times New Roman" w:cs="Times New Roman"/>
          <w:b/>
          <w:sz w:val="24"/>
          <w:szCs w:val="24"/>
        </w:rPr>
      </w:pPr>
    </w:p>
    <w:p w14:paraId="20DB3639" w14:textId="77777777" w:rsidR="00154189" w:rsidRDefault="00154189" w:rsidP="00154189">
      <w:pPr>
        <w:pStyle w:val="ListParagraph"/>
        <w:ind w:left="0" w:firstLine="567"/>
        <w:rPr>
          <w:rFonts w:ascii="Times New Roman" w:hAnsi="Times New Roman" w:cs="Times New Roman"/>
          <w:b/>
          <w:sz w:val="24"/>
          <w:szCs w:val="24"/>
        </w:rPr>
      </w:pPr>
    </w:p>
    <w:p w14:paraId="14BBDDD6" w14:textId="77777777" w:rsidR="00154189" w:rsidRPr="0056044C" w:rsidRDefault="00154189" w:rsidP="00154189">
      <w:pPr>
        <w:pStyle w:val="ListParagraph"/>
        <w:ind w:left="0" w:firstLine="567"/>
        <w:rPr>
          <w:rFonts w:ascii="Times New Roman" w:hAnsi="Times New Roman" w:cs="Times New Roman"/>
          <w:b/>
          <w:sz w:val="24"/>
          <w:szCs w:val="24"/>
        </w:rPr>
      </w:pPr>
    </w:p>
    <w:p w14:paraId="063A05E8" w14:textId="77777777" w:rsidR="00154189" w:rsidRPr="00516007" w:rsidRDefault="00154189" w:rsidP="00154189">
      <w:pPr>
        <w:pStyle w:val="BodyTextIndent2"/>
        <w:tabs>
          <w:tab w:val="left" w:pos="709"/>
        </w:tabs>
        <w:ind w:firstLine="0"/>
        <w:jc w:val="right"/>
        <w:rPr>
          <w:rFonts w:eastAsiaTheme="minorHAnsi"/>
          <w:i/>
          <w:sz w:val="24"/>
          <w:szCs w:val="24"/>
          <w:lang w:eastAsia="en-US"/>
        </w:rPr>
      </w:pPr>
      <w:r>
        <w:rPr>
          <w:rFonts w:eastAsiaTheme="minorHAnsi"/>
          <w:i/>
          <w:sz w:val="22"/>
          <w:szCs w:val="22"/>
          <w:lang w:eastAsia="en-US"/>
        </w:rPr>
        <w:t>2</w:t>
      </w:r>
      <w:r w:rsidRPr="00516007">
        <w:rPr>
          <w:rFonts w:eastAsiaTheme="minorHAnsi"/>
          <w:i/>
          <w:sz w:val="24"/>
          <w:szCs w:val="24"/>
          <w:lang w:eastAsia="en-US"/>
        </w:rPr>
        <w:t>.</w:t>
      </w:r>
      <w:r>
        <w:rPr>
          <w:rFonts w:eastAsiaTheme="minorHAnsi"/>
          <w:i/>
          <w:sz w:val="24"/>
          <w:szCs w:val="24"/>
          <w:lang w:eastAsia="en-US"/>
        </w:rPr>
        <w:t xml:space="preserve"> </w:t>
      </w:r>
      <w:r w:rsidRPr="00516007">
        <w:rPr>
          <w:rFonts w:eastAsiaTheme="minorHAnsi"/>
          <w:i/>
          <w:sz w:val="24"/>
          <w:szCs w:val="24"/>
          <w:lang w:eastAsia="en-US"/>
        </w:rPr>
        <w:t>tabula</w:t>
      </w:r>
    </w:p>
    <w:p w14:paraId="7B013A5E" w14:textId="77777777" w:rsidR="00154189" w:rsidRPr="008273DB" w:rsidRDefault="00154189" w:rsidP="00154189">
      <w:pPr>
        <w:pStyle w:val="BodyTextIndent2"/>
        <w:tabs>
          <w:tab w:val="left" w:pos="709"/>
        </w:tabs>
        <w:ind w:firstLine="0"/>
        <w:jc w:val="center"/>
        <w:rPr>
          <w:rFonts w:eastAsiaTheme="minorHAnsi"/>
          <w:b/>
          <w:sz w:val="24"/>
          <w:szCs w:val="24"/>
          <w:lang w:eastAsia="en-US"/>
        </w:rPr>
      </w:pPr>
      <w:r w:rsidRPr="00437CDC">
        <w:rPr>
          <w:rFonts w:eastAsiaTheme="minorHAnsi"/>
          <w:b/>
          <w:sz w:val="24"/>
          <w:szCs w:val="24"/>
          <w:lang w:eastAsia="en-US"/>
        </w:rPr>
        <w:t>Nedeklarēto darba algu ienākumu īpatsvars</w:t>
      </w:r>
      <w:r>
        <w:rPr>
          <w:rFonts w:eastAsiaTheme="minorHAnsi"/>
          <w:b/>
          <w:sz w:val="24"/>
          <w:szCs w:val="24"/>
          <w:lang w:eastAsia="en-US"/>
        </w:rPr>
        <w:t xml:space="preserve"> taksometru pakalpojumu nozarē, procentos</w:t>
      </w:r>
    </w:p>
    <w:tbl>
      <w:tblPr>
        <w:tblStyle w:val="TableGrid"/>
        <w:tblW w:w="0" w:type="auto"/>
        <w:tblLook w:val="04A0" w:firstRow="1" w:lastRow="0" w:firstColumn="1" w:lastColumn="0" w:noHBand="0" w:noVBand="1"/>
      </w:tblPr>
      <w:tblGrid>
        <w:gridCol w:w="1571"/>
        <w:gridCol w:w="1709"/>
        <w:gridCol w:w="1674"/>
        <w:gridCol w:w="1674"/>
        <w:gridCol w:w="1674"/>
      </w:tblGrid>
      <w:tr w:rsidR="00154189" w14:paraId="152AAF45" w14:textId="77777777" w:rsidTr="004932C6">
        <w:tc>
          <w:tcPr>
            <w:tcW w:w="1571" w:type="dxa"/>
            <w:vAlign w:val="center"/>
          </w:tcPr>
          <w:p w14:paraId="792924FA" w14:textId="77777777" w:rsidR="00154189" w:rsidRPr="000A3317" w:rsidRDefault="00154189" w:rsidP="004932C6">
            <w:pPr>
              <w:ind w:firstLine="0"/>
              <w:jc w:val="center"/>
              <w:rPr>
                <w:rFonts w:ascii="Times New Roman" w:hAnsi="Times New Roman" w:cs="Times New Roman"/>
                <w:b/>
                <w:color w:val="000000"/>
                <w:lang w:eastAsia="lv-LV"/>
              </w:rPr>
            </w:pPr>
            <w:r w:rsidRPr="000A3317">
              <w:rPr>
                <w:rFonts w:ascii="Times New Roman" w:hAnsi="Times New Roman" w:cs="Times New Roman"/>
                <w:b/>
                <w:color w:val="000000"/>
                <w:lang w:eastAsia="lv-LV"/>
              </w:rPr>
              <w:t xml:space="preserve">NACE </w:t>
            </w:r>
            <w:r w:rsidRPr="000A3317">
              <w:rPr>
                <w:rFonts w:ascii="Times New Roman" w:hAnsi="Times New Roman" w:cs="Times New Roman"/>
                <w:b/>
                <w:color w:val="000000"/>
                <w:lang w:val="lv-LV" w:eastAsia="lv-LV"/>
              </w:rPr>
              <w:t>kods</w:t>
            </w:r>
          </w:p>
        </w:tc>
        <w:tc>
          <w:tcPr>
            <w:tcW w:w="1709" w:type="dxa"/>
            <w:vAlign w:val="center"/>
          </w:tcPr>
          <w:p w14:paraId="3A7C7C56" w14:textId="77777777" w:rsidR="00154189" w:rsidRDefault="00154189" w:rsidP="004932C6">
            <w:pPr>
              <w:ind w:firstLine="0"/>
              <w:jc w:val="center"/>
              <w:rPr>
                <w:rFonts w:ascii="Times New Roman" w:hAnsi="Times New Roman" w:cs="Times New Roman"/>
                <w:b/>
                <w:color w:val="000000"/>
                <w:lang w:val="lv-LV" w:eastAsia="lv-LV"/>
              </w:rPr>
            </w:pPr>
            <w:r w:rsidRPr="000A3317">
              <w:rPr>
                <w:rFonts w:ascii="Times New Roman" w:hAnsi="Times New Roman" w:cs="Times New Roman"/>
                <w:b/>
                <w:color w:val="000000"/>
                <w:lang w:val="lv-LV" w:eastAsia="lv-LV"/>
              </w:rPr>
              <w:t>NACE</w:t>
            </w:r>
          </w:p>
          <w:p w14:paraId="54BAD046" w14:textId="77777777" w:rsidR="00154189" w:rsidRPr="000A3317" w:rsidRDefault="00154189" w:rsidP="004932C6">
            <w:pPr>
              <w:ind w:firstLine="0"/>
              <w:jc w:val="center"/>
              <w:rPr>
                <w:rFonts w:ascii="Times New Roman" w:hAnsi="Times New Roman" w:cs="Times New Roman"/>
                <w:b/>
                <w:color w:val="000000"/>
                <w:lang w:val="lv-LV" w:eastAsia="lv-LV"/>
              </w:rPr>
            </w:pPr>
            <w:r w:rsidRPr="000A3317">
              <w:rPr>
                <w:rFonts w:ascii="Times New Roman" w:hAnsi="Times New Roman" w:cs="Times New Roman"/>
                <w:b/>
                <w:color w:val="000000"/>
                <w:lang w:val="lv-LV" w:eastAsia="lv-LV"/>
              </w:rPr>
              <w:t>nosaukums</w:t>
            </w:r>
          </w:p>
        </w:tc>
        <w:tc>
          <w:tcPr>
            <w:tcW w:w="1674" w:type="dxa"/>
            <w:vAlign w:val="center"/>
          </w:tcPr>
          <w:p w14:paraId="1DD4EFE3" w14:textId="2BE27464" w:rsidR="00154189" w:rsidRPr="00F128F4" w:rsidRDefault="00BD241D" w:rsidP="004932C6">
            <w:pPr>
              <w:ind w:firstLine="0"/>
              <w:jc w:val="center"/>
              <w:rPr>
                <w:rFonts w:ascii="Times New Roman" w:hAnsi="Times New Roman" w:cs="Times New Roman"/>
                <w:b/>
                <w:color w:val="000000"/>
                <w:lang w:eastAsia="lv-LV"/>
              </w:rPr>
            </w:pPr>
            <w:r>
              <w:rPr>
                <w:rFonts w:ascii="Times New Roman" w:hAnsi="Times New Roman" w:cs="Times New Roman"/>
                <w:b/>
                <w:color w:val="000000"/>
                <w:lang w:eastAsia="lv-LV"/>
              </w:rPr>
              <w:t>2017</w:t>
            </w:r>
            <w:r w:rsidR="00154189" w:rsidRPr="00F128F4">
              <w:rPr>
                <w:rFonts w:ascii="Times New Roman" w:hAnsi="Times New Roman" w:cs="Times New Roman"/>
                <w:b/>
                <w:color w:val="000000"/>
                <w:lang w:eastAsia="lv-LV"/>
              </w:rPr>
              <w:t>.</w:t>
            </w:r>
            <w:r w:rsidR="00154189">
              <w:rPr>
                <w:rFonts w:ascii="Times New Roman" w:hAnsi="Times New Roman" w:cs="Times New Roman"/>
                <w:b/>
                <w:color w:val="000000"/>
                <w:lang w:eastAsia="lv-LV"/>
              </w:rPr>
              <w:t> </w:t>
            </w:r>
            <w:r w:rsidR="00154189" w:rsidRPr="00F128F4">
              <w:rPr>
                <w:rFonts w:ascii="Times New Roman" w:hAnsi="Times New Roman" w:cs="Times New Roman"/>
                <w:b/>
                <w:color w:val="000000"/>
                <w:lang w:eastAsia="lv-LV"/>
              </w:rPr>
              <w:t>gads</w:t>
            </w:r>
          </w:p>
        </w:tc>
        <w:tc>
          <w:tcPr>
            <w:tcW w:w="1674" w:type="dxa"/>
            <w:vAlign w:val="center"/>
          </w:tcPr>
          <w:p w14:paraId="0D03A4DF" w14:textId="392E7EAF" w:rsidR="00154189" w:rsidRPr="000A3317" w:rsidRDefault="00BD241D" w:rsidP="004932C6">
            <w:pPr>
              <w:ind w:firstLine="0"/>
              <w:jc w:val="center"/>
              <w:rPr>
                <w:rFonts w:ascii="Times New Roman" w:hAnsi="Times New Roman" w:cs="Times New Roman"/>
                <w:b/>
                <w:color w:val="000000"/>
                <w:lang w:eastAsia="lv-LV"/>
              </w:rPr>
            </w:pPr>
            <w:r>
              <w:rPr>
                <w:rFonts w:ascii="Times New Roman" w:hAnsi="Times New Roman" w:cs="Times New Roman"/>
                <w:b/>
                <w:color w:val="000000"/>
                <w:lang w:eastAsia="lv-LV"/>
              </w:rPr>
              <w:t>2018</w:t>
            </w:r>
            <w:r w:rsidR="00154189">
              <w:rPr>
                <w:rFonts w:ascii="Times New Roman" w:hAnsi="Times New Roman" w:cs="Times New Roman"/>
                <w:b/>
                <w:color w:val="000000"/>
                <w:lang w:eastAsia="lv-LV"/>
              </w:rPr>
              <w:t>. gads</w:t>
            </w:r>
          </w:p>
        </w:tc>
        <w:tc>
          <w:tcPr>
            <w:tcW w:w="1674" w:type="dxa"/>
            <w:vAlign w:val="center"/>
          </w:tcPr>
          <w:p w14:paraId="5FD8A479" w14:textId="0E772668" w:rsidR="00154189" w:rsidRPr="000A3317" w:rsidRDefault="00154189" w:rsidP="004932C6">
            <w:pPr>
              <w:ind w:firstLine="0"/>
              <w:jc w:val="center"/>
              <w:rPr>
                <w:rFonts w:ascii="Times New Roman" w:hAnsi="Times New Roman" w:cs="Times New Roman"/>
                <w:b/>
                <w:bCs/>
                <w:color w:val="000000"/>
                <w:lang w:eastAsia="lv-LV"/>
              </w:rPr>
            </w:pPr>
            <w:r w:rsidRPr="000A3317">
              <w:rPr>
                <w:rFonts w:ascii="Times New Roman" w:hAnsi="Times New Roman" w:cs="Times New Roman"/>
                <w:b/>
                <w:bCs/>
                <w:color w:val="000000"/>
                <w:lang w:eastAsia="lv-LV"/>
              </w:rPr>
              <w:t>201</w:t>
            </w:r>
            <w:r w:rsidR="00BD241D">
              <w:rPr>
                <w:rFonts w:ascii="Times New Roman" w:hAnsi="Times New Roman" w:cs="Times New Roman"/>
                <w:b/>
                <w:bCs/>
                <w:color w:val="000000"/>
                <w:lang w:eastAsia="lv-LV"/>
              </w:rPr>
              <w:t>9</w:t>
            </w:r>
            <w:r w:rsidRPr="000A3317">
              <w:rPr>
                <w:rFonts w:ascii="Times New Roman" w:hAnsi="Times New Roman" w:cs="Times New Roman"/>
                <w:b/>
                <w:bCs/>
                <w:color w:val="000000"/>
                <w:lang w:eastAsia="lv-LV"/>
              </w:rPr>
              <w:t>.</w:t>
            </w:r>
            <w:r>
              <w:rPr>
                <w:rFonts w:ascii="Times New Roman" w:hAnsi="Times New Roman" w:cs="Times New Roman"/>
                <w:b/>
                <w:bCs/>
                <w:color w:val="000000"/>
                <w:lang w:eastAsia="lv-LV"/>
              </w:rPr>
              <w:t> </w:t>
            </w:r>
            <w:r w:rsidRPr="000A3317">
              <w:rPr>
                <w:rFonts w:ascii="Times New Roman" w:hAnsi="Times New Roman" w:cs="Times New Roman"/>
                <w:b/>
                <w:bCs/>
                <w:color w:val="000000"/>
                <w:lang w:eastAsia="lv-LV"/>
              </w:rPr>
              <w:t>g</w:t>
            </w:r>
            <w:r>
              <w:rPr>
                <w:rFonts w:ascii="Times New Roman" w:hAnsi="Times New Roman" w:cs="Times New Roman"/>
                <w:b/>
                <w:bCs/>
                <w:color w:val="000000"/>
                <w:lang w:eastAsia="lv-LV"/>
              </w:rPr>
              <w:t>ads</w:t>
            </w:r>
          </w:p>
        </w:tc>
      </w:tr>
      <w:tr w:rsidR="00154189" w14:paraId="5ECC0ABC" w14:textId="77777777" w:rsidTr="004932C6">
        <w:trPr>
          <w:trHeight w:val="487"/>
        </w:trPr>
        <w:tc>
          <w:tcPr>
            <w:tcW w:w="1571" w:type="dxa"/>
            <w:vAlign w:val="center"/>
          </w:tcPr>
          <w:p w14:paraId="2192A077" w14:textId="77777777" w:rsidR="00154189" w:rsidRPr="00B952B5" w:rsidRDefault="00154189" w:rsidP="004932C6">
            <w:pPr>
              <w:ind w:firstLine="0"/>
              <w:rPr>
                <w:rFonts w:ascii="Times New Roman" w:hAnsi="Times New Roman" w:cs="Times New Roman"/>
                <w:color w:val="000000"/>
                <w:lang w:eastAsia="lv-LV"/>
              </w:rPr>
            </w:pPr>
            <w:r w:rsidRPr="00B952B5">
              <w:rPr>
                <w:rFonts w:ascii="Times New Roman" w:hAnsi="Times New Roman" w:cs="Times New Roman"/>
                <w:color w:val="000000"/>
                <w:lang w:eastAsia="lv-LV"/>
              </w:rPr>
              <w:t>4932</w:t>
            </w:r>
          </w:p>
        </w:tc>
        <w:tc>
          <w:tcPr>
            <w:tcW w:w="1709" w:type="dxa"/>
            <w:vAlign w:val="center"/>
          </w:tcPr>
          <w:p w14:paraId="1122CA21" w14:textId="77777777" w:rsidR="00154189" w:rsidRDefault="00154189" w:rsidP="004932C6">
            <w:pPr>
              <w:ind w:firstLine="0"/>
              <w:rPr>
                <w:rFonts w:ascii="Times New Roman" w:hAnsi="Times New Roman" w:cs="Times New Roman"/>
                <w:color w:val="000000"/>
                <w:lang w:val="lv-LV"/>
              </w:rPr>
            </w:pPr>
            <w:r w:rsidRPr="00BD46B2">
              <w:rPr>
                <w:rFonts w:ascii="Times New Roman" w:hAnsi="Times New Roman" w:cs="Times New Roman"/>
                <w:color w:val="000000"/>
                <w:lang w:val="lv-LV"/>
              </w:rPr>
              <w:t>Taksometru pakalpojumi</w:t>
            </w:r>
          </w:p>
          <w:p w14:paraId="7EB0FFBE" w14:textId="77777777" w:rsidR="00154189" w:rsidRPr="00B81D05" w:rsidRDefault="00154189" w:rsidP="004932C6">
            <w:pPr>
              <w:ind w:firstLine="0"/>
              <w:rPr>
                <w:rFonts w:ascii="Times New Roman" w:hAnsi="Times New Roman" w:cs="Times New Roman"/>
                <w:color w:val="000000"/>
                <w:lang w:val="lv-LV"/>
              </w:rPr>
            </w:pPr>
          </w:p>
        </w:tc>
        <w:tc>
          <w:tcPr>
            <w:tcW w:w="1674" w:type="dxa"/>
            <w:vAlign w:val="bottom"/>
          </w:tcPr>
          <w:p w14:paraId="67501F39" w14:textId="7602EA84" w:rsidR="00154189" w:rsidRPr="003838FD" w:rsidRDefault="00BD241D" w:rsidP="004932C6">
            <w:pPr>
              <w:spacing w:after="240"/>
              <w:ind w:firstLine="0"/>
              <w:jc w:val="center"/>
              <w:rPr>
                <w:rFonts w:ascii="Times New Roman" w:hAnsi="Times New Roman" w:cs="Times New Roman"/>
                <w:color w:val="000000"/>
                <w:lang w:eastAsia="lv-LV"/>
              </w:rPr>
            </w:pPr>
            <w:r w:rsidRPr="003838FD">
              <w:rPr>
                <w:rFonts w:ascii="Times New Roman" w:hAnsi="Times New Roman" w:cs="Times New Roman"/>
                <w:color w:val="000000"/>
                <w:lang w:eastAsia="lv-LV"/>
              </w:rPr>
              <w:t>58</w:t>
            </w:r>
            <w:r w:rsidR="00154189" w:rsidRPr="003838FD">
              <w:rPr>
                <w:rFonts w:ascii="Times New Roman" w:hAnsi="Times New Roman" w:cs="Times New Roman"/>
                <w:color w:val="000000"/>
                <w:lang w:eastAsia="lv-LV"/>
              </w:rPr>
              <w:t>,6</w:t>
            </w:r>
            <w:r w:rsidRPr="003838FD">
              <w:rPr>
                <w:rFonts w:ascii="Times New Roman" w:hAnsi="Times New Roman" w:cs="Times New Roman"/>
                <w:color w:val="000000"/>
                <w:lang w:eastAsia="lv-LV"/>
              </w:rPr>
              <w:t>2</w:t>
            </w:r>
          </w:p>
        </w:tc>
        <w:tc>
          <w:tcPr>
            <w:tcW w:w="1674" w:type="dxa"/>
            <w:vAlign w:val="bottom"/>
          </w:tcPr>
          <w:p w14:paraId="07CAA9A6" w14:textId="0A6C9A81" w:rsidR="00154189" w:rsidRPr="003838FD" w:rsidRDefault="00BD241D" w:rsidP="004932C6">
            <w:pPr>
              <w:spacing w:after="240"/>
              <w:ind w:firstLine="0"/>
              <w:jc w:val="center"/>
              <w:rPr>
                <w:rFonts w:ascii="Times New Roman" w:hAnsi="Times New Roman" w:cs="Times New Roman"/>
                <w:color w:val="000000"/>
                <w:lang w:eastAsia="lv-LV"/>
              </w:rPr>
            </w:pPr>
            <w:r w:rsidRPr="003838FD">
              <w:rPr>
                <w:rFonts w:ascii="Times New Roman" w:hAnsi="Times New Roman" w:cs="Times New Roman"/>
                <w:color w:val="000000"/>
                <w:lang w:eastAsia="lv-LV"/>
              </w:rPr>
              <w:t>63,08</w:t>
            </w:r>
          </w:p>
        </w:tc>
        <w:tc>
          <w:tcPr>
            <w:tcW w:w="1674" w:type="dxa"/>
            <w:vAlign w:val="bottom"/>
          </w:tcPr>
          <w:p w14:paraId="04DAF3EA" w14:textId="64B92117" w:rsidR="00154189" w:rsidRPr="003838FD" w:rsidRDefault="00BD241D" w:rsidP="004932C6">
            <w:pPr>
              <w:spacing w:after="240"/>
              <w:ind w:firstLine="0"/>
              <w:jc w:val="center"/>
              <w:rPr>
                <w:rFonts w:ascii="Times New Roman" w:hAnsi="Times New Roman" w:cs="Times New Roman"/>
                <w:color w:val="000000"/>
                <w:lang w:eastAsia="lv-LV"/>
              </w:rPr>
            </w:pPr>
            <w:r w:rsidRPr="003838FD">
              <w:rPr>
                <w:rFonts w:ascii="Times New Roman" w:hAnsi="Times New Roman" w:cs="Times New Roman"/>
                <w:color w:val="000000"/>
                <w:lang w:eastAsia="lv-LV"/>
              </w:rPr>
              <w:t>60</w:t>
            </w:r>
            <w:r w:rsidR="00154189" w:rsidRPr="003838FD">
              <w:rPr>
                <w:rFonts w:ascii="Times New Roman" w:hAnsi="Times New Roman" w:cs="Times New Roman"/>
                <w:color w:val="000000"/>
                <w:lang w:eastAsia="lv-LV"/>
              </w:rPr>
              <w:t>,</w:t>
            </w:r>
            <w:r w:rsidRPr="003838FD">
              <w:rPr>
                <w:rFonts w:ascii="Times New Roman" w:hAnsi="Times New Roman" w:cs="Times New Roman"/>
                <w:color w:val="000000"/>
                <w:lang w:eastAsia="lv-LV"/>
              </w:rPr>
              <w:t>05</w:t>
            </w:r>
          </w:p>
        </w:tc>
      </w:tr>
    </w:tbl>
    <w:p w14:paraId="54C4A703" w14:textId="77777777" w:rsidR="00154189" w:rsidRPr="008E17EC" w:rsidRDefault="00154189" w:rsidP="00154189">
      <w:pPr>
        <w:ind w:firstLine="0"/>
        <w:rPr>
          <w:rFonts w:ascii="Times New Roman" w:eastAsia="Calibri" w:hAnsi="Times New Roman" w:cs="Times New Roman"/>
          <w:i/>
        </w:rPr>
      </w:pPr>
      <w:r w:rsidRPr="008E17EC">
        <w:rPr>
          <w:rFonts w:ascii="Times New Roman" w:eastAsia="Calibri" w:hAnsi="Times New Roman" w:cs="Times New Roman"/>
          <w:i/>
        </w:rPr>
        <w:t>Avots: VID dati</w:t>
      </w:r>
    </w:p>
    <w:p w14:paraId="1747FA54" w14:textId="77777777" w:rsidR="00154189" w:rsidRDefault="00154189" w:rsidP="00154189">
      <w:pPr>
        <w:ind w:firstLine="0"/>
        <w:rPr>
          <w:rFonts w:ascii="Times New Roman" w:hAnsi="Times New Roman" w:cs="Times New Roman"/>
          <w:sz w:val="24"/>
          <w:szCs w:val="24"/>
        </w:rPr>
      </w:pPr>
    </w:p>
    <w:p w14:paraId="3F5B32FF" w14:textId="77777777" w:rsidR="00154189" w:rsidRDefault="00154189" w:rsidP="00154189">
      <w:pPr>
        <w:pStyle w:val="Heading2"/>
      </w:pPr>
      <w:bookmarkStart w:id="11" w:name="_Toc63687769"/>
      <w:r w:rsidRPr="002F3CBA">
        <w:t>Apsardzes pakalpojumu nozare</w:t>
      </w:r>
      <w:bookmarkEnd w:id="11"/>
    </w:p>
    <w:p w14:paraId="28C0293E" w14:textId="77777777" w:rsidR="0004395B" w:rsidRPr="0004395B" w:rsidRDefault="0004395B" w:rsidP="0004395B">
      <w:pPr>
        <w:pStyle w:val="ListParagraph"/>
        <w:ind w:left="0" w:firstLine="567"/>
        <w:rPr>
          <w:rFonts w:ascii="Times New Roman" w:hAnsi="Times New Roman" w:cs="Times New Roman"/>
          <w:sz w:val="24"/>
          <w:szCs w:val="24"/>
        </w:rPr>
      </w:pPr>
      <w:r w:rsidRPr="0004395B">
        <w:rPr>
          <w:rFonts w:ascii="Times New Roman" w:hAnsi="Times New Roman" w:cs="Times New Roman"/>
          <w:sz w:val="24"/>
          <w:szCs w:val="24"/>
        </w:rPr>
        <w:t xml:space="preserve">Pamatojoties uz Ēnu ekonomikas apkarošanas padomes 2018. gada 28. februāra sēdē </w:t>
      </w:r>
      <w:r w:rsidR="00ED3FDB">
        <w:rPr>
          <w:rFonts w:ascii="Times New Roman" w:hAnsi="Times New Roman" w:cs="Times New Roman"/>
          <w:sz w:val="24"/>
          <w:szCs w:val="24"/>
        </w:rPr>
        <w:t>doto uzdevumu (prot. </w:t>
      </w:r>
      <w:r w:rsidRPr="0004395B">
        <w:rPr>
          <w:rFonts w:ascii="Times New Roman" w:hAnsi="Times New Roman" w:cs="Times New Roman"/>
          <w:sz w:val="24"/>
          <w:szCs w:val="24"/>
        </w:rPr>
        <w:t>Nr.</w:t>
      </w:r>
      <w:r w:rsidR="00ED3FDB">
        <w:rPr>
          <w:rFonts w:ascii="Times New Roman" w:hAnsi="Times New Roman" w:cs="Times New Roman"/>
          <w:sz w:val="24"/>
          <w:szCs w:val="24"/>
        </w:rPr>
        <w:t> 6, </w:t>
      </w:r>
      <w:r w:rsidRPr="0004395B">
        <w:rPr>
          <w:rFonts w:ascii="Times New Roman" w:hAnsi="Times New Roman" w:cs="Times New Roman"/>
          <w:sz w:val="24"/>
          <w:szCs w:val="24"/>
        </w:rPr>
        <w:t>5.</w:t>
      </w:r>
      <w:r w:rsidR="00ED3FDB">
        <w:rPr>
          <w:rFonts w:ascii="Times New Roman" w:hAnsi="Times New Roman" w:cs="Times New Roman"/>
          <w:sz w:val="24"/>
          <w:szCs w:val="24"/>
        </w:rPr>
        <w:t> </w:t>
      </w:r>
      <w:r w:rsidRPr="0004395B">
        <w:rPr>
          <w:rFonts w:ascii="Times New Roman" w:hAnsi="Times New Roman" w:cs="Times New Roman"/>
          <w:sz w:val="24"/>
          <w:szCs w:val="24"/>
        </w:rPr>
        <w:t>punkts), izstrādāts likumprojekts “Grozījumi Apsardzes darbības likumā” (likumprojekts tiek skatīts 13. Saeimā), kura mērķis ir palielināt Valsts policijas un citu apsardzes darbību kontrolējošo institūciju iespējas kontroles pasākumu veikšanā, likumpārkāpumu savlaicīgā identificēšanā un atklāšanā, kā arī ēnu ekonomikas īpatsvara mazināšanā apsardzes nozarē. Ar likumprojektu paredzēts ieviest Apsardzes darbības reģistru, vienlaikus mainot apsardzes komersantu reģistrācijas kārtību.</w:t>
      </w:r>
    </w:p>
    <w:p w14:paraId="6EFB09BC" w14:textId="77777777" w:rsidR="0004395B" w:rsidRPr="0004395B" w:rsidRDefault="0004395B" w:rsidP="0004395B">
      <w:pPr>
        <w:pStyle w:val="ListParagraph"/>
        <w:ind w:left="0" w:firstLine="567"/>
        <w:rPr>
          <w:rFonts w:ascii="Times New Roman" w:eastAsia="Calibri" w:hAnsi="Times New Roman" w:cs="Times New Roman"/>
          <w:sz w:val="28"/>
          <w:szCs w:val="28"/>
        </w:rPr>
      </w:pPr>
      <w:r w:rsidRPr="0004395B">
        <w:rPr>
          <w:rFonts w:ascii="Times New Roman" w:hAnsi="Times New Roman" w:cs="Times New Roman"/>
          <w:sz w:val="24"/>
          <w:szCs w:val="24"/>
        </w:rPr>
        <w:t>Likumprojekts paredz, ka, reģistrējot apsardzes komersantu un iekšējās drošības dienestu Apsardzes darbības reģistrā, apsardzes komersantam vairs netiek izsniegta speciālā atļauja (licence) un attiecīgi iekšējās drošības dienestam – reģistrācijas apliecība. Komersanta iekļaušana Apsardzes darbības reģistrā vienlaikus ir arī atļaujas izsniegšana apsardzes pakalpojumu sniegšanai.  Tādējādi tiks mazināts administratīvais slogs apsardzes komersantam un organizācijai, kas izveidojusi iekšējās drošības dienestu, lai uzsāktu attiecīgo pakalpojumu sniegšanu. Likumprojekts noteic, ka apsardzes komersants sniedz tikai tāda veida apsardzes pakalpojumus, kādi tam norādīti Apsardzes darbības reģistrā</w:t>
      </w:r>
      <w:r w:rsidRPr="0004395B">
        <w:rPr>
          <w:rFonts w:ascii="Times New Roman" w:eastAsia="Calibri" w:hAnsi="Times New Roman" w:cs="Times New Roman"/>
          <w:sz w:val="28"/>
          <w:szCs w:val="28"/>
        </w:rPr>
        <w:t xml:space="preserve">. </w:t>
      </w:r>
    </w:p>
    <w:p w14:paraId="2FB165D0" w14:textId="77777777" w:rsidR="0004395B" w:rsidRPr="0004395B" w:rsidRDefault="0004395B" w:rsidP="0004395B">
      <w:pPr>
        <w:pStyle w:val="ListParagraph"/>
        <w:ind w:left="0" w:firstLine="567"/>
        <w:rPr>
          <w:rFonts w:ascii="Times New Roman" w:hAnsi="Times New Roman" w:cs="Times New Roman"/>
          <w:sz w:val="24"/>
          <w:szCs w:val="24"/>
        </w:rPr>
      </w:pPr>
      <w:r w:rsidRPr="0004395B">
        <w:rPr>
          <w:rFonts w:ascii="Times New Roman" w:hAnsi="Times New Roman" w:cs="Times New Roman"/>
          <w:sz w:val="24"/>
          <w:szCs w:val="24"/>
        </w:rPr>
        <w:t xml:space="preserve">Apsardzes darbības reģistrā tiks iekļautas ziņas par apsardzes komersantiem un tiem atļautajiem apsardzes pakalpojumu veidiem, pārrobežu skaidras naudas pārvadājumu atļaujām, </w:t>
      </w:r>
      <w:r w:rsidRPr="0004395B">
        <w:rPr>
          <w:rFonts w:ascii="Times New Roman" w:hAnsi="Times New Roman" w:cs="Times New Roman"/>
          <w:sz w:val="24"/>
          <w:szCs w:val="24"/>
        </w:rPr>
        <w:lastRenderedPageBreak/>
        <w:t>iekšējās drošības dienestiem, veicamo apsardzes darbību, izglītības iestādēm, kas īsteno apsardzes sertifikāta saņemšanai vai termiņa apgarināšanai nepieciešamo apmācību, fiziskām personām, kas apgūst apmācību apsardzes sertifikātu saņemšanai vai derīguma termiņa pagarināšanai un fiziskām personām izsniegtajiem apsardzes sertifikātiem.</w:t>
      </w:r>
    </w:p>
    <w:p w14:paraId="439BA16C" w14:textId="77777777" w:rsidR="0004395B" w:rsidRPr="0004395B" w:rsidRDefault="0004395B" w:rsidP="0004395B">
      <w:pPr>
        <w:pStyle w:val="ListParagraph"/>
        <w:ind w:left="0" w:firstLine="567"/>
        <w:rPr>
          <w:rFonts w:ascii="Times New Roman" w:hAnsi="Times New Roman" w:cs="Times New Roman"/>
          <w:sz w:val="24"/>
          <w:szCs w:val="24"/>
        </w:rPr>
      </w:pPr>
      <w:r w:rsidRPr="0004395B">
        <w:rPr>
          <w:rFonts w:ascii="Times New Roman" w:hAnsi="Times New Roman" w:cs="Times New Roman"/>
          <w:sz w:val="24"/>
          <w:szCs w:val="24"/>
        </w:rPr>
        <w:tab/>
        <w:t>Saistībā ar Apsardzes darbības reģistra ieviešanu paredzēts izveidot elektronisko pakalpojumu “Reģistrētie apsardzes komersanti”, kurā jebkura persona varēs pārliecināties par:</w:t>
      </w:r>
    </w:p>
    <w:p w14:paraId="448C834D" w14:textId="77777777" w:rsidR="0004395B" w:rsidRPr="0004395B" w:rsidRDefault="0004395B" w:rsidP="0004395B">
      <w:pPr>
        <w:pStyle w:val="ListParagraph"/>
        <w:numPr>
          <w:ilvl w:val="0"/>
          <w:numId w:val="7"/>
        </w:numPr>
        <w:rPr>
          <w:rFonts w:ascii="Times New Roman" w:hAnsi="Times New Roman" w:cs="Times New Roman"/>
          <w:sz w:val="24"/>
          <w:szCs w:val="24"/>
        </w:rPr>
      </w:pPr>
      <w:r w:rsidRPr="0004395B">
        <w:rPr>
          <w:rFonts w:ascii="Times New Roman" w:hAnsi="Times New Roman" w:cs="Times New Roman"/>
          <w:sz w:val="24"/>
          <w:szCs w:val="24"/>
        </w:rPr>
        <w:t>komersanta reģistrāciju apsardzes darbības veikšanai;</w:t>
      </w:r>
    </w:p>
    <w:p w14:paraId="5D95FD5C" w14:textId="77777777" w:rsidR="0004395B" w:rsidRPr="0004395B" w:rsidRDefault="0004395B" w:rsidP="0004395B">
      <w:pPr>
        <w:pStyle w:val="ListParagraph"/>
        <w:numPr>
          <w:ilvl w:val="0"/>
          <w:numId w:val="7"/>
        </w:numPr>
        <w:rPr>
          <w:rFonts w:ascii="Times New Roman" w:hAnsi="Times New Roman" w:cs="Times New Roman"/>
          <w:sz w:val="24"/>
          <w:szCs w:val="24"/>
        </w:rPr>
      </w:pPr>
      <w:r w:rsidRPr="0004395B">
        <w:rPr>
          <w:rFonts w:ascii="Times New Roman" w:hAnsi="Times New Roman" w:cs="Times New Roman"/>
          <w:sz w:val="24"/>
          <w:szCs w:val="24"/>
        </w:rPr>
        <w:t>komersanta izslēgšanu no Apsardzes darbības reģistra;</w:t>
      </w:r>
    </w:p>
    <w:p w14:paraId="5E258AD6" w14:textId="77777777" w:rsidR="0004395B" w:rsidRPr="0004395B" w:rsidRDefault="0004395B" w:rsidP="0004395B">
      <w:pPr>
        <w:pStyle w:val="ListParagraph"/>
        <w:numPr>
          <w:ilvl w:val="0"/>
          <w:numId w:val="7"/>
        </w:numPr>
        <w:rPr>
          <w:rFonts w:ascii="Times New Roman" w:hAnsi="Times New Roman" w:cs="Times New Roman"/>
          <w:sz w:val="24"/>
          <w:szCs w:val="24"/>
        </w:rPr>
      </w:pPr>
      <w:r w:rsidRPr="0004395B">
        <w:rPr>
          <w:rFonts w:ascii="Times New Roman" w:hAnsi="Times New Roman" w:cs="Times New Roman"/>
          <w:sz w:val="24"/>
          <w:szCs w:val="24"/>
        </w:rPr>
        <w:t>reģistrētā apsardzes komersanta nosaukumu;</w:t>
      </w:r>
    </w:p>
    <w:p w14:paraId="614C1A78" w14:textId="77777777" w:rsidR="0004395B" w:rsidRPr="0004395B" w:rsidRDefault="0004395B" w:rsidP="0004395B">
      <w:pPr>
        <w:pStyle w:val="ListParagraph"/>
        <w:numPr>
          <w:ilvl w:val="0"/>
          <w:numId w:val="7"/>
        </w:numPr>
        <w:rPr>
          <w:rFonts w:ascii="Times New Roman" w:hAnsi="Times New Roman" w:cs="Times New Roman"/>
          <w:sz w:val="24"/>
          <w:szCs w:val="24"/>
        </w:rPr>
      </w:pPr>
      <w:r w:rsidRPr="0004395B">
        <w:rPr>
          <w:rFonts w:ascii="Times New Roman" w:hAnsi="Times New Roman" w:cs="Times New Roman"/>
          <w:sz w:val="24"/>
          <w:szCs w:val="24"/>
        </w:rPr>
        <w:t>Uzņēmumu reģistrā piešķirto reģistrācijas numuru;</w:t>
      </w:r>
    </w:p>
    <w:p w14:paraId="3FA0488F" w14:textId="77777777" w:rsidR="0004395B" w:rsidRPr="0004395B" w:rsidRDefault="0004395B" w:rsidP="0004395B">
      <w:pPr>
        <w:pStyle w:val="ListParagraph"/>
        <w:numPr>
          <w:ilvl w:val="0"/>
          <w:numId w:val="7"/>
        </w:numPr>
        <w:rPr>
          <w:rFonts w:ascii="Times New Roman" w:hAnsi="Times New Roman" w:cs="Times New Roman"/>
          <w:sz w:val="24"/>
          <w:szCs w:val="24"/>
        </w:rPr>
      </w:pPr>
      <w:r w:rsidRPr="0004395B">
        <w:rPr>
          <w:rFonts w:ascii="Times New Roman" w:hAnsi="Times New Roman" w:cs="Times New Roman"/>
          <w:sz w:val="24"/>
          <w:szCs w:val="24"/>
        </w:rPr>
        <w:t>civiltiesiskās atbildības apdrošināšanas polisi;</w:t>
      </w:r>
    </w:p>
    <w:p w14:paraId="030C5D0F" w14:textId="77777777" w:rsidR="0004395B" w:rsidRPr="0004395B" w:rsidRDefault="0004395B" w:rsidP="0004395B">
      <w:pPr>
        <w:pStyle w:val="ListParagraph"/>
        <w:numPr>
          <w:ilvl w:val="0"/>
          <w:numId w:val="7"/>
        </w:numPr>
        <w:rPr>
          <w:rFonts w:ascii="Times New Roman" w:hAnsi="Times New Roman" w:cs="Times New Roman"/>
          <w:sz w:val="24"/>
          <w:szCs w:val="24"/>
        </w:rPr>
      </w:pPr>
      <w:r w:rsidRPr="0004395B">
        <w:rPr>
          <w:rFonts w:ascii="Times New Roman" w:hAnsi="Times New Roman" w:cs="Times New Roman"/>
          <w:sz w:val="24"/>
          <w:szCs w:val="24"/>
        </w:rPr>
        <w:t>komersanta kontaktinformāciju;</w:t>
      </w:r>
    </w:p>
    <w:p w14:paraId="0C5ACA64" w14:textId="77777777" w:rsidR="0004395B" w:rsidRPr="0004395B" w:rsidRDefault="0004395B" w:rsidP="0004395B">
      <w:pPr>
        <w:pStyle w:val="ListParagraph"/>
        <w:numPr>
          <w:ilvl w:val="0"/>
          <w:numId w:val="7"/>
        </w:numPr>
        <w:rPr>
          <w:rFonts w:ascii="Times New Roman" w:hAnsi="Times New Roman" w:cs="Times New Roman"/>
          <w:sz w:val="24"/>
          <w:szCs w:val="24"/>
        </w:rPr>
      </w:pPr>
      <w:r w:rsidRPr="0004395B">
        <w:rPr>
          <w:rFonts w:ascii="Times New Roman" w:hAnsi="Times New Roman" w:cs="Times New Roman"/>
          <w:sz w:val="24"/>
          <w:szCs w:val="24"/>
        </w:rPr>
        <w:t>komersanta sniedzamajiem apsardzes pakalpojumiem;</w:t>
      </w:r>
    </w:p>
    <w:p w14:paraId="12130BD1" w14:textId="77777777" w:rsidR="0004395B" w:rsidRPr="0004395B" w:rsidRDefault="0004395B" w:rsidP="0004395B">
      <w:pPr>
        <w:pStyle w:val="ListParagraph"/>
        <w:numPr>
          <w:ilvl w:val="0"/>
          <w:numId w:val="7"/>
        </w:numPr>
        <w:rPr>
          <w:rFonts w:ascii="Times New Roman" w:hAnsi="Times New Roman" w:cs="Times New Roman"/>
          <w:sz w:val="24"/>
          <w:szCs w:val="24"/>
        </w:rPr>
      </w:pPr>
      <w:r w:rsidRPr="0004395B">
        <w:rPr>
          <w:rFonts w:ascii="Times New Roman" w:hAnsi="Times New Roman" w:cs="Times New Roman"/>
          <w:sz w:val="24"/>
          <w:szCs w:val="24"/>
        </w:rPr>
        <w:t>aktuālo informāciju par komersanta darbības rezultātiem (līgumi, darbinieku un operatīvā transporta skaits, finanšu apgrozījums un nomaksātie nodokļi).</w:t>
      </w:r>
    </w:p>
    <w:p w14:paraId="7FB8FED8" w14:textId="77777777" w:rsidR="0004395B" w:rsidRPr="00E328A2" w:rsidRDefault="0004395B" w:rsidP="00154189">
      <w:pPr>
        <w:pStyle w:val="ListParagraph"/>
        <w:ind w:left="0" w:firstLine="567"/>
        <w:rPr>
          <w:rFonts w:ascii="Times New Roman" w:hAnsi="Times New Roman" w:cs="Times New Roman"/>
          <w:b/>
          <w:bCs/>
          <w:sz w:val="24"/>
          <w:szCs w:val="24"/>
        </w:rPr>
      </w:pPr>
      <w:r w:rsidRPr="0004395B">
        <w:rPr>
          <w:rFonts w:ascii="Times New Roman" w:hAnsi="Times New Roman" w:cs="Times New Roman"/>
          <w:sz w:val="24"/>
          <w:szCs w:val="24"/>
        </w:rPr>
        <w:t>Paredzēts, ka likumprojekts “Grozījumi Apsardzes darbības likumā” stāsies spēkā 2022. gada 1. janvārī.</w:t>
      </w:r>
    </w:p>
    <w:p w14:paraId="7715A2AF" w14:textId="77777777" w:rsidR="00601B4B" w:rsidRDefault="00601B4B" w:rsidP="00154189">
      <w:pPr>
        <w:pStyle w:val="ListParagraph"/>
        <w:ind w:left="0" w:firstLine="567"/>
        <w:rPr>
          <w:rFonts w:ascii="Times New Roman" w:hAnsi="Times New Roman" w:cs="Times New Roman"/>
          <w:sz w:val="24"/>
          <w:szCs w:val="24"/>
        </w:rPr>
      </w:pPr>
      <w:r w:rsidRPr="00601B4B">
        <w:rPr>
          <w:rFonts w:ascii="Times New Roman" w:hAnsi="Times New Roman" w:cs="Times New Roman"/>
          <w:sz w:val="24"/>
          <w:szCs w:val="24"/>
        </w:rPr>
        <w:t>Iepirkumu uzraudzības birojs sadarbojas ar nozaru asociācijām, lai pilnveidotu atsevišķu nozaru iepirkumu kvalitāti un sniegtu pasūtītājiem ieteikumus un skaidrojumus, kā novērst būtiskākās problēmas attiecīgo nozaru iepirkumos. Drošības Nozares Kompāniju Asociācija ir izstrādājusi ieteikumus publiskajiem iepirkumiem apsardzes pakalpojumu jomā. Ieteikumos Drošības Nozares Kompāniju Asociācija sniedz priekšlikumus iepirkumu, kuru piedāvājuma izvēles kritērijs ir saimnieciski visizdevīgākais piedāvājums, iepirkuma dokumentācijas sagatavošanā, kā arī rekomendē nosakāmos vērtēšanas kritērijus, kvalifikācijas prasības, tehniskās specifikācijas prasības, prasības finanšu piedāvājumam. Latvijas Drošības biznesa asociācija ir sagatavojusi aprēķinus, kā veidojas apsardzes pakalpojumu cena. Sagatavotās informācijas mērķis – palīdzēt pasūtītājiem izvērtēt piedāvājumu cenas un identificēt nepamatoti lētus piedāvājumus, tādējādi nodrošinot godīgu konkurenci apsardzes pakalpojumu iepirkumos.</w:t>
      </w:r>
    </w:p>
    <w:p w14:paraId="140EFFB3" w14:textId="2E73F033" w:rsidR="00154189" w:rsidRDefault="00154189" w:rsidP="00154189">
      <w:pPr>
        <w:ind w:firstLine="567"/>
        <w:rPr>
          <w:rFonts w:ascii="Times New Roman" w:hAnsi="Times New Roman" w:cs="Times New Roman"/>
          <w:sz w:val="24"/>
          <w:szCs w:val="24"/>
        </w:rPr>
      </w:pPr>
      <w:r w:rsidRPr="003430B9">
        <w:rPr>
          <w:rFonts w:ascii="Times New Roman" w:hAnsi="Times New Roman" w:cs="Times New Roman"/>
          <w:sz w:val="24"/>
          <w:szCs w:val="24"/>
        </w:rPr>
        <w:t>2019.</w:t>
      </w:r>
      <w:r>
        <w:rPr>
          <w:rFonts w:ascii="Times New Roman" w:hAnsi="Times New Roman" w:cs="Times New Roman"/>
          <w:sz w:val="24"/>
          <w:szCs w:val="24"/>
        </w:rPr>
        <w:t> </w:t>
      </w:r>
      <w:r w:rsidRPr="003430B9">
        <w:rPr>
          <w:rFonts w:ascii="Times New Roman" w:hAnsi="Times New Roman" w:cs="Times New Roman"/>
          <w:sz w:val="24"/>
          <w:szCs w:val="24"/>
        </w:rPr>
        <w:t>gad</w:t>
      </w:r>
      <w:r>
        <w:rPr>
          <w:rFonts w:ascii="Times New Roman" w:hAnsi="Times New Roman" w:cs="Times New Roman"/>
          <w:sz w:val="24"/>
          <w:szCs w:val="24"/>
        </w:rPr>
        <w:t xml:space="preserve">ā </w:t>
      </w:r>
      <w:r w:rsidRPr="003430B9">
        <w:rPr>
          <w:rFonts w:ascii="Times New Roman" w:hAnsi="Times New Roman" w:cs="Times New Roman"/>
          <w:sz w:val="24"/>
          <w:szCs w:val="24"/>
        </w:rPr>
        <w:t xml:space="preserve">VID administrētie nodokļu ieņēmumi no apsardzes pakalpojumu nozares pieauga par </w:t>
      </w:r>
      <w:r w:rsidR="00184A3A">
        <w:rPr>
          <w:rFonts w:ascii="Times New Roman" w:hAnsi="Times New Roman" w:cs="Times New Roman"/>
          <w:sz w:val="24"/>
          <w:szCs w:val="24"/>
        </w:rPr>
        <w:t>4</w:t>
      </w:r>
      <w:r w:rsidRPr="003430B9">
        <w:rPr>
          <w:rFonts w:ascii="Times New Roman" w:hAnsi="Times New Roman" w:cs="Times New Roman"/>
          <w:sz w:val="24"/>
          <w:szCs w:val="24"/>
        </w:rPr>
        <w:t xml:space="preserve"> milj. </w:t>
      </w:r>
      <w:r w:rsidRPr="009A09D2">
        <w:rPr>
          <w:rFonts w:ascii="Times New Roman" w:hAnsi="Times New Roman" w:cs="Times New Roman"/>
          <w:i/>
          <w:iCs/>
          <w:sz w:val="24"/>
          <w:szCs w:val="24"/>
        </w:rPr>
        <w:t>euro</w:t>
      </w:r>
      <w:r w:rsidR="00184A3A">
        <w:rPr>
          <w:rFonts w:ascii="Times New Roman" w:hAnsi="Times New Roman" w:cs="Times New Roman"/>
          <w:sz w:val="24"/>
          <w:szCs w:val="24"/>
        </w:rPr>
        <w:t xml:space="preserve"> jeb 6</w:t>
      </w:r>
      <w:r w:rsidRPr="003430B9">
        <w:rPr>
          <w:rFonts w:ascii="Times New Roman" w:hAnsi="Times New Roman" w:cs="Times New Roman"/>
          <w:sz w:val="24"/>
          <w:szCs w:val="24"/>
        </w:rPr>
        <w:t>,</w:t>
      </w:r>
      <w:r w:rsidR="00184A3A">
        <w:rPr>
          <w:rFonts w:ascii="Times New Roman" w:hAnsi="Times New Roman" w:cs="Times New Roman"/>
          <w:sz w:val="24"/>
          <w:szCs w:val="24"/>
        </w:rPr>
        <w:t>2</w:t>
      </w:r>
      <w:r>
        <w:rPr>
          <w:rFonts w:ascii="Times New Roman" w:hAnsi="Times New Roman" w:cs="Times New Roman"/>
          <w:sz w:val="24"/>
          <w:szCs w:val="24"/>
        </w:rPr>
        <w:t> </w:t>
      </w:r>
      <w:r w:rsidRPr="003430B9">
        <w:rPr>
          <w:rFonts w:ascii="Times New Roman" w:hAnsi="Times New Roman" w:cs="Times New Roman"/>
          <w:sz w:val="24"/>
          <w:szCs w:val="24"/>
        </w:rPr>
        <w:t>% salīdzinājumā ar 2018.</w:t>
      </w:r>
      <w:r>
        <w:rPr>
          <w:rFonts w:ascii="Times New Roman" w:hAnsi="Times New Roman" w:cs="Times New Roman"/>
          <w:sz w:val="24"/>
          <w:szCs w:val="24"/>
        </w:rPr>
        <w:t> </w:t>
      </w:r>
      <w:r w:rsidRPr="003430B9">
        <w:rPr>
          <w:rFonts w:ascii="Times New Roman" w:hAnsi="Times New Roman" w:cs="Times New Roman"/>
          <w:sz w:val="24"/>
          <w:szCs w:val="24"/>
        </w:rPr>
        <w:t>gada attiecīgā perioda ieņēmumu apjomu. Straujākais ieņē</w:t>
      </w:r>
      <w:r w:rsidR="00184A3A">
        <w:rPr>
          <w:rFonts w:ascii="Times New Roman" w:hAnsi="Times New Roman" w:cs="Times New Roman"/>
          <w:sz w:val="24"/>
          <w:szCs w:val="24"/>
        </w:rPr>
        <w:t>mumu pieaugums bija vērojams VSAOI</w:t>
      </w:r>
      <w:r w:rsidRPr="003430B9">
        <w:rPr>
          <w:rFonts w:ascii="Times New Roman" w:hAnsi="Times New Roman" w:cs="Times New Roman"/>
          <w:sz w:val="24"/>
          <w:szCs w:val="24"/>
        </w:rPr>
        <w:t xml:space="preserve"> ieņēmumiem – par 2,</w:t>
      </w:r>
      <w:r w:rsidR="00184A3A">
        <w:rPr>
          <w:rFonts w:ascii="Times New Roman" w:hAnsi="Times New Roman" w:cs="Times New Roman"/>
          <w:sz w:val="24"/>
          <w:szCs w:val="24"/>
        </w:rPr>
        <w:t>11</w:t>
      </w:r>
      <w:r w:rsidRPr="003430B9">
        <w:rPr>
          <w:rFonts w:ascii="Times New Roman" w:hAnsi="Times New Roman" w:cs="Times New Roman"/>
          <w:sz w:val="24"/>
          <w:szCs w:val="24"/>
        </w:rPr>
        <w:t xml:space="preserve"> milj. jeb par </w:t>
      </w:r>
      <w:r w:rsidR="00184A3A">
        <w:rPr>
          <w:rFonts w:ascii="Times New Roman" w:hAnsi="Times New Roman" w:cs="Times New Roman"/>
          <w:sz w:val="24"/>
          <w:szCs w:val="24"/>
        </w:rPr>
        <w:t>8,4</w:t>
      </w:r>
      <w:r>
        <w:rPr>
          <w:rFonts w:ascii="Times New Roman" w:hAnsi="Times New Roman" w:cs="Times New Roman"/>
          <w:sz w:val="24"/>
          <w:szCs w:val="24"/>
        </w:rPr>
        <w:t> </w:t>
      </w:r>
      <w:r w:rsidRPr="003430B9">
        <w:rPr>
          <w:rFonts w:ascii="Times New Roman" w:hAnsi="Times New Roman" w:cs="Times New Roman"/>
          <w:sz w:val="24"/>
          <w:szCs w:val="24"/>
        </w:rPr>
        <w:t>%.</w:t>
      </w:r>
    </w:p>
    <w:p w14:paraId="30D2B1D0" w14:textId="0ABE6BD3" w:rsidR="008C00FF" w:rsidRDefault="008C00FF" w:rsidP="00154189">
      <w:pPr>
        <w:ind w:firstLine="567"/>
        <w:rPr>
          <w:rFonts w:ascii="Times New Roman" w:hAnsi="Times New Roman" w:cs="Times New Roman"/>
          <w:sz w:val="24"/>
          <w:szCs w:val="24"/>
        </w:rPr>
      </w:pPr>
      <w:r w:rsidRPr="003838FD">
        <w:rPr>
          <w:rFonts w:ascii="Times New Roman" w:hAnsi="Times New Roman" w:cs="Times New Roman"/>
          <w:sz w:val="24"/>
          <w:szCs w:val="24"/>
        </w:rPr>
        <w:t xml:space="preserve">Nodokļu ieņēmumi apsardzes pakalpojumu nozarē 2020. gada 1. pusgadā </w:t>
      </w:r>
      <w:r w:rsidR="00EF730F" w:rsidRPr="003838FD">
        <w:rPr>
          <w:rFonts w:ascii="Times New Roman" w:hAnsi="Times New Roman" w:cs="Times New Roman"/>
          <w:sz w:val="24"/>
          <w:szCs w:val="24"/>
        </w:rPr>
        <w:t>veido</w:t>
      </w:r>
      <w:r w:rsidRPr="003838FD">
        <w:rPr>
          <w:rFonts w:ascii="Times New Roman" w:hAnsi="Times New Roman" w:cs="Times New Roman"/>
          <w:sz w:val="24"/>
          <w:szCs w:val="24"/>
        </w:rPr>
        <w:t xml:space="preserve"> 32,07 milj. </w:t>
      </w:r>
      <w:r w:rsidRPr="003838FD">
        <w:rPr>
          <w:rFonts w:ascii="Times New Roman" w:hAnsi="Times New Roman" w:cs="Times New Roman"/>
          <w:i/>
          <w:sz w:val="24"/>
          <w:szCs w:val="24"/>
        </w:rPr>
        <w:t>euro</w:t>
      </w:r>
      <w:r w:rsidRPr="003838FD">
        <w:rPr>
          <w:rFonts w:ascii="Times New Roman" w:hAnsi="Times New Roman" w:cs="Times New Roman"/>
          <w:sz w:val="24"/>
          <w:szCs w:val="24"/>
        </w:rPr>
        <w:t>.</w:t>
      </w:r>
    </w:p>
    <w:p w14:paraId="7056821F" w14:textId="3B3F3BC7" w:rsidR="008C00FF" w:rsidRDefault="008C00FF" w:rsidP="00154189">
      <w:pPr>
        <w:ind w:firstLine="567"/>
        <w:rPr>
          <w:rFonts w:ascii="Times New Roman" w:hAnsi="Times New Roman" w:cs="Times New Roman"/>
          <w:sz w:val="24"/>
          <w:szCs w:val="24"/>
        </w:rPr>
      </w:pPr>
    </w:p>
    <w:p w14:paraId="03E513CB" w14:textId="261AB2BC" w:rsidR="008C00FF" w:rsidRDefault="008C00FF" w:rsidP="00154189">
      <w:pPr>
        <w:ind w:firstLine="567"/>
        <w:rPr>
          <w:rFonts w:ascii="Times New Roman" w:hAnsi="Times New Roman" w:cs="Times New Roman"/>
          <w:sz w:val="24"/>
          <w:szCs w:val="24"/>
        </w:rPr>
      </w:pPr>
    </w:p>
    <w:p w14:paraId="69478C9E" w14:textId="7AFB73ED" w:rsidR="008C00FF" w:rsidRDefault="008C00FF" w:rsidP="00154189">
      <w:pPr>
        <w:ind w:firstLine="567"/>
        <w:rPr>
          <w:rFonts w:ascii="Times New Roman" w:hAnsi="Times New Roman" w:cs="Times New Roman"/>
          <w:sz w:val="24"/>
          <w:szCs w:val="24"/>
        </w:rPr>
      </w:pPr>
    </w:p>
    <w:p w14:paraId="1B9B3F8A" w14:textId="72F6911A" w:rsidR="00A95D35" w:rsidRDefault="00A95D35" w:rsidP="00154189">
      <w:pPr>
        <w:ind w:firstLine="567"/>
        <w:rPr>
          <w:rFonts w:ascii="Times New Roman" w:hAnsi="Times New Roman" w:cs="Times New Roman"/>
          <w:sz w:val="24"/>
          <w:szCs w:val="24"/>
        </w:rPr>
      </w:pPr>
    </w:p>
    <w:p w14:paraId="7829836F" w14:textId="77777777" w:rsidR="00A95D35" w:rsidRDefault="00A95D35" w:rsidP="00154189">
      <w:pPr>
        <w:ind w:firstLine="567"/>
        <w:rPr>
          <w:rFonts w:ascii="Times New Roman" w:hAnsi="Times New Roman" w:cs="Times New Roman"/>
          <w:sz w:val="24"/>
          <w:szCs w:val="24"/>
        </w:rPr>
      </w:pPr>
    </w:p>
    <w:p w14:paraId="464DD92C" w14:textId="41BEDE38" w:rsidR="008C00FF" w:rsidRDefault="008C00FF" w:rsidP="00154189">
      <w:pPr>
        <w:ind w:firstLine="567"/>
        <w:rPr>
          <w:rFonts w:ascii="Times New Roman" w:hAnsi="Times New Roman" w:cs="Times New Roman"/>
          <w:sz w:val="24"/>
          <w:szCs w:val="24"/>
        </w:rPr>
      </w:pPr>
    </w:p>
    <w:p w14:paraId="525FD605" w14:textId="6725BBCB" w:rsidR="008C00FF" w:rsidRDefault="008C00FF" w:rsidP="00154189">
      <w:pPr>
        <w:ind w:firstLine="567"/>
        <w:rPr>
          <w:rFonts w:ascii="Times New Roman" w:hAnsi="Times New Roman" w:cs="Times New Roman"/>
          <w:sz w:val="24"/>
          <w:szCs w:val="24"/>
        </w:rPr>
      </w:pPr>
    </w:p>
    <w:p w14:paraId="2DA24632" w14:textId="5EDC84A3" w:rsidR="008C00FF" w:rsidRDefault="008C00FF" w:rsidP="00154189">
      <w:pPr>
        <w:ind w:firstLine="567"/>
        <w:rPr>
          <w:rFonts w:ascii="Times New Roman" w:hAnsi="Times New Roman" w:cs="Times New Roman"/>
          <w:sz w:val="24"/>
          <w:szCs w:val="24"/>
        </w:rPr>
      </w:pPr>
    </w:p>
    <w:p w14:paraId="4CD95940" w14:textId="77777777" w:rsidR="008C00FF" w:rsidRDefault="008C00FF" w:rsidP="00154189">
      <w:pPr>
        <w:ind w:firstLine="567"/>
        <w:rPr>
          <w:rFonts w:ascii="Times New Roman" w:hAnsi="Times New Roman" w:cs="Times New Roman"/>
          <w:sz w:val="24"/>
          <w:szCs w:val="24"/>
        </w:rPr>
      </w:pPr>
    </w:p>
    <w:p w14:paraId="1E742DB4" w14:textId="77777777" w:rsidR="00154189" w:rsidRPr="00F863E8" w:rsidRDefault="00154189" w:rsidP="00154189">
      <w:pPr>
        <w:jc w:val="right"/>
        <w:rPr>
          <w:rFonts w:ascii="Times New Roman" w:eastAsia="Calibri" w:hAnsi="Times New Roman" w:cs="Times New Roman"/>
        </w:rPr>
      </w:pPr>
      <w:r w:rsidRPr="00737F88">
        <w:rPr>
          <w:rFonts w:ascii="Times New Roman" w:hAnsi="Times New Roman" w:cs="Times New Roman"/>
          <w:i/>
        </w:rPr>
        <w:lastRenderedPageBreak/>
        <w:t>1</w:t>
      </w:r>
      <w:r>
        <w:rPr>
          <w:rFonts w:ascii="Times New Roman" w:hAnsi="Times New Roman" w:cs="Times New Roman"/>
          <w:i/>
        </w:rPr>
        <w:t>1</w:t>
      </w:r>
      <w:r w:rsidRPr="00737F88">
        <w:rPr>
          <w:rFonts w:ascii="Times New Roman" w:hAnsi="Times New Roman" w:cs="Times New Roman"/>
          <w:i/>
        </w:rPr>
        <w:t>. grafiks</w:t>
      </w:r>
    </w:p>
    <w:p w14:paraId="6A0A044A" w14:textId="77777777" w:rsidR="00154189" w:rsidRDefault="00EA6B52" w:rsidP="00154189">
      <w:pPr>
        <w:ind w:firstLine="0"/>
        <w:rPr>
          <w:rFonts w:eastAsia="Calibri"/>
        </w:rPr>
      </w:pPr>
      <w:r w:rsidRPr="003649CC">
        <w:rPr>
          <w:noProof/>
          <w:lang w:eastAsia="lv-LV"/>
        </w:rPr>
        <mc:AlternateContent>
          <mc:Choice Requires="wps">
            <w:drawing>
              <wp:anchor distT="0" distB="0" distL="114300" distR="114300" simplePos="0" relativeHeight="251662336" behindDoc="0" locked="0" layoutInCell="1" allowOverlap="1" wp14:anchorId="04C19B28" wp14:editId="126A02F5">
                <wp:simplePos x="0" y="0"/>
                <wp:positionH relativeFrom="margin">
                  <wp:posOffset>4561540</wp:posOffset>
                </wp:positionH>
                <wp:positionV relativeFrom="paragraph">
                  <wp:posOffset>11214</wp:posOffset>
                </wp:positionV>
                <wp:extent cx="1461135" cy="1975114"/>
                <wp:effectExtent l="0" t="0" r="5715" b="6350"/>
                <wp:wrapNone/>
                <wp:docPr id="11" name="TextBox 9"/>
                <wp:cNvGraphicFramePr/>
                <a:graphic xmlns:a="http://schemas.openxmlformats.org/drawingml/2006/main">
                  <a:graphicData uri="http://schemas.microsoft.com/office/word/2010/wordprocessingShape">
                    <wps:wsp>
                      <wps:cNvSpPr txBox="1"/>
                      <wps:spPr>
                        <a:xfrm>
                          <a:off x="0" y="0"/>
                          <a:ext cx="1461135" cy="1975114"/>
                        </a:xfrm>
                        <a:prstGeom prst="rect">
                          <a:avLst/>
                        </a:prstGeom>
                        <a:solidFill>
                          <a:sysClr val="window" lastClr="FFFFFF"/>
                        </a:solidFill>
                        <a:ln w="12700" cap="flat" cmpd="sng" algn="ctr">
                          <a:noFill/>
                          <a:prstDash val="solid"/>
                          <a:miter lim="800000"/>
                        </a:ln>
                        <a:effectLst/>
                      </wps:spPr>
                      <wps:txbx>
                        <w:txbxContent>
                          <w:p w14:paraId="63FF0191" w14:textId="77777777" w:rsidR="004A7BDB" w:rsidRPr="003649CC" w:rsidRDefault="004A7BDB" w:rsidP="00154189">
                            <w:pPr>
                              <w:pStyle w:val="NormalWeb"/>
                              <w:ind w:firstLine="0"/>
                              <w:jc w:val="left"/>
                              <w:rPr>
                                <w:sz w:val="22"/>
                                <w:szCs w:val="22"/>
                              </w:rPr>
                            </w:pPr>
                            <w:r>
                              <w:rPr>
                                <w:color w:val="000000" w:themeColor="dark1"/>
                                <w:kern w:val="24"/>
                                <w:sz w:val="22"/>
                                <w:szCs w:val="22"/>
                              </w:rPr>
                              <w:t>N</w:t>
                            </w:r>
                            <w:r w:rsidRPr="003649CC">
                              <w:rPr>
                                <w:color w:val="000000" w:themeColor="dark1"/>
                                <w:kern w:val="24"/>
                                <w:sz w:val="22"/>
                                <w:szCs w:val="22"/>
                              </w:rPr>
                              <w:t xml:space="preserve">odokļu ieņēmumu pieaugums </w:t>
                            </w:r>
                            <w:r>
                              <w:rPr>
                                <w:color w:val="000000" w:themeColor="dark1"/>
                                <w:kern w:val="24"/>
                                <w:sz w:val="22"/>
                                <w:szCs w:val="22"/>
                              </w:rPr>
                              <w:t>salīdzinot ar 2018.g.</w:t>
                            </w:r>
                            <w:r w:rsidRPr="003649CC">
                              <w:rPr>
                                <w:color w:val="000000" w:themeColor="dark1"/>
                                <w:kern w:val="24"/>
                                <w:sz w:val="22"/>
                                <w:szCs w:val="22"/>
                              </w:rPr>
                              <w:t>-</w:t>
                            </w:r>
                          </w:p>
                          <w:p w14:paraId="48EC1422" w14:textId="77777777" w:rsidR="004A7BDB" w:rsidRPr="003649CC" w:rsidRDefault="004A7BDB" w:rsidP="00154189">
                            <w:pPr>
                              <w:pStyle w:val="NormalWeb"/>
                              <w:ind w:firstLine="0"/>
                              <w:rPr>
                                <w:sz w:val="22"/>
                                <w:szCs w:val="22"/>
                              </w:rPr>
                            </w:pPr>
                            <w:r w:rsidRPr="003649CC">
                              <w:rPr>
                                <w:color w:val="000000" w:themeColor="dark1"/>
                                <w:kern w:val="24"/>
                                <w:sz w:val="22"/>
                                <w:szCs w:val="22"/>
                              </w:rPr>
                              <w:t>+</w:t>
                            </w:r>
                            <w:r>
                              <w:rPr>
                                <w:b/>
                                <w:bCs/>
                                <w:color w:val="000000" w:themeColor="dark1"/>
                                <w:kern w:val="24"/>
                                <w:sz w:val="22"/>
                                <w:szCs w:val="22"/>
                              </w:rPr>
                              <w:t>4</w:t>
                            </w:r>
                            <w:r w:rsidRPr="003649CC">
                              <w:rPr>
                                <w:b/>
                                <w:bCs/>
                                <w:color w:val="000000" w:themeColor="dark1"/>
                                <w:kern w:val="24"/>
                                <w:sz w:val="22"/>
                                <w:szCs w:val="22"/>
                              </w:rPr>
                              <w:t xml:space="preserve"> milj. </w:t>
                            </w:r>
                            <w:r w:rsidRPr="003649CC">
                              <w:rPr>
                                <w:b/>
                                <w:bCs/>
                                <w:i/>
                                <w:iCs/>
                                <w:color w:val="000000" w:themeColor="dark1"/>
                                <w:kern w:val="24"/>
                                <w:sz w:val="22"/>
                                <w:szCs w:val="22"/>
                              </w:rPr>
                              <w:t>euro</w:t>
                            </w:r>
                            <w:r>
                              <w:rPr>
                                <w:b/>
                                <w:bCs/>
                                <w:color w:val="000000" w:themeColor="dark1"/>
                                <w:kern w:val="24"/>
                                <w:sz w:val="22"/>
                                <w:szCs w:val="22"/>
                              </w:rPr>
                              <w:t xml:space="preserve"> jeb 6,2 </w:t>
                            </w:r>
                            <w:r w:rsidRPr="003649CC">
                              <w:rPr>
                                <w:b/>
                                <w:bCs/>
                                <w:color w:val="000000" w:themeColor="dark1"/>
                                <w:kern w:val="24"/>
                                <w:sz w:val="22"/>
                                <w:szCs w:val="22"/>
                              </w:rPr>
                              <w:t>%</w:t>
                            </w:r>
                          </w:p>
                          <w:p w14:paraId="23CD41E2" w14:textId="77777777" w:rsidR="004A7BDB" w:rsidRPr="003649CC" w:rsidRDefault="004A7BDB" w:rsidP="00154189">
                            <w:pPr>
                              <w:pStyle w:val="NormalWeb"/>
                              <w:ind w:firstLine="0"/>
                              <w:rPr>
                                <w:sz w:val="22"/>
                                <w:szCs w:val="22"/>
                              </w:rPr>
                            </w:pPr>
                            <w:r w:rsidRPr="003649CC">
                              <w:rPr>
                                <w:color w:val="000000" w:themeColor="dark1"/>
                                <w:kern w:val="24"/>
                                <w:sz w:val="22"/>
                                <w:szCs w:val="22"/>
                                <w:u w:val="single"/>
                              </w:rPr>
                              <w:t>Salīdzinājumam</w:t>
                            </w:r>
                          </w:p>
                          <w:p w14:paraId="1465334D" w14:textId="77777777" w:rsidR="004A7BDB" w:rsidRPr="00586680" w:rsidRDefault="004A7BDB" w:rsidP="00154189">
                            <w:pPr>
                              <w:spacing w:line="240" w:lineRule="auto"/>
                              <w:ind w:firstLine="0"/>
                              <w:rPr>
                                <w:rFonts w:ascii="Times New Roman" w:eastAsia="Times New Roman" w:hAnsi="Times New Roman" w:cs="Times New Roman"/>
                              </w:rPr>
                            </w:pPr>
                            <w:r w:rsidRPr="00586680">
                              <w:rPr>
                                <w:rFonts w:ascii="Times New Roman" w:hAnsi="Times New Roman" w:cs="Times New Roman"/>
                                <w:color w:val="000000" w:themeColor="dark1"/>
                                <w:kern w:val="24"/>
                              </w:rPr>
                              <w:t>2018.g.</w:t>
                            </w:r>
                            <w:r>
                              <w:rPr>
                                <w:rFonts w:ascii="Times New Roman" w:hAnsi="Times New Roman" w:cs="Times New Roman"/>
                                <w:color w:val="000000" w:themeColor="dark1"/>
                                <w:kern w:val="24"/>
                              </w:rPr>
                              <w:t xml:space="preserve"> attiecībā pret </w:t>
                            </w:r>
                            <w:r w:rsidRPr="00586680">
                              <w:rPr>
                                <w:rFonts w:ascii="Times New Roman" w:hAnsi="Times New Roman" w:cs="Times New Roman"/>
                                <w:color w:val="000000" w:themeColor="dark1"/>
                                <w:kern w:val="24"/>
                              </w:rPr>
                              <w:t>2017.g. pieaugums</w:t>
                            </w:r>
                            <w:r>
                              <w:rPr>
                                <w:rFonts w:ascii="Times New Roman" w:hAnsi="Times New Roman" w:cs="Times New Roman"/>
                                <w:color w:val="000000" w:themeColor="dark1"/>
                                <w:kern w:val="24"/>
                              </w:rPr>
                              <w:t xml:space="preserve"> par 5,7 %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4C19B28" id="_x0000_s1028" type="#_x0000_t202" style="position:absolute;left:0;text-align:left;margin-left:359.2pt;margin-top:.9pt;width:115.05pt;height:15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" fillcolor="window" stroked="f" strokeweight="1pt">
                <v:textbox>
                  <w:txbxContent>
                    <w:p w14:paraId="63FF0191" w14:textId="77777777" w:rsidR="004A7BDB" w:rsidRPr="003649CC" w:rsidRDefault="004A7BDB" w:rsidP="00154189">
                      <w:pPr>
                        <w:pStyle w:val="NormalWeb"/>
                        <w:ind w:firstLine="0"/>
                        <w:jc w:val="left"/>
                        <w:rPr>
                          <w:sz w:val="22"/>
                          <w:szCs w:val="22"/>
                        </w:rPr>
                      </w:pPr>
                      <w:r>
                        <w:rPr>
                          <w:color w:val="000000" w:themeColor="dark1"/>
                          <w:kern w:val="24"/>
                          <w:sz w:val="22"/>
                          <w:szCs w:val="22"/>
                        </w:rPr>
                        <w:t>N</w:t>
                      </w:r>
                      <w:r w:rsidRPr="003649CC">
                        <w:rPr>
                          <w:color w:val="000000" w:themeColor="dark1"/>
                          <w:kern w:val="24"/>
                          <w:sz w:val="22"/>
                          <w:szCs w:val="22"/>
                        </w:rPr>
                        <w:t xml:space="preserve">odokļu ieņēmumu pieaugums </w:t>
                      </w:r>
                      <w:r>
                        <w:rPr>
                          <w:color w:val="000000" w:themeColor="dark1"/>
                          <w:kern w:val="24"/>
                          <w:sz w:val="22"/>
                          <w:szCs w:val="22"/>
                        </w:rPr>
                        <w:t>salīdzinot ar 2018.g.</w:t>
                      </w:r>
                      <w:r w:rsidRPr="003649CC">
                        <w:rPr>
                          <w:color w:val="000000" w:themeColor="dark1"/>
                          <w:kern w:val="24"/>
                          <w:sz w:val="22"/>
                          <w:szCs w:val="22"/>
                        </w:rPr>
                        <w:t>-</w:t>
                      </w:r>
                    </w:p>
                    <w:p w14:paraId="48EC1422" w14:textId="77777777" w:rsidR="004A7BDB" w:rsidRPr="003649CC" w:rsidRDefault="004A7BDB" w:rsidP="00154189">
                      <w:pPr>
                        <w:pStyle w:val="NormalWeb"/>
                        <w:ind w:firstLine="0"/>
                        <w:rPr>
                          <w:sz w:val="22"/>
                          <w:szCs w:val="22"/>
                        </w:rPr>
                      </w:pPr>
                      <w:r w:rsidRPr="003649CC">
                        <w:rPr>
                          <w:color w:val="000000" w:themeColor="dark1"/>
                          <w:kern w:val="24"/>
                          <w:sz w:val="22"/>
                          <w:szCs w:val="22"/>
                        </w:rPr>
                        <w:t>+</w:t>
                      </w:r>
                      <w:r>
                        <w:rPr>
                          <w:b/>
                          <w:bCs/>
                          <w:color w:val="000000" w:themeColor="dark1"/>
                          <w:kern w:val="24"/>
                          <w:sz w:val="22"/>
                          <w:szCs w:val="22"/>
                        </w:rPr>
                        <w:t>4</w:t>
                      </w:r>
                      <w:r w:rsidRPr="003649CC">
                        <w:rPr>
                          <w:b/>
                          <w:bCs/>
                          <w:color w:val="000000" w:themeColor="dark1"/>
                          <w:kern w:val="24"/>
                          <w:sz w:val="22"/>
                          <w:szCs w:val="22"/>
                        </w:rPr>
                        <w:t xml:space="preserve"> milj. </w:t>
                      </w:r>
                      <w:r w:rsidRPr="003649CC">
                        <w:rPr>
                          <w:b/>
                          <w:bCs/>
                          <w:i/>
                          <w:iCs/>
                          <w:color w:val="000000" w:themeColor="dark1"/>
                          <w:kern w:val="24"/>
                          <w:sz w:val="22"/>
                          <w:szCs w:val="22"/>
                        </w:rPr>
                        <w:t>euro</w:t>
                      </w:r>
                      <w:r>
                        <w:rPr>
                          <w:b/>
                          <w:bCs/>
                          <w:color w:val="000000" w:themeColor="dark1"/>
                          <w:kern w:val="24"/>
                          <w:sz w:val="22"/>
                          <w:szCs w:val="22"/>
                        </w:rPr>
                        <w:t xml:space="preserve"> jeb 6,2 </w:t>
                      </w:r>
                      <w:r w:rsidRPr="003649CC">
                        <w:rPr>
                          <w:b/>
                          <w:bCs/>
                          <w:color w:val="000000" w:themeColor="dark1"/>
                          <w:kern w:val="24"/>
                          <w:sz w:val="22"/>
                          <w:szCs w:val="22"/>
                        </w:rPr>
                        <w:t>%</w:t>
                      </w:r>
                    </w:p>
                    <w:p w14:paraId="23CD41E2" w14:textId="77777777" w:rsidR="004A7BDB" w:rsidRPr="003649CC" w:rsidRDefault="004A7BDB" w:rsidP="00154189">
                      <w:pPr>
                        <w:pStyle w:val="NormalWeb"/>
                        <w:ind w:firstLine="0"/>
                        <w:rPr>
                          <w:sz w:val="22"/>
                          <w:szCs w:val="22"/>
                        </w:rPr>
                      </w:pPr>
                      <w:r w:rsidRPr="003649CC">
                        <w:rPr>
                          <w:color w:val="000000" w:themeColor="dark1"/>
                          <w:kern w:val="24"/>
                          <w:sz w:val="22"/>
                          <w:szCs w:val="22"/>
                          <w:u w:val="single"/>
                        </w:rPr>
                        <w:t>Salīdzinājumam</w:t>
                      </w:r>
                    </w:p>
                    <w:p w14:paraId="1465334D" w14:textId="77777777" w:rsidR="004A7BDB" w:rsidRPr="00586680" w:rsidRDefault="004A7BDB" w:rsidP="00154189">
                      <w:pPr>
                        <w:spacing w:line="240" w:lineRule="auto"/>
                        <w:ind w:firstLine="0"/>
                        <w:rPr>
                          <w:rFonts w:ascii="Times New Roman" w:eastAsia="Times New Roman" w:hAnsi="Times New Roman" w:cs="Times New Roman"/>
                        </w:rPr>
                      </w:pPr>
                      <w:r w:rsidRPr="00586680">
                        <w:rPr>
                          <w:rFonts w:ascii="Times New Roman" w:hAnsi="Times New Roman" w:cs="Times New Roman"/>
                          <w:color w:val="000000" w:themeColor="dark1"/>
                          <w:kern w:val="24"/>
                        </w:rPr>
                        <w:t>2018.g.</w:t>
                      </w:r>
                      <w:r>
                        <w:rPr>
                          <w:rFonts w:ascii="Times New Roman" w:hAnsi="Times New Roman" w:cs="Times New Roman"/>
                          <w:color w:val="000000" w:themeColor="dark1"/>
                          <w:kern w:val="24"/>
                        </w:rPr>
                        <w:t xml:space="preserve"> attiecībā pret </w:t>
                      </w:r>
                      <w:r w:rsidRPr="00586680">
                        <w:rPr>
                          <w:rFonts w:ascii="Times New Roman" w:hAnsi="Times New Roman" w:cs="Times New Roman"/>
                          <w:color w:val="000000" w:themeColor="dark1"/>
                          <w:kern w:val="24"/>
                        </w:rPr>
                        <w:t>2017.g. pieaugums</w:t>
                      </w:r>
                      <w:r>
                        <w:rPr>
                          <w:rFonts w:ascii="Times New Roman" w:hAnsi="Times New Roman" w:cs="Times New Roman"/>
                          <w:color w:val="000000" w:themeColor="dark1"/>
                          <w:kern w:val="24"/>
                        </w:rPr>
                        <w:t xml:space="preserve"> par 5,7 %</w:t>
                      </w:r>
                    </w:p>
                  </w:txbxContent>
                </v:textbox>
                <w10:wrap anchorx="margin"/>
              </v:shape>
            </w:pict>
          </mc:Fallback>
        </mc:AlternateContent>
      </w:r>
      <w:r w:rsidR="00C26BF1" w:rsidRPr="003649CC">
        <w:rPr>
          <w:noProof/>
          <w:lang w:eastAsia="lv-LV"/>
        </w:rPr>
        <w:t xml:space="preserve"> </w:t>
      </w:r>
      <w:r>
        <w:rPr>
          <w:noProof/>
          <w:lang w:eastAsia="lv-LV"/>
        </w:rPr>
        <w:drawing>
          <wp:inline distT="0" distB="0" distL="0" distR="0" wp14:anchorId="0800380A" wp14:editId="0B72929B">
            <wp:extent cx="4528867" cy="1983746"/>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0064" cy="2019312"/>
                    </a:xfrm>
                    <a:prstGeom prst="rect">
                      <a:avLst/>
                    </a:prstGeom>
                    <a:noFill/>
                  </pic:spPr>
                </pic:pic>
              </a:graphicData>
            </a:graphic>
          </wp:inline>
        </w:drawing>
      </w:r>
    </w:p>
    <w:p w14:paraId="1D538A0A" w14:textId="77777777" w:rsidR="006C5195" w:rsidRPr="00086DAF" w:rsidRDefault="006C5195" w:rsidP="00154189">
      <w:pPr>
        <w:jc w:val="right"/>
        <w:rPr>
          <w:rFonts w:ascii="Times New Roman" w:hAnsi="Times New Roman" w:cs="Times New Roman"/>
        </w:rPr>
      </w:pPr>
    </w:p>
    <w:p w14:paraId="28E35E7A" w14:textId="77777777" w:rsidR="00154189" w:rsidRPr="00E278EE" w:rsidRDefault="00154189" w:rsidP="00154189">
      <w:pPr>
        <w:jc w:val="right"/>
        <w:rPr>
          <w:rFonts w:ascii="Times New Roman" w:hAnsi="Times New Roman" w:cs="Times New Roman"/>
          <w:i/>
        </w:rPr>
      </w:pPr>
      <w:r w:rsidRPr="00E278EE">
        <w:rPr>
          <w:rFonts w:ascii="Times New Roman" w:hAnsi="Times New Roman" w:cs="Times New Roman"/>
          <w:i/>
        </w:rPr>
        <w:t>1</w:t>
      </w:r>
      <w:r>
        <w:rPr>
          <w:rFonts w:ascii="Times New Roman" w:hAnsi="Times New Roman" w:cs="Times New Roman"/>
          <w:i/>
        </w:rPr>
        <w:t>2</w:t>
      </w:r>
      <w:r w:rsidRPr="00E278EE">
        <w:rPr>
          <w:rFonts w:ascii="Times New Roman" w:hAnsi="Times New Roman" w:cs="Times New Roman"/>
          <w:i/>
        </w:rPr>
        <w:t>. grafiks</w:t>
      </w:r>
    </w:p>
    <w:p w14:paraId="35AC34AE" w14:textId="77777777" w:rsidR="00154189" w:rsidRPr="008F3E6F" w:rsidRDefault="00184A3A" w:rsidP="00154189">
      <w:pPr>
        <w:ind w:firstLine="0"/>
        <w:rPr>
          <w:rFonts w:eastAsia="Calibri"/>
        </w:rPr>
      </w:pPr>
      <w:r>
        <w:rPr>
          <w:noProof/>
          <w:lang w:eastAsia="lv-LV"/>
        </w:rPr>
        <w:drawing>
          <wp:inline distT="0" distB="0" distL="0" distR="0" wp14:anchorId="456EF5E9" wp14:editId="4CDCCEED">
            <wp:extent cx="4924425" cy="2428875"/>
            <wp:effectExtent l="0" t="0" r="9525"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A6DC031" w14:textId="77777777" w:rsidR="00154189" w:rsidRPr="00E278EE" w:rsidRDefault="00154189" w:rsidP="00154189">
      <w:pPr>
        <w:ind w:firstLine="0"/>
        <w:rPr>
          <w:rFonts w:ascii="Times New Roman" w:eastAsia="Calibri" w:hAnsi="Times New Roman" w:cs="Times New Roman"/>
          <w:i/>
        </w:rPr>
      </w:pPr>
      <w:r w:rsidRPr="00E278EE">
        <w:rPr>
          <w:rFonts w:ascii="Times New Roman" w:eastAsia="Calibri" w:hAnsi="Times New Roman" w:cs="Times New Roman"/>
          <w:i/>
        </w:rPr>
        <w:t>Avots: VID dati</w:t>
      </w:r>
    </w:p>
    <w:p w14:paraId="4F72EE7E" w14:textId="77777777" w:rsidR="0013778D" w:rsidRDefault="00154189" w:rsidP="00154189">
      <w:pPr>
        <w:pStyle w:val="BodyTextIndent2"/>
        <w:tabs>
          <w:tab w:val="left" w:pos="709"/>
        </w:tabs>
        <w:ind w:firstLine="0"/>
        <w:rPr>
          <w:rFonts w:eastAsia="Calibri"/>
          <w:sz w:val="24"/>
          <w:szCs w:val="24"/>
          <w:lang w:eastAsia="en-US"/>
        </w:rPr>
      </w:pPr>
      <w:r>
        <w:rPr>
          <w:rFonts w:eastAsia="Calibri"/>
          <w:sz w:val="24"/>
          <w:szCs w:val="24"/>
          <w:lang w:eastAsia="en-US"/>
        </w:rPr>
        <w:tab/>
      </w:r>
    </w:p>
    <w:p w14:paraId="073437AF" w14:textId="08683343" w:rsidR="00154189" w:rsidRPr="00FE7640" w:rsidRDefault="0013778D" w:rsidP="00FE7640">
      <w:pPr>
        <w:ind w:firstLine="567"/>
        <w:rPr>
          <w:rFonts w:ascii="Times New Roman" w:hAnsi="Times New Roman" w:cs="Times New Roman"/>
          <w:sz w:val="24"/>
          <w:szCs w:val="24"/>
        </w:rPr>
      </w:pPr>
      <w:r>
        <w:rPr>
          <w:rFonts w:eastAsia="Calibri"/>
          <w:sz w:val="24"/>
          <w:szCs w:val="24"/>
        </w:rPr>
        <w:tab/>
      </w:r>
      <w:r w:rsidR="00154189" w:rsidRPr="00FE7640">
        <w:rPr>
          <w:rFonts w:ascii="Times New Roman" w:hAnsi="Times New Roman" w:cs="Times New Roman"/>
          <w:sz w:val="24"/>
          <w:szCs w:val="24"/>
        </w:rPr>
        <w:t>V</w:t>
      </w:r>
      <w:r w:rsidR="004212BF" w:rsidRPr="00FE7640">
        <w:rPr>
          <w:rFonts w:ascii="Times New Roman" w:hAnsi="Times New Roman" w:cs="Times New Roman"/>
          <w:sz w:val="24"/>
          <w:szCs w:val="24"/>
        </w:rPr>
        <w:t>ID apkopotā informācija par 2019</w:t>
      </w:r>
      <w:r w:rsidR="00154189" w:rsidRPr="00FE7640">
        <w:rPr>
          <w:rFonts w:ascii="Times New Roman" w:hAnsi="Times New Roman" w:cs="Times New Roman"/>
          <w:sz w:val="24"/>
          <w:szCs w:val="24"/>
        </w:rPr>
        <w:t>. gadā nedeklarēto darba algu apjomiem apsardzes jomā liecina, ka nedeklarēto darba algu īpatsvars salīdzinājumā ar iepriekšējo gadu nedaudz samazinās (sk. 3. tabulā).</w:t>
      </w:r>
    </w:p>
    <w:p w14:paraId="7948FB3A" w14:textId="77777777" w:rsidR="00154189" w:rsidRPr="00516007" w:rsidRDefault="00154189" w:rsidP="00154189">
      <w:pPr>
        <w:pStyle w:val="BodyTextIndent2"/>
        <w:tabs>
          <w:tab w:val="left" w:pos="709"/>
        </w:tabs>
        <w:ind w:firstLine="0"/>
        <w:jc w:val="right"/>
        <w:rPr>
          <w:rFonts w:eastAsiaTheme="minorHAnsi"/>
          <w:i/>
          <w:sz w:val="24"/>
          <w:szCs w:val="24"/>
          <w:lang w:eastAsia="en-US"/>
        </w:rPr>
      </w:pPr>
      <w:r>
        <w:rPr>
          <w:rFonts w:eastAsiaTheme="minorHAnsi"/>
          <w:i/>
          <w:sz w:val="24"/>
          <w:szCs w:val="24"/>
          <w:lang w:eastAsia="en-US"/>
        </w:rPr>
        <w:t>3</w:t>
      </w:r>
      <w:r w:rsidRPr="00516007">
        <w:rPr>
          <w:rFonts w:eastAsiaTheme="minorHAnsi"/>
          <w:i/>
          <w:sz w:val="24"/>
          <w:szCs w:val="24"/>
          <w:lang w:eastAsia="en-US"/>
        </w:rPr>
        <w:t>.</w:t>
      </w:r>
      <w:r>
        <w:rPr>
          <w:rFonts w:eastAsiaTheme="minorHAnsi"/>
          <w:i/>
          <w:sz w:val="24"/>
          <w:szCs w:val="24"/>
          <w:lang w:eastAsia="en-US"/>
        </w:rPr>
        <w:t xml:space="preserve"> </w:t>
      </w:r>
      <w:r w:rsidRPr="00516007">
        <w:rPr>
          <w:rFonts w:eastAsiaTheme="minorHAnsi"/>
          <w:i/>
          <w:sz w:val="24"/>
          <w:szCs w:val="24"/>
          <w:lang w:eastAsia="en-US"/>
        </w:rPr>
        <w:t>tabula</w:t>
      </w:r>
    </w:p>
    <w:p w14:paraId="7FDAEB49" w14:textId="77777777" w:rsidR="00154189" w:rsidRDefault="00154189" w:rsidP="00154189">
      <w:pPr>
        <w:pStyle w:val="BodyTextIndent2"/>
        <w:tabs>
          <w:tab w:val="left" w:pos="709"/>
        </w:tabs>
        <w:ind w:firstLine="0"/>
        <w:jc w:val="center"/>
        <w:rPr>
          <w:rFonts w:eastAsiaTheme="minorHAnsi"/>
          <w:b/>
          <w:sz w:val="24"/>
          <w:szCs w:val="24"/>
          <w:lang w:eastAsia="en-US"/>
        </w:rPr>
      </w:pPr>
      <w:r w:rsidRPr="00437CDC">
        <w:rPr>
          <w:rFonts w:eastAsiaTheme="minorHAnsi"/>
          <w:b/>
          <w:sz w:val="24"/>
          <w:szCs w:val="24"/>
          <w:lang w:eastAsia="en-US"/>
        </w:rPr>
        <w:t>Nedeklarēto darba algu ienākumu īpatsvars</w:t>
      </w:r>
      <w:r>
        <w:rPr>
          <w:rFonts w:eastAsiaTheme="minorHAnsi"/>
          <w:b/>
          <w:sz w:val="24"/>
          <w:szCs w:val="24"/>
          <w:lang w:eastAsia="en-US"/>
        </w:rPr>
        <w:t xml:space="preserve"> apsardzes pakalpojumu nozarē, procentos</w:t>
      </w:r>
    </w:p>
    <w:tbl>
      <w:tblPr>
        <w:tblStyle w:val="TableGrid"/>
        <w:tblW w:w="0" w:type="auto"/>
        <w:tblLook w:val="04A0" w:firstRow="1" w:lastRow="0" w:firstColumn="1" w:lastColumn="0" w:noHBand="0" w:noVBand="1"/>
      </w:tblPr>
      <w:tblGrid>
        <w:gridCol w:w="1571"/>
        <w:gridCol w:w="1709"/>
        <w:gridCol w:w="1674"/>
        <w:gridCol w:w="1674"/>
        <w:gridCol w:w="1674"/>
      </w:tblGrid>
      <w:tr w:rsidR="00154189" w14:paraId="0F2182F9" w14:textId="77777777" w:rsidTr="004932C6">
        <w:tc>
          <w:tcPr>
            <w:tcW w:w="1571" w:type="dxa"/>
            <w:vAlign w:val="center"/>
          </w:tcPr>
          <w:p w14:paraId="0C813C3E" w14:textId="77777777" w:rsidR="00154189" w:rsidRPr="00807C6B" w:rsidRDefault="00154189" w:rsidP="004932C6">
            <w:pPr>
              <w:ind w:firstLine="0"/>
              <w:jc w:val="center"/>
              <w:rPr>
                <w:rFonts w:ascii="Times New Roman" w:hAnsi="Times New Roman" w:cs="Times New Roman"/>
                <w:b/>
                <w:color w:val="000000"/>
                <w:lang w:eastAsia="lv-LV"/>
              </w:rPr>
            </w:pPr>
            <w:r w:rsidRPr="00807C6B">
              <w:rPr>
                <w:rFonts w:ascii="Times New Roman" w:hAnsi="Times New Roman" w:cs="Times New Roman"/>
                <w:b/>
                <w:color w:val="000000"/>
                <w:lang w:eastAsia="lv-LV"/>
              </w:rPr>
              <w:t xml:space="preserve">NACE </w:t>
            </w:r>
            <w:r w:rsidRPr="00807C6B">
              <w:rPr>
                <w:rFonts w:ascii="Times New Roman" w:hAnsi="Times New Roman" w:cs="Times New Roman"/>
                <w:b/>
                <w:color w:val="000000"/>
                <w:lang w:val="lv-LV" w:eastAsia="lv-LV"/>
              </w:rPr>
              <w:t>kods</w:t>
            </w:r>
          </w:p>
        </w:tc>
        <w:tc>
          <w:tcPr>
            <w:tcW w:w="1709" w:type="dxa"/>
            <w:vAlign w:val="center"/>
          </w:tcPr>
          <w:p w14:paraId="54F0DF94" w14:textId="77777777" w:rsidR="00154189" w:rsidRPr="00807C6B" w:rsidRDefault="00154189" w:rsidP="004932C6">
            <w:pPr>
              <w:ind w:firstLine="0"/>
              <w:jc w:val="center"/>
              <w:rPr>
                <w:rFonts w:ascii="Times New Roman" w:hAnsi="Times New Roman" w:cs="Times New Roman"/>
                <w:b/>
                <w:color w:val="000000"/>
                <w:lang w:val="lv-LV" w:eastAsia="lv-LV"/>
              </w:rPr>
            </w:pPr>
            <w:r w:rsidRPr="00807C6B">
              <w:rPr>
                <w:rFonts w:ascii="Times New Roman" w:hAnsi="Times New Roman" w:cs="Times New Roman"/>
                <w:b/>
                <w:color w:val="000000"/>
                <w:lang w:val="lv-LV" w:eastAsia="lv-LV"/>
              </w:rPr>
              <w:t>NACE nosaukums</w:t>
            </w:r>
          </w:p>
        </w:tc>
        <w:tc>
          <w:tcPr>
            <w:tcW w:w="1674" w:type="dxa"/>
            <w:vAlign w:val="center"/>
          </w:tcPr>
          <w:p w14:paraId="37BE0E6D" w14:textId="74BA4AA6" w:rsidR="00154189" w:rsidRPr="00807C6B" w:rsidRDefault="00154189" w:rsidP="004932C6">
            <w:pPr>
              <w:ind w:firstLine="0"/>
              <w:jc w:val="center"/>
              <w:rPr>
                <w:rFonts w:ascii="Times New Roman" w:hAnsi="Times New Roman" w:cs="Times New Roman"/>
                <w:b/>
                <w:color w:val="000000"/>
                <w:lang w:eastAsia="lv-LV"/>
              </w:rPr>
            </w:pPr>
            <w:r w:rsidRPr="00807C6B">
              <w:rPr>
                <w:rFonts w:ascii="Times New Roman" w:hAnsi="Times New Roman" w:cs="Times New Roman"/>
                <w:b/>
                <w:color w:val="000000"/>
                <w:lang w:eastAsia="lv-LV"/>
              </w:rPr>
              <w:t>201</w:t>
            </w:r>
            <w:r w:rsidR="00BD241D">
              <w:rPr>
                <w:rFonts w:ascii="Times New Roman" w:hAnsi="Times New Roman" w:cs="Times New Roman"/>
                <w:b/>
                <w:color w:val="000000"/>
                <w:lang w:eastAsia="lv-LV"/>
              </w:rPr>
              <w:t>7</w:t>
            </w:r>
            <w:r w:rsidRPr="00807C6B">
              <w:rPr>
                <w:rFonts w:ascii="Times New Roman" w:hAnsi="Times New Roman" w:cs="Times New Roman"/>
                <w:b/>
                <w:color w:val="000000"/>
                <w:lang w:eastAsia="lv-LV"/>
              </w:rPr>
              <w:t>.</w:t>
            </w:r>
            <w:r>
              <w:rPr>
                <w:rFonts w:ascii="Times New Roman" w:hAnsi="Times New Roman" w:cs="Times New Roman"/>
                <w:b/>
                <w:color w:val="000000"/>
                <w:lang w:eastAsia="lv-LV"/>
              </w:rPr>
              <w:t> </w:t>
            </w:r>
            <w:r w:rsidRPr="00807C6B">
              <w:rPr>
                <w:rFonts w:ascii="Times New Roman" w:hAnsi="Times New Roman" w:cs="Times New Roman"/>
                <w:b/>
                <w:color w:val="000000"/>
                <w:lang w:eastAsia="lv-LV"/>
              </w:rPr>
              <w:t>gads</w:t>
            </w:r>
          </w:p>
        </w:tc>
        <w:tc>
          <w:tcPr>
            <w:tcW w:w="1674" w:type="dxa"/>
            <w:vAlign w:val="center"/>
          </w:tcPr>
          <w:p w14:paraId="113C4763" w14:textId="77AAE724" w:rsidR="00154189" w:rsidRPr="00807C6B" w:rsidRDefault="00154189" w:rsidP="004932C6">
            <w:pPr>
              <w:ind w:firstLine="0"/>
              <w:jc w:val="center"/>
              <w:rPr>
                <w:rFonts w:ascii="Times New Roman" w:hAnsi="Times New Roman" w:cs="Times New Roman"/>
                <w:b/>
                <w:color w:val="000000"/>
                <w:lang w:eastAsia="lv-LV"/>
              </w:rPr>
            </w:pPr>
            <w:r w:rsidRPr="00807C6B">
              <w:rPr>
                <w:rFonts w:ascii="Times New Roman" w:hAnsi="Times New Roman" w:cs="Times New Roman"/>
                <w:b/>
                <w:color w:val="000000"/>
                <w:lang w:eastAsia="lv-LV"/>
              </w:rPr>
              <w:t>2</w:t>
            </w:r>
            <w:r w:rsidR="00BD241D">
              <w:rPr>
                <w:rFonts w:ascii="Times New Roman" w:hAnsi="Times New Roman" w:cs="Times New Roman"/>
                <w:b/>
                <w:color w:val="000000"/>
                <w:lang w:eastAsia="lv-LV"/>
              </w:rPr>
              <w:t>018</w:t>
            </w:r>
            <w:r w:rsidRPr="00807C6B">
              <w:rPr>
                <w:rFonts w:ascii="Times New Roman" w:hAnsi="Times New Roman" w:cs="Times New Roman"/>
                <w:b/>
                <w:color w:val="000000"/>
                <w:lang w:eastAsia="lv-LV"/>
              </w:rPr>
              <w:t>.</w:t>
            </w:r>
            <w:r>
              <w:rPr>
                <w:rFonts w:ascii="Times New Roman" w:hAnsi="Times New Roman" w:cs="Times New Roman"/>
                <w:b/>
                <w:color w:val="000000"/>
                <w:lang w:eastAsia="lv-LV"/>
              </w:rPr>
              <w:t> </w:t>
            </w:r>
            <w:r w:rsidRPr="00807C6B">
              <w:rPr>
                <w:rFonts w:ascii="Times New Roman" w:hAnsi="Times New Roman" w:cs="Times New Roman"/>
                <w:b/>
                <w:color w:val="000000"/>
                <w:lang w:eastAsia="lv-LV"/>
              </w:rPr>
              <w:t>gads</w:t>
            </w:r>
          </w:p>
        </w:tc>
        <w:tc>
          <w:tcPr>
            <w:tcW w:w="1674" w:type="dxa"/>
            <w:vAlign w:val="center"/>
          </w:tcPr>
          <w:p w14:paraId="508B67FF" w14:textId="5C96A2B1" w:rsidR="00154189" w:rsidRPr="00807C6B" w:rsidRDefault="00BD241D" w:rsidP="004932C6">
            <w:pPr>
              <w:ind w:firstLine="0"/>
              <w:jc w:val="center"/>
              <w:rPr>
                <w:rFonts w:ascii="Times New Roman" w:hAnsi="Times New Roman" w:cs="Times New Roman"/>
                <w:b/>
                <w:bCs/>
                <w:color w:val="000000"/>
                <w:lang w:eastAsia="lv-LV"/>
              </w:rPr>
            </w:pPr>
            <w:r>
              <w:rPr>
                <w:rFonts w:ascii="Times New Roman" w:hAnsi="Times New Roman" w:cs="Times New Roman"/>
                <w:b/>
                <w:bCs/>
                <w:color w:val="000000"/>
                <w:lang w:eastAsia="lv-LV"/>
              </w:rPr>
              <w:t>2019</w:t>
            </w:r>
            <w:r w:rsidR="00154189" w:rsidRPr="00807C6B">
              <w:rPr>
                <w:rFonts w:ascii="Times New Roman" w:hAnsi="Times New Roman" w:cs="Times New Roman"/>
                <w:b/>
                <w:bCs/>
                <w:color w:val="000000"/>
                <w:lang w:eastAsia="lv-LV"/>
              </w:rPr>
              <w:t>.</w:t>
            </w:r>
            <w:r w:rsidR="00154189">
              <w:rPr>
                <w:rFonts w:ascii="Times New Roman" w:hAnsi="Times New Roman" w:cs="Times New Roman"/>
                <w:b/>
                <w:bCs/>
                <w:color w:val="000000"/>
                <w:lang w:eastAsia="lv-LV"/>
              </w:rPr>
              <w:t> </w:t>
            </w:r>
            <w:r w:rsidR="00154189" w:rsidRPr="00807C6B">
              <w:rPr>
                <w:rFonts w:ascii="Times New Roman" w:hAnsi="Times New Roman" w:cs="Times New Roman"/>
                <w:b/>
                <w:bCs/>
                <w:color w:val="000000"/>
                <w:lang w:eastAsia="lv-LV"/>
              </w:rPr>
              <w:t>gads</w:t>
            </w:r>
          </w:p>
        </w:tc>
      </w:tr>
      <w:tr w:rsidR="00154189" w14:paraId="05E980BA" w14:textId="77777777" w:rsidTr="004932C6">
        <w:tc>
          <w:tcPr>
            <w:tcW w:w="1571" w:type="dxa"/>
          </w:tcPr>
          <w:p w14:paraId="13AA3C10" w14:textId="77777777" w:rsidR="00154189" w:rsidRPr="009F1F49" w:rsidRDefault="00154189" w:rsidP="004932C6">
            <w:pPr>
              <w:pStyle w:val="BodyTextIndent2"/>
              <w:tabs>
                <w:tab w:val="left" w:pos="709"/>
              </w:tabs>
              <w:ind w:firstLine="0"/>
              <w:jc w:val="center"/>
              <w:rPr>
                <w:rFonts w:eastAsiaTheme="minorHAnsi"/>
                <w:sz w:val="22"/>
                <w:szCs w:val="22"/>
                <w:lang w:eastAsia="en-US"/>
              </w:rPr>
            </w:pPr>
          </w:p>
          <w:p w14:paraId="04CEEEBC" w14:textId="77777777" w:rsidR="00154189" w:rsidRPr="009F1F49" w:rsidRDefault="00154189" w:rsidP="004932C6">
            <w:pPr>
              <w:pStyle w:val="BodyTextIndent2"/>
              <w:tabs>
                <w:tab w:val="left" w:pos="709"/>
              </w:tabs>
              <w:ind w:firstLine="0"/>
              <w:jc w:val="center"/>
              <w:rPr>
                <w:rFonts w:eastAsiaTheme="minorHAnsi"/>
                <w:sz w:val="22"/>
                <w:szCs w:val="22"/>
                <w:lang w:eastAsia="en-US"/>
              </w:rPr>
            </w:pPr>
            <w:r w:rsidRPr="009F1F49">
              <w:rPr>
                <w:rFonts w:eastAsiaTheme="minorHAnsi"/>
                <w:sz w:val="22"/>
                <w:szCs w:val="22"/>
                <w:lang w:eastAsia="en-US"/>
              </w:rPr>
              <w:t>80</w:t>
            </w:r>
          </w:p>
        </w:tc>
        <w:tc>
          <w:tcPr>
            <w:tcW w:w="1709" w:type="dxa"/>
          </w:tcPr>
          <w:p w14:paraId="11A94943" w14:textId="77777777" w:rsidR="00154189" w:rsidRPr="009F1F49" w:rsidRDefault="00154189" w:rsidP="004932C6">
            <w:pPr>
              <w:pStyle w:val="BodyTextIndent2"/>
              <w:tabs>
                <w:tab w:val="left" w:pos="709"/>
              </w:tabs>
              <w:ind w:firstLine="0"/>
              <w:rPr>
                <w:rFonts w:eastAsiaTheme="minorHAnsi"/>
                <w:sz w:val="22"/>
                <w:szCs w:val="22"/>
                <w:lang w:val="lv-LV" w:eastAsia="en-US"/>
              </w:rPr>
            </w:pPr>
            <w:r w:rsidRPr="009F1F49">
              <w:rPr>
                <w:rFonts w:eastAsiaTheme="minorHAnsi"/>
                <w:sz w:val="22"/>
                <w:szCs w:val="22"/>
                <w:lang w:val="lv-LV" w:eastAsia="en-US"/>
              </w:rPr>
              <w:t>Apsardzes pakalpojumi un izmeklēšana</w:t>
            </w:r>
          </w:p>
        </w:tc>
        <w:tc>
          <w:tcPr>
            <w:tcW w:w="1674" w:type="dxa"/>
            <w:vAlign w:val="bottom"/>
          </w:tcPr>
          <w:p w14:paraId="266C5433" w14:textId="3E93EBBD" w:rsidR="00154189" w:rsidRPr="003838FD" w:rsidRDefault="00BD241D" w:rsidP="004932C6">
            <w:pPr>
              <w:spacing w:after="240"/>
              <w:ind w:firstLine="0"/>
              <w:jc w:val="center"/>
              <w:rPr>
                <w:rFonts w:ascii="Times New Roman" w:hAnsi="Times New Roman" w:cs="Times New Roman"/>
                <w:color w:val="000000"/>
                <w:lang w:val="lv-LV"/>
              </w:rPr>
            </w:pPr>
            <w:r w:rsidRPr="003838FD">
              <w:rPr>
                <w:rFonts w:ascii="Times New Roman" w:hAnsi="Times New Roman" w:cs="Times New Roman"/>
                <w:color w:val="000000"/>
                <w:lang w:val="lv-LV"/>
              </w:rPr>
              <w:t>14,64</w:t>
            </w:r>
          </w:p>
        </w:tc>
        <w:tc>
          <w:tcPr>
            <w:tcW w:w="1674" w:type="dxa"/>
            <w:vAlign w:val="bottom"/>
          </w:tcPr>
          <w:p w14:paraId="24E6FF99" w14:textId="67F38D67" w:rsidR="00154189" w:rsidRPr="003838FD" w:rsidRDefault="00BD241D" w:rsidP="004932C6">
            <w:pPr>
              <w:spacing w:after="240"/>
              <w:ind w:firstLine="0"/>
              <w:jc w:val="center"/>
              <w:rPr>
                <w:rFonts w:ascii="Times New Roman" w:hAnsi="Times New Roman" w:cs="Times New Roman"/>
                <w:color w:val="000000"/>
                <w:lang w:val="lv-LV"/>
              </w:rPr>
            </w:pPr>
            <w:r w:rsidRPr="003838FD">
              <w:rPr>
                <w:rFonts w:ascii="Times New Roman" w:hAnsi="Times New Roman" w:cs="Times New Roman"/>
                <w:color w:val="000000"/>
                <w:lang w:val="lv-LV"/>
              </w:rPr>
              <w:t>12,70</w:t>
            </w:r>
          </w:p>
        </w:tc>
        <w:tc>
          <w:tcPr>
            <w:tcW w:w="1674" w:type="dxa"/>
            <w:vAlign w:val="bottom"/>
          </w:tcPr>
          <w:p w14:paraId="4CE8469B" w14:textId="35558CD8" w:rsidR="00154189" w:rsidRPr="003838FD" w:rsidRDefault="00BD241D" w:rsidP="004932C6">
            <w:pPr>
              <w:spacing w:after="240"/>
              <w:ind w:firstLine="0"/>
              <w:jc w:val="center"/>
              <w:rPr>
                <w:rFonts w:ascii="Times New Roman" w:hAnsi="Times New Roman" w:cs="Times New Roman"/>
                <w:bCs/>
                <w:color w:val="000000"/>
                <w:lang w:val="lv-LV"/>
              </w:rPr>
            </w:pPr>
            <w:r w:rsidRPr="003838FD">
              <w:rPr>
                <w:rFonts w:ascii="Times New Roman" w:hAnsi="Times New Roman" w:cs="Times New Roman"/>
                <w:bCs/>
                <w:color w:val="000000"/>
                <w:lang w:val="lv-LV"/>
              </w:rPr>
              <w:t>12,39</w:t>
            </w:r>
          </w:p>
        </w:tc>
      </w:tr>
    </w:tbl>
    <w:p w14:paraId="69FC1FEE" w14:textId="77777777" w:rsidR="00154189" w:rsidRPr="008E17EC" w:rsidRDefault="00154189" w:rsidP="00154189">
      <w:pPr>
        <w:ind w:firstLine="0"/>
        <w:rPr>
          <w:rFonts w:ascii="Times New Roman" w:eastAsia="Calibri" w:hAnsi="Times New Roman" w:cs="Times New Roman"/>
          <w:i/>
        </w:rPr>
      </w:pPr>
      <w:r w:rsidRPr="008E17EC">
        <w:rPr>
          <w:rFonts w:ascii="Times New Roman" w:eastAsia="Calibri" w:hAnsi="Times New Roman" w:cs="Times New Roman"/>
          <w:i/>
        </w:rPr>
        <w:t>Avots: VID dati</w:t>
      </w:r>
    </w:p>
    <w:p w14:paraId="0861EECA" w14:textId="77777777" w:rsidR="00154189" w:rsidRDefault="00154189" w:rsidP="00154189">
      <w:pPr>
        <w:pStyle w:val="ListParagraph"/>
        <w:ind w:left="0" w:right="84" w:firstLine="567"/>
        <w:rPr>
          <w:rFonts w:ascii="Times New Roman" w:hAnsi="Times New Roman" w:cs="Times New Roman"/>
          <w:b/>
          <w:sz w:val="24"/>
          <w:szCs w:val="24"/>
        </w:rPr>
      </w:pPr>
    </w:p>
    <w:p w14:paraId="3012827E" w14:textId="77777777" w:rsidR="00154189" w:rsidRPr="00177B54" w:rsidRDefault="00154189" w:rsidP="00154189">
      <w:pPr>
        <w:pStyle w:val="Heading2"/>
      </w:pPr>
      <w:bookmarkStart w:id="12" w:name="_Toc63687770"/>
      <w:r w:rsidRPr="00177B54">
        <w:t>Sabiedriskās ēdināšanas pakalpojumi</w:t>
      </w:r>
      <w:bookmarkEnd w:id="12"/>
    </w:p>
    <w:p w14:paraId="5124DDB6" w14:textId="77777777" w:rsidR="00154189" w:rsidRPr="006004BB" w:rsidRDefault="00154189" w:rsidP="00154189">
      <w:pPr>
        <w:pStyle w:val="ListParagraph"/>
        <w:ind w:left="0" w:firstLine="567"/>
        <w:rPr>
          <w:rFonts w:ascii="Times New Roman" w:hAnsi="Times New Roman" w:cs="Times New Roman"/>
          <w:iCs/>
          <w:sz w:val="24"/>
          <w:szCs w:val="24"/>
        </w:rPr>
      </w:pPr>
      <w:r w:rsidRPr="000D3A84">
        <w:rPr>
          <w:rFonts w:ascii="Times New Roman" w:hAnsi="Times New Roman" w:cs="Times New Roman"/>
          <w:iCs/>
          <w:sz w:val="24"/>
          <w:szCs w:val="24"/>
        </w:rPr>
        <w:t xml:space="preserve">Joprojām augsts ēnu ekonomikas īpatsvars saglabājas sabiedriskās ēdināšanas pakalpojumu nozarē. </w:t>
      </w:r>
      <w:r w:rsidRPr="00753E1B">
        <w:rPr>
          <w:rFonts w:ascii="Times New Roman" w:hAnsi="Times New Roman" w:cs="Times New Roman"/>
          <w:iCs/>
          <w:sz w:val="24"/>
          <w:szCs w:val="24"/>
        </w:rPr>
        <w:t xml:space="preserve">2019. gadā VID administrētie nodokļu ieņēmumi ēdināšanas pakalpojumu nozarē pieauga par </w:t>
      </w:r>
      <w:r w:rsidR="00BE4995">
        <w:rPr>
          <w:rFonts w:ascii="Times New Roman" w:hAnsi="Times New Roman" w:cs="Times New Roman"/>
          <w:iCs/>
          <w:sz w:val="24"/>
          <w:szCs w:val="24"/>
        </w:rPr>
        <w:t>19</w:t>
      </w:r>
      <w:r w:rsidRPr="00753E1B">
        <w:rPr>
          <w:rFonts w:ascii="Times New Roman" w:hAnsi="Times New Roman" w:cs="Times New Roman"/>
          <w:iCs/>
          <w:sz w:val="24"/>
          <w:szCs w:val="24"/>
        </w:rPr>
        <w:t>,</w:t>
      </w:r>
      <w:r w:rsidR="00BE4995">
        <w:rPr>
          <w:rFonts w:ascii="Times New Roman" w:hAnsi="Times New Roman" w:cs="Times New Roman"/>
          <w:iCs/>
          <w:sz w:val="24"/>
          <w:szCs w:val="24"/>
        </w:rPr>
        <w:t>92</w:t>
      </w:r>
      <w:r w:rsidRPr="00753E1B">
        <w:rPr>
          <w:rFonts w:ascii="Times New Roman" w:hAnsi="Times New Roman" w:cs="Times New Roman"/>
          <w:iCs/>
          <w:sz w:val="24"/>
          <w:szCs w:val="24"/>
        </w:rPr>
        <w:t xml:space="preserve"> milj.</w:t>
      </w:r>
      <w:r w:rsidRPr="007431B8">
        <w:rPr>
          <w:rFonts w:ascii="Times New Roman" w:hAnsi="Times New Roman" w:cs="Times New Roman"/>
          <w:i/>
          <w:iCs/>
          <w:sz w:val="24"/>
          <w:szCs w:val="24"/>
        </w:rPr>
        <w:t xml:space="preserve"> </w:t>
      </w:r>
      <w:r w:rsidRPr="009A09D2">
        <w:rPr>
          <w:rFonts w:ascii="Times New Roman" w:hAnsi="Times New Roman" w:cs="Times New Roman"/>
          <w:i/>
          <w:iCs/>
          <w:sz w:val="24"/>
          <w:szCs w:val="24"/>
        </w:rPr>
        <w:t>euro</w:t>
      </w:r>
      <w:r w:rsidRPr="00753E1B">
        <w:rPr>
          <w:rFonts w:ascii="Times New Roman" w:hAnsi="Times New Roman" w:cs="Times New Roman"/>
          <w:iCs/>
          <w:sz w:val="24"/>
          <w:szCs w:val="24"/>
        </w:rPr>
        <w:t xml:space="preserve"> jeb 1</w:t>
      </w:r>
      <w:r w:rsidR="00BE4995">
        <w:rPr>
          <w:rFonts w:ascii="Times New Roman" w:hAnsi="Times New Roman" w:cs="Times New Roman"/>
          <w:iCs/>
          <w:sz w:val="24"/>
          <w:szCs w:val="24"/>
        </w:rPr>
        <w:t>5</w:t>
      </w:r>
      <w:r w:rsidRPr="00753E1B">
        <w:rPr>
          <w:rFonts w:ascii="Times New Roman" w:hAnsi="Times New Roman" w:cs="Times New Roman"/>
          <w:iCs/>
          <w:sz w:val="24"/>
          <w:szCs w:val="24"/>
        </w:rPr>
        <w:t>,</w:t>
      </w:r>
      <w:r w:rsidR="00BE4995">
        <w:rPr>
          <w:rFonts w:ascii="Times New Roman" w:hAnsi="Times New Roman" w:cs="Times New Roman"/>
          <w:iCs/>
          <w:sz w:val="24"/>
          <w:szCs w:val="24"/>
        </w:rPr>
        <w:t>6</w:t>
      </w:r>
      <w:r>
        <w:rPr>
          <w:rFonts w:ascii="Times New Roman" w:hAnsi="Times New Roman" w:cs="Times New Roman"/>
          <w:iCs/>
          <w:sz w:val="24"/>
          <w:szCs w:val="24"/>
        </w:rPr>
        <w:t> </w:t>
      </w:r>
      <w:r w:rsidRPr="00753E1B">
        <w:rPr>
          <w:rFonts w:ascii="Times New Roman" w:hAnsi="Times New Roman" w:cs="Times New Roman"/>
          <w:iCs/>
          <w:sz w:val="24"/>
          <w:szCs w:val="24"/>
        </w:rPr>
        <w:t xml:space="preserve">% salīdzinājumā ar 2018. gada ieņēmumu apjomu, tajā skaitā PVN ieņēmumi palielinājās par </w:t>
      </w:r>
      <w:r>
        <w:rPr>
          <w:rFonts w:ascii="Times New Roman" w:hAnsi="Times New Roman" w:cs="Times New Roman"/>
          <w:iCs/>
          <w:sz w:val="24"/>
          <w:szCs w:val="24"/>
        </w:rPr>
        <w:t>1</w:t>
      </w:r>
      <w:r w:rsidR="00BE4995">
        <w:rPr>
          <w:rFonts w:ascii="Times New Roman" w:hAnsi="Times New Roman" w:cs="Times New Roman"/>
          <w:iCs/>
          <w:sz w:val="24"/>
          <w:szCs w:val="24"/>
        </w:rPr>
        <w:t>7</w:t>
      </w:r>
      <w:r w:rsidRPr="00753E1B">
        <w:rPr>
          <w:rFonts w:ascii="Times New Roman" w:hAnsi="Times New Roman" w:cs="Times New Roman"/>
          <w:iCs/>
          <w:sz w:val="24"/>
          <w:szCs w:val="24"/>
        </w:rPr>
        <w:t>,</w:t>
      </w:r>
      <w:r w:rsidR="00BE4995">
        <w:rPr>
          <w:rFonts w:ascii="Times New Roman" w:hAnsi="Times New Roman" w:cs="Times New Roman"/>
          <w:iCs/>
          <w:sz w:val="24"/>
          <w:szCs w:val="24"/>
        </w:rPr>
        <w:t>9</w:t>
      </w:r>
      <w:r>
        <w:rPr>
          <w:rFonts w:ascii="Times New Roman" w:hAnsi="Times New Roman" w:cs="Times New Roman"/>
          <w:iCs/>
          <w:sz w:val="24"/>
          <w:szCs w:val="24"/>
        </w:rPr>
        <w:t> </w:t>
      </w:r>
      <w:r w:rsidRPr="00753E1B">
        <w:rPr>
          <w:rFonts w:ascii="Times New Roman" w:hAnsi="Times New Roman" w:cs="Times New Roman"/>
          <w:iCs/>
          <w:sz w:val="24"/>
          <w:szCs w:val="24"/>
        </w:rPr>
        <w:t>%.</w:t>
      </w:r>
      <w:r w:rsidRPr="000F5317">
        <w:rPr>
          <w:rFonts w:ascii="Times New Roman" w:hAnsi="Times New Roman" w:cs="Times New Roman"/>
          <w:iCs/>
          <w:sz w:val="24"/>
          <w:szCs w:val="24"/>
        </w:rPr>
        <w:t xml:space="preserve"> </w:t>
      </w:r>
      <w:r w:rsidRPr="006004BB">
        <w:rPr>
          <w:rFonts w:ascii="Times New Roman" w:hAnsi="Times New Roman" w:cs="Times New Roman"/>
          <w:iCs/>
          <w:sz w:val="24"/>
          <w:szCs w:val="24"/>
        </w:rPr>
        <w:t xml:space="preserve">Izmitināšanas un ēdināšanas pakalpojumu </w:t>
      </w:r>
      <w:r w:rsidRPr="006004BB">
        <w:rPr>
          <w:rFonts w:ascii="Times New Roman" w:hAnsi="Times New Roman" w:cs="Times New Roman"/>
          <w:iCs/>
          <w:sz w:val="24"/>
          <w:szCs w:val="24"/>
        </w:rPr>
        <w:lastRenderedPageBreak/>
        <w:t xml:space="preserve">nozares </w:t>
      </w:r>
      <w:r>
        <w:rPr>
          <w:rFonts w:ascii="Times New Roman" w:hAnsi="Times New Roman" w:cs="Times New Roman"/>
          <w:iCs/>
          <w:sz w:val="24"/>
          <w:szCs w:val="24"/>
        </w:rPr>
        <w:t xml:space="preserve">PVN </w:t>
      </w:r>
      <w:r w:rsidRPr="006004BB">
        <w:rPr>
          <w:rFonts w:ascii="Times New Roman" w:hAnsi="Times New Roman" w:cs="Times New Roman"/>
          <w:iCs/>
          <w:sz w:val="24"/>
          <w:szCs w:val="24"/>
        </w:rPr>
        <w:t xml:space="preserve">iemaksu pieaugumu veicināja tie nodokļu maksātāji, kuru pamatdarbības veids ir restorānu un mobilo ēdināšanas vietu pakalpojumi (par 6,98 milj. </w:t>
      </w:r>
      <w:r w:rsidRPr="009A09D2">
        <w:rPr>
          <w:rFonts w:ascii="Times New Roman" w:hAnsi="Times New Roman" w:cs="Times New Roman"/>
          <w:i/>
          <w:iCs/>
          <w:sz w:val="24"/>
          <w:szCs w:val="24"/>
        </w:rPr>
        <w:t>euro</w:t>
      </w:r>
      <w:r w:rsidRPr="006004BB">
        <w:rPr>
          <w:rFonts w:ascii="Times New Roman" w:hAnsi="Times New Roman" w:cs="Times New Roman"/>
          <w:iCs/>
          <w:sz w:val="24"/>
          <w:szCs w:val="24"/>
        </w:rPr>
        <w:t xml:space="preserve"> jeb 17,4 %)</w:t>
      </w:r>
      <w:r>
        <w:rPr>
          <w:rFonts w:ascii="Times New Roman" w:hAnsi="Times New Roman" w:cs="Times New Roman"/>
          <w:iCs/>
          <w:sz w:val="24"/>
          <w:szCs w:val="24"/>
        </w:rPr>
        <w:t>.</w:t>
      </w:r>
    </w:p>
    <w:p w14:paraId="0E5A62F7" w14:textId="3092371A" w:rsidR="00154189" w:rsidRDefault="00154189" w:rsidP="00154189">
      <w:pPr>
        <w:pStyle w:val="ListParagraph"/>
        <w:ind w:left="0" w:firstLine="567"/>
        <w:rPr>
          <w:rFonts w:ascii="Times New Roman" w:hAnsi="Times New Roman" w:cs="Times New Roman"/>
          <w:iCs/>
          <w:sz w:val="24"/>
          <w:szCs w:val="24"/>
        </w:rPr>
      </w:pPr>
      <w:r w:rsidRPr="00753E1B">
        <w:rPr>
          <w:rFonts w:ascii="Times New Roman" w:hAnsi="Times New Roman" w:cs="Times New Roman"/>
          <w:iCs/>
          <w:sz w:val="24"/>
          <w:szCs w:val="24"/>
        </w:rPr>
        <w:t xml:space="preserve"> </w:t>
      </w:r>
      <w:r w:rsidR="003B0759" w:rsidRPr="001E5743">
        <w:rPr>
          <w:rFonts w:ascii="Times New Roman" w:hAnsi="Times New Roman" w:cs="Times New Roman"/>
          <w:iCs/>
          <w:sz w:val="24"/>
          <w:szCs w:val="24"/>
        </w:rPr>
        <w:t>VSAOI</w:t>
      </w:r>
      <w:r w:rsidRPr="001E5743">
        <w:rPr>
          <w:rFonts w:ascii="Times New Roman" w:hAnsi="Times New Roman" w:cs="Times New Roman"/>
          <w:iCs/>
          <w:sz w:val="24"/>
          <w:szCs w:val="24"/>
        </w:rPr>
        <w:t xml:space="preserve"> ieņēmumu pieaugums salīdzinājumā ar 2018. gadu bija 1</w:t>
      </w:r>
      <w:r w:rsidR="00BE4995" w:rsidRPr="001E5743">
        <w:rPr>
          <w:rFonts w:ascii="Times New Roman" w:hAnsi="Times New Roman" w:cs="Times New Roman"/>
          <w:iCs/>
          <w:sz w:val="24"/>
          <w:szCs w:val="24"/>
        </w:rPr>
        <w:t>5</w:t>
      </w:r>
      <w:r w:rsidRPr="001E5743">
        <w:rPr>
          <w:rFonts w:ascii="Times New Roman" w:hAnsi="Times New Roman" w:cs="Times New Roman"/>
          <w:iCs/>
          <w:sz w:val="24"/>
          <w:szCs w:val="24"/>
        </w:rPr>
        <w:t>,0 %, neskatoties uz to, ka izmitināš</w:t>
      </w:r>
      <w:r w:rsidR="001E5375" w:rsidRPr="001E5743">
        <w:rPr>
          <w:rFonts w:ascii="Times New Roman" w:hAnsi="Times New Roman" w:cs="Times New Roman"/>
          <w:iCs/>
          <w:sz w:val="24"/>
          <w:szCs w:val="24"/>
        </w:rPr>
        <w:t>anas un ēdināšanas nozarē vidējā alga</w:t>
      </w:r>
      <w:r w:rsidRPr="001E5743">
        <w:rPr>
          <w:rFonts w:ascii="Times New Roman" w:hAnsi="Times New Roman" w:cs="Times New Roman"/>
          <w:iCs/>
          <w:sz w:val="24"/>
          <w:szCs w:val="24"/>
        </w:rPr>
        <w:t xml:space="preserve"> 2019. gadā sasniedza 767 </w:t>
      </w:r>
      <w:r w:rsidRPr="001E5743">
        <w:rPr>
          <w:rFonts w:ascii="Times New Roman" w:hAnsi="Times New Roman" w:cs="Times New Roman"/>
          <w:i/>
          <w:iCs/>
          <w:sz w:val="24"/>
          <w:szCs w:val="24"/>
        </w:rPr>
        <w:t>euro</w:t>
      </w:r>
      <w:r w:rsidRPr="001E5743">
        <w:rPr>
          <w:rFonts w:ascii="Times New Roman" w:hAnsi="Times New Roman" w:cs="Times New Roman"/>
          <w:iCs/>
          <w:sz w:val="24"/>
          <w:szCs w:val="24"/>
        </w:rPr>
        <w:t xml:space="preserve"> jeb palielinājās par 8,2 %.</w:t>
      </w:r>
    </w:p>
    <w:p w14:paraId="74589D36" w14:textId="7BC4A919" w:rsidR="00EE5EDC" w:rsidRDefault="00EE5EDC" w:rsidP="00154189">
      <w:pPr>
        <w:pStyle w:val="ListParagraph"/>
        <w:ind w:left="0" w:firstLine="567"/>
        <w:rPr>
          <w:rFonts w:ascii="Times New Roman" w:hAnsi="Times New Roman" w:cs="Times New Roman"/>
          <w:iCs/>
          <w:sz w:val="24"/>
          <w:szCs w:val="24"/>
        </w:rPr>
      </w:pPr>
      <w:r w:rsidRPr="003838FD">
        <w:rPr>
          <w:rFonts w:ascii="Times New Roman" w:hAnsi="Times New Roman" w:cs="Times New Roman"/>
          <w:iCs/>
          <w:sz w:val="24"/>
          <w:szCs w:val="24"/>
        </w:rPr>
        <w:t xml:space="preserve">Nodokļu ieņēmumi sabiedriskās ēdināšanas nozarē 2020. gada 1. pusgadā </w:t>
      </w:r>
      <w:r w:rsidR="00EF730F" w:rsidRPr="003838FD">
        <w:rPr>
          <w:rFonts w:ascii="Times New Roman" w:hAnsi="Times New Roman" w:cs="Times New Roman"/>
          <w:iCs/>
          <w:sz w:val="24"/>
          <w:szCs w:val="24"/>
        </w:rPr>
        <w:t>veido</w:t>
      </w:r>
      <w:r w:rsidRPr="003838FD">
        <w:rPr>
          <w:rFonts w:ascii="Times New Roman" w:hAnsi="Times New Roman" w:cs="Times New Roman"/>
          <w:iCs/>
          <w:sz w:val="24"/>
          <w:szCs w:val="24"/>
        </w:rPr>
        <w:t xml:space="preserve"> 42,61 milj. </w:t>
      </w:r>
      <w:r w:rsidRPr="003838FD">
        <w:rPr>
          <w:rFonts w:ascii="Times New Roman" w:hAnsi="Times New Roman" w:cs="Times New Roman"/>
          <w:i/>
          <w:iCs/>
          <w:sz w:val="24"/>
          <w:szCs w:val="24"/>
        </w:rPr>
        <w:t>euro.</w:t>
      </w:r>
    </w:p>
    <w:p w14:paraId="782F50A4" w14:textId="77777777" w:rsidR="00310A6B" w:rsidRDefault="00310A6B" w:rsidP="00154189">
      <w:pPr>
        <w:pStyle w:val="ListParagraph"/>
        <w:ind w:left="0" w:firstLine="567"/>
        <w:rPr>
          <w:rFonts w:ascii="Times New Roman" w:hAnsi="Times New Roman" w:cs="Times New Roman"/>
          <w:iCs/>
          <w:sz w:val="24"/>
          <w:szCs w:val="24"/>
        </w:rPr>
      </w:pPr>
    </w:p>
    <w:p w14:paraId="7C17BEFB" w14:textId="77777777" w:rsidR="00154189" w:rsidRPr="00753E1B" w:rsidRDefault="00154189" w:rsidP="00154189">
      <w:pPr>
        <w:ind w:left="6480"/>
        <w:jc w:val="right"/>
        <w:rPr>
          <w:rFonts w:ascii="Times New Roman" w:eastAsia="Calibri" w:hAnsi="Times New Roman" w:cs="Times New Roman"/>
        </w:rPr>
      </w:pPr>
      <w:r w:rsidRPr="00753E1B">
        <w:rPr>
          <w:rFonts w:ascii="Times New Roman" w:hAnsi="Times New Roman" w:cs="Times New Roman"/>
          <w:i/>
        </w:rPr>
        <w:t>1</w:t>
      </w:r>
      <w:r>
        <w:rPr>
          <w:rFonts w:ascii="Times New Roman" w:hAnsi="Times New Roman" w:cs="Times New Roman"/>
          <w:i/>
        </w:rPr>
        <w:t>3</w:t>
      </w:r>
      <w:r w:rsidRPr="00753E1B">
        <w:rPr>
          <w:rFonts w:ascii="Times New Roman" w:hAnsi="Times New Roman" w:cs="Times New Roman"/>
          <w:i/>
        </w:rPr>
        <w:t>. grafiks</w:t>
      </w:r>
    </w:p>
    <w:p w14:paraId="3606A02A" w14:textId="77777777" w:rsidR="00154189" w:rsidRDefault="00FC15ED" w:rsidP="00154189">
      <w:pPr>
        <w:ind w:firstLine="0"/>
        <w:rPr>
          <w:rFonts w:eastAsia="Calibri"/>
        </w:rPr>
      </w:pPr>
      <w:r w:rsidRPr="003649CC">
        <w:rPr>
          <w:noProof/>
          <w:lang w:eastAsia="lv-LV"/>
        </w:rPr>
        <mc:AlternateContent>
          <mc:Choice Requires="wps">
            <w:drawing>
              <wp:anchor distT="0" distB="0" distL="114300" distR="114300" simplePos="0" relativeHeight="251661312" behindDoc="0" locked="0" layoutInCell="1" allowOverlap="1" wp14:anchorId="4DFB276C" wp14:editId="37244575">
                <wp:simplePos x="0" y="0"/>
                <wp:positionH relativeFrom="margin">
                  <wp:posOffset>4233737</wp:posOffset>
                </wp:positionH>
                <wp:positionV relativeFrom="paragraph">
                  <wp:posOffset>7453</wp:posOffset>
                </wp:positionV>
                <wp:extent cx="1479430" cy="2147978"/>
                <wp:effectExtent l="0" t="0" r="6985" b="5080"/>
                <wp:wrapNone/>
                <wp:docPr id="26" name="TextBox 9"/>
                <wp:cNvGraphicFramePr/>
                <a:graphic xmlns:a="http://schemas.openxmlformats.org/drawingml/2006/main">
                  <a:graphicData uri="http://schemas.microsoft.com/office/word/2010/wordprocessingShape">
                    <wps:wsp>
                      <wps:cNvSpPr txBox="1"/>
                      <wps:spPr>
                        <a:xfrm>
                          <a:off x="0" y="0"/>
                          <a:ext cx="1479430" cy="2147978"/>
                        </a:xfrm>
                        <a:prstGeom prst="rect">
                          <a:avLst/>
                        </a:prstGeom>
                        <a:solidFill>
                          <a:sysClr val="window" lastClr="FFFFFF"/>
                        </a:solidFill>
                        <a:ln w="12700" cap="flat" cmpd="sng" algn="ctr">
                          <a:noFill/>
                          <a:prstDash val="solid"/>
                          <a:miter lim="800000"/>
                        </a:ln>
                        <a:effectLst/>
                      </wps:spPr>
                      <wps:txbx>
                        <w:txbxContent>
                          <w:p w14:paraId="54697230" w14:textId="77777777" w:rsidR="004A7BDB" w:rsidRPr="003649CC" w:rsidRDefault="004A7BDB" w:rsidP="00154189">
                            <w:pPr>
                              <w:pStyle w:val="NormalWeb"/>
                              <w:ind w:firstLine="0"/>
                              <w:rPr>
                                <w:sz w:val="22"/>
                                <w:szCs w:val="22"/>
                              </w:rPr>
                            </w:pPr>
                            <w:r>
                              <w:rPr>
                                <w:color w:val="000000" w:themeColor="dark1"/>
                                <w:kern w:val="24"/>
                                <w:sz w:val="22"/>
                                <w:szCs w:val="22"/>
                              </w:rPr>
                              <w:t>N</w:t>
                            </w:r>
                            <w:r w:rsidRPr="003649CC">
                              <w:rPr>
                                <w:color w:val="000000" w:themeColor="dark1"/>
                                <w:kern w:val="24"/>
                                <w:sz w:val="22"/>
                                <w:szCs w:val="22"/>
                              </w:rPr>
                              <w:t>odokļu ieņēmumu pieaugums</w:t>
                            </w:r>
                            <w:r>
                              <w:rPr>
                                <w:color w:val="000000" w:themeColor="dark1"/>
                                <w:kern w:val="24"/>
                                <w:sz w:val="22"/>
                                <w:szCs w:val="22"/>
                              </w:rPr>
                              <w:t xml:space="preserve"> salīdzinot ar 2018.g.</w:t>
                            </w:r>
                            <w:r w:rsidRPr="003649CC">
                              <w:rPr>
                                <w:color w:val="000000" w:themeColor="dark1"/>
                                <w:kern w:val="24"/>
                                <w:sz w:val="22"/>
                                <w:szCs w:val="22"/>
                              </w:rPr>
                              <w:t xml:space="preserve"> -</w:t>
                            </w:r>
                          </w:p>
                          <w:p w14:paraId="6C4E8143" w14:textId="77777777" w:rsidR="004A7BDB" w:rsidRPr="003649CC" w:rsidRDefault="004A7BDB" w:rsidP="00154189">
                            <w:pPr>
                              <w:pStyle w:val="NormalWeb"/>
                              <w:ind w:firstLine="0"/>
                              <w:rPr>
                                <w:sz w:val="22"/>
                                <w:szCs w:val="22"/>
                              </w:rPr>
                            </w:pPr>
                            <w:r w:rsidRPr="001C4751">
                              <w:rPr>
                                <w:b/>
                                <w:color w:val="000000" w:themeColor="dark1"/>
                                <w:kern w:val="24"/>
                                <w:sz w:val="22"/>
                                <w:szCs w:val="22"/>
                              </w:rPr>
                              <w:t>+</w:t>
                            </w:r>
                            <w:r>
                              <w:rPr>
                                <w:b/>
                                <w:color w:val="000000" w:themeColor="dark1"/>
                                <w:kern w:val="24"/>
                                <w:sz w:val="22"/>
                                <w:szCs w:val="22"/>
                              </w:rPr>
                              <w:t>19,92</w:t>
                            </w:r>
                            <w:r w:rsidRPr="003649CC">
                              <w:rPr>
                                <w:b/>
                                <w:bCs/>
                                <w:color w:val="000000" w:themeColor="dark1"/>
                                <w:kern w:val="24"/>
                                <w:sz w:val="22"/>
                                <w:szCs w:val="22"/>
                              </w:rPr>
                              <w:t xml:space="preserve"> milj. </w:t>
                            </w:r>
                            <w:r w:rsidRPr="003649CC">
                              <w:rPr>
                                <w:b/>
                                <w:bCs/>
                                <w:i/>
                                <w:iCs/>
                                <w:color w:val="000000" w:themeColor="dark1"/>
                                <w:kern w:val="24"/>
                                <w:sz w:val="22"/>
                                <w:szCs w:val="22"/>
                              </w:rPr>
                              <w:t>euro</w:t>
                            </w:r>
                            <w:r>
                              <w:rPr>
                                <w:b/>
                                <w:bCs/>
                                <w:color w:val="000000" w:themeColor="dark1"/>
                                <w:kern w:val="24"/>
                                <w:sz w:val="22"/>
                                <w:szCs w:val="22"/>
                              </w:rPr>
                              <w:t xml:space="preserve"> jeb 15,6 </w:t>
                            </w:r>
                            <w:r w:rsidRPr="003649CC">
                              <w:rPr>
                                <w:b/>
                                <w:bCs/>
                                <w:color w:val="000000" w:themeColor="dark1"/>
                                <w:kern w:val="24"/>
                                <w:sz w:val="22"/>
                                <w:szCs w:val="22"/>
                              </w:rPr>
                              <w:t>%</w:t>
                            </w:r>
                          </w:p>
                          <w:p w14:paraId="1AC1E1C6" w14:textId="77777777" w:rsidR="004A7BDB" w:rsidRPr="003649CC" w:rsidRDefault="004A7BDB" w:rsidP="00154189">
                            <w:pPr>
                              <w:pStyle w:val="NormalWeb"/>
                              <w:ind w:firstLine="0"/>
                              <w:rPr>
                                <w:sz w:val="22"/>
                                <w:szCs w:val="22"/>
                              </w:rPr>
                            </w:pPr>
                            <w:r w:rsidRPr="003649CC">
                              <w:rPr>
                                <w:color w:val="000000" w:themeColor="dark1"/>
                                <w:kern w:val="24"/>
                                <w:sz w:val="22"/>
                                <w:szCs w:val="22"/>
                                <w:u w:val="single"/>
                              </w:rPr>
                              <w:t>Salīdzinājumam</w:t>
                            </w:r>
                          </w:p>
                          <w:p w14:paraId="1AFF3B47" w14:textId="77777777" w:rsidR="004A7BDB" w:rsidRPr="0038256D" w:rsidRDefault="004A7BDB" w:rsidP="00154189">
                            <w:pPr>
                              <w:ind w:firstLine="0"/>
                              <w:rPr>
                                <w:rFonts w:ascii="Times New Roman" w:eastAsia="Times New Roman" w:hAnsi="Times New Roman" w:cs="Times New Roman"/>
                              </w:rPr>
                            </w:pPr>
                            <w:r w:rsidRPr="0038256D">
                              <w:rPr>
                                <w:rFonts w:ascii="Times New Roman" w:hAnsi="Times New Roman" w:cs="Times New Roman"/>
                                <w:color w:val="000000" w:themeColor="dark1"/>
                                <w:kern w:val="24"/>
                              </w:rPr>
                              <w:t>2018.g.</w:t>
                            </w:r>
                            <w:r>
                              <w:rPr>
                                <w:rFonts w:ascii="Times New Roman" w:hAnsi="Times New Roman" w:cs="Times New Roman"/>
                                <w:color w:val="000000" w:themeColor="dark1"/>
                                <w:kern w:val="24"/>
                              </w:rPr>
                              <w:t xml:space="preserve"> attiecībā pret 2017.g. pieaugums par 16 </w:t>
                            </w:r>
                            <w:r w:rsidRPr="0038256D">
                              <w:rPr>
                                <w:rFonts w:ascii="Times New Roman" w:hAnsi="Times New Roman" w:cs="Times New Roman"/>
                                <w:color w:val="000000" w:themeColor="dark1"/>
                                <w:kern w:val="24"/>
                              </w:rPr>
                              <w:t>%</w:t>
                            </w:r>
                          </w:p>
                          <w:p w14:paraId="4C91DE2C" w14:textId="77777777" w:rsidR="004A7BDB" w:rsidRPr="00056506" w:rsidRDefault="004A7BDB" w:rsidP="00154189">
                            <w:pPr>
                              <w:pStyle w:val="ListParagraph"/>
                              <w:rPr>
                                <w:rFonts w:ascii="Times New Roman" w:eastAsia="Times New Roman" w:hAnsi="Times New Roman" w:cs="Times New Roman"/>
                                <w:sz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DFB276C" id="_x0000_s1029" type="#_x0000_t202" style="position:absolute;left:0;text-align:left;margin-left:333.35pt;margin-top:.6pt;width:116.5pt;height:169.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" fillcolor="window" stroked="f" strokeweight="1pt">
                <v:textbox>
                  <w:txbxContent>
                    <w:p w14:paraId="54697230" w14:textId="77777777" w:rsidR="004A7BDB" w:rsidRPr="003649CC" w:rsidRDefault="004A7BDB" w:rsidP="00154189">
                      <w:pPr>
                        <w:pStyle w:val="NormalWeb"/>
                        <w:ind w:firstLine="0"/>
                        <w:rPr>
                          <w:sz w:val="22"/>
                          <w:szCs w:val="22"/>
                        </w:rPr>
                      </w:pPr>
                      <w:r>
                        <w:rPr>
                          <w:color w:val="000000" w:themeColor="dark1"/>
                          <w:kern w:val="24"/>
                          <w:sz w:val="22"/>
                          <w:szCs w:val="22"/>
                        </w:rPr>
                        <w:t>N</w:t>
                      </w:r>
                      <w:r w:rsidRPr="003649CC">
                        <w:rPr>
                          <w:color w:val="000000" w:themeColor="dark1"/>
                          <w:kern w:val="24"/>
                          <w:sz w:val="22"/>
                          <w:szCs w:val="22"/>
                        </w:rPr>
                        <w:t>odokļu ieņēmumu pieaugums</w:t>
                      </w:r>
                      <w:r>
                        <w:rPr>
                          <w:color w:val="000000" w:themeColor="dark1"/>
                          <w:kern w:val="24"/>
                          <w:sz w:val="22"/>
                          <w:szCs w:val="22"/>
                        </w:rPr>
                        <w:t xml:space="preserve"> salīdzinot ar 2018.g.</w:t>
                      </w:r>
                      <w:r w:rsidRPr="003649CC">
                        <w:rPr>
                          <w:color w:val="000000" w:themeColor="dark1"/>
                          <w:kern w:val="24"/>
                          <w:sz w:val="22"/>
                          <w:szCs w:val="22"/>
                        </w:rPr>
                        <w:t xml:space="preserve"> -</w:t>
                      </w:r>
                    </w:p>
                    <w:p w14:paraId="6C4E8143" w14:textId="77777777" w:rsidR="004A7BDB" w:rsidRPr="003649CC" w:rsidRDefault="004A7BDB" w:rsidP="00154189">
                      <w:pPr>
                        <w:pStyle w:val="NormalWeb"/>
                        <w:ind w:firstLine="0"/>
                        <w:rPr>
                          <w:sz w:val="22"/>
                          <w:szCs w:val="22"/>
                        </w:rPr>
                      </w:pPr>
                      <w:r w:rsidRPr="001C4751">
                        <w:rPr>
                          <w:b/>
                          <w:color w:val="000000" w:themeColor="dark1"/>
                          <w:kern w:val="24"/>
                          <w:sz w:val="22"/>
                          <w:szCs w:val="22"/>
                        </w:rPr>
                        <w:t>+</w:t>
                      </w:r>
                      <w:r>
                        <w:rPr>
                          <w:b/>
                          <w:color w:val="000000" w:themeColor="dark1"/>
                          <w:kern w:val="24"/>
                          <w:sz w:val="22"/>
                          <w:szCs w:val="22"/>
                        </w:rPr>
                        <w:t>19,92</w:t>
                      </w:r>
                      <w:r w:rsidRPr="003649CC">
                        <w:rPr>
                          <w:b/>
                          <w:bCs/>
                          <w:color w:val="000000" w:themeColor="dark1"/>
                          <w:kern w:val="24"/>
                          <w:sz w:val="22"/>
                          <w:szCs w:val="22"/>
                        </w:rPr>
                        <w:t xml:space="preserve"> milj. </w:t>
                      </w:r>
                      <w:r w:rsidRPr="003649CC">
                        <w:rPr>
                          <w:b/>
                          <w:bCs/>
                          <w:i/>
                          <w:iCs/>
                          <w:color w:val="000000" w:themeColor="dark1"/>
                          <w:kern w:val="24"/>
                          <w:sz w:val="22"/>
                          <w:szCs w:val="22"/>
                        </w:rPr>
                        <w:t>euro</w:t>
                      </w:r>
                      <w:r>
                        <w:rPr>
                          <w:b/>
                          <w:bCs/>
                          <w:color w:val="000000" w:themeColor="dark1"/>
                          <w:kern w:val="24"/>
                          <w:sz w:val="22"/>
                          <w:szCs w:val="22"/>
                        </w:rPr>
                        <w:t xml:space="preserve"> jeb 15,6 </w:t>
                      </w:r>
                      <w:r w:rsidRPr="003649CC">
                        <w:rPr>
                          <w:b/>
                          <w:bCs/>
                          <w:color w:val="000000" w:themeColor="dark1"/>
                          <w:kern w:val="24"/>
                          <w:sz w:val="22"/>
                          <w:szCs w:val="22"/>
                        </w:rPr>
                        <w:t>%</w:t>
                      </w:r>
                    </w:p>
                    <w:p w14:paraId="1AC1E1C6" w14:textId="77777777" w:rsidR="004A7BDB" w:rsidRPr="003649CC" w:rsidRDefault="004A7BDB" w:rsidP="00154189">
                      <w:pPr>
                        <w:pStyle w:val="NormalWeb"/>
                        <w:ind w:firstLine="0"/>
                        <w:rPr>
                          <w:sz w:val="22"/>
                          <w:szCs w:val="22"/>
                        </w:rPr>
                      </w:pPr>
                      <w:r w:rsidRPr="003649CC">
                        <w:rPr>
                          <w:color w:val="000000" w:themeColor="dark1"/>
                          <w:kern w:val="24"/>
                          <w:sz w:val="22"/>
                          <w:szCs w:val="22"/>
                          <w:u w:val="single"/>
                        </w:rPr>
                        <w:t>Salīdzinājumam</w:t>
                      </w:r>
                    </w:p>
                    <w:p w14:paraId="1AFF3B47" w14:textId="77777777" w:rsidR="004A7BDB" w:rsidRPr="0038256D" w:rsidRDefault="004A7BDB" w:rsidP="00154189">
                      <w:pPr>
                        <w:ind w:firstLine="0"/>
                        <w:rPr>
                          <w:rFonts w:ascii="Times New Roman" w:eastAsia="Times New Roman" w:hAnsi="Times New Roman" w:cs="Times New Roman"/>
                        </w:rPr>
                      </w:pPr>
                      <w:r w:rsidRPr="0038256D">
                        <w:rPr>
                          <w:rFonts w:ascii="Times New Roman" w:hAnsi="Times New Roman" w:cs="Times New Roman"/>
                          <w:color w:val="000000" w:themeColor="dark1"/>
                          <w:kern w:val="24"/>
                        </w:rPr>
                        <w:t>2018.g.</w:t>
                      </w:r>
                      <w:r>
                        <w:rPr>
                          <w:rFonts w:ascii="Times New Roman" w:hAnsi="Times New Roman" w:cs="Times New Roman"/>
                          <w:color w:val="000000" w:themeColor="dark1"/>
                          <w:kern w:val="24"/>
                        </w:rPr>
                        <w:t xml:space="preserve"> attiecībā pret 2017.g. pieaugums par 16 </w:t>
                      </w:r>
                      <w:r w:rsidRPr="0038256D">
                        <w:rPr>
                          <w:rFonts w:ascii="Times New Roman" w:hAnsi="Times New Roman" w:cs="Times New Roman"/>
                          <w:color w:val="000000" w:themeColor="dark1"/>
                          <w:kern w:val="24"/>
                        </w:rPr>
                        <w:t>%</w:t>
                      </w:r>
                    </w:p>
                    <w:p w14:paraId="4C91DE2C" w14:textId="77777777" w:rsidR="004A7BDB" w:rsidRPr="00056506" w:rsidRDefault="004A7BDB" w:rsidP="00154189">
                      <w:pPr>
                        <w:pStyle w:val="ListParagraph"/>
                        <w:rPr>
                          <w:rFonts w:ascii="Times New Roman" w:eastAsia="Times New Roman" w:hAnsi="Times New Roman" w:cs="Times New Roman"/>
                          <w:sz w:val="32"/>
                        </w:rPr>
                      </w:pPr>
                    </w:p>
                  </w:txbxContent>
                </v:textbox>
                <w10:wrap anchorx="margin"/>
              </v:shape>
            </w:pict>
          </mc:Fallback>
        </mc:AlternateContent>
      </w:r>
      <w:r w:rsidRPr="003649CC">
        <w:rPr>
          <w:noProof/>
          <w:lang w:eastAsia="lv-LV"/>
        </w:rPr>
        <w:t xml:space="preserve"> </w:t>
      </w:r>
      <w:r w:rsidR="00E63DC7">
        <w:rPr>
          <w:noProof/>
          <w:lang w:eastAsia="lv-LV"/>
        </w:rPr>
        <w:drawing>
          <wp:inline distT="0" distB="0" distL="0" distR="0" wp14:anchorId="05897093" wp14:editId="04B06D6E">
            <wp:extent cx="4114800" cy="2250440"/>
            <wp:effectExtent l="0" t="0" r="0" b="1651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3B4433" w14:textId="77777777" w:rsidR="00154189" w:rsidRPr="00EF0813" w:rsidRDefault="00154189" w:rsidP="00154189">
      <w:pPr>
        <w:ind w:left="6480"/>
        <w:jc w:val="right"/>
        <w:rPr>
          <w:rFonts w:eastAsia="Calibri"/>
          <w:i/>
        </w:rPr>
      </w:pPr>
      <w:r>
        <w:rPr>
          <w:rFonts w:eastAsia="Calibri"/>
        </w:rPr>
        <w:tab/>
      </w:r>
      <w:r w:rsidRPr="0038256D">
        <w:rPr>
          <w:rFonts w:ascii="Times New Roman" w:hAnsi="Times New Roman" w:cs="Times New Roman"/>
          <w:i/>
        </w:rPr>
        <w:t>1</w:t>
      </w:r>
      <w:r>
        <w:rPr>
          <w:rFonts w:ascii="Times New Roman" w:hAnsi="Times New Roman" w:cs="Times New Roman"/>
          <w:i/>
        </w:rPr>
        <w:t>4</w:t>
      </w:r>
      <w:r w:rsidRPr="0038256D">
        <w:rPr>
          <w:rFonts w:ascii="Times New Roman" w:hAnsi="Times New Roman" w:cs="Times New Roman"/>
          <w:i/>
        </w:rPr>
        <w:t>. grafiks</w:t>
      </w:r>
    </w:p>
    <w:p w14:paraId="77B4234D" w14:textId="77777777" w:rsidR="00154189" w:rsidRPr="000F5317" w:rsidRDefault="00FC15ED" w:rsidP="00F51559">
      <w:pPr>
        <w:ind w:firstLine="0"/>
        <w:rPr>
          <w:rFonts w:ascii="Times New Roman" w:eastAsia="Calibri" w:hAnsi="Times New Roman" w:cs="Times New Roman"/>
        </w:rPr>
      </w:pPr>
      <w:r>
        <w:rPr>
          <w:noProof/>
          <w:lang w:eastAsia="lv-LV"/>
        </w:rPr>
        <w:drawing>
          <wp:inline distT="0" distB="0" distL="0" distR="0" wp14:anchorId="7F62C702" wp14:editId="0B79A4D2">
            <wp:extent cx="5715120" cy="2070339"/>
            <wp:effectExtent l="0" t="0" r="0" b="635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4BB4BD0" w14:textId="77777777" w:rsidR="00154189" w:rsidRPr="000F5317" w:rsidRDefault="00154189" w:rsidP="00154189">
      <w:pPr>
        <w:ind w:firstLine="0"/>
        <w:jc w:val="left"/>
        <w:rPr>
          <w:rFonts w:ascii="Times New Roman" w:eastAsia="Calibri" w:hAnsi="Times New Roman" w:cs="Times New Roman"/>
          <w:i/>
        </w:rPr>
      </w:pPr>
      <w:r w:rsidRPr="000F5317">
        <w:rPr>
          <w:rFonts w:ascii="Times New Roman" w:eastAsia="Calibri" w:hAnsi="Times New Roman" w:cs="Times New Roman"/>
          <w:i/>
        </w:rPr>
        <w:t>Avots: VID dati</w:t>
      </w:r>
    </w:p>
    <w:p w14:paraId="489D8E8D" w14:textId="77777777" w:rsidR="00154189" w:rsidRPr="00516007" w:rsidRDefault="00154189" w:rsidP="00154189">
      <w:pPr>
        <w:pStyle w:val="BodyTextIndent2"/>
        <w:tabs>
          <w:tab w:val="left" w:pos="709"/>
        </w:tabs>
        <w:ind w:firstLine="0"/>
        <w:jc w:val="right"/>
        <w:rPr>
          <w:rFonts w:eastAsiaTheme="minorHAnsi"/>
          <w:i/>
          <w:sz w:val="24"/>
          <w:szCs w:val="24"/>
          <w:lang w:eastAsia="en-US"/>
        </w:rPr>
      </w:pPr>
      <w:r>
        <w:rPr>
          <w:rFonts w:eastAsiaTheme="minorHAnsi"/>
          <w:i/>
          <w:sz w:val="24"/>
          <w:szCs w:val="24"/>
          <w:lang w:eastAsia="en-US"/>
        </w:rPr>
        <w:t>4</w:t>
      </w:r>
      <w:r w:rsidRPr="00516007">
        <w:rPr>
          <w:rFonts w:eastAsiaTheme="minorHAnsi"/>
          <w:i/>
          <w:sz w:val="24"/>
          <w:szCs w:val="24"/>
          <w:lang w:eastAsia="en-US"/>
        </w:rPr>
        <w:t>.</w:t>
      </w:r>
      <w:r>
        <w:rPr>
          <w:rFonts w:eastAsiaTheme="minorHAnsi"/>
          <w:i/>
          <w:sz w:val="24"/>
          <w:szCs w:val="24"/>
          <w:lang w:eastAsia="en-US"/>
        </w:rPr>
        <w:t xml:space="preserve"> </w:t>
      </w:r>
      <w:r w:rsidRPr="00516007">
        <w:rPr>
          <w:rFonts w:eastAsiaTheme="minorHAnsi"/>
          <w:i/>
          <w:sz w:val="24"/>
          <w:szCs w:val="24"/>
          <w:lang w:eastAsia="en-US"/>
        </w:rPr>
        <w:t>tabula</w:t>
      </w:r>
    </w:p>
    <w:p w14:paraId="5F729029" w14:textId="77777777" w:rsidR="00154189" w:rsidRPr="00DF553B" w:rsidRDefault="00154189" w:rsidP="00154189">
      <w:pPr>
        <w:pStyle w:val="BodyTextIndent2"/>
        <w:tabs>
          <w:tab w:val="left" w:pos="709"/>
        </w:tabs>
        <w:ind w:firstLine="0"/>
        <w:jc w:val="center"/>
        <w:rPr>
          <w:rFonts w:eastAsiaTheme="minorHAnsi"/>
          <w:b/>
          <w:sz w:val="24"/>
          <w:szCs w:val="24"/>
          <w:lang w:eastAsia="en-US"/>
        </w:rPr>
      </w:pPr>
      <w:r w:rsidRPr="00437CDC">
        <w:rPr>
          <w:rFonts w:eastAsiaTheme="minorHAnsi"/>
          <w:b/>
          <w:sz w:val="24"/>
          <w:szCs w:val="24"/>
          <w:lang w:eastAsia="en-US"/>
        </w:rPr>
        <w:t>Nedeklarēto darba algu ienākumu īpatsvars</w:t>
      </w:r>
      <w:r>
        <w:rPr>
          <w:rFonts w:eastAsiaTheme="minorHAnsi"/>
          <w:b/>
          <w:sz w:val="24"/>
          <w:szCs w:val="24"/>
          <w:lang w:eastAsia="en-US"/>
        </w:rPr>
        <w:t xml:space="preserve"> sabiedriskās ēdināšanas nozarē, procentos</w:t>
      </w:r>
    </w:p>
    <w:tbl>
      <w:tblPr>
        <w:tblStyle w:val="TableGrid"/>
        <w:tblW w:w="0" w:type="auto"/>
        <w:tblLook w:val="04A0" w:firstRow="1" w:lastRow="0" w:firstColumn="1" w:lastColumn="0" w:noHBand="0" w:noVBand="1"/>
      </w:tblPr>
      <w:tblGrid>
        <w:gridCol w:w="1571"/>
        <w:gridCol w:w="1709"/>
        <w:gridCol w:w="1674"/>
        <w:gridCol w:w="1674"/>
        <w:gridCol w:w="1674"/>
      </w:tblGrid>
      <w:tr w:rsidR="00154189" w14:paraId="6C37311A" w14:textId="77777777" w:rsidTr="004932C6">
        <w:tc>
          <w:tcPr>
            <w:tcW w:w="1571" w:type="dxa"/>
            <w:vAlign w:val="center"/>
          </w:tcPr>
          <w:p w14:paraId="49116609" w14:textId="77777777" w:rsidR="00154189" w:rsidRPr="000A3317" w:rsidRDefault="00154189" w:rsidP="004932C6">
            <w:pPr>
              <w:ind w:firstLine="0"/>
              <w:jc w:val="center"/>
              <w:rPr>
                <w:rFonts w:ascii="Times New Roman" w:hAnsi="Times New Roman" w:cs="Times New Roman"/>
                <w:b/>
                <w:color w:val="000000"/>
                <w:lang w:eastAsia="lv-LV"/>
              </w:rPr>
            </w:pPr>
            <w:r w:rsidRPr="000A3317">
              <w:rPr>
                <w:rFonts w:ascii="Times New Roman" w:hAnsi="Times New Roman" w:cs="Times New Roman"/>
                <w:b/>
                <w:color w:val="000000"/>
                <w:lang w:eastAsia="lv-LV"/>
              </w:rPr>
              <w:t xml:space="preserve">NACE </w:t>
            </w:r>
            <w:r w:rsidRPr="000A3317">
              <w:rPr>
                <w:rFonts w:ascii="Times New Roman" w:hAnsi="Times New Roman" w:cs="Times New Roman"/>
                <w:b/>
                <w:color w:val="000000"/>
                <w:lang w:val="lv-LV" w:eastAsia="lv-LV"/>
              </w:rPr>
              <w:t>kods</w:t>
            </w:r>
          </w:p>
        </w:tc>
        <w:tc>
          <w:tcPr>
            <w:tcW w:w="1709" w:type="dxa"/>
            <w:vAlign w:val="center"/>
          </w:tcPr>
          <w:p w14:paraId="3B844BC0" w14:textId="77777777" w:rsidR="00154189" w:rsidRPr="000A3317" w:rsidRDefault="00154189" w:rsidP="004932C6">
            <w:pPr>
              <w:ind w:firstLine="0"/>
              <w:jc w:val="center"/>
              <w:rPr>
                <w:rFonts w:ascii="Times New Roman" w:hAnsi="Times New Roman" w:cs="Times New Roman"/>
                <w:b/>
                <w:color w:val="000000"/>
                <w:lang w:val="lv-LV" w:eastAsia="lv-LV"/>
              </w:rPr>
            </w:pPr>
            <w:r w:rsidRPr="000A3317">
              <w:rPr>
                <w:rFonts w:ascii="Times New Roman" w:hAnsi="Times New Roman" w:cs="Times New Roman"/>
                <w:b/>
                <w:color w:val="000000"/>
                <w:lang w:val="lv-LV" w:eastAsia="lv-LV"/>
              </w:rPr>
              <w:t>NACE nosaukums</w:t>
            </w:r>
          </w:p>
        </w:tc>
        <w:tc>
          <w:tcPr>
            <w:tcW w:w="1674" w:type="dxa"/>
            <w:vAlign w:val="center"/>
          </w:tcPr>
          <w:p w14:paraId="5D5ACE7A" w14:textId="169885B7" w:rsidR="00154189" w:rsidRPr="00F128F4" w:rsidRDefault="00BD241D" w:rsidP="004932C6">
            <w:pPr>
              <w:ind w:firstLine="0"/>
              <w:jc w:val="center"/>
              <w:rPr>
                <w:rFonts w:ascii="Times New Roman" w:hAnsi="Times New Roman" w:cs="Times New Roman"/>
                <w:b/>
                <w:color w:val="000000"/>
                <w:lang w:eastAsia="lv-LV"/>
              </w:rPr>
            </w:pPr>
            <w:r>
              <w:rPr>
                <w:rFonts w:ascii="Times New Roman" w:hAnsi="Times New Roman" w:cs="Times New Roman"/>
                <w:b/>
                <w:color w:val="000000"/>
                <w:lang w:eastAsia="lv-LV"/>
              </w:rPr>
              <w:t>2017</w:t>
            </w:r>
            <w:r w:rsidR="00154189" w:rsidRPr="00F128F4">
              <w:rPr>
                <w:rFonts w:ascii="Times New Roman" w:hAnsi="Times New Roman" w:cs="Times New Roman"/>
                <w:b/>
                <w:color w:val="000000"/>
                <w:lang w:eastAsia="lv-LV"/>
              </w:rPr>
              <w:t>.</w:t>
            </w:r>
            <w:r w:rsidR="00154189">
              <w:rPr>
                <w:rFonts w:ascii="Times New Roman" w:hAnsi="Times New Roman" w:cs="Times New Roman"/>
                <w:b/>
                <w:color w:val="000000"/>
                <w:lang w:eastAsia="lv-LV"/>
              </w:rPr>
              <w:t> </w:t>
            </w:r>
            <w:r w:rsidR="00154189" w:rsidRPr="00F128F4">
              <w:rPr>
                <w:rFonts w:ascii="Times New Roman" w:hAnsi="Times New Roman" w:cs="Times New Roman"/>
                <w:b/>
                <w:color w:val="000000"/>
                <w:lang w:eastAsia="lv-LV"/>
              </w:rPr>
              <w:t>gads</w:t>
            </w:r>
          </w:p>
        </w:tc>
        <w:tc>
          <w:tcPr>
            <w:tcW w:w="1674" w:type="dxa"/>
            <w:vAlign w:val="center"/>
          </w:tcPr>
          <w:p w14:paraId="7FB01454" w14:textId="68E42DEC" w:rsidR="00154189" w:rsidRPr="000A3317" w:rsidRDefault="00BD241D" w:rsidP="004932C6">
            <w:pPr>
              <w:ind w:firstLine="0"/>
              <w:jc w:val="center"/>
              <w:rPr>
                <w:rFonts w:ascii="Times New Roman" w:hAnsi="Times New Roman" w:cs="Times New Roman"/>
                <w:b/>
                <w:color w:val="000000"/>
                <w:lang w:eastAsia="lv-LV"/>
              </w:rPr>
            </w:pPr>
            <w:r>
              <w:rPr>
                <w:rFonts w:ascii="Times New Roman" w:hAnsi="Times New Roman" w:cs="Times New Roman"/>
                <w:b/>
                <w:color w:val="000000"/>
                <w:lang w:eastAsia="lv-LV"/>
              </w:rPr>
              <w:t>2018</w:t>
            </w:r>
            <w:r w:rsidR="00154189">
              <w:rPr>
                <w:rFonts w:ascii="Times New Roman" w:hAnsi="Times New Roman" w:cs="Times New Roman"/>
                <w:b/>
                <w:color w:val="000000"/>
                <w:lang w:eastAsia="lv-LV"/>
              </w:rPr>
              <w:t>. gads</w:t>
            </w:r>
          </w:p>
        </w:tc>
        <w:tc>
          <w:tcPr>
            <w:tcW w:w="1674" w:type="dxa"/>
            <w:vAlign w:val="center"/>
          </w:tcPr>
          <w:p w14:paraId="2108DDF1" w14:textId="30FC8D71" w:rsidR="00154189" w:rsidRPr="000A3317" w:rsidRDefault="00BD241D" w:rsidP="004932C6">
            <w:pPr>
              <w:ind w:firstLine="0"/>
              <w:jc w:val="center"/>
              <w:rPr>
                <w:rFonts w:ascii="Times New Roman" w:hAnsi="Times New Roman" w:cs="Times New Roman"/>
                <w:b/>
                <w:bCs/>
                <w:color w:val="000000"/>
                <w:lang w:eastAsia="lv-LV"/>
              </w:rPr>
            </w:pPr>
            <w:r>
              <w:rPr>
                <w:rFonts w:ascii="Times New Roman" w:hAnsi="Times New Roman" w:cs="Times New Roman"/>
                <w:b/>
                <w:bCs/>
                <w:color w:val="000000"/>
                <w:lang w:eastAsia="lv-LV"/>
              </w:rPr>
              <w:t>2019</w:t>
            </w:r>
            <w:r w:rsidR="00154189" w:rsidRPr="000A3317">
              <w:rPr>
                <w:rFonts w:ascii="Times New Roman" w:hAnsi="Times New Roman" w:cs="Times New Roman"/>
                <w:b/>
                <w:bCs/>
                <w:color w:val="000000"/>
                <w:lang w:eastAsia="lv-LV"/>
              </w:rPr>
              <w:t>.</w:t>
            </w:r>
            <w:r w:rsidR="00154189">
              <w:rPr>
                <w:rFonts w:ascii="Times New Roman" w:hAnsi="Times New Roman" w:cs="Times New Roman"/>
                <w:b/>
                <w:bCs/>
                <w:color w:val="000000"/>
                <w:lang w:eastAsia="lv-LV"/>
              </w:rPr>
              <w:t> </w:t>
            </w:r>
            <w:r w:rsidR="00154189" w:rsidRPr="000A3317">
              <w:rPr>
                <w:rFonts w:ascii="Times New Roman" w:hAnsi="Times New Roman" w:cs="Times New Roman"/>
                <w:b/>
                <w:bCs/>
                <w:color w:val="000000"/>
                <w:lang w:eastAsia="lv-LV"/>
              </w:rPr>
              <w:t>g</w:t>
            </w:r>
            <w:r w:rsidR="00154189">
              <w:rPr>
                <w:rFonts w:ascii="Times New Roman" w:hAnsi="Times New Roman" w:cs="Times New Roman"/>
                <w:b/>
                <w:bCs/>
                <w:color w:val="000000"/>
                <w:lang w:eastAsia="lv-LV"/>
              </w:rPr>
              <w:t>ads</w:t>
            </w:r>
          </w:p>
        </w:tc>
      </w:tr>
      <w:tr w:rsidR="00154189" w14:paraId="3E36213E" w14:textId="77777777" w:rsidTr="004932C6">
        <w:trPr>
          <w:trHeight w:val="487"/>
        </w:trPr>
        <w:tc>
          <w:tcPr>
            <w:tcW w:w="1571" w:type="dxa"/>
            <w:vAlign w:val="center"/>
          </w:tcPr>
          <w:p w14:paraId="1C63A863" w14:textId="77777777" w:rsidR="00154189" w:rsidRPr="00B952B5" w:rsidRDefault="00154189" w:rsidP="004932C6">
            <w:pPr>
              <w:ind w:firstLine="0"/>
              <w:jc w:val="center"/>
              <w:rPr>
                <w:rFonts w:ascii="Times New Roman" w:hAnsi="Times New Roman" w:cs="Times New Roman"/>
                <w:color w:val="000000"/>
                <w:lang w:eastAsia="lv-LV"/>
              </w:rPr>
            </w:pPr>
            <w:r>
              <w:rPr>
                <w:rFonts w:ascii="Times New Roman" w:hAnsi="Times New Roman" w:cs="Times New Roman"/>
                <w:color w:val="000000"/>
                <w:lang w:eastAsia="lv-LV"/>
              </w:rPr>
              <w:t>56</w:t>
            </w:r>
          </w:p>
        </w:tc>
        <w:tc>
          <w:tcPr>
            <w:tcW w:w="1709" w:type="dxa"/>
            <w:vAlign w:val="center"/>
          </w:tcPr>
          <w:p w14:paraId="363F8DD8" w14:textId="77777777" w:rsidR="00154189" w:rsidRPr="008B5B0B" w:rsidRDefault="00154189" w:rsidP="004932C6">
            <w:pPr>
              <w:ind w:firstLine="0"/>
              <w:rPr>
                <w:rFonts w:ascii="Times New Roman" w:hAnsi="Times New Roman" w:cs="Times New Roman"/>
                <w:color w:val="000000"/>
                <w:lang w:val="lv-LV" w:eastAsia="lv-LV"/>
              </w:rPr>
            </w:pPr>
            <w:r w:rsidRPr="008B5B0B">
              <w:rPr>
                <w:rFonts w:ascii="Times New Roman" w:hAnsi="Times New Roman" w:cs="Times New Roman"/>
                <w:color w:val="000000"/>
                <w:lang w:val="lv-LV" w:eastAsia="lv-LV"/>
              </w:rPr>
              <w:t>Ēdināšanas pakalpojumi</w:t>
            </w:r>
          </w:p>
        </w:tc>
        <w:tc>
          <w:tcPr>
            <w:tcW w:w="1674" w:type="dxa"/>
          </w:tcPr>
          <w:p w14:paraId="3F3173EE" w14:textId="590734C9" w:rsidR="00154189" w:rsidRPr="003838FD" w:rsidRDefault="00BD241D" w:rsidP="004932C6">
            <w:pPr>
              <w:spacing w:before="120"/>
              <w:ind w:firstLine="0"/>
              <w:jc w:val="center"/>
              <w:rPr>
                <w:rFonts w:ascii="Times New Roman" w:hAnsi="Times New Roman" w:cs="Times New Roman"/>
                <w:color w:val="000000"/>
                <w:lang w:eastAsia="lv-LV"/>
              </w:rPr>
            </w:pPr>
            <w:r w:rsidRPr="003838FD">
              <w:rPr>
                <w:rFonts w:ascii="Times New Roman" w:hAnsi="Times New Roman" w:cs="Times New Roman"/>
                <w:szCs w:val="24"/>
              </w:rPr>
              <w:t>19,39</w:t>
            </w:r>
          </w:p>
        </w:tc>
        <w:tc>
          <w:tcPr>
            <w:tcW w:w="1674" w:type="dxa"/>
          </w:tcPr>
          <w:p w14:paraId="673950D8" w14:textId="20BB2ABF" w:rsidR="00154189" w:rsidRPr="003838FD" w:rsidRDefault="00BD241D" w:rsidP="004932C6">
            <w:pPr>
              <w:spacing w:before="120"/>
              <w:ind w:firstLine="0"/>
              <w:jc w:val="center"/>
              <w:rPr>
                <w:rFonts w:ascii="Times New Roman" w:hAnsi="Times New Roman" w:cs="Times New Roman"/>
                <w:color w:val="000000"/>
                <w:lang w:eastAsia="lv-LV"/>
              </w:rPr>
            </w:pPr>
            <w:r w:rsidRPr="003838FD">
              <w:rPr>
                <w:rFonts w:ascii="Times New Roman" w:hAnsi="Times New Roman" w:cs="Times New Roman"/>
                <w:szCs w:val="24"/>
              </w:rPr>
              <w:t>18,28</w:t>
            </w:r>
          </w:p>
        </w:tc>
        <w:tc>
          <w:tcPr>
            <w:tcW w:w="1674" w:type="dxa"/>
          </w:tcPr>
          <w:p w14:paraId="1CDF5114" w14:textId="616A4EB8" w:rsidR="00154189" w:rsidRPr="003838FD" w:rsidRDefault="00BD241D" w:rsidP="004932C6">
            <w:pPr>
              <w:spacing w:before="120"/>
              <w:ind w:firstLine="0"/>
              <w:jc w:val="center"/>
              <w:rPr>
                <w:rFonts w:ascii="Times New Roman" w:hAnsi="Times New Roman" w:cs="Times New Roman"/>
                <w:color w:val="000000"/>
                <w:lang w:eastAsia="lv-LV"/>
              </w:rPr>
            </w:pPr>
            <w:r w:rsidRPr="003838FD">
              <w:rPr>
                <w:rFonts w:ascii="Times New Roman" w:hAnsi="Times New Roman" w:cs="Times New Roman"/>
                <w:szCs w:val="24"/>
              </w:rPr>
              <w:t>18,20</w:t>
            </w:r>
          </w:p>
        </w:tc>
      </w:tr>
    </w:tbl>
    <w:p w14:paraId="3DA60B1C" w14:textId="7404CFBF" w:rsidR="00154189" w:rsidRDefault="00154189" w:rsidP="00154189">
      <w:pPr>
        <w:ind w:firstLine="0"/>
        <w:rPr>
          <w:rFonts w:ascii="Times New Roman" w:eastAsia="Calibri" w:hAnsi="Times New Roman" w:cs="Times New Roman"/>
          <w:i/>
        </w:rPr>
      </w:pPr>
      <w:r w:rsidRPr="008E17EC">
        <w:rPr>
          <w:rFonts w:ascii="Times New Roman" w:eastAsia="Calibri" w:hAnsi="Times New Roman" w:cs="Times New Roman"/>
          <w:i/>
        </w:rPr>
        <w:t>Avots: VID dati</w:t>
      </w:r>
    </w:p>
    <w:p w14:paraId="1645745B" w14:textId="783F916A" w:rsidR="00EE5EDC" w:rsidRDefault="00EE5EDC" w:rsidP="00154189">
      <w:pPr>
        <w:ind w:firstLine="0"/>
        <w:rPr>
          <w:rFonts w:ascii="Times New Roman" w:eastAsia="Calibri" w:hAnsi="Times New Roman" w:cs="Times New Roman"/>
        </w:rPr>
      </w:pPr>
    </w:p>
    <w:p w14:paraId="39BA8260" w14:textId="46272000" w:rsidR="00A95D35" w:rsidRDefault="00A95D35" w:rsidP="00154189">
      <w:pPr>
        <w:ind w:firstLine="0"/>
        <w:rPr>
          <w:rFonts w:ascii="Times New Roman" w:eastAsia="Calibri" w:hAnsi="Times New Roman" w:cs="Times New Roman"/>
        </w:rPr>
      </w:pPr>
    </w:p>
    <w:p w14:paraId="660388AC" w14:textId="77777777" w:rsidR="00A95D35" w:rsidRPr="00310A6B" w:rsidRDefault="00A95D35" w:rsidP="00154189">
      <w:pPr>
        <w:ind w:firstLine="0"/>
        <w:rPr>
          <w:rFonts w:ascii="Times New Roman" w:eastAsia="Calibri" w:hAnsi="Times New Roman" w:cs="Times New Roman"/>
        </w:rPr>
      </w:pPr>
    </w:p>
    <w:p w14:paraId="260504DE" w14:textId="77777777" w:rsidR="00BA5BDE" w:rsidRDefault="00BA5BDE" w:rsidP="00CD452F">
      <w:pPr>
        <w:pStyle w:val="Heading1"/>
      </w:pPr>
      <w:bookmarkStart w:id="13" w:name="_Toc63687771"/>
      <w:r w:rsidRPr="00BA5BDE">
        <w:lastRenderedPageBreak/>
        <w:t>Ēnu ekonomikas ierobež</w:t>
      </w:r>
      <w:r w:rsidR="006C6263">
        <w:t>ošanas</w:t>
      </w:r>
      <w:r w:rsidRPr="00BA5BDE">
        <w:t xml:space="preserve"> pasākumi 2019.</w:t>
      </w:r>
      <w:r w:rsidR="00155FA2">
        <w:t> </w:t>
      </w:r>
      <w:r w:rsidRPr="00BA5BDE">
        <w:t>gadā</w:t>
      </w:r>
      <w:bookmarkEnd w:id="13"/>
    </w:p>
    <w:p w14:paraId="29988E5E" w14:textId="77777777" w:rsidR="008E62A7" w:rsidRDefault="008E62A7" w:rsidP="00BA5BDE">
      <w:pPr>
        <w:rPr>
          <w:rFonts w:ascii="Times New Roman" w:hAnsi="Times New Roman" w:cs="Times New Roman"/>
          <w:sz w:val="24"/>
          <w:szCs w:val="24"/>
        </w:rPr>
      </w:pPr>
    </w:p>
    <w:p w14:paraId="5C9A7E32" w14:textId="77777777" w:rsidR="00BA5BDE" w:rsidRPr="00BA5BDE" w:rsidRDefault="00BA5BDE" w:rsidP="00BA5BDE">
      <w:pPr>
        <w:rPr>
          <w:rFonts w:ascii="Times New Roman" w:hAnsi="Times New Roman" w:cs="Times New Roman"/>
          <w:sz w:val="24"/>
          <w:szCs w:val="24"/>
        </w:rPr>
      </w:pPr>
      <w:r w:rsidRPr="00BA5BDE">
        <w:rPr>
          <w:rFonts w:ascii="Times New Roman" w:hAnsi="Times New Roman" w:cs="Times New Roman"/>
          <w:sz w:val="24"/>
          <w:szCs w:val="24"/>
        </w:rPr>
        <w:t xml:space="preserve">Gan esošā </w:t>
      </w:r>
      <w:r w:rsidR="00221C20">
        <w:rPr>
          <w:rFonts w:ascii="Times New Roman" w:hAnsi="Times New Roman" w:cs="Times New Roman"/>
          <w:sz w:val="24"/>
          <w:szCs w:val="24"/>
        </w:rPr>
        <w:t>P</w:t>
      </w:r>
      <w:r w:rsidRPr="00BA5BDE">
        <w:rPr>
          <w:rFonts w:ascii="Times New Roman" w:hAnsi="Times New Roman" w:cs="Times New Roman"/>
          <w:sz w:val="24"/>
          <w:szCs w:val="24"/>
        </w:rPr>
        <w:t xml:space="preserve">lāna ietvaros, gan ārpus </w:t>
      </w:r>
      <w:r w:rsidR="00221C20">
        <w:rPr>
          <w:rFonts w:ascii="Times New Roman" w:hAnsi="Times New Roman" w:cs="Times New Roman"/>
          <w:sz w:val="24"/>
          <w:szCs w:val="24"/>
        </w:rPr>
        <w:t>P</w:t>
      </w:r>
      <w:r w:rsidRPr="00BA5BDE">
        <w:rPr>
          <w:rFonts w:ascii="Times New Roman" w:hAnsi="Times New Roman" w:cs="Times New Roman"/>
          <w:sz w:val="24"/>
          <w:szCs w:val="24"/>
        </w:rPr>
        <w:t>lāna uzdotu uzdevumu ietvaros 2019.</w:t>
      </w:r>
      <w:r w:rsidR="00155FA2">
        <w:rPr>
          <w:rFonts w:ascii="Times New Roman" w:hAnsi="Times New Roman" w:cs="Times New Roman"/>
          <w:sz w:val="24"/>
          <w:szCs w:val="24"/>
        </w:rPr>
        <w:t> </w:t>
      </w:r>
      <w:r w:rsidRPr="00BA5BDE">
        <w:rPr>
          <w:rFonts w:ascii="Times New Roman" w:hAnsi="Times New Roman" w:cs="Times New Roman"/>
          <w:sz w:val="24"/>
          <w:szCs w:val="24"/>
        </w:rPr>
        <w:t xml:space="preserve">gadā </w:t>
      </w:r>
      <w:r w:rsidR="00223B40">
        <w:rPr>
          <w:rFonts w:ascii="Times New Roman" w:hAnsi="Times New Roman" w:cs="Times New Roman"/>
          <w:sz w:val="24"/>
          <w:szCs w:val="24"/>
        </w:rPr>
        <w:t>FM</w:t>
      </w:r>
      <w:r w:rsidRPr="00BA5BDE">
        <w:rPr>
          <w:rFonts w:ascii="Times New Roman" w:hAnsi="Times New Roman" w:cs="Times New Roman"/>
          <w:sz w:val="24"/>
          <w:szCs w:val="24"/>
        </w:rPr>
        <w:t xml:space="preserve"> turpinātas jau iepriekšējos gados iesāktās iniciatīvas ēnu ekonomikas mazināšanai, kā arī īsteno</w:t>
      </w:r>
      <w:r w:rsidR="00B24D31">
        <w:rPr>
          <w:rFonts w:ascii="Times New Roman" w:hAnsi="Times New Roman" w:cs="Times New Roman"/>
          <w:sz w:val="24"/>
          <w:szCs w:val="24"/>
        </w:rPr>
        <w:t>ti</w:t>
      </w:r>
      <w:r w:rsidRPr="00BA5BDE">
        <w:rPr>
          <w:rFonts w:ascii="Times New Roman" w:hAnsi="Times New Roman" w:cs="Times New Roman"/>
          <w:sz w:val="24"/>
          <w:szCs w:val="24"/>
        </w:rPr>
        <w:t xml:space="preserve"> jaun</w:t>
      </w:r>
      <w:r w:rsidR="00B24D31">
        <w:rPr>
          <w:rFonts w:ascii="Times New Roman" w:hAnsi="Times New Roman" w:cs="Times New Roman"/>
          <w:sz w:val="24"/>
          <w:szCs w:val="24"/>
        </w:rPr>
        <w:t>i</w:t>
      </w:r>
      <w:r w:rsidRPr="00BA5BDE">
        <w:rPr>
          <w:rFonts w:ascii="Times New Roman" w:hAnsi="Times New Roman" w:cs="Times New Roman"/>
          <w:sz w:val="24"/>
          <w:szCs w:val="24"/>
        </w:rPr>
        <w:t xml:space="preserve"> pasāku</w:t>
      </w:r>
      <w:r w:rsidR="00C33F9A">
        <w:rPr>
          <w:rFonts w:ascii="Times New Roman" w:hAnsi="Times New Roman" w:cs="Times New Roman"/>
          <w:sz w:val="24"/>
          <w:szCs w:val="24"/>
        </w:rPr>
        <w:t>m</w:t>
      </w:r>
      <w:r w:rsidR="00B24D31">
        <w:rPr>
          <w:rFonts w:ascii="Times New Roman" w:hAnsi="Times New Roman" w:cs="Times New Roman"/>
          <w:sz w:val="24"/>
          <w:szCs w:val="24"/>
        </w:rPr>
        <w:t>i</w:t>
      </w:r>
      <w:r w:rsidR="00C33F9A">
        <w:rPr>
          <w:rFonts w:ascii="Times New Roman" w:hAnsi="Times New Roman" w:cs="Times New Roman"/>
          <w:sz w:val="24"/>
          <w:szCs w:val="24"/>
        </w:rPr>
        <w:t xml:space="preserve"> ēnu ekonomikas ierobežošanai</w:t>
      </w:r>
      <w:r w:rsidRPr="00BA5BDE">
        <w:rPr>
          <w:rFonts w:ascii="Times New Roman" w:hAnsi="Times New Roman" w:cs="Times New Roman"/>
          <w:sz w:val="24"/>
          <w:szCs w:val="24"/>
        </w:rPr>
        <w:t>:</w:t>
      </w:r>
    </w:p>
    <w:p w14:paraId="2DE81A09" w14:textId="77777777" w:rsidR="00BA5BDE" w:rsidRPr="00BA5BDE" w:rsidRDefault="00BA5BDE" w:rsidP="00866865">
      <w:pPr>
        <w:ind w:left="-57"/>
        <w:rPr>
          <w:rFonts w:ascii="Times New Roman" w:hAnsi="Times New Roman" w:cs="Times New Roman"/>
          <w:sz w:val="24"/>
          <w:szCs w:val="24"/>
        </w:rPr>
      </w:pPr>
      <w:r w:rsidRPr="00BA5BDE">
        <w:rPr>
          <w:rFonts w:ascii="Times New Roman" w:hAnsi="Times New Roman" w:cs="Times New Roman"/>
          <w:sz w:val="24"/>
          <w:szCs w:val="24"/>
        </w:rPr>
        <w:t>- 2019.</w:t>
      </w:r>
      <w:r w:rsidR="00155FA2">
        <w:rPr>
          <w:rFonts w:ascii="Times New Roman" w:hAnsi="Times New Roman" w:cs="Times New Roman"/>
          <w:sz w:val="24"/>
          <w:szCs w:val="24"/>
        </w:rPr>
        <w:t> </w:t>
      </w:r>
      <w:r w:rsidRPr="00BA5BDE">
        <w:rPr>
          <w:rFonts w:ascii="Times New Roman" w:hAnsi="Times New Roman" w:cs="Times New Roman"/>
          <w:sz w:val="24"/>
          <w:szCs w:val="24"/>
        </w:rPr>
        <w:t xml:space="preserve">gadā ir </w:t>
      </w:r>
      <w:r w:rsidRPr="00C32F32">
        <w:rPr>
          <w:rFonts w:ascii="Times New Roman" w:hAnsi="Times New Roman" w:cs="Times New Roman"/>
          <w:sz w:val="24"/>
          <w:szCs w:val="24"/>
        </w:rPr>
        <w:t>pilnveidots</w:t>
      </w:r>
      <w:r w:rsidRPr="00C05E35">
        <w:rPr>
          <w:rFonts w:ascii="Times New Roman" w:hAnsi="Times New Roman" w:cs="Times New Roman"/>
          <w:b/>
          <w:sz w:val="24"/>
          <w:szCs w:val="24"/>
        </w:rPr>
        <w:t xml:space="preserve"> </w:t>
      </w:r>
      <w:r w:rsidRPr="003418B8">
        <w:rPr>
          <w:rFonts w:ascii="Times New Roman" w:hAnsi="Times New Roman" w:cs="Times New Roman"/>
          <w:bCs/>
          <w:sz w:val="24"/>
          <w:szCs w:val="24"/>
        </w:rPr>
        <w:t xml:space="preserve">juridiskās personas nokavēto nodokļu maksājumu atlīdzināšanas regulējums, </w:t>
      </w:r>
      <w:r w:rsidRPr="00BA5BDE">
        <w:rPr>
          <w:rFonts w:ascii="Times New Roman" w:hAnsi="Times New Roman" w:cs="Times New Roman"/>
          <w:sz w:val="24"/>
          <w:szCs w:val="24"/>
        </w:rPr>
        <w:t xml:space="preserve">paredzot, ka atbildību par juridiskās personas nokavētajiem nodokļu maksājumiem varēs piemērot ne tikai valdes loceklim, bet arī juridiskās personas faktiskajam vadītājam. Tāpat vienlaikus ir pilnveidots viens no likumā noteiktajiem kritērijiem, saskaņā ar kuru </w:t>
      </w:r>
      <w:r w:rsidR="00C33F9A">
        <w:rPr>
          <w:rFonts w:ascii="Times New Roman" w:hAnsi="Times New Roman" w:cs="Times New Roman"/>
          <w:sz w:val="24"/>
          <w:szCs w:val="24"/>
        </w:rPr>
        <w:t>VID</w:t>
      </w:r>
      <w:r w:rsidRPr="00BA5BDE">
        <w:rPr>
          <w:rFonts w:ascii="Times New Roman" w:hAnsi="Times New Roman" w:cs="Times New Roman"/>
          <w:sz w:val="24"/>
          <w:szCs w:val="24"/>
        </w:rPr>
        <w:t xml:space="preserve"> ir tiesīgs uzsākt procesu par juridiskās personas nokavēto nodokļu maksājumu atlīdzināšanu budžetam. Tā rezultātā vairs nebūs nozīmes tam, kāds statuss ir personai, kurai ir atsavināti juridiskās personas aktīvi, pret juridiskās personas valdes locekli, jo veiktās izmaiņas paredz, ka šajā gadījumā būtiski būs konstatēt faktu, ka juridiskās personas (jeb juridiskās personas izpildinstitūcijas (valdes) vai faktiskā vadītāja) darbības vai bezdarbības rezultātā nav pilnā apmērā veikti juridiskās personas nokavēti nodokļu maksājumi likumā noteiktajos termiņos. Tāpat tiks sekmēta gan godprātīga nodokļu maksājumu veikšana, gan nodrošināta efektīva nodokļu iekasēšanas sistēma, nodrošinot, ka budžets saņems tam pienākošos juridiskās personas savlaicīgi neveiktos nodokļu maksājumus; </w:t>
      </w:r>
    </w:p>
    <w:p w14:paraId="3C3B84E4" w14:textId="77777777" w:rsidR="00BA5BDE" w:rsidRPr="00BA5BDE" w:rsidRDefault="00BA5BDE" w:rsidP="00BA5BDE">
      <w:pPr>
        <w:rPr>
          <w:rFonts w:ascii="Times New Roman" w:hAnsi="Times New Roman" w:cs="Times New Roman"/>
          <w:sz w:val="24"/>
          <w:szCs w:val="24"/>
        </w:rPr>
      </w:pPr>
      <w:r w:rsidRPr="00BA5BDE">
        <w:rPr>
          <w:rFonts w:ascii="Times New Roman" w:hAnsi="Times New Roman" w:cs="Times New Roman"/>
          <w:sz w:val="24"/>
          <w:szCs w:val="24"/>
        </w:rPr>
        <w:t>- ar 2020.</w:t>
      </w:r>
      <w:r w:rsidR="00C123FC">
        <w:rPr>
          <w:rFonts w:ascii="Times New Roman" w:hAnsi="Times New Roman" w:cs="Times New Roman"/>
          <w:sz w:val="24"/>
          <w:szCs w:val="24"/>
        </w:rPr>
        <w:t> </w:t>
      </w:r>
      <w:r w:rsidRPr="00BA5BDE">
        <w:rPr>
          <w:rFonts w:ascii="Times New Roman" w:hAnsi="Times New Roman" w:cs="Times New Roman"/>
          <w:sz w:val="24"/>
          <w:szCs w:val="24"/>
        </w:rPr>
        <w:t xml:space="preserve">gadu VID ir plašākas tiesības sniegt </w:t>
      </w:r>
      <w:r w:rsidRPr="00EE0EB0">
        <w:rPr>
          <w:rFonts w:ascii="Times New Roman" w:hAnsi="Times New Roman" w:cs="Times New Roman"/>
          <w:bCs/>
          <w:sz w:val="24"/>
          <w:szCs w:val="24"/>
        </w:rPr>
        <w:t>informāciju par nodokļu maksātāja riskantajiem darījumu partneriem,</w:t>
      </w:r>
      <w:r w:rsidRPr="00BA5BDE">
        <w:rPr>
          <w:rFonts w:ascii="Times New Roman" w:hAnsi="Times New Roman" w:cs="Times New Roman"/>
          <w:sz w:val="24"/>
          <w:szCs w:val="24"/>
        </w:rPr>
        <w:t xml:space="preserve"> kas nenoliedzami palīdzēs nodokļu maksātājiem izvairīties no negodprātīgiem darījumu partneriem un samazinās risku tikt iesaistītiem krāpnieciskos darījumos;</w:t>
      </w:r>
    </w:p>
    <w:p w14:paraId="5265EC74" w14:textId="4BF19457" w:rsidR="00BA5BDE" w:rsidRPr="00BA5BDE" w:rsidRDefault="00BA5BDE" w:rsidP="00BA5BDE">
      <w:pPr>
        <w:rPr>
          <w:rFonts w:ascii="Times New Roman" w:hAnsi="Times New Roman" w:cs="Times New Roman"/>
          <w:sz w:val="24"/>
          <w:szCs w:val="24"/>
        </w:rPr>
      </w:pPr>
      <w:r w:rsidRPr="00BA5BDE">
        <w:rPr>
          <w:rFonts w:ascii="Times New Roman" w:hAnsi="Times New Roman" w:cs="Times New Roman"/>
          <w:sz w:val="24"/>
          <w:szCs w:val="24"/>
        </w:rPr>
        <w:t>- no 2019.</w:t>
      </w:r>
      <w:r w:rsidR="00A7476D">
        <w:rPr>
          <w:rFonts w:ascii="Times New Roman" w:hAnsi="Times New Roman" w:cs="Times New Roman"/>
          <w:sz w:val="24"/>
          <w:szCs w:val="24"/>
        </w:rPr>
        <w:t> </w:t>
      </w:r>
      <w:r w:rsidRPr="00BA5BDE">
        <w:rPr>
          <w:rFonts w:ascii="Times New Roman" w:hAnsi="Times New Roman" w:cs="Times New Roman"/>
          <w:sz w:val="24"/>
          <w:szCs w:val="24"/>
        </w:rPr>
        <w:t>gada 1.</w:t>
      </w:r>
      <w:r w:rsidR="00A7476D">
        <w:rPr>
          <w:rFonts w:ascii="Times New Roman" w:hAnsi="Times New Roman" w:cs="Times New Roman"/>
          <w:sz w:val="24"/>
          <w:szCs w:val="24"/>
        </w:rPr>
        <w:t> </w:t>
      </w:r>
      <w:r w:rsidRPr="00BA5BDE">
        <w:rPr>
          <w:rFonts w:ascii="Times New Roman" w:hAnsi="Times New Roman" w:cs="Times New Roman"/>
          <w:sz w:val="24"/>
          <w:szCs w:val="24"/>
        </w:rPr>
        <w:t xml:space="preserve">jūlija </w:t>
      </w:r>
      <w:r w:rsidRPr="0027792A">
        <w:rPr>
          <w:rFonts w:ascii="Times New Roman" w:hAnsi="Times New Roman" w:cs="Times New Roman"/>
          <w:sz w:val="24"/>
          <w:szCs w:val="24"/>
        </w:rPr>
        <w:t>darbojas “Čeku loterijas likums”. Līdz</w:t>
      </w:r>
      <w:r w:rsidRPr="00BA5BDE">
        <w:rPr>
          <w:rFonts w:ascii="Times New Roman" w:hAnsi="Times New Roman" w:cs="Times New Roman"/>
          <w:sz w:val="24"/>
          <w:szCs w:val="24"/>
        </w:rPr>
        <w:t xml:space="preserve"> ar to iedzīvotājiem ir iespēja reģistrēt  pirkumu apliecinošus čekus, biļetes vai kvītis, kas dod iespēju iegūt vērtīgas balvas. VID rīkotās čeku loterijas pirmajā pusgadā iedzīvotāju iesniegtie maksājuma dokumenti devuši vērtīgu ieguldījumu godīgas konkurences veicināšanā un palīdzējuši atklāt negodprātīgos nodokļu nemaksātājus. 2019.</w:t>
      </w:r>
      <w:r w:rsidR="00A7476D">
        <w:rPr>
          <w:rFonts w:ascii="Times New Roman" w:hAnsi="Times New Roman" w:cs="Times New Roman"/>
          <w:sz w:val="24"/>
          <w:szCs w:val="24"/>
        </w:rPr>
        <w:t> </w:t>
      </w:r>
      <w:r w:rsidRPr="00BA5BDE">
        <w:rPr>
          <w:rFonts w:ascii="Times New Roman" w:hAnsi="Times New Roman" w:cs="Times New Roman"/>
          <w:sz w:val="24"/>
          <w:szCs w:val="24"/>
        </w:rPr>
        <w:t xml:space="preserve">gada 6 mēnešos izlozei reģistrēti 9 274 824 maksājuma čeki, kvītis vai biļetes. </w:t>
      </w:r>
      <w:r w:rsidR="00532D30">
        <w:rPr>
          <w:rFonts w:ascii="Times New Roman" w:hAnsi="Times New Roman" w:cs="Times New Roman"/>
          <w:sz w:val="24"/>
          <w:szCs w:val="24"/>
        </w:rPr>
        <w:t>Saistībā ar čeku loteriju VID analizē</w:t>
      </w:r>
      <w:r w:rsidRPr="00BA5BDE">
        <w:rPr>
          <w:rFonts w:ascii="Times New Roman" w:hAnsi="Times New Roman" w:cs="Times New Roman"/>
          <w:sz w:val="24"/>
          <w:szCs w:val="24"/>
        </w:rPr>
        <w:t xml:space="preserve"> loterijai iesniegto maksājuma dokumentu datus, veic preventīvas darbības, kā arī kontroles pasākumus. Visu </w:t>
      </w:r>
      <w:r w:rsidR="00532D30">
        <w:rPr>
          <w:rFonts w:ascii="Times New Roman" w:hAnsi="Times New Roman" w:cs="Times New Roman"/>
          <w:sz w:val="24"/>
          <w:szCs w:val="24"/>
        </w:rPr>
        <w:t xml:space="preserve">minēto </w:t>
      </w:r>
      <w:r w:rsidRPr="00BA5BDE">
        <w:rPr>
          <w:rFonts w:ascii="Times New Roman" w:hAnsi="Times New Roman" w:cs="Times New Roman"/>
          <w:sz w:val="24"/>
          <w:szCs w:val="24"/>
        </w:rPr>
        <w:t xml:space="preserve">darbību rezultātā </w:t>
      </w:r>
      <w:r w:rsidR="00532D30">
        <w:rPr>
          <w:rFonts w:ascii="Times New Roman" w:hAnsi="Times New Roman" w:cs="Times New Roman"/>
          <w:sz w:val="24"/>
          <w:szCs w:val="24"/>
        </w:rPr>
        <w:t>2019.</w:t>
      </w:r>
      <w:r w:rsidR="00A7476D">
        <w:rPr>
          <w:rFonts w:ascii="Times New Roman" w:hAnsi="Times New Roman" w:cs="Times New Roman"/>
          <w:sz w:val="24"/>
          <w:szCs w:val="24"/>
        </w:rPr>
        <w:t> </w:t>
      </w:r>
      <w:r w:rsidR="00532D30">
        <w:rPr>
          <w:rFonts w:ascii="Times New Roman" w:hAnsi="Times New Roman" w:cs="Times New Roman"/>
          <w:sz w:val="24"/>
          <w:szCs w:val="24"/>
        </w:rPr>
        <w:t xml:space="preserve">gadā </w:t>
      </w:r>
      <w:r w:rsidRPr="00BA5BDE">
        <w:rPr>
          <w:rFonts w:ascii="Times New Roman" w:hAnsi="Times New Roman" w:cs="Times New Roman"/>
          <w:sz w:val="24"/>
          <w:szCs w:val="24"/>
        </w:rPr>
        <w:t xml:space="preserve">budžeta ieņēmumi palielināti par 391,6 tūkstošiem </w:t>
      </w:r>
      <w:r w:rsidR="009A09D2" w:rsidRPr="009A09D2">
        <w:rPr>
          <w:rFonts w:ascii="Times New Roman" w:hAnsi="Times New Roman" w:cs="Times New Roman"/>
          <w:i/>
          <w:iCs/>
          <w:sz w:val="24"/>
          <w:szCs w:val="24"/>
        </w:rPr>
        <w:t>euro</w:t>
      </w:r>
      <w:r w:rsidR="00B65F27">
        <w:rPr>
          <w:rFonts w:ascii="Times New Roman" w:hAnsi="Times New Roman" w:cs="Times New Roman"/>
          <w:sz w:val="24"/>
          <w:szCs w:val="24"/>
        </w:rPr>
        <w:t xml:space="preserve">. </w:t>
      </w:r>
      <w:r w:rsidR="00B65F27" w:rsidRPr="00B65F27">
        <w:rPr>
          <w:rFonts w:ascii="Times New Roman" w:hAnsi="Times New Roman" w:cs="Times New Roman"/>
          <w:sz w:val="24"/>
          <w:szCs w:val="24"/>
        </w:rPr>
        <w:t>Loterijai īpaša nozīme ir arī krīzes apstākļos, kad ar tās starpniecību ir iespēja kontrolēt un sekot līdzi dīkstāves pabalstu saņēmēju godprātībai. Proti, pārbaudīt, vai uzņēmumi, esot dīkstāvē un to darbiniekiem saņemot dīkstāves pabalstus, neturpina saimniecisko darbību;</w:t>
      </w:r>
    </w:p>
    <w:p w14:paraId="2B2CFEE0" w14:textId="4AB30ACD" w:rsidR="00BA5BDE" w:rsidRPr="00BA5BDE" w:rsidRDefault="00BA5BDE" w:rsidP="00BA5BDE">
      <w:pPr>
        <w:rPr>
          <w:rFonts w:ascii="Times New Roman" w:hAnsi="Times New Roman" w:cs="Times New Roman"/>
          <w:sz w:val="24"/>
          <w:szCs w:val="24"/>
        </w:rPr>
      </w:pPr>
      <w:r w:rsidRPr="00BA5BDE">
        <w:rPr>
          <w:rFonts w:ascii="Times New Roman" w:hAnsi="Times New Roman" w:cs="Times New Roman"/>
          <w:sz w:val="24"/>
          <w:szCs w:val="24"/>
        </w:rPr>
        <w:t>- ar 2019.</w:t>
      </w:r>
      <w:r w:rsidR="00A7476D">
        <w:rPr>
          <w:rFonts w:ascii="Times New Roman" w:hAnsi="Times New Roman" w:cs="Times New Roman"/>
          <w:sz w:val="24"/>
          <w:szCs w:val="24"/>
        </w:rPr>
        <w:t> </w:t>
      </w:r>
      <w:r w:rsidRPr="00BA5BDE">
        <w:rPr>
          <w:rFonts w:ascii="Times New Roman" w:hAnsi="Times New Roman" w:cs="Times New Roman"/>
          <w:sz w:val="24"/>
          <w:szCs w:val="24"/>
        </w:rPr>
        <w:t>gada 1.</w:t>
      </w:r>
      <w:r w:rsidR="00A7476D">
        <w:rPr>
          <w:rFonts w:ascii="Times New Roman" w:hAnsi="Times New Roman" w:cs="Times New Roman"/>
          <w:sz w:val="24"/>
          <w:szCs w:val="24"/>
        </w:rPr>
        <w:t> </w:t>
      </w:r>
      <w:r w:rsidRPr="00BA5BDE">
        <w:rPr>
          <w:rFonts w:ascii="Times New Roman" w:hAnsi="Times New Roman" w:cs="Times New Roman"/>
          <w:sz w:val="24"/>
          <w:szCs w:val="24"/>
        </w:rPr>
        <w:t xml:space="preserve">jūliju </w:t>
      </w:r>
      <w:r w:rsidR="00136AA3" w:rsidRPr="00136AA3">
        <w:rPr>
          <w:rFonts w:ascii="Times New Roman" w:hAnsi="Times New Roman" w:cs="Times New Roman"/>
          <w:sz w:val="24"/>
          <w:szCs w:val="24"/>
        </w:rPr>
        <w:t>veikti grozījumi Krimināllikumā un likumā Par skaidras naudas deklarēšanu uz valsts robežas</w:t>
      </w:r>
      <w:r w:rsidRPr="006D4C3C">
        <w:rPr>
          <w:rFonts w:ascii="Times New Roman" w:hAnsi="Times New Roman" w:cs="Times New Roman"/>
          <w:bCs/>
          <w:sz w:val="24"/>
          <w:szCs w:val="24"/>
        </w:rPr>
        <w:t xml:space="preserve">, </w:t>
      </w:r>
      <w:r w:rsidRPr="00BA5BDE">
        <w:rPr>
          <w:rFonts w:ascii="Times New Roman" w:hAnsi="Times New Roman" w:cs="Times New Roman"/>
          <w:sz w:val="24"/>
          <w:szCs w:val="24"/>
        </w:rPr>
        <w:t xml:space="preserve">tādējādi </w:t>
      </w:r>
      <w:r w:rsidR="00F15964" w:rsidRPr="00F15964">
        <w:rPr>
          <w:rFonts w:ascii="Times New Roman" w:hAnsi="Times New Roman" w:cs="Times New Roman"/>
          <w:sz w:val="24"/>
          <w:szCs w:val="24"/>
        </w:rPr>
        <w:t>novēršot nedeklarētas vai noziedzīgi iegūtas skaidras naudas ievešanu Latvijas Republikā un izvešanu no tās.</w:t>
      </w:r>
      <w:r w:rsidR="00F15964">
        <w:rPr>
          <w:rFonts w:ascii="Times New Roman" w:hAnsi="Times New Roman" w:cs="Times New Roman"/>
          <w:sz w:val="24"/>
          <w:szCs w:val="24"/>
        </w:rPr>
        <w:t xml:space="preserve"> </w:t>
      </w:r>
      <w:r w:rsidR="00BB3FD8">
        <w:rPr>
          <w:rFonts w:ascii="Times New Roman" w:hAnsi="Times New Roman" w:cs="Times New Roman"/>
          <w:sz w:val="24"/>
          <w:szCs w:val="24"/>
        </w:rPr>
        <w:t xml:space="preserve">2019. gadā </w:t>
      </w:r>
      <w:r w:rsidRPr="00BA5BDE">
        <w:rPr>
          <w:rFonts w:ascii="Times New Roman" w:hAnsi="Times New Roman" w:cs="Times New Roman"/>
          <w:sz w:val="24"/>
          <w:szCs w:val="24"/>
        </w:rPr>
        <w:t>VID ir saņemtas 63 skaidras naudas deklarācijas par skaidras naudas ievešanu vai izvešanu, šķērsojot valsts iekšējo robežu. Iebraucot Latvijā, pēc pieprasījuma iesniegtas 26 skaidras naudas deklarācijas par kopējo summu 487</w:t>
      </w:r>
      <w:r w:rsidR="00532D30">
        <w:rPr>
          <w:rFonts w:ascii="Times New Roman" w:hAnsi="Times New Roman" w:cs="Times New Roman"/>
          <w:sz w:val="24"/>
          <w:szCs w:val="24"/>
        </w:rPr>
        <w:t> </w:t>
      </w:r>
      <w:r w:rsidRPr="00BA5BDE">
        <w:rPr>
          <w:rFonts w:ascii="Times New Roman" w:hAnsi="Times New Roman" w:cs="Times New Roman"/>
          <w:sz w:val="24"/>
          <w:szCs w:val="24"/>
        </w:rPr>
        <w:t>981</w:t>
      </w:r>
      <w:r w:rsidR="00532D30">
        <w:rPr>
          <w:rFonts w:ascii="Times New Roman" w:hAnsi="Times New Roman" w:cs="Times New Roman"/>
          <w:sz w:val="24"/>
          <w:szCs w:val="24"/>
        </w:rPr>
        <w:t>,98</w:t>
      </w:r>
      <w:r w:rsidR="00DF5457">
        <w:rPr>
          <w:rFonts w:ascii="Times New Roman" w:hAnsi="Times New Roman" w:cs="Times New Roman"/>
          <w:sz w:val="24"/>
          <w:szCs w:val="24"/>
        </w:rPr>
        <w:t> </w:t>
      </w:r>
      <w:r w:rsidR="00DF5457" w:rsidRPr="009A09D2">
        <w:rPr>
          <w:rFonts w:ascii="Times New Roman" w:hAnsi="Times New Roman" w:cs="Times New Roman"/>
          <w:i/>
          <w:iCs/>
          <w:sz w:val="24"/>
          <w:szCs w:val="24"/>
        </w:rPr>
        <w:t>euro</w:t>
      </w:r>
      <w:r w:rsidRPr="00BA5BDE">
        <w:rPr>
          <w:rFonts w:ascii="Times New Roman" w:hAnsi="Times New Roman" w:cs="Times New Roman"/>
          <w:sz w:val="24"/>
          <w:szCs w:val="24"/>
        </w:rPr>
        <w:t xml:space="preserve"> ekvivalentā, vienā skaidras naudas deklarācijā uzrādot summu robežās no 9300,00 </w:t>
      </w:r>
      <w:r w:rsidR="002A23E8" w:rsidRPr="003C4635">
        <w:rPr>
          <w:rFonts w:ascii="Times New Roman" w:hAnsi="Times New Roman" w:cs="Times New Roman"/>
          <w:i/>
          <w:sz w:val="24"/>
          <w:szCs w:val="24"/>
        </w:rPr>
        <w:t>euro</w:t>
      </w:r>
      <w:r w:rsidRPr="00BA5BDE">
        <w:rPr>
          <w:rFonts w:ascii="Times New Roman" w:hAnsi="Times New Roman" w:cs="Times New Roman"/>
          <w:sz w:val="24"/>
          <w:szCs w:val="24"/>
        </w:rPr>
        <w:t xml:space="preserve"> līdz 114 038,81 </w:t>
      </w:r>
      <w:r w:rsidR="00DF5457" w:rsidRPr="009A09D2">
        <w:rPr>
          <w:rFonts w:ascii="Times New Roman" w:hAnsi="Times New Roman" w:cs="Times New Roman"/>
          <w:i/>
          <w:iCs/>
          <w:sz w:val="24"/>
          <w:szCs w:val="24"/>
        </w:rPr>
        <w:t>euro</w:t>
      </w:r>
      <w:r w:rsidRPr="00BA5BDE">
        <w:rPr>
          <w:rFonts w:ascii="Times New Roman" w:hAnsi="Times New Roman" w:cs="Times New Roman"/>
          <w:sz w:val="24"/>
          <w:szCs w:val="24"/>
        </w:rPr>
        <w:t xml:space="preserve"> ekvivalentā. Izbraucot no Latvijas, pēc pieprasījuma iesniegtas 37 skaidras naudas deklarācijas par kopējo summu 4 788 902,45 </w:t>
      </w:r>
      <w:r w:rsidR="0035791D" w:rsidRPr="009A09D2">
        <w:rPr>
          <w:rFonts w:ascii="Times New Roman" w:hAnsi="Times New Roman" w:cs="Times New Roman"/>
          <w:i/>
          <w:iCs/>
          <w:sz w:val="24"/>
          <w:szCs w:val="24"/>
        </w:rPr>
        <w:t>euro</w:t>
      </w:r>
      <w:r w:rsidRPr="00BA5BDE">
        <w:rPr>
          <w:rFonts w:ascii="Times New Roman" w:hAnsi="Times New Roman" w:cs="Times New Roman"/>
          <w:sz w:val="24"/>
          <w:szCs w:val="24"/>
        </w:rPr>
        <w:t xml:space="preserve"> ekvivalentā, vienā skaidras naudas deklarācijā uzrādot summu robežās no 5347,50 </w:t>
      </w:r>
      <w:r w:rsidR="0035791D" w:rsidRPr="009A09D2">
        <w:rPr>
          <w:rFonts w:ascii="Times New Roman" w:hAnsi="Times New Roman" w:cs="Times New Roman"/>
          <w:i/>
          <w:iCs/>
          <w:sz w:val="24"/>
          <w:szCs w:val="24"/>
        </w:rPr>
        <w:t>euro</w:t>
      </w:r>
      <w:r w:rsidRPr="00BA5BDE">
        <w:rPr>
          <w:rFonts w:ascii="Times New Roman" w:hAnsi="Times New Roman" w:cs="Times New Roman"/>
          <w:sz w:val="24"/>
          <w:szCs w:val="24"/>
        </w:rPr>
        <w:t xml:space="preserve"> līdz 794 895,07</w:t>
      </w:r>
      <w:r w:rsidR="0035791D">
        <w:rPr>
          <w:rFonts w:ascii="Times New Roman" w:hAnsi="Times New Roman" w:cs="Times New Roman"/>
          <w:sz w:val="24"/>
          <w:szCs w:val="24"/>
        </w:rPr>
        <w:t> </w:t>
      </w:r>
      <w:r w:rsidR="0035791D" w:rsidRPr="009A09D2">
        <w:rPr>
          <w:rFonts w:ascii="Times New Roman" w:hAnsi="Times New Roman" w:cs="Times New Roman"/>
          <w:i/>
          <w:iCs/>
          <w:sz w:val="24"/>
          <w:szCs w:val="24"/>
        </w:rPr>
        <w:t>euro</w:t>
      </w:r>
      <w:r w:rsidRPr="00BA5BDE">
        <w:rPr>
          <w:rFonts w:ascii="Times New Roman" w:hAnsi="Times New Roman" w:cs="Times New Roman"/>
          <w:sz w:val="24"/>
          <w:szCs w:val="24"/>
        </w:rPr>
        <w:t xml:space="preserve"> ekvivalentā. </w:t>
      </w:r>
      <w:r w:rsidR="000D7F68">
        <w:rPr>
          <w:rFonts w:ascii="Times New Roman" w:hAnsi="Times New Roman" w:cs="Times New Roman"/>
          <w:sz w:val="24"/>
          <w:szCs w:val="24"/>
        </w:rPr>
        <w:t>L</w:t>
      </w:r>
      <w:r w:rsidRPr="00BA5BDE">
        <w:rPr>
          <w:rFonts w:ascii="Times New Roman" w:hAnsi="Times New Roman" w:cs="Times New Roman"/>
          <w:sz w:val="24"/>
          <w:szCs w:val="24"/>
        </w:rPr>
        <w:t>aikā no 2019.</w:t>
      </w:r>
      <w:r w:rsidR="006D7ACD">
        <w:rPr>
          <w:rFonts w:ascii="Times New Roman" w:hAnsi="Times New Roman" w:cs="Times New Roman"/>
          <w:sz w:val="24"/>
          <w:szCs w:val="24"/>
        </w:rPr>
        <w:t> </w:t>
      </w:r>
      <w:r w:rsidRPr="00BA5BDE">
        <w:rPr>
          <w:rFonts w:ascii="Times New Roman" w:hAnsi="Times New Roman" w:cs="Times New Roman"/>
          <w:sz w:val="24"/>
          <w:szCs w:val="24"/>
        </w:rPr>
        <w:t>gada 1.</w:t>
      </w:r>
      <w:r w:rsidR="006D7ACD">
        <w:rPr>
          <w:rFonts w:ascii="Times New Roman" w:hAnsi="Times New Roman" w:cs="Times New Roman"/>
          <w:sz w:val="24"/>
          <w:szCs w:val="24"/>
        </w:rPr>
        <w:t> </w:t>
      </w:r>
      <w:r w:rsidRPr="00BA5BDE">
        <w:rPr>
          <w:rFonts w:ascii="Times New Roman" w:hAnsi="Times New Roman" w:cs="Times New Roman"/>
          <w:sz w:val="24"/>
          <w:szCs w:val="24"/>
        </w:rPr>
        <w:t>jūlija līdz 2019.</w:t>
      </w:r>
      <w:r w:rsidR="006D7ACD">
        <w:rPr>
          <w:rFonts w:ascii="Times New Roman" w:hAnsi="Times New Roman" w:cs="Times New Roman"/>
          <w:sz w:val="24"/>
          <w:szCs w:val="24"/>
        </w:rPr>
        <w:t> </w:t>
      </w:r>
      <w:r w:rsidRPr="00BA5BDE">
        <w:rPr>
          <w:rFonts w:ascii="Times New Roman" w:hAnsi="Times New Roman" w:cs="Times New Roman"/>
          <w:sz w:val="24"/>
          <w:szCs w:val="24"/>
        </w:rPr>
        <w:t>gada 31.</w:t>
      </w:r>
      <w:r w:rsidR="006D7ACD">
        <w:rPr>
          <w:rFonts w:ascii="Times New Roman" w:hAnsi="Times New Roman" w:cs="Times New Roman"/>
          <w:sz w:val="24"/>
          <w:szCs w:val="24"/>
        </w:rPr>
        <w:t> </w:t>
      </w:r>
      <w:r w:rsidRPr="00BA5BDE">
        <w:rPr>
          <w:rFonts w:ascii="Times New Roman" w:hAnsi="Times New Roman" w:cs="Times New Roman"/>
          <w:sz w:val="24"/>
          <w:szCs w:val="24"/>
        </w:rPr>
        <w:t xml:space="preserve">decembrim VID ir </w:t>
      </w:r>
      <w:r w:rsidR="00904552" w:rsidRPr="00904552">
        <w:rPr>
          <w:rFonts w:ascii="Times New Roman" w:hAnsi="Times New Roman" w:cs="Times New Roman"/>
          <w:sz w:val="24"/>
          <w:szCs w:val="24"/>
        </w:rPr>
        <w:t xml:space="preserve">uzsākti 47 </w:t>
      </w:r>
      <w:r w:rsidR="00904552" w:rsidRPr="00904552">
        <w:rPr>
          <w:rFonts w:ascii="Times New Roman" w:hAnsi="Times New Roman" w:cs="Times New Roman"/>
          <w:sz w:val="24"/>
          <w:szCs w:val="24"/>
        </w:rPr>
        <w:lastRenderedPageBreak/>
        <w:t>kriminālprocesi, pēc Krimināllikuma 195.</w:t>
      </w:r>
      <w:r w:rsidR="00904552" w:rsidRPr="00904552">
        <w:rPr>
          <w:rFonts w:ascii="Times New Roman" w:hAnsi="Times New Roman" w:cs="Times New Roman"/>
          <w:sz w:val="24"/>
          <w:szCs w:val="24"/>
          <w:vertAlign w:val="superscript"/>
        </w:rPr>
        <w:t>2</w:t>
      </w:r>
      <w:r w:rsidR="00904552" w:rsidRPr="00904552">
        <w:rPr>
          <w:rFonts w:ascii="Times New Roman" w:hAnsi="Times New Roman" w:cs="Times New Roman"/>
          <w:sz w:val="24"/>
          <w:szCs w:val="24"/>
        </w:rPr>
        <w:t xml:space="preserve"> panta un/vai 195.panta, par skaidras naudas ko, šķērsojot valsts robežu, ieved Latvijas Republikā vai izved no tās, nedeklarēšanu vai nepatiesu deklarēšanu, un/vai par noziedzīgi iegūtu līdzekļu legalizēšanu</w:t>
      </w:r>
      <w:r w:rsidRPr="00BA5BDE">
        <w:rPr>
          <w:rFonts w:ascii="Times New Roman" w:hAnsi="Times New Roman" w:cs="Times New Roman"/>
          <w:sz w:val="24"/>
          <w:szCs w:val="24"/>
        </w:rPr>
        <w:t>;</w:t>
      </w:r>
    </w:p>
    <w:p w14:paraId="783A9DF4" w14:textId="77777777" w:rsidR="00BA5BDE" w:rsidRDefault="00BA5BDE" w:rsidP="00BA5BDE">
      <w:pPr>
        <w:rPr>
          <w:rFonts w:ascii="Times New Roman" w:hAnsi="Times New Roman" w:cs="Times New Roman"/>
          <w:sz w:val="24"/>
          <w:szCs w:val="24"/>
        </w:rPr>
      </w:pPr>
      <w:r w:rsidRPr="00BA5BDE">
        <w:rPr>
          <w:rFonts w:ascii="Times New Roman" w:hAnsi="Times New Roman" w:cs="Times New Roman"/>
          <w:sz w:val="24"/>
          <w:szCs w:val="24"/>
        </w:rPr>
        <w:t>- ar 2019.</w:t>
      </w:r>
      <w:r w:rsidR="006D7ACD">
        <w:rPr>
          <w:rFonts w:ascii="Times New Roman" w:hAnsi="Times New Roman" w:cs="Times New Roman"/>
          <w:sz w:val="24"/>
          <w:szCs w:val="24"/>
        </w:rPr>
        <w:t> </w:t>
      </w:r>
      <w:r w:rsidRPr="00BA5BDE">
        <w:rPr>
          <w:rFonts w:ascii="Times New Roman" w:hAnsi="Times New Roman" w:cs="Times New Roman"/>
          <w:sz w:val="24"/>
          <w:szCs w:val="24"/>
        </w:rPr>
        <w:t>gada 1.</w:t>
      </w:r>
      <w:r w:rsidR="006D7ACD">
        <w:rPr>
          <w:rFonts w:ascii="Times New Roman" w:hAnsi="Times New Roman" w:cs="Times New Roman"/>
          <w:sz w:val="24"/>
          <w:szCs w:val="24"/>
        </w:rPr>
        <w:t> </w:t>
      </w:r>
      <w:r w:rsidRPr="00BA5BDE">
        <w:rPr>
          <w:rFonts w:ascii="Times New Roman" w:hAnsi="Times New Roman" w:cs="Times New Roman"/>
          <w:sz w:val="24"/>
          <w:szCs w:val="24"/>
        </w:rPr>
        <w:t>maiju stājās spēkā grozījumi likumā “Par nodokļiem un nodevām”, kas nosaka, ka nodokļu maksātājiem, tajā skaitā fiziskajām personām, kuras neveic saimniecisko darbību</w:t>
      </w:r>
      <w:r w:rsidRPr="0035791D">
        <w:rPr>
          <w:rFonts w:ascii="Times New Roman" w:hAnsi="Times New Roman" w:cs="Times New Roman"/>
          <w:sz w:val="24"/>
          <w:szCs w:val="24"/>
        </w:rPr>
        <w:t>, nav atļauts veikt skaidrā naudā nekustamo īpašumu atsavināšanas darījumus,</w:t>
      </w:r>
      <w:r w:rsidRPr="00BA5BDE">
        <w:rPr>
          <w:rFonts w:ascii="Times New Roman" w:hAnsi="Times New Roman" w:cs="Times New Roman"/>
          <w:sz w:val="24"/>
          <w:szCs w:val="24"/>
        </w:rPr>
        <w:t xml:space="preserve"> tādējādi sekmējot cīņu pret nelegāli iegūtu līdzekļu legalizāciju, fiktīvu nekustamo īpašumu atsavināšanu un izvairīšanos no nodokļu nomaksas. 2019.</w:t>
      </w:r>
      <w:r w:rsidR="00842D3D">
        <w:rPr>
          <w:rFonts w:ascii="Times New Roman" w:hAnsi="Times New Roman" w:cs="Times New Roman"/>
          <w:sz w:val="24"/>
          <w:szCs w:val="24"/>
        </w:rPr>
        <w:t> </w:t>
      </w:r>
      <w:r w:rsidRPr="00BA5BDE">
        <w:rPr>
          <w:rFonts w:ascii="Times New Roman" w:hAnsi="Times New Roman" w:cs="Times New Roman"/>
          <w:sz w:val="24"/>
          <w:szCs w:val="24"/>
        </w:rPr>
        <w:t>gadā kontroles pasākumu rezultātā VID nav konstatējis skaidras naudas darījumus fiziskajām personām par nekustamo īpašumu atsavināšanu. Savukārt, pēc trešo personu sniegtās informācijas VID redzeslokā ir nonākuši četri gadījumi par iespējamiem plānotiem darījumiem skaidrā naudā, kurus pārbaudot, preventīvo pasākumu iet</w:t>
      </w:r>
      <w:r w:rsidR="00C33F9A">
        <w:rPr>
          <w:rFonts w:ascii="Times New Roman" w:hAnsi="Times New Roman" w:cs="Times New Roman"/>
          <w:sz w:val="24"/>
          <w:szCs w:val="24"/>
        </w:rPr>
        <w:t>varos, pārkāpumi nav konstat</w:t>
      </w:r>
      <w:r w:rsidR="006F7225">
        <w:rPr>
          <w:rFonts w:ascii="Times New Roman" w:hAnsi="Times New Roman" w:cs="Times New Roman"/>
          <w:sz w:val="24"/>
          <w:szCs w:val="24"/>
        </w:rPr>
        <w:t>ēti;</w:t>
      </w:r>
    </w:p>
    <w:p w14:paraId="7BCA9DE3" w14:textId="77777777" w:rsidR="006F7225" w:rsidRPr="00BA5BDE" w:rsidRDefault="006F7225" w:rsidP="006F7225">
      <w:pPr>
        <w:rPr>
          <w:rFonts w:ascii="Times New Roman" w:hAnsi="Times New Roman" w:cs="Times New Roman"/>
          <w:sz w:val="24"/>
          <w:szCs w:val="24"/>
        </w:rPr>
      </w:pPr>
      <w:r w:rsidRPr="00BA5BDE">
        <w:rPr>
          <w:rFonts w:ascii="Times New Roman" w:hAnsi="Times New Roman" w:cs="Times New Roman"/>
          <w:sz w:val="24"/>
          <w:szCs w:val="24"/>
        </w:rPr>
        <w:t xml:space="preserve">- Lai ierobežotu Latvijā </w:t>
      </w:r>
      <w:r w:rsidRPr="00B312B2">
        <w:rPr>
          <w:rFonts w:ascii="Times New Roman" w:hAnsi="Times New Roman" w:cs="Times New Roman"/>
          <w:bCs/>
          <w:sz w:val="24"/>
          <w:szCs w:val="24"/>
        </w:rPr>
        <w:t>nelicencētu interaktīvo azartspēļu un izložu</w:t>
      </w:r>
      <w:r w:rsidRPr="00C05E35">
        <w:rPr>
          <w:rFonts w:ascii="Times New Roman" w:hAnsi="Times New Roman" w:cs="Times New Roman"/>
          <w:b/>
          <w:sz w:val="24"/>
          <w:szCs w:val="24"/>
        </w:rPr>
        <w:t xml:space="preserve"> </w:t>
      </w:r>
      <w:r w:rsidRPr="00C05E35">
        <w:rPr>
          <w:rFonts w:ascii="Times New Roman" w:hAnsi="Times New Roman" w:cs="Times New Roman"/>
          <w:sz w:val="24"/>
          <w:szCs w:val="24"/>
        </w:rPr>
        <w:t>pieejamību</w:t>
      </w:r>
      <w:r w:rsidRPr="00BA5BDE">
        <w:rPr>
          <w:rFonts w:ascii="Times New Roman" w:hAnsi="Times New Roman" w:cs="Times New Roman"/>
          <w:sz w:val="24"/>
          <w:szCs w:val="24"/>
        </w:rPr>
        <w:t>, 2019.</w:t>
      </w:r>
      <w:r w:rsidR="00D44650">
        <w:rPr>
          <w:rFonts w:ascii="Times New Roman" w:hAnsi="Times New Roman" w:cs="Times New Roman"/>
          <w:sz w:val="24"/>
          <w:szCs w:val="24"/>
        </w:rPr>
        <w:t> </w:t>
      </w:r>
      <w:r w:rsidRPr="00BA5BDE">
        <w:rPr>
          <w:rFonts w:ascii="Times New Roman" w:hAnsi="Times New Roman" w:cs="Times New Roman"/>
          <w:sz w:val="24"/>
          <w:szCs w:val="24"/>
        </w:rPr>
        <w:t>gadā ir apstiprināts regulējums, kas paredz</w:t>
      </w:r>
      <w:r w:rsidR="007A6DBE">
        <w:rPr>
          <w:rFonts w:ascii="Times New Roman" w:hAnsi="Times New Roman" w:cs="Times New Roman"/>
          <w:sz w:val="24"/>
          <w:szCs w:val="24"/>
        </w:rPr>
        <w:t xml:space="preserve"> vēl efektīvāku</w:t>
      </w:r>
      <w:r w:rsidRPr="00BA5BDE">
        <w:rPr>
          <w:rFonts w:ascii="Times New Roman" w:hAnsi="Times New Roman" w:cs="Times New Roman"/>
          <w:sz w:val="24"/>
          <w:szCs w:val="24"/>
        </w:rPr>
        <w:t xml:space="preserve"> Latvijā nelicencēto interaktīvo azartspēļu un izložu tīmekļu vietņu bloķēšanu un atbildību par personas dalību Latvijas Republikā nelicencētās interaktīvās azartspēlēs vai interaktīvās izlozēs. Ar 2020. gada 1. janvāri maksājumu pakalpojumu sniedzējiem obligāta kļūst prasība atteikt pārskaitījumu Latvijas Republikā nelicencēto interaktīvo azartspēļu vai interaktīvo izložu organizētājam;</w:t>
      </w:r>
    </w:p>
    <w:p w14:paraId="2717FE3C" w14:textId="77777777" w:rsidR="006F7225" w:rsidRPr="00BA5BDE" w:rsidRDefault="006F7225" w:rsidP="006F7225">
      <w:pPr>
        <w:rPr>
          <w:rFonts w:ascii="Times New Roman" w:hAnsi="Times New Roman" w:cs="Times New Roman"/>
          <w:sz w:val="24"/>
          <w:szCs w:val="24"/>
        </w:rPr>
      </w:pPr>
      <w:r w:rsidRPr="00BA5BDE">
        <w:rPr>
          <w:rFonts w:ascii="Times New Roman" w:hAnsi="Times New Roman" w:cs="Times New Roman"/>
          <w:sz w:val="24"/>
          <w:szCs w:val="24"/>
        </w:rPr>
        <w:t xml:space="preserve">- Lai ierobežotu azartspēļu un interaktīvo izložu spēlēšanas nelabvēlīgo ietekmi uz personām, kurām šis brīvā laika pavadīšanas un izklaides veids var kļūt nekontrolējams un pāriet nepārvaramā un pārmērīgā tieksmē, ar 2020. gada sākumu ir ieviests valsts vienots no azartspēlēm un interaktīvajām izlozēm </w:t>
      </w:r>
      <w:r w:rsidRPr="005E61EA">
        <w:rPr>
          <w:rFonts w:ascii="Times New Roman" w:hAnsi="Times New Roman" w:cs="Times New Roman"/>
          <w:bCs/>
          <w:sz w:val="24"/>
          <w:szCs w:val="24"/>
        </w:rPr>
        <w:t>Pašatteikušos personu reģistrs.</w:t>
      </w:r>
      <w:r w:rsidRPr="00BA5BDE">
        <w:rPr>
          <w:rFonts w:ascii="Times New Roman" w:hAnsi="Times New Roman" w:cs="Times New Roman"/>
          <w:sz w:val="24"/>
          <w:szCs w:val="24"/>
        </w:rPr>
        <w:t xml:space="preserve"> Šāds rīks dos iespēju personai noteikt sev liegumu piekļūt azartspēļu un interaktīvo izložu organizēšanas vietās, tādējādi mazinot iespējami negatīvo ietekmi ne tikai uz personu, bet arī uz līdzcilvēkiem;</w:t>
      </w:r>
    </w:p>
    <w:p w14:paraId="5E810582" w14:textId="77777777" w:rsidR="00C33F9A" w:rsidRPr="00DD72A8" w:rsidRDefault="00467BC6" w:rsidP="00C33F9A">
      <w:pPr>
        <w:ind w:firstLine="851"/>
        <w:rPr>
          <w:rFonts w:ascii="Times New Roman" w:hAnsi="Times New Roman" w:cs="Times New Roman"/>
          <w:sz w:val="24"/>
          <w:szCs w:val="24"/>
        </w:rPr>
      </w:pPr>
      <w:r>
        <w:rPr>
          <w:rFonts w:ascii="Times New Roman" w:hAnsi="Times New Roman" w:cs="Times New Roman"/>
          <w:sz w:val="24"/>
          <w:szCs w:val="24"/>
        </w:rPr>
        <w:t>Jāatzīmē, ka 2019.</w:t>
      </w:r>
      <w:r w:rsidR="00D44650">
        <w:rPr>
          <w:rFonts w:ascii="Times New Roman" w:hAnsi="Times New Roman" w:cs="Times New Roman"/>
          <w:sz w:val="24"/>
          <w:szCs w:val="24"/>
        </w:rPr>
        <w:t> </w:t>
      </w:r>
      <w:r>
        <w:rPr>
          <w:rFonts w:ascii="Times New Roman" w:hAnsi="Times New Roman" w:cs="Times New Roman"/>
          <w:sz w:val="24"/>
          <w:szCs w:val="24"/>
        </w:rPr>
        <w:t xml:space="preserve">gadā tika </w:t>
      </w:r>
      <w:r w:rsidRPr="00C47B46">
        <w:rPr>
          <w:rFonts w:ascii="Times New Roman" w:hAnsi="Times New Roman" w:cs="Times New Roman"/>
          <w:sz w:val="24"/>
          <w:szCs w:val="24"/>
        </w:rPr>
        <w:t>t</w:t>
      </w:r>
      <w:r w:rsidR="00C33F9A" w:rsidRPr="00C47B46">
        <w:rPr>
          <w:rFonts w:ascii="Times New Roman" w:hAnsi="Times New Roman" w:cs="Times New Roman"/>
          <w:sz w:val="24"/>
          <w:szCs w:val="24"/>
        </w:rPr>
        <w:t xml:space="preserve">urpināti pasākumi </w:t>
      </w:r>
      <w:r w:rsidR="00C33F9A" w:rsidRPr="00DD72A8">
        <w:rPr>
          <w:rFonts w:ascii="Times New Roman" w:hAnsi="Times New Roman" w:cs="Times New Roman"/>
          <w:sz w:val="24"/>
          <w:szCs w:val="24"/>
        </w:rPr>
        <w:t xml:space="preserve">PVN </w:t>
      </w:r>
      <w:r w:rsidR="00ED767B" w:rsidRPr="00DD72A8">
        <w:rPr>
          <w:rFonts w:ascii="Times New Roman" w:hAnsi="Times New Roman" w:cs="Times New Roman"/>
          <w:sz w:val="24"/>
          <w:szCs w:val="24"/>
        </w:rPr>
        <w:t>krāp</w:t>
      </w:r>
      <w:r w:rsidR="00C33F9A" w:rsidRPr="00DD72A8">
        <w:rPr>
          <w:rFonts w:ascii="Times New Roman" w:hAnsi="Times New Roman" w:cs="Times New Roman"/>
          <w:sz w:val="24"/>
          <w:szCs w:val="24"/>
        </w:rPr>
        <w:t>n</w:t>
      </w:r>
      <w:r w:rsidR="00ED767B" w:rsidRPr="00DD72A8">
        <w:rPr>
          <w:rFonts w:ascii="Times New Roman" w:hAnsi="Times New Roman" w:cs="Times New Roman"/>
          <w:sz w:val="24"/>
          <w:szCs w:val="24"/>
        </w:rPr>
        <w:t>iecības</w:t>
      </w:r>
      <w:r w:rsidR="00C33F9A" w:rsidRPr="00DD72A8">
        <w:rPr>
          <w:rFonts w:ascii="Times New Roman" w:hAnsi="Times New Roman" w:cs="Times New Roman"/>
          <w:b/>
          <w:sz w:val="24"/>
          <w:szCs w:val="24"/>
        </w:rPr>
        <w:t xml:space="preserve"> </w:t>
      </w:r>
      <w:r w:rsidR="00C33F9A" w:rsidRPr="00DD72A8">
        <w:rPr>
          <w:rFonts w:ascii="Times New Roman" w:hAnsi="Times New Roman" w:cs="Times New Roman"/>
          <w:sz w:val="24"/>
          <w:szCs w:val="24"/>
        </w:rPr>
        <w:t>mazināšanai. PVN krāpniecība nodara būtiskus zaudējumus valsts budžetam. Neskatoties uz to, ka PVN plaisa</w:t>
      </w:r>
      <w:r w:rsidRPr="00DD72A8">
        <w:rPr>
          <w:rFonts w:ascii="Times New Roman" w:hAnsi="Times New Roman" w:cs="Times New Roman"/>
          <w:sz w:val="24"/>
          <w:szCs w:val="24"/>
        </w:rPr>
        <w:t xml:space="preserve"> </w:t>
      </w:r>
      <w:r w:rsidR="00C33F9A" w:rsidRPr="00DD72A8">
        <w:rPr>
          <w:rFonts w:ascii="Times New Roman" w:hAnsi="Times New Roman" w:cs="Times New Roman"/>
          <w:sz w:val="24"/>
          <w:szCs w:val="24"/>
        </w:rPr>
        <w:t xml:space="preserve">samazinās, negodprātīgi nodokļu maksātāji meklē jaunus veidus kā izkrāpt valsts budžeta līdzekļus. Tādējādi pastāvīgi tiek vērtētas kādas ir iespējas apkarot PVN krāpniecību un samazināt ar valsts budžeta zaudējumiem saistītus riskus, un tiek ieviesti arvien jauni pasākumi, lai apkarotu PVN krāpniecību: </w:t>
      </w:r>
    </w:p>
    <w:p w14:paraId="16BD3188" w14:textId="77777777" w:rsidR="00E573BD" w:rsidRPr="00DD72A8" w:rsidRDefault="00C33F9A" w:rsidP="00C33F9A">
      <w:pPr>
        <w:rPr>
          <w:rFonts w:ascii="Times New Roman" w:hAnsi="Times New Roman" w:cs="Times New Roman"/>
          <w:sz w:val="24"/>
          <w:szCs w:val="24"/>
        </w:rPr>
      </w:pPr>
      <w:r w:rsidRPr="00DD72A8">
        <w:rPr>
          <w:rFonts w:ascii="Times New Roman" w:hAnsi="Times New Roman" w:cs="Times New Roman"/>
          <w:sz w:val="24"/>
          <w:szCs w:val="24"/>
        </w:rPr>
        <w:t xml:space="preserve">1) </w:t>
      </w:r>
      <w:r w:rsidR="00E573BD" w:rsidRPr="00DD72A8">
        <w:rPr>
          <w:rFonts w:ascii="Times New Roman" w:hAnsi="Times New Roman" w:cs="Times New Roman"/>
          <w:sz w:val="24"/>
          <w:szCs w:val="24"/>
        </w:rPr>
        <w:t>Ar likumu “Grozījumi Pievienotās vērtības nodokļa likumā”, kas Saeimā pieņemts 2019. gada 30.maijā un stājās spēkā 2019. gada 1. jūlijā, tiek noteikts, ka par būvniecības pakalpojumiem un melno un krāsaino metālu pusfabrikātu</w:t>
      </w:r>
      <w:r w:rsidR="00ED767B" w:rsidRPr="00DD72A8">
        <w:rPr>
          <w:rFonts w:ascii="Times New Roman" w:hAnsi="Times New Roman" w:cs="Times New Roman"/>
          <w:sz w:val="24"/>
          <w:szCs w:val="24"/>
        </w:rPr>
        <w:t xml:space="preserve"> piegādēm, kam jāpiemēro reversā jeb apgrieztā</w:t>
      </w:r>
      <w:r w:rsidR="00E573BD" w:rsidRPr="00DD72A8">
        <w:rPr>
          <w:rFonts w:ascii="Times New Roman" w:hAnsi="Times New Roman" w:cs="Times New Roman"/>
          <w:sz w:val="24"/>
          <w:szCs w:val="24"/>
        </w:rPr>
        <w:t xml:space="preserve"> </w:t>
      </w:r>
      <w:r w:rsidR="00E74B00" w:rsidRPr="00DD72A8">
        <w:rPr>
          <w:rFonts w:ascii="Times New Roman" w:hAnsi="Times New Roman" w:cs="Times New Roman"/>
          <w:sz w:val="24"/>
          <w:szCs w:val="24"/>
        </w:rPr>
        <w:t xml:space="preserve">PVN </w:t>
      </w:r>
      <w:r w:rsidR="00ED767B" w:rsidRPr="00DD72A8">
        <w:rPr>
          <w:rFonts w:ascii="Times New Roman" w:hAnsi="Times New Roman" w:cs="Times New Roman"/>
          <w:sz w:val="24"/>
          <w:szCs w:val="24"/>
        </w:rPr>
        <w:t>maksāšanas kārtība</w:t>
      </w:r>
      <w:r w:rsidR="00E573BD" w:rsidRPr="00DD72A8">
        <w:rPr>
          <w:rFonts w:ascii="Times New Roman" w:hAnsi="Times New Roman" w:cs="Times New Roman"/>
          <w:sz w:val="24"/>
          <w:szCs w:val="24"/>
        </w:rPr>
        <w:t xml:space="preserve">, maksā, izmantojot bezskaidras naudas norēķinus, tādējādi vienādojot šīs prasības piemērošanu visās jomās, kam saskaņā ar Pievienotās vērtības nodokļa likumu piemēro reverso jeb apgriezto PVN </w:t>
      </w:r>
      <w:r w:rsidR="00ED767B" w:rsidRPr="00DD72A8">
        <w:rPr>
          <w:rFonts w:ascii="Times New Roman" w:hAnsi="Times New Roman" w:cs="Times New Roman"/>
          <w:sz w:val="24"/>
          <w:szCs w:val="24"/>
        </w:rPr>
        <w:t xml:space="preserve">maksāšanas </w:t>
      </w:r>
      <w:r w:rsidR="00E573BD" w:rsidRPr="00DD72A8">
        <w:rPr>
          <w:rFonts w:ascii="Times New Roman" w:hAnsi="Times New Roman" w:cs="Times New Roman"/>
          <w:sz w:val="24"/>
          <w:szCs w:val="24"/>
        </w:rPr>
        <w:t>kārtību;</w:t>
      </w:r>
    </w:p>
    <w:p w14:paraId="7321F80F" w14:textId="77777777" w:rsidR="00E573BD" w:rsidRPr="00DD72A8" w:rsidRDefault="00C33F9A" w:rsidP="00C33F9A">
      <w:pPr>
        <w:rPr>
          <w:rFonts w:ascii="Times New Roman" w:hAnsi="Times New Roman" w:cs="Times New Roman"/>
          <w:sz w:val="24"/>
          <w:szCs w:val="24"/>
        </w:rPr>
      </w:pPr>
      <w:r w:rsidRPr="00DD72A8">
        <w:rPr>
          <w:rFonts w:ascii="Times New Roman" w:hAnsi="Times New Roman" w:cs="Times New Roman"/>
          <w:sz w:val="24"/>
          <w:szCs w:val="24"/>
        </w:rPr>
        <w:t xml:space="preserve">2) </w:t>
      </w:r>
      <w:r w:rsidR="00E573BD" w:rsidRPr="00DD72A8">
        <w:rPr>
          <w:rFonts w:ascii="Times New Roman" w:hAnsi="Times New Roman" w:cs="Times New Roman"/>
          <w:sz w:val="24"/>
          <w:szCs w:val="24"/>
        </w:rPr>
        <w:t>Ar likumu “Grozījumi Pievienotās vērtības nodokļa likumā”, kas Saeimā pieņemts 2019. gada 20. jūnijā un stājās spēkā 2019. gada 12. jūlijā, tiek:</w:t>
      </w:r>
    </w:p>
    <w:p w14:paraId="7936467D" w14:textId="77777777" w:rsidR="00E573BD" w:rsidRPr="00DD72A8" w:rsidRDefault="00E573BD" w:rsidP="00C33F9A">
      <w:pPr>
        <w:rPr>
          <w:rFonts w:ascii="Times New Roman" w:hAnsi="Times New Roman" w:cs="Times New Roman"/>
          <w:sz w:val="24"/>
          <w:szCs w:val="24"/>
        </w:rPr>
      </w:pPr>
      <w:r w:rsidRPr="00DD72A8">
        <w:rPr>
          <w:rFonts w:ascii="Times New Roman" w:hAnsi="Times New Roman" w:cs="Times New Roman"/>
          <w:sz w:val="24"/>
          <w:szCs w:val="24"/>
        </w:rPr>
        <w:t>- paplašinātas VID tiesības, lai izslēgtu reģistrētu PVN maksātāju no V</w:t>
      </w:r>
      <w:r w:rsidR="00ED767B" w:rsidRPr="00DD72A8">
        <w:rPr>
          <w:rFonts w:ascii="Times New Roman" w:hAnsi="Times New Roman" w:cs="Times New Roman"/>
          <w:sz w:val="24"/>
          <w:szCs w:val="24"/>
        </w:rPr>
        <w:t xml:space="preserve">ID </w:t>
      </w:r>
      <w:r w:rsidRPr="00DD72A8">
        <w:rPr>
          <w:rFonts w:ascii="Times New Roman" w:hAnsi="Times New Roman" w:cs="Times New Roman"/>
          <w:sz w:val="24"/>
          <w:szCs w:val="24"/>
        </w:rPr>
        <w:t xml:space="preserve">PVN maksātāju reģistra, ja tas iepriekšējos vismaz sešus kalendāra mēnešus PVN deklarācijās nav norādījis nevienu darījumu, </w:t>
      </w:r>
      <w:r w:rsidR="00ED767B" w:rsidRPr="00DD72A8">
        <w:rPr>
          <w:rFonts w:ascii="Times New Roman" w:hAnsi="Times New Roman" w:cs="Times New Roman"/>
          <w:sz w:val="24"/>
          <w:szCs w:val="24"/>
        </w:rPr>
        <w:t xml:space="preserve">un ja </w:t>
      </w:r>
      <w:r w:rsidRPr="00DD72A8">
        <w:rPr>
          <w:rFonts w:ascii="Times New Roman" w:hAnsi="Times New Roman" w:cs="Times New Roman"/>
          <w:sz w:val="24"/>
          <w:szCs w:val="24"/>
        </w:rPr>
        <w:t>reģistrēts PVN maksātājs veic visu amatpersonu nomaiņu;</w:t>
      </w:r>
    </w:p>
    <w:p w14:paraId="323B311B" w14:textId="77777777" w:rsidR="00A51F18" w:rsidRPr="00DD72A8" w:rsidRDefault="00B63A00" w:rsidP="00C33F9A">
      <w:pPr>
        <w:rPr>
          <w:rFonts w:ascii="Times New Roman" w:hAnsi="Times New Roman" w:cs="Times New Roman"/>
          <w:sz w:val="24"/>
          <w:szCs w:val="24"/>
        </w:rPr>
      </w:pPr>
      <w:r w:rsidRPr="00DD72A8">
        <w:rPr>
          <w:rFonts w:ascii="Times New Roman" w:hAnsi="Times New Roman" w:cs="Times New Roman"/>
          <w:sz w:val="24"/>
          <w:szCs w:val="24"/>
        </w:rPr>
        <w:t xml:space="preserve">- </w:t>
      </w:r>
      <w:r w:rsidR="00A51F18" w:rsidRPr="00DD72A8">
        <w:rPr>
          <w:rFonts w:ascii="Times New Roman" w:hAnsi="Times New Roman" w:cs="Times New Roman"/>
          <w:sz w:val="24"/>
          <w:szCs w:val="24"/>
        </w:rPr>
        <w:t xml:space="preserve">noteikts, ka VID izslēdz tādu reģistrētu PVN maksātāju no VID PVN maksātāju reģistra, kurš ir reģistrēts VID PVN maksātāju reģistrā vismaz 12 kalendāra mēnešus un kurš </w:t>
      </w:r>
      <w:r w:rsidR="00A51F18" w:rsidRPr="00DD72A8">
        <w:rPr>
          <w:rFonts w:ascii="Times New Roman" w:hAnsi="Times New Roman" w:cs="Times New Roman"/>
          <w:sz w:val="24"/>
          <w:szCs w:val="24"/>
        </w:rPr>
        <w:lastRenderedPageBreak/>
        <w:t>līdz 2019. gada 20. jūlijam PVN deklarācijās par pēdējiem 12 kalendāra mēnešiem nav norādījuši nevienu darījumu;</w:t>
      </w:r>
    </w:p>
    <w:p w14:paraId="23D7B0DA" w14:textId="77777777" w:rsidR="00E573BD" w:rsidRPr="00DD72A8" w:rsidRDefault="00E573BD" w:rsidP="00C33F9A">
      <w:pPr>
        <w:rPr>
          <w:rFonts w:ascii="Times New Roman" w:hAnsi="Times New Roman" w:cs="Times New Roman"/>
          <w:sz w:val="24"/>
          <w:szCs w:val="24"/>
        </w:rPr>
      </w:pPr>
      <w:r w:rsidRPr="00DD72A8">
        <w:rPr>
          <w:rFonts w:ascii="Times New Roman" w:hAnsi="Times New Roman" w:cs="Times New Roman"/>
          <w:sz w:val="24"/>
          <w:szCs w:val="24"/>
        </w:rPr>
        <w:t>- noteikti stingrāki kritēriji īpašā PVN režīma preču importa darījumos atļaujas saņemšanai.</w:t>
      </w:r>
    </w:p>
    <w:p w14:paraId="24A85F15" w14:textId="77777777" w:rsidR="00C33F9A" w:rsidRDefault="00C33F9A" w:rsidP="00C33F9A">
      <w:pPr>
        <w:rPr>
          <w:rFonts w:ascii="Times New Roman" w:hAnsi="Times New Roman" w:cs="Times New Roman"/>
          <w:sz w:val="24"/>
          <w:szCs w:val="24"/>
        </w:rPr>
      </w:pPr>
      <w:r w:rsidRPr="00DD72A8">
        <w:rPr>
          <w:rFonts w:ascii="Times New Roman" w:hAnsi="Times New Roman" w:cs="Times New Roman"/>
          <w:sz w:val="24"/>
          <w:szCs w:val="24"/>
        </w:rPr>
        <w:t xml:space="preserve">Pēc </w:t>
      </w:r>
      <w:r w:rsidR="00FE15DB" w:rsidRPr="00DD72A8">
        <w:rPr>
          <w:rFonts w:ascii="Times New Roman" w:hAnsi="Times New Roman" w:cs="Times New Roman"/>
          <w:sz w:val="24"/>
          <w:szCs w:val="24"/>
        </w:rPr>
        <w:t>FM</w:t>
      </w:r>
      <w:r w:rsidRPr="00DD72A8">
        <w:rPr>
          <w:rFonts w:ascii="Times New Roman" w:hAnsi="Times New Roman" w:cs="Times New Roman"/>
          <w:sz w:val="24"/>
          <w:szCs w:val="24"/>
        </w:rPr>
        <w:t xml:space="preserve"> provizoriskiem aprēķiniem 2019.</w:t>
      </w:r>
      <w:r w:rsidR="00F360D3" w:rsidRPr="00DD72A8">
        <w:rPr>
          <w:rFonts w:ascii="Times New Roman" w:hAnsi="Times New Roman" w:cs="Times New Roman"/>
          <w:sz w:val="24"/>
          <w:szCs w:val="24"/>
        </w:rPr>
        <w:t> </w:t>
      </w:r>
      <w:r w:rsidRPr="00DD72A8">
        <w:rPr>
          <w:rFonts w:ascii="Times New Roman" w:hAnsi="Times New Roman" w:cs="Times New Roman"/>
          <w:sz w:val="24"/>
          <w:szCs w:val="24"/>
        </w:rPr>
        <w:t>gada 20.</w:t>
      </w:r>
      <w:r w:rsidR="00F360D3" w:rsidRPr="00DD72A8">
        <w:rPr>
          <w:rFonts w:ascii="Times New Roman" w:hAnsi="Times New Roman" w:cs="Times New Roman"/>
          <w:sz w:val="24"/>
          <w:szCs w:val="24"/>
        </w:rPr>
        <w:t> </w:t>
      </w:r>
      <w:r w:rsidRPr="00DD72A8">
        <w:rPr>
          <w:rFonts w:ascii="Times New Roman" w:hAnsi="Times New Roman" w:cs="Times New Roman"/>
          <w:sz w:val="24"/>
          <w:szCs w:val="24"/>
        </w:rPr>
        <w:t xml:space="preserve">jūnija grozījumi Pievienotās vērtības nodokļa likumā ļaus papildu iekasēt </w:t>
      </w:r>
      <w:r w:rsidR="00A51F18" w:rsidRPr="00DD72A8">
        <w:rPr>
          <w:rFonts w:ascii="Times New Roman" w:hAnsi="Times New Roman" w:cs="Times New Roman"/>
          <w:sz w:val="24"/>
          <w:szCs w:val="24"/>
        </w:rPr>
        <w:t xml:space="preserve">katru gadu </w:t>
      </w:r>
      <w:r w:rsidRPr="00DD72A8">
        <w:rPr>
          <w:rFonts w:ascii="Times New Roman" w:hAnsi="Times New Roman" w:cs="Times New Roman"/>
          <w:sz w:val="24"/>
          <w:szCs w:val="24"/>
        </w:rPr>
        <w:t xml:space="preserve">PVN 2 milj. </w:t>
      </w:r>
      <w:r w:rsidR="00594D91" w:rsidRPr="00DD72A8">
        <w:rPr>
          <w:rFonts w:ascii="Times New Roman" w:hAnsi="Times New Roman" w:cs="Times New Roman"/>
          <w:i/>
          <w:sz w:val="24"/>
          <w:szCs w:val="24"/>
        </w:rPr>
        <w:t>euro</w:t>
      </w:r>
      <w:r w:rsidR="00467BC6" w:rsidRPr="00DD72A8">
        <w:rPr>
          <w:rFonts w:ascii="Times New Roman" w:hAnsi="Times New Roman" w:cs="Times New Roman"/>
          <w:sz w:val="24"/>
          <w:szCs w:val="24"/>
        </w:rPr>
        <w:t xml:space="preserve"> </w:t>
      </w:r>
      <w:r w:rsidR="00A51F18" w:rsidRPr="00DD72A8">
        <w:rPr>
          <w:rFonts w:ascii="Times New Roman" w:hAnsi="Times New Roman" w:cs="Times New Roman"/>
          <w:sz w:val="24"/>
          <w:szCs w:val="24"/>
        </w:rPr>
        <w:t>apmērā</w:t>
      </w:r>
      <w:r w:rsidRPr="00DD72A8">
        <w:rPr>
          <w:rFonts w:ascii="Times New Roman" w:hAnsi="Times New Roman" w:cs="Times New Roman"/>
          <w:sz w:val="24"/>
          <w:szCs w:val="24"/>
        </w:rPr>
        <w:t>.</w:t>
      </w:r>
      <w:r>
        <w:rPr>
          <w:rFonts w:ascii="Times New Roman" w:hAnsi="Times New Roman" w:cs="Times New Roman"/>
          <w:sz w:val="24"/>
          <w:szCs w:val="24"/>
        </w:rPr>
        <w:t xml:space="preserve"> </w:t>
      </w:r>
    </w:p>
    <w:p w14:paraId="70B6DC45" w14:textId="77777777" w:rsidR="00310A6B" w:rsidRDefault="00310A6B" w:rsidP="00C33F9A">
      <w:pPr>
        <w:rPr>
          <w:rFonts w:ascii="Times New Roman" w:hAnsi="Times New Roman" w:cs="Times New Roman"/>
          <w:sz w:val="24"/>
          <w:szCs w:val="24"/>
        </w:rPr>
      </w:pPr>
    </w:p>
    <w:p w14:paraId="449FE3FA" w14:textId="77777777" w:rsidR="00C33F9A" w:rsidRDefault="00C33F9A" w:rsidP="00C33F9A">
      <w:pPr>
        <w:rPr>
          <w:rFonts w:ascii="Times New Roman" w:hAnsi="Times New Roman" w:cs="Times New Roman"/>
          <w:sz w:val="24"/>
          <w:szCs w:val="24"/>
        </w:rPr>
      </w:pPr>
      <w:r>
        <w:rPr>
          <w:rFonts w:ascii="Times New Roman" w:hAnsi="Times New Roman" w:cs="Times New Roman"/>
          <w:sz w:val="24"/>
          <w:szCs w:val="24"/>
        </w:rPr>
        <w:t>Pēc VID sniegtās informācijas uz 2019.</w:t>
      </w:r>
      <w:r w:rsidR="00F360D3">
        <w:rPr>
          <w:rFonts w:ascii="Times New Roman" w:hAnsi="Times New Roman" w:cs="Times New Roman"/>
          <w:sz w:val="24"/>
          <w:szCs w:val="24"/>
        </w:rPr>
        <w:t> </w:t>
      </w:r>
      <w:r>
        <w:rPr>
          <w:rFonts w:ascii="Times New Roman" w:hAnsi="Times New Roman" w:cs="Times New Roman"/>
          <w:sz w:val="24"/>
          <w:szCs w:val="24"/>
        </w:rPr>
        <w:t>gada 25.</w:t>
      </w:r>
      <w:r w:rsidR="00F360D3">
        <w:rPr>
          <w:rFonts w:ascii="Times New Roman" w:hAnsi="Times New Roman" w:cs="Times New Roman"/>
          <w:sz w:val="24"/>
          <w:szCs w:val="24"/>
        </w:rPr>
        <w:t> </w:t>
      </w:r>
      <w:r>
        <w:rPr>
          <w:rFonts w:ascii="Times New Roman" w:hAnsi="Times New Roman" w:cs="Times New Roman"/>
          <w:sz w:val="24"/>
          <w:szCs w:val="24"/>
        </w:rPr>
        <w:t>novembri tika pieņemti:</w:t>
      </w:r>
    </w:p>
    <w:p w14:paraId="44F9C15E" w14:textId="77777777" w:rsidR="00C33F9A" w:rsidRDefault="00C33F9A" w:rsidP="00C33F9A">
      <w:pPr>
        <w:pStyle w:val="ListParagraph"/>
        <w:numPr>
          <w:ilvl w:val="0"/>
          <w:numId w:val="1"/>
        </w:numPr>
        <w:rPr>
          <w:rFonts w:ascii="Times New Roman" w:hAnsi="Times New Roman" w:cs="Times New Roman"/>
          <w:sz w:val="24"/>
          <w:szCs w:val="24"/>
        </w:rPr>
      </w:pPr>
      <w:r w:rsidRPr="00C8708F">
        <w:rPr>
          <w:rFonts w:ascii="Times New Roman" w:hAnsi="Times New Roman" w:cs="Times New Roman"/>
          <w:sz w:val="24"/>
          <w:szCs w:val="24"/>
        </w:rPr>
        <w:t>3230 lēmumi par tādu reģistrētu PVN maksātāju izslēgšanu no VID PVN maksātāju reģistra, kuri PVN deklarācijās par pēdējiem 12 kalendāra mēnešiem nav norādījuši nevienu darījumu;</w:t>
      </w:r>
    </w:p>
    <w:p w14:paraId="3C7BFAEE" w14:textId="77777777" w:rsidR="00C33F9A" w:rsidRDefault="00C33F9A" w:rsidP="00C33F9A">
      <w:pPr>
        <w:pStyle w:val="ListParagraph"/>
        <w:numPr>
          <w:ilvl w:val="0"/>
          <w:numId w:val="1"/>
        </w:numPr>
        <w:rPr>
          <w:rFonts w:ascii="Times New Roman" w:hAnsi="Times New Roman" w:cs="Times New Roman"/>
          <w:sz w:val="24"/>
          <w:szCs w:val="24"/>
        </w:rPr>
      </w:pPr>
      <w:r w:rsidRPr="00C8708F">
        <w:rPr>
          <w:rFonts w:ascii="Times New Roman" w:hAnsi="Times New Roman" w:cs="Times New Roman"/>
          <w:sz w:val="24"/>
          <w:szCs w:val="24"/>
        </w:rPr>
        <w:t xml:space="preserve"> 22 lēmumi par reģistrētu PVN maksātāju izslēgšanu no VID PVN maksātāju reģistra, kuri veica visu amatpersonu nomaiņu, un nosūtīts brīdinājums 91 reģistrētam PVN maksātājam, kuri veica visu amatpersonu nomaiņu; </w:t>
      </w:r>
    </w:p>
    <w:p w14:paraId="7B5656BF" w14:textId="77777777" w:rsidR="00C33F9A" w:rsidRPr="00DD72A8" w:rsidRDefault="00C33F9A" w:rsidP="00C33F9A">
      <w:pPr>
        <w:pStyle w:val="ListParagraph"/>
        <w:numPr>
          <w:ilvl w:val="0"/>
          <w:numId w:val="1"/>
        </w:numPr>
        <w:rPr>
          <w:rFonts w:ascii="Times New Roman" w:hAnsi="Times New Roman" w:cs="Times New Roman"/>
          <w:sz w:val="24"/>
          <w:szCs w:val="24"/>
        </w:rPr>
      </w:pPr>
      <w:r w:rsidRPr="00DD72A8">
        <w:rPr>
          <w:rFonts w:ascii="Times New Roman" w:hAnsi="Times New Roman" w:cs="Times New Roman"/>
          <w:sz w:val="24"/>
          <w:szCs w:val="24"/>
        </w:rPr>
        <w:t>pieņemti 63 lēmumi par reģistrētu PVN maksātāju izslēgšanu no VID PVN maksātāju reģistra sakarā ar to, ka iepriekšējos sešus kalendāros mēnešus nav bijuši darījumi, un 312 reģistrētiem PVN maksātājiem, kuri PVN deklarācijās nav norādījuši darījumus iepriekšējos sešus kalendāros mēnešus, ir nosūtīts brīdinājums.</w:t>
      </w:r>
    </w:p>
    <w:p w14:paraId="3A4AD8DF" w14:textId="77777777" w:rsidR="006B731B" w:rsidRDefault="006B731B" w:rsidP="006B731B">
      <w:pPr>
        <w:pStyle w:val="ListParagraph"/>
        <w:ind w:left="1504"/>
        <w:rPr>
          <w:rFonts w:ascii="Times New Roman" w:hAnsi="Times New Roman" w:cs="Times New Roman"/>
          <w:sz w:val="24"/>
          <w:szCs w:val="24"/>
        </w:rPr>
      </w:pPr>
    </w:p>
    <w:p w14:paraId="646EA3AC" w14:textId="2A2DCB71" w:rsidR="00CC6454" w:rsidRDefault="00625266" w:rsidP="002F3CBA">
      <w:pPr>
        <w:pStyle w:val="ListParagraph"/>
        <w:ind w:left="0"/>
        <w:rPr>
          <w:rFonts w:ascii="Times New Roman" w:hAnsi="Times New Roman" w:cs="Times New Roman"/>
          <w:sz w:val="24"/>
          <w:szCs w:val="24"/>
        </w:rPr>
      </w:pPr>
      <w:r w:rsidRPr="00625266">
        <w:rPr>
          <w:rFonts w:ascii="Times New Roman" w:hAnsi="Times New Roman" w:cs="Times New Roman"/>
          <w:sz w:val="24"/>
          <w:szCs w:val="24"/>
        </w:rPr>
        <w:t xml:space="preserve"> </w:t>
      </w:r>
      <w:r w:rsidR="00A51F18" w:rsidRPr="00DD72A8">
        <w:rPr>
          <w:rFonts w:ascii="Times New Roman" w:hAnsi="Times New Roman" w:cs="Times New Roman"/>
          <w:sz w:val="24"/>
          <w:szCs w:val="24"/>
        </w:rPr>
        <w:t>Valsts b</w:t>
      </w:r>
      <w:r w:rsidRPr="00DD72A8">
        <w:rPr>
          <w:rFonts w:ascii="Times New Roman" w:hAnsi="Times New Roman" w:cs="Times New Roman"/>
          <w:sz w:val="24"/>
          <w:szCs w:val="24"/>
        </w:rPr>
        <w:t xml:space="preserve">udžeta ieņēmumu daļas izpilde </w:t>
      </w:r>
      <w:r w:rsidR="004212BF" w:rsidRPr="003838FD">
        <w:rPr>
          <w:rFonts w:ascii="Times New Roman" w:hAnsi="Times New Roman" w:cs="Times New Roman"/>
          <w:sz w:val="24"/>
          <w:szCs w:val="24"/>
        </w:rPr>
        <w:t>2019.</w:t>
      </w:r>
      <w:r w:rsidR="002E258C" w:rsidRPr="003838FD">
        <w:rPr>
          <w:rFonts w:ascii="Times New Roman" w:hAnsi="Times New Roman" w:cs="Times New Roman"/>
          <w:sz w:val="24"/>
          <w:szCs w:val="24"/>
        </w:rPr>
        <w:t> </w:t>
      </w:r>
      <w:r w:rsidR="004212BF" w:rsidRPr="003838FD">
        <w:rPr>
          <w:rFonts w:ascii="Times New Roman" w:hAnsi="Times New Roman" w:cs="Times New Roman"/>
          <w:sz w:val="24"/>
          <w:szCs w:val="24"/>
        </w:rPr>
        <w:t>gadā liecināja</w:t>
      </w:r>
      <w:r w:rsidRPr="00DD72A8">
        <w:rPr>
          <w:rFonts w:ascii="Times New Roman" w:hAnsi="Times New Roman" w:cs="Times New Roman"/>
          <w:sz w:val="24"/>
          <w:szCs w:val="24"/>
        </w:rPr>
        <w:t xml:space="preserve"> par veikto nodokļu administrēšanas uzlaboša</w:t>
      </w:r>
      <w:r w:rsidR="00A51F18" w:rsidRPr="00DD72A8">
        <w:rPr>
          <w:rFonts w:ascii="Times New Roman" w:hAnsi="Times New Roman" w:cs="Times New Roman"/>
          <w:sz w:val="24"/>
          <w:szCs w:val="24"/>
        </w:rPr>
        <w:t>no</w:t>
      </w:r>
      <w:r w:rsidRPr="00DD72A8">
        <w:rPr>
          <w:rFonts w:ascii="Times New Roman" w:hAnsi="Times New Roman" w:cs="Times New Roman"/>
          <w:sz w:val="24"/>
          <w:szCs w:val="24"/>
        </w:rPr>
        <w:t>s, ēnu</w:t>
      </w:r>
      <w:r w:rsidRPr="00625266">
        <w:rPr>
          <w:rFonts w:ascii="Times New Roman" w:hAnsi="Times New Roman" w:cs="Times New Roman"/>
          <w:sz w:val="24"/>
          <w:szCs w:val="24"/>
        </w:rPr>
        <w:t xml:space="preserve"> ekonomikas ierobežošanas pasākumu efektivitāti un tautsaimniecības izaugsmi. </w:t>
      </w:r>
      <w:r w:rsidR="00996B25">
        <w:rPr>
          <w:rFonts w:ascii="Times New Roman" w:hAnsi="Times New Roman" w:cs="Times New Roman"/>
          <w:sz w:val="24"/>
          <w:szCs w:val="24"/>
        </w:rPr>
        <w:t>VID</w:t>
      </w:r>
      <w:r w:rsidR="00CC6454" w:rsidRPr="00CC6454">
        <w:rPr>
          <w:rFonts w:ascii="Times New Roman" w:hAnsi="Times New Roman" w:cs="Times New Roman"/>
          <w:sz w:val="24"/>
          <w:szCs w:val="24"/>
        </w:rPr>
        <w:t xml:space="preserve"> </w:t>
      </w:r>
      <w:r w:rsidR="00CC6454" w:rsidRPr="00737A07">
        <w:rPr>
          <w:rFonts w:ascii="Times New Roman" w:hAnsi="Times New Roman" w:cs="Times New Roman"/>
          <w:sz w:val="24"/>
          <w:szCs w:val="24"/>
        </w:rPr>
        <w:t>administrētie kopbudžeta ieņēmumi 2019.</w:t>
      </w:r>
      <w:r w:rsidR="00F16E57" w:rsidRPr="00737A07">
        <w:rPr>
          <w:rFonts w:ascii="Times New Roman" w:hAnsi="Times New Roman" w:cs="Times New Roman"/>
          <w:sz w:val="24"/>
          <w:szCs w:val="24"/>
        </w:rPr>
        <w:t> </w:t>
      </w:r>
      <w:r w:rsidR="00CC6454" w:rsidRPr="00737A07">
        <w:rPr>
          <w:rFonts w:ascii="Times New Roman" w:hAnsi="Times New Roman" w:cs="Times New Roman"/>
          <w:sz w:val="24"/>
          <w:szCs w:val="24"/>
        </w:rPr>
        <w:t xml:space="preserve">gadā </w:t>
      </w:r>
      <w:r w:rsidR="00CC6454" w:rsidRPr="00CC6454">
        <w:rPr>
          <w:rFonts w:ascii="Times New Roman" w:hAnsi="Times New Roman" w:cs="Times New Roman"/>
          <w:sz w:val="24"/>
          <w:szCs w:val="24"/>
        </w:rPr>
        <w:t xml:space="preserve">bija 9,92 miljardi </w:t>
      </w:r>
      <w:r w:rsidR="00AD0CA2" w:rsidRPr="009A09D2">
        <w:rPr>
          <w:rFonts w:ascii="Times New Roman" w:hAnsi="Times New Roman" w:cs="Times New Roman"/>
          <w:i/>
          <w:iCs/>
          <w:sz w:val="24"/>
          <w:szCs w:val="24"/>
        </w:rPr>
        <w:t>euro</w:t>
      </w:r>
      <w:r w:rsidR="00CC6454" w:rsidRPr="00CC6454">
        <w:rPr>
          <w:rFonts w:ascii="Times New Roman" w:hAnsi="Times New Roman" w:cs="Times New Roman"/>
          <w:sz w:val="24"/>
          <w:szCs w:val="24"/>
        </w:rPr>
        <w:t xml:space="preserve">. Tas ir par 0,51 miljardu </w:t>
      </w:r>
      <w:r w:rsidR="00AD0CA2" w:rsidRPr="009A09D2">
        <w:rPr>
          <w:rFonts w:ascii="Times New Roman" w:hAnsi="Times New Roman" w:cs="Times New Roman"/>
          <w:i/>
          <w:iCs/>
          <w:sz w:val="24"/>
          <w:szCs w:val="24"/>
        </w:rPr>
        <w:t>euro</w:t>
      </w:r>
      <w:r w:rsidR="00CC6454">
        <w:rPr>
          <w:rFonts w:ascii="Times New Roman" w:hAnsi="Times New Roman" w:cs="Times New Roman"/>
          <w:sz w:val="24"/>
          <w:szCs w:val="24"/>
        </w:rPr>
        <w:t xml:space="preserve"> </w:t>
      </w:r>
      <w:r w:rsidR="00CC6454" w:rsidRPr="00737A07">
        <w:rPr>
          <w:rFonts w:ascii="Times New Roman" w:hAnsi="Times New Roman" w:cs="Times New Roman"/>
          <w:bCs/>
          <w:sz w:val="24"/>
          <w:szCs w:val="24"/>
        </w:rPr>
        <w:t>jeb 5,4 %</w:t>
      </w:r>
      <w:r w:rsidR="00CC6454" w:rsidRPr="00CC6454">
        <w:rPr>
          <w:rFonts w:ascii="Times New Roman" w:hAnsi="Times New Roman" w:cs="Times New Roman"/>
          <w:sz w:val="24"/>
          <w:szCs w:val="24"/>
        </w:rPr>
        <w:t xml:space="preserve"> vairāk nekā 2018.</w:t>
      </w:r>
      <w:r w:rsidR="00F16E57">
        <w:rPr>
          <w:rFonts w:ascii="Times New Roman" w:hAnsi="Times New Roman" w:cs="Times New Roman"/>
          <w:sz w:val="24"/>
          <w:szCs w:val="24"/>
        </w:rPr>
        <w:t> </w:t>
      </w:r>
      <w:r w:rsidR="00CC6454" w:rsidRPr="00CC6454">
        <w:rPr>
          <w:rFonts w:ascii="Times New Roman" w:hAnsi="Times New Roman" w:cs="Times New Roman"/>
          <w:sz w:val="24"/>
          <w:szCs w:val="24"/>
        </w:rPr>
        <w:t>gadā un nodrošināja 2019.</w:t>
      </w:r>
      <w:r w:rsidR="00F16E57">
        <w:rPr>
          <w:rFonts w:ascii="Times New Roman" w:hAnsi="Times New Roman" w:cs="Times New Roman"/>
          <w:sz w:val="24"/>
          <w:szCs w:val="24"/>
        </w:rPr>
        <w:t> </w:t>
      </w:r>
      <w:r w:rsidR="00CC6454" w:rsidRPr="00CC6454">
        <w:rPr>
          <w:rFonts w:ascii="Times New Roman" w:hAnsi="Times New Roman" w:cs="Times New Roman"/>
          <w:sz w:val="24"/>
          <w:szCs w:val="24"/>
        </w:rPr>
        <w:t>gada ieņēmumu plāna izpildi 101 % apmērā. Lielākais ieņēmumu pieaugums 2019.</w:t>
      </w:r>
      <w:r w:rsidR="00F16E57">
        <w:rPr>
          <w:rFonts w:ascii="Times New Roman" w:hAnsi="Times New Roman" w:cs="Times New Roman"/>
          <w:sz w:val="24"/>
          <w:szCs w:val="24"/>
        </w:rPr>
        <w:t> </w:t>
      </w:r>
      <w:r w:rsidR="00CC6454" w:rsidRPr="00CC6454">
        <w:rPr>
          <w:rFonts w:ascii="Times New Roman" w:hAnsi="Times New Roman" w:cs="Times New Roman"/>
          <w:sz w:val="24"/>
          <w:szCs w:val="24"/>
        </w:rPr>
        <w:t>gadā, salīdzinot ar 2018.</w:t>
      </w:r>
      <w:r w:rsidR="00F16E57">
        <w:rPr>
          <w:rFonts w:ascii="Times New Roman" w:hAnsi="Times New Roman" w:cs="Times New Roman"/>
          <w:sz w:val="24"/>
          <w:szCs w:val="24"/>
        </w:rPr>
        <w:t> </w:t>
      </w:r>
      <w:r w:rsidR="00CC6454" w:rsidRPr="00CC6454">
        <w:rPr>
          <w:rFonts w:ascii="Times New Roman" w:hAnsi="Times New Roman" w:cs="Times New Roman"/>
          <w:sz w:val="24"/>
          <w:szCs w:val="24"/>
        </w:rPr>
        <w:t xml:space="preserve">gadu, kas būtiski pārsniedza arī plānoto apmēru, ir darbaspēka nodokļiem. </w:t>
      </w:r>
      <w:r w:rsidR="007A6DBE">
        <w:rPr>
          <w:rFonts w:ascii="Times New Roman" w:hAnsi="Times New Roman" w:cs="Times New Roman"/>
          <w:sz w:val="24"/>
          <w:szCs w:val="24"/>
        </w:rPr>
        <w:t>VSAOI</w:t>
      </w:r>
      <w:r w:rsidR="00CC6454" w:rsidRPr="00CC6454">
        <w:rPr>
          <w:rFonts w:ascii="Times New Roman" w:hAnsi="Times New Roman" w:cs="Times New Roman"/>
          <w:sz w:val="24"/>
          <w:szCs w:val="24"/>
        </w:rPr>
        <w:t xml:space="preserve"> 2019.</w:t>
      </w:r>
      <w:r w:rsidR="00DB2A28">
        <w:rPr>
          <w:rFonts w:ascii="Times New Roman" w:hAnsi="Times New Roman" w:cs="Times New Roman"/>
          <w:sz w:val="24"/>
          <w:szCs w:val="24"/>
        </w:rPr>
        <w:t> </w:t>
      </w:r>
      <w:r w:rsidR="00CC6454" w:rsidRPr="00CC6454">
        <w:rPr>
          <w:rFonts w:ascii="Times New Roman" w:hAnsi="Times New Roman" w:cs="Times New Roman"/>
          <w:sz w:val="24"/>
          <w:szCs w:val="24"/>
        </w:rPr>
        <w:t xml:space="preserve">gadā ir 3,51 miljardi </w:t>
      </w:r>
      <w:r w:rsidR="00AD0CA2" w:rsidRPr="009A09D2">
        <w:rPr>
          <w:rFonts w:ascii="Times New Roman" w:hAnsi="Times New Roman" w:cs="Times New Roman"/>
          <w:i/>
          <w:iCs/>
          <w:sz w:val="24"/>
          <w:szCs w:val="24"/>
        </w:rPr>
        <w:t>euro</w:t>
      </w:r>
      <w:r w:rsidR="00CC6454" w:rsidRPr="00CC6454">
        <w:rPr>
          <w:rFonts w:ascii="Times New Roman" w:hAnsi="Times New Roman" w:cs="Times New Roman"/>
          <w:sz w:val="24"/>
          <w:szCs w:val="24"/>
        </w:rPr>
        <w:t xml:space="preserve">, kas ir par 0,31 miljardiem </w:t>
      </w:r>
      <w:r w:rsidR="00CE1984" w:rsidRPr="009A09D2">
        <w:rPr>
          <w:rFonts w:ascii="Times New Roman" w:hAnsi="Times New Roman" w:cs="Times New Roman"/>
          <w:i/>
          <w:iCs/>
          <w:sz w:val="24"/>
          <w:szCs w:val="24"/>
        </w:rPr>
        <w:t>euro</w:t>
      </w:r>
      <w:r w:rsidR="00CC6454" w:rsidRPr="00CC6454">
        <w:rPr>
          <w:rFonts w:ascii="Times New Roman" w:hAnsi="Times New Roman" w:cs="Times New Roman"/>
          <w:sz w:val="24"/>
          <w:szCs w:val="24"/>
        </w:rPr>
        <w:t xml:space="preserve"> vairāk nekā 2018.</w:t>
      </w:r>
      <w:r w:rsidR="00DB2A28">
        <w:rPr>
          <w:rFonts w:ascii="Times New Roman" w:hAnsi="Times New Roman" w:cs="Times New Roman"/>
          <w:sz w:val="24"/>
          <w:szCs w:val="24"/>
        </w:rPr>
        <w:t> </w:t>
      </w:r>
      <w:r w:rsidR="00CC6454" w:rsidRPr="00CC6454">
        <w:rPr>
          <w:rFonts w:ascii="Times New Roman" w:hAnsi="Times New Roman" w:cs="Times New Roman"/>
          <w:sz w:val="24"/>
          <w:szCs w:val="24"/>
        </w:rPr>
        <w:t xml:space="preserve">gadā. </w:t>
      </w:r>
      <w:r w:rsidR="007A6DBE">
        <w:rPr>
          <w:rFonts w:ascii="Times New Roman" w:hAnsi="Times New Roman" w:cs="Times New Roman"/>
          <w:sz w:val="24"/>
          <w:szCs w:val="24"/>
        </w:rPr>
        <w:t>IIN</w:t>
      </w:r>
      <w:r w:rsidR="00CC6454" w:rsidRPr="00CC6454">
        <w:rPr>
          <w:rFonts w:ascii="Times New Roman" w:hAnsi="Times New Roman" w:cs="Times New Roman"/>
          <w:sz w:val="24"/>
          <w:szCs w:val="24"/>
        </w:rPr>
        <w:t xml:space="preserve"> ieņēmumi ir 1,95 miljardi eiro, kas ir par 0,22 miljardiem</w:t>
      </w:r>
      <w:r w:rsidR="0055386A">
        <w:rPr>
          <w:rFonts w:ascii="Times New Roman" w:hAnsi="Times New Roman" w:cs="Times New Roman"/>
          <w:sz w:val="24"/>
          <w:szCs w:val="24"/>
        </w:rPr>
        <w:t xml:space="preserve"> </w:t>
      </w:r>
      <w:r w:rsidR="00CE1984" w:rsidRPr="009A09D2">
        <w:rPr>
          <w:rFonts w:ascii="Times New Roman" w:hAnsi="Times New Roman" w:cs="Times New Roman"/>
          <w:i/>
          <w:iCs/>
          <w:sz w:val="24"/>
          <w:szCs w:val="24"/>
        </w:rPr>
        <w:t>euro</w:t>
      </w:r>
      <w:r w:rsidR="0055386A">
        <w:rPr>
          <w:rFonts w:ascii="Times New Roman" w:hAnsi="Times New Roman" w:cs="Times New Roman"/>
          <w:sz w:val="24"/>
          <w:szCs w:val="24"/>
        </w:rPr>
        <w:t xml:space="preserve"> </w:t>
      </w:r>
      <w:r w:rsidR="00CC6454" w:rsidRPr="00CC6454">
        <w:rPr>
          <w:rFonts w:ascii="Times New Roman" w:hAnsi="Times New Roman" w:cs="Times New Roman"/>
          <w:sz w:val="24"/>
          <w:szCs w:val="24"/>
        </w:rPr>
        <w:t>jeb 12,9 % vairāk nekā 2018.</w:t>
      </w:r>
      <w:r w:rsidR="00DB2A28">
        <w:rPr>
          <w:rFonts w:ascii="Times New Roman" w:hAnsi="Times New Roman" w:cs="Times New Roman"/>
          <w:sz w:val="24"/>
          <w:szCs w:val="24"/>
        </w:rPr>
        <w:t> </w:t>
      </w:r>
      <w:r w:rsidR="00CC6454" w:rsidRPr="00CC6454">
        <w:rPr>
          <w:rFonts w:ascii="Times New Roman" w:hAnsi="Times New Roman" w:cs="Times New Roman"/>
          <w:sz w:val="24"/>
          <w:szCs w:val="24"/>
        </w:rPr>
        <w:t>gadā. Lielākais darbaspēku nodokļu ieņēmumu pieaugums ir no nodokļu maksātājiem, kuru pamatdarbības veids saistīts ar tirdzniecību, automobiļu un motociklu remontu. Minētie nodokļu ieņēmumi ir arī cieši saistīti ar darba ņēmēju skaita, kā arī darba ienākumu izmaiņām.</w:t>
      </w:r>
    </w:p>
    <w:p w14:paraId="0389F453" w14:textId="77777777" w:rsidR="00C47090" w:rsidRPr="00CC6454" w:rsidRDefault="00625266" w:rsidP="00C4709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Analizējot </w:t>
      </w:r>
      <w:r w:rsidRPr="00DD0DA1">
        <w:rPr>
          <w:rFonts w:ascii="Times New Roman" w:hAnsi="Times New Roman" w:cs="Times New Roman"/>
          <w:bCs/>
          <w:sz w:val="24"/>
          <w:szCs w:val="24"/>
        </w:rPr>
        <w:t xml:space="preserve">nodarbinātības </w:t>
      </w:r>
      <w:r>
        <w:rPr>
          <w:rFonts w:ascii="Times New Roman" w:hAnsi="Times New Roman" w:cs="Times New Roman"/>
          <w:sz w:val="24"/>
          <w:szCs w:val="24"/>
        </w:rPr>
        <w:t xml:space="preserve">tendences, </w:t>
      </w:r>
      <w:r w:rsidR="00CC6454" w:rsidRPr="00CC6454">
        <w:rPr>
          <w:rFonts w:ascii="Times New Roman" w:hAnsi="Times New Roman" w:cs="Times New Roman"/>
          <w:sz w:val="24"/>
          <w:szCs w:val="24"/>
        </w:rPr>
        <w:t xml:space="preserve">Latvijā </w:t>
      </w:r>
      <w:r w:rsidRPr="00CC6454">
        <w:rPr>
          <w:rFonts w:ascii="Times New Roman" w:hAnsi="Times New Roman" w:cs="Times New Roman"/>
          <w:sz w:val="24"/>
          <w:szCs w:val="24"/>
        </w:rPr>
        <w:t xml:space="preserve">2019. gadā </w:t>
      </w:r>
      <w:r w:rsidR="00CC6454" w:rsidRPr="00CC6454">
        <w:rPr>
          <w:rFonts w:ascii="Times New Roman" w:hAnsi="Times New Roman" w:cs="Times New Roman"/>
          <w:sz w:val="24"/>
          <w:szCs w:val="24"/>
        </w:rPr>
        <w:t xml:space="preserve">bija nodarbināti </w:t>
      </w:r>
      <w:r w:rsidR="00CC6454" w:rsidRPr="00DD0DA1">
        <w:rPr>
          <w:rFonts w:ascii="Times New Roman" w:hAnsi="Times New Roman" w:cs="Times New Roman"/>
          <w:bCs/>
          <w:sz w:val="24"/>
          <w:szCs w:val="24"/>
        </w:rPr>
        <w:t>910 tūkstoši jeb 65 % iedzīvotāju vecumā no 15 līdz 74 gadiem,</w:t>
      </w:r>
      <w:r w:rsidR="00CC6454" w:rsidRPr="00CC6454">
        <w:rPr>
          <w:rFonts w:ascii="Times New Roman" w:hAnsi="Times New Roman" w:cs="Times New Roman"/>
          <w:sz w:val="24"/>
          <w:szCs w:val="24"/>
        </w:rPr>
        <w:t xml:space="preserve"> liecina </w:t>
      </w:r>
      <w:r>
        <w:rPr>
          <w:rFonts w:ascii="Times New Roman" w:hAnsi="Times New Roman" w:cs="Times New Roman"/>
          <w:sz w:val="24"/>
          <w:szCs w:val="24"/>
        </w:rPr>
        <w:t>CSP d</w:t>
      </w:r>
      <w:r w:rsidR="00CC6454" w:rsidRPr="00CC6454">
        <w:rPr>
          <w:rFonts w:ascii="Times New Roman" w:hAnsi="Times New Roman" w:cs="Times New Roman"/>
          <w:sz w:val="24"/>
          <w:szCs w:val="24"/>
        </w:rPr>
        <w:t>arbaspēka apsekojuma rezultāti.</w:t>
      </w:r>
      <w:r w:rsidR="00C47090" w:rsidRPr="00C47090">
        <w:rPr>
          <w:rFonts w:ascii="Times New Roman" w:hAnsi="Times New Roman" w:cs="Times New Roman"/>
          <w:sz w:val="24"/>
          <w:szCs w:val="24"/>
        </w:rPr>
        <w:t xml:space="preserve"> </w:t>
      </w:r>
      <w:r w:rsidR="00C47090" w:rsidRPr="00CC6454">
        <w:rPr>
          <w:rFonts w:ascii="Times New Roman" w:hAnsi="Times New Roman" w:cs="Times New Roman"/>
          <w:sz w:val="24"/>
          <w:szCs w:val="24"/>
        </w:rPr>
        <w:t>Salīdzinot ar 2018.</w:t>
      </w:r>
      <w:r w:rsidR="00DB2A28">
        <w:rPr>
          <w:rFonts w:ascii="Times New Roman" w:hAnsi="Times New Roman" w:cs="Times New Roman"/>
          <w:sz w:val="24"/>
          <w:szCs w:val="24"/>
        </w:rPr>
        <w:t> </w:t>
      </w:r>
      <w:r w:rsidR="00C47090" w:rsidRPr="00CC6454">
        <w:rPr>
          <w:rFonts w:ascii="Times New Roman" w:hAnsi="Times New Roman" w:cs="Times New Roman"/>
          <w:sz w:val="24"/>
          <w:szCs w:val="24"/>
        </w:rPr>
        <w:t xml:space="preserve">gadu, </w:t>
      </w:r>
      <w:r w:rsidR="00C47090">
        <w:rPr>
          <w:rFonts w:ascii="Times New Roman" w:hAnsi="Times New Roman" w:cs="Times New Roman"/>
          <w:sz w:val="24"/>
          <w:szCs w:val="24"/>
        </w:rPr>
        <w:t>2019.</w:t>
      </w:r>
      <w:r w:rsidR="00DB2A28">
        <w:rPr>
          <w:rFonts w:ascii="Times New Roman" w:hAnsi="Times New Roman" w:cs="Times New Roman"/>
          <w:sz w:val="24"/>
          <w:szCs w:val="24"/>
        </w:rPr>
        <w:t> </w:t>
      </w:r>
      <w:r w:rsidR="00C47090">
        <w:rPr>
          <w:rFonts w:ascii="Times New Roman" w:hAnsi="Times New Roman" w:cs="Times New Roman"/>
          <w:sz w:val="24"/>
          <w:szCs w:val="24"/>
        </w:rPr>
        <w:t>gadā</w:t>
      </w:r>
      <w:r w:rsidR="00C47090" w:rsidRPr="00CC6454">
        <w:rPr>
          <w:rFonts w:ascii="Times New Roman" w:hAnsi="Times New Roman" w:cs="Times New Roman"/>
          <w:sz w:val="24"/>
          <w:szCs w:val="24"/>
        </w:rPr>
        <w:t xml:space="preserve"> nodarbinātības līmenis palielinājies par 0,5 procentpunktiem, bet nodarbināto skaits – par 0,6 tūkstošiem.</w:t>
      </w:r>
    </w:p>
    <w:p w14:paraId="5E6ECAC6" w14:textId="77777777" w:rsidR="00CC6454" w:rsidRPr="00CC6454" w:rsidRDefault="00C47090" w:rsidP="00C47090">
      <w:pPr>
        <w:pStyle w:val="ListParagraph"/>
        <w:ind w:left="0"/>
        <w:rPr>
          <w:rFonts w:ascii="Times New Roman" w:hAnsi="Times New Roman" w:cs="Times New Roman"/>
          <w:sz w:val="24"/>
          <w:szCs w:val="24"/>
        </w:rPr>
      </w:pPr>
      <w:r>
        <w:rPr>
          <w:rFonts w:ascii="Times New Roman" w:hAnsi="Times New Roman" w:cs="Times New Roman"/>
          <w:sz w:val="24"/>
          <w:szCs w:val="24"/>
        </w:rPr>
        <w:t>L</w:t>
      </w:r>
      <w:r w:rsidR="00CC6454" w:rsidRPr="00CC6454">
        <w:rPr>
          <w:rFonts w:ascii="Times New Roman" w:hAnsi="Times New Roman" w:cs="Times New Roman"/>
          <w:sz w:val="24"/>
          <w:szCs w:val="24"/>
        </w:rPr>
        <w:t xml:space="preserve">ielākais nodarbināto skaita pieaugums </w:t>
      </w:r>
      <w:r w:rsidR="00E05EFC" w:rsidRPr="00CA5379">
        <w:rPr>
          <w:rFonts w:ascii="Times New Roman" w:hAnsi="Times New Roman" w:cs="Times New Roman"/>
          <w:sz w:val="24"/>
          <w:szCs w:val="24"/>
        </w:rPr>
        <w:t>2019. gadā</w:t>
      </w:r>
      <w:r w:rsidR="00E05EFC">
        <w:rPr>
          <w:rFonts w:ascii="Times New Roman" w:hAnsi="Times New Roman" w:cs="Times New Roman"/>
          <w:sz w:val="24"/>
          <w:szCs w:val="24"/>
        </w:rPr>
        <w:t xml:space="preserve"> </w:t>
      </w:r>
      <w:r w:rsidR="00CC6454" w:rsidRPr="00CC6454">
        <w:rPr>
          <w:rFonts w:ascii="Times New Roman" w:hAnsi="Times New Roman" w:cs="Times New Roman"/>
          <w:sz w:val="24"/>
          <w:szCs w:val="24"/>
        </w:rPr>
        <w:t>bija būvniecībā, finanšu un apdrošināšanas jomā, valsts pārvaldē un aizsardzībā; obligātajā sociālajā apdrošināšanā, kā arī lauksaimniecības, mežsaimniecības un zivsaimniecības nozarē</w:t>
      </w:r>
      <w:r w:rsidR="00191825">
        <w:rPr>
          <w:rFonts w:ascii="Times New Roman" w:hAnsi="Times New Roman" w:cs="Times New Roman"/>
          <w:sz w:val="24"/>
          <w:szCs w:val="24"/>
        </w:rPr>
        <w:t xml:space="preserve"> </w:t>
      </w:r>
      <w:r w:rsidR="00191825" w:rsidRPr="00CA5379">
        <w:rPr>
          <w:rFonts w:ascii="Times New Roman" w:hAnsi="Times New Roman" w:cs="Times New Roman"/>
          <w:sz w:val="24"/>
          <w:szCs w:val="24"/>
        </w:rPr>
        <w:t>kopā</w:t>
      </w:r>
      <w:r w:rsidR="00CC6454" w:rsidRPr="00CC6454">
        <w:rPr>
          <w:rFonts w:ascii="Times New Roman" w:hAnsi="Times New Roman" w:cs="Times New Roman"/>
          <w:sz w:val="24"/>
          <w:szCs w:val="24"/>
        </w:rPr>
        <w:t>.</w:t>
      </w:r>
    </w:p>
    <w:p w14:paraId="5B65F7BA" w14:textId="77777777" w:rsidR="00CC6454" w:rsidRPr="00CC6454" w:rsidRDefault="0055386A" w:rsidP="00C47090">
      <w:pPr>
        <w:pStyle w:val="ListParagraph"/>
        <w:ind w:left="0"/>
        <w:rPr>
          <w:rFonts w:ascii="Times New Roman" w:hAnsi="Times New Roman" w:cs="Times New Roman"/>
          <w:sz w:val="24"/>
          <w:szCs w:val="24"/>
        </w:rPr>
      </w:pPr>
      <w:r w:rsidRPr="00DD0DA1">
        <w:rPr>
          <w:rFonts w:ascii="Times New Roman" w:hAnsi="Times New Roman" w:cs="Times New Roman"/>
          <w:sz w:val="24"/>
          <w:szCs w:val="24"/>
        </w:rPr>
        <w:t xml:space="preserve">Bezdarba līmenis </w:t>
      </w:r>
      <w:r w:rsidR="00CC6454" w:rsidRPr="00DD0DA1">
        <w:rPr>
          <w:rFonts w:ascii="Times New Roman" w:hAnsi="Times New Roman" w:cs="Times New Roman"/>
          <w:sz w:val="24"/>
          <w:szCs w:val="24"/>
        </w:rPr>
        <w:t>2019.</w:t>
      </w:r>
      <w:r w:rsidR="00DB2A28" w:rsidRPr="00DD0DA1">
        <w:rPr>
          <w:rFonts w:ascii="Times New Roman" w:hAnsi="Times New Roman" w:cs="Times New Roman"/>
          <w:sz w:val="24"/>
          <w:szCs w:val="24"/>
        </w:rPr>
        <w:t> </w:t>
      </w:r>
      <w:r w:rsidR="00CC6454" w:rsidRPr="00DD0DA1">
        <w:rPr>
          <w:rFonts w:ascii="Times New Roman" w:hAnsi="Times New Roman" w:cs="Times New Roman"/>
          <w:sz w:val="24"/>
          <w:szCs w:val="24"/>
        </w:rPr>
        <w:t>gadā</w:t>
      </w:r>
      <w:r w:rsidRPr="00DD0DA1">
        <w:rPr>
          <w:rFonts w:ascii="Times New Roman" w:hAnsi="Times New Roman" w:cs="Times New Roman"/>
          <w:sz w:val="24"/>
          <w:szCs w:val="24"/>
        </w:rPr>
        <w:t>,</w:t>
      </w:r>
      <w:r>
        <w:rPr>
          <w:rFonts w:ascii="Times New Roman" w:hAnsi="Times New Roman" w:cs="Times New Roman"/>
          <w:sz w:val="24"/>
          <w:szCs w:val="24"/>
        </w:rPr>
        <w:t xml:space="preserve"> pēc darbaspēka apsekojuma datiem, samazinājies </w:t>
      </w:r>
      <w:r w:rsidRPr="00DD0DA1">
        <w:rPr>
          <w:rFonts w:ascii="Times New Roman" w:hAnsi="Times New Roman" w:cs="Times New Roman"/>
          <w:sz w:val="24"/>
          <w:szCs w:val="24"/>
        </w:rPr>
        <w:t xml:space="preserve">līdz </w:t>
      </w:r>
      <w:r w:rsidR="00CC6454" w:rsidRPr="00DD0DA1">
        <w:rPr>
          <w:rFonts w:ascii="Times New Roman" w:hAnsi="Times New Roman" w:cs="Times New Roman"/>
          <w:sz w:val="24"/>
          <w:szCs w:val="24"/>
        </w:rPr>
        <w:t xml:space="preserve"> </w:t>
      </w:r>
      <w:r w:rsidR="00C47090" w:rsidRPr="00DD0DA1">
        <w:rPr>
          <w:rFonts w:ascii="Times New Roman" w:hAnsi="Times New Roman" w:cs="Times New Roman"/>
          <w:sz w:val="24"/>
          <w:szCs w:val="24"/>
        </w:rPr>
        <w:t>6,3 %</w:t>
      </w:r>
      <w:r w:rsidRPr="00DD0DA1">
        <w:rPr>
          <w:rFonts w:ascii="Times New Roman" w:hAnsi="Times New Roman" w:cs="Times New Roman"/>
          <w:sz w:val="24"/>
          <w:szCs w:val="24"/>
        </w:rPr>
        <w:t>,</w:t>
      </w:r>
      <w:r>
        <w:rPr>
          <w:rFonts w:ascii="Times New Roman" w:hAnsi="Times New Roman" w:cs="Times New Roman"/>
          <w:sz w:val="24"/>
          <w:szCs w:val="24"/>
        </w:rPr>
        <w:t xml:space="preserve"> un bijis par 1,1 procentpunktu zemāks nekā pirms gada.</w:t>
      </w:r>
    </w:p>
    <w:p w14:paraId="71DD86B0" w14:textId="77777777" w:rsidR="00625266" w:rsidRDefault="00CC6454" w:rsidP="00C47090">
      <w:pPr>
        <w:pStyle w:val="ListParagraph"/>
        <w:ind w:left="0"/>
        <w:rPr>
          <w:rFonts w:ascii="Times New Roman" w:hAnsi="Times New Roman" w:cs="Times New Roman"/>
          <w:sz w:val="24"/>
          <w:szCs w:val="24"/>
        </w:rPr>
      </w:pPr>
      <w:r w:rsidRPr="00CC6454">
        <w:rPr>
          <w:rFonts w:ascii="Times New Roman" w:hAnsi="Times New Roman" w:cs="Times New Roman"/>
          <w:sz w:val="24"/>
          <w:szCs w:val="24"/>
        </w:rPr>
        <w:lastRenderedPageBreak/>
        <w:t xml:space="preserve">2019. gadā 61,3 tūkstoši iedzīvotāju vecumā no 15 līdz 74 gadiem bija bezdarbnieki, liecina </w:t>
      </w:r>
      <w:r w:rsidR="00C47090">
        <w:rPr>
          <w:rFonts w:ascii="Times New Roman" w:hAnsi="Times New Roman" w:cs="Times New Roman"/>
          <w:sz w:val="24"/>
          <w:szCs w:val="24"/>
        </w:rPr>
        <w:t>CSP</w:t>
      </w:r>
      <w:r w:rsidR="00E4219B">
        <w:rPr>
          <w:rFonts w:ascii="Times New Roman" w:hAnsi="Times New Roman" w:cs="Times New Roman"/>
          <w:sz w:val="24"/>
          <w:szCs w:val="24"/>
        </w:rPr>
        <w:t xml:space="preserve"> d</w:t>
      </w:r>
      <w:r w:rsidRPr="00CC6454">
        <w:rPr>
          <w:rFonts w:ascii="Times New Roman" w:hAnsi="Times New Roman" w:cs="Times New Roman"/>
          <w:sz w:val="24"/>
          <w:szCs w:val="24"/>
        </w:rPr>
        <w:t>arbaspēka apsekojuma rezultāti. Salīdzinot ar 2018.</w:t>
      </w:r>
      <w:r w:rsidR="006A55F4">
        <w:rPr>
          <w:rFonts w:ascii="Times New Roman" w:hAnsi="Times New Roman" w:cs="Times New Roman"/>
          <w:sz w:val="24"/>
          <w:szCs w:val="24"/>
        </w:rPr>
        <w:t> </w:t>
      </w:r>
      <w:r w:rsidRPr="00CC6454">
        <w:rPr>
          <w:rFonts w:ascii="Times New Roman" w:hAnsi="Times New Roman" w:cs="Times New Roman"/>
          <w:sz w:val="24"/>
          <w:szCs w:val="24"/>
        </w:rPr>
        <w:t xml:space="preserve">gadu, bezdarbnieku skaits ir samazinājies par 11,5 tūkstošiem jeb 15,8 %. </w:t>
      </w:r>
    </w:p>
    <w:p w14:paraId="5A851242" w14:textId="77777777" w:rsidR="00CC6454" w:rsidRPr="00625266" w:rsidRDefault="00625266" w:rsidP="00C47090">
      <w:pPr>
        <w:pStyle w:val="ListParagraph"/>
        <w:ind w:left="0"/>
        <w:rPr>
          <w:rFonts w:ascii="Times New Roman" w:hAnsi="Times New Roman" w:cs="Times New Roman"/>
          <w:b/>
          <w:sz w:val="24"/>
          <w:szCs w:val="24"/>
        </w:rPr>
      </w:pPr>
      <w:r>
        <w:rPr>
          <w:rFonts w:ascii="Times New Roman" w:hAnsi="Times New Roman" w:cs="Times New Roman"/>
          <w:sz w:val="24"/>
          <w:szCs w:val="24"/>
        </w:rPr>
        <w:t>Savukārt, m</w:t>
      </w:r>
      <w:r w:rsidR="00CC6454" w:rsidRPr="00CC6454">
        <w:rPr>
          <w:rFonts w:ascii="Times New Roman" w:hAnsi="Times New Roman" w:cs="Times New Roman"/>
          <w:sz w:val="24"/>
          <w:szCs w:val="24"/>
        </w:rPr>
        <w:t xml:space="preserve">ēneša </w:t>
      </w:r>
      <w:r w:rsidR="00CC6454" w:rsidRPr="00DD0DA1">
        <w:rPr>
          <w:rFonts w:ascii="Times New Roman" w:hAnsi="Times New Roman" w:cs="Times New Roman"/>
          <w:bCs/>
          <w:sz w:val="24"/>
          <w:szCs w:val="24"/>
        </w:rPr>
        <w:t>vidējā bruto darba samaksa</w:t>
      </w:r>
      <w:r w:rsidR="00CC6454" w:rsidRPr="00CC6454">
        <w:rPr>
          <w:rFonts w:ascii="Times New Roman" w:hAnsi="Times New Roman" w:cs="Times New Roman"/>
          <w:sz w:val="24"/>
          <w:szCs w:val="24"/>
        </w:rPr>
        <w:t xml:space="preserve"> </w:t>
      </w:r>
      <w:r w:rsidR="00C47090" w:rsidRPr="00CC6454">
        <w:rPr>
          <w:rFonts w:ascii="Times New Roman" w:hAnsi="Times New Roman" w:cs="Times New Roman"/>
          <w:sz w:val="24"/>
          <w:szCs w:val="24"/>
        </w:rPr>
        <w:t xml:space="preserve">2019. gadā </w:t>
      </w:r>
      <w:r w:rsidR="00CC6454" w:rsidRPr="00CC6454">
        <w:rPr>
          <w:rFonts w:ascii="Times New Roman" w:hAnsi="Times New Roman" w:cs="Times New Roman"/>
          <w:sz w:val="24"/>
          <w:szCs w:val="24"/>
        </w:rPr>
        <w:t xml:space="preserve">valstī par pilnas slodzes darbu bija </w:t>
      </w:r>
      <w:r w:rsidR="00CC6454" w:rsidRPr="00C47090">
        <w:rPr>
          <w:rFonts w:ascii="Times New Roman" w:hAnsi="Times New Roman" w:cs="Times New Roman"/>
          <w:sz w:val="24"/>
          <w:szCs w:val="24"/>
        </w:rPr>
        <w:t>1 076 </w:t>
      </w:r>
      <w:r w:rsidR="00D34E4C" w:rsidRPr="009A09D2">
        <w:rPr>
          <w:rFonts w:ascii="Times New Roman" w:hAnsi="Times New Roman" w:cs="Times New Roman"/>
          <w:i/>
          <w:iCs/>
          <w:sz w:val="24"/>
          <w:szCs w:val="24"/>
        </w:rPr>
        <w:t>euro</w:t>
      </w:r>
      <w:r w:rsidR="00C47090">
        <w:rPr>
          <w:rFonts w:ascii="Times New Roman" w:hAnsi="Times New Roman" w:cs="Times New Roman"/>
          <w:sz w:val="24"/>
          <w:szCs w:val="24"/>
        </w:rPr>
        <w:t xml:space="preserve">. </w:t>
      </w:r>
      <w:r w:rsidR="00C47090" w:rsidRPr="00CC6454">
        <w:rPr>
          <w:rFonts w:ascii="Times New Roman" w:hAnsi="Times New Roman" w:cs="Times New Roman"/>
          <w:sz w:val="24"/>
          <w:szCs w:val="24"/>
        </w:rPr>
        <w:t>Salīdzinot ar 2018. gadu, vidējā alga palielinājās par 72 eiro jeb 7,2 %.</w:t>
      </w:r>
      <w:r w:rsidR="00C47090" w:rsidRPr="00C47090">
        <w:rPr>
          <w:rFonts w:ascii="Times New Roman" w:hAnsi="Times New Roman" w:cs="Times New Roman"/>
          <w:sz w:val="24"/>
          <w:szCs w:val="24"/>
        </w:rPr>
        <w:t xml:space="preserve"> </w:t>
      </w:r>
      <w:r w:rsidR="00C47090">
        <w:rPr>
          <w:rFonts w:ascii="Times New Roman" w:hAnsi="Times New Roman" w:cs="Times New Roman"/>
          <w:sz w:val="24"/>
          <w:szCs w:val="24"/>
        </w:rPr>
        <w:t>Tas ir nedaudz lēnāks pieaugums nekā iepriekšējos divos gados, kad darba samaksa bija augusi attiecīgi par 7,9</w:t>
      </w:r>
      <w:r w:rsidR="00E9598E">
        <w:rPr>
          <w:rFonts w:ascii="Times New Roman" w:hAnsi="Times New Roman" w:cs="Times New Roman"/>
          <w:sz w:val="24"/>
          <w:szCs w:val="24"/>
        </w:rPr>
        <w:t> </w:t>
      </w:r>
      <w:r w:rsidR="00C47090">
        <w:rPr>
          <w:rFonts w:ascii="Times New Roman" w:hAnsi="Times New Roman" w:cs="Times New Roman"/>
          <w:sz w:val="24"/>
          <w:szCs w:val="24"/>
        </w:rPr>
        <w:t>% 2017.</w:t>
      </w:r>
      <w:r w:rsidR="006A55F4">
        <w:rPr>
          <w:rFonts w:ascii="Times New Roman" w:hAnsi="Times New Roman" w:cs="Times New Roman"/>
          <w:sz w:val="24"/>
          <w:szCs w:val="24"/>
        </w:rPr>
        <w:t> </w:t>
      </w:r>
      <w:r w:rsidR="00C47090">
        <w:rPr>
          <w:rFonts w:ascii="Times New Roman" w:hAnsi="Times New Roman" w:cs="Times New Roman"/>
          <w:sz w:val="24"/>
          <w:szCs w:val="24"/>
        </w:rPr>
        <w:t>gadā un 8,4</w:t>
      </w:r>
      <w:r w:rsidR="00E9598E">
        <w:rPr>
          <w:rFonts w:ascii="Times New Roman" w:hAnsi="Times New Roman" w:cs="Times New Roman"/>
          <w:sz w:val="24"/>
          <w:szCs w:val="24"/>
        </w:rPr>
        <w:t> </w:t>
      </w:r>
      <w:r w:rsidR="00C47090">
        <w:rPr>
          <w:rFonts w:ascii="Times New Roman" w:hAnsi="Times New Roman" w:cs="Times New Roman"/>
          <w:sz w:val="24"/>
          <w:szCs w:val="24"/>
        </w:rPr>
        <w:t>% 2018.</w:t>
      </w:r>
      <w:r w:rsidR="006A55F4">
        <w:rPr>
          <w:rFonts w:ascii="Times New Roman" w:hAnsi="Times New Roman" w:cs="Times New Roman"/>
          <w:sz w:val="24"/>
          <w:szCs w:val="24"/>
        </w:rPr>
        <w:t> </w:t>
      </w:r>
      <w:r w:rsidR="00C47090">
        <w:rPr>
          <w:rFonts w:ascii="Times New Roman" w:hAnsi="Times New Roman" w:cs="Times New Roman"/>
          <w:sz w:val="24"/>
          <w:szCs w:val="24"/>
        </w:rPr>
        <w:t xml:space="preserve">gadā. </w:t>
      </w:r>
    </w:p>
    <w:p w14:paraId="15BFBADF" w14:textId="7F8E685D" w:rsidR="00A74D39" w:rsidRDefault="00CC6454" w:rsidP="00310A6B">
      <w:pPr>
        <w:pStyle w:val="ListParagraph"/>
        <w:ind w:left="0"/>
        <w:rPr>
          <w:rFonts w:ascii="Times New Roman" w:hAnsi="Times New Roman" w:cs="Times New Roman"/>
          <w:sz w:val="24"/>
          <w:szCs w:val="24"/>
        </w:rPr>
      </w:pPr>
      <w:r w:rsidRPr="00CC6454">
        <w:rPr>
          <w:rFonts w:ascii="Times New Roman" w:hAnsi="Times New Roman" w:cs="Times New Roman"/>
          <w:sz w:val="24"/>
          <w:szCs w:val="24"/>
        </w:rPr>
        <w:t>Vidējā neto darba samaksa (aprēķināta, izmantojot darba vietā piemērojamos darba nodokļus) bija 793 </w:t>
      </w:r>
      <w:r w:rsidR="005E355A" w:rsidRPr="009A09D2">
        <w:rPr>
          <w:rFonts w:ascii="Times New Roman" w:hAnsi="Times New Roman" w:cs="Times New Roman"/>
          <w:i/>
          <w:iCs/>
          <w:sz w:val="24"/>
          <w:szCs w:val="24"/>
        </w:rPr>
        <w:t>euro</w:t>
      </w:r>
      <w:r w:rsidRPr="00CC6454">
        <w:rPr>
          <w:rFonts w:ascii="Times New Roman" w:hAnsi="Times New Roman" w:cs="Times New Roman"/>
          <w:sz w:val="24"/>
          <w:szCs w:val="24"/>
        </w:rPr>
        <w:t xml:space="preserve"> jeb 73,7 % no bruto algas. Gada laikā tā pieauga par 6,8 %, uzrādot par 0,4 procentpunktiem zemāku pieauguma tempu nekā atalgojums pirms nodokļu nomaksas.</w:t>
      </w:r>
    </w:p>
    <w:p w14:paraId="1546BE0F" w14:textId="77777777" w:rsidR="009B15E5" w:rsidRPr="00310A6B" w:rsidRDefault="009B15E5" w:rsidP="00310A6B">
      <w:pPr>
        <w:pStyle w:val="ListParagraph"/>
        <w:ind w:left="0"/>
        <w:rPr>
          <w:rFonts w:ascii="Times New Roman" w:hAnsi="Times New Roman" w:cs="Times New Roman"/>
          <w:sz w:val="24"/>
          <w:szCs w:val="24"/>
        </w:rPr>
      </w:pPr>
    </w:p>
    <w:p w14:paraId="7770B13C" w14:textId="20EA1342" w:rsidR="00152396" w:rsidRDefault="00890F74" w:rsidP="00C970EB">
      <w:pPr>
        <w:pStyle w:val="Heading1"/>
      </w:pPr>
      <w:bookmarkStart w:id="14" w:name="_Toc63687772"/>
      <w:r>
        <w:t>P</w:t>
      </w:r>
      <w:r w:rsidR="00C970EB">
        <w:t>asākumi 2020.</w:t>
      </w:r>
      <w:r w:rsidR="00F76472">
        <w:t> </w:t>
      </w:r>
      <w:r w:rsidR="00C970EB">
        <w:t>gadā</w:t>
      </w:r>
      <w:bookmarkEnd w:id="14"/>
    </w:p>
    <w:p w14:paraId="394C3BCA" w14:textId="77777777" w:rsidR="004939A4" w:rsidRDefault="004939A4" w:rsidP="00A842A3">
      <w:pPr>
        <w:rPr>
          <w:rFonts w:ascii="Times New Roman" w:eastAsia="Calibri" w:hAnsi="Times New Roman" w:cs="Times New Roman"/>
          <w:sz w:val="24"/>
          <w:szCs w:val="24"/>
        </w:rPr>
      </w:pPr>
    </w:p>
    <w:p w14:paraId="3C9E8AED" w14:textId="7D6F86BC" w:rsidR="00A842A3" w:rsidRDefault="00A842A3" w:rsidP="00A842A3">
      <w:pPr>
        <w:rPr>
          <w:rFonts w:ascii="Times New Roman" w:eastAsia="Calibri" w:hAnsi="Times New Roman" w:cs="Times New Roman"/>
          <w:sz w:val="24"/>
          <w:szCs w:val="24"/>
        </w:rPr>
      </w:pPr>
      <w:r w:rsidRPr="00DA57CB">
        <w:rPr>
          <w:rFonts w:ascii="Times New Roman" w:eastAsia="Calibri" w:hAnsi="Times New Roman" w:cs="Times New Roman"/>
          <w:sz w:val="24"/>
          <w:szCs w:val="24"/>
        </w:rPr>
        <w:t>2020.</w:t>
      </w:r>
      <w:r>
        <w:rPr>
          <w:rFonts w:ascii="Times New Roman" w:eastAsia="Calibri" w:hAnsi="Times New Roman" w:cs="Times New Roman"/>
          <w:sz w:val="24"/>
          <w:szCs w:val="24"/>
        </w:rPr>
        <w:t> </w:t>
      </w:r>
      <w:r w:rsidRPr="00DA57CB">
        <w:rPr>
          <w:rFonts w:ascii="Times New Roman" w:eastAsia="Calibri" w:hAnsi="Times New Roman" w:cs="Times New Roman"/>
          <w:sz w:val="24"/>
          <w:szCs w:val="24"/>
        </w:rPr>
        <w:t xml:space="preserve">gadā </w:t>
      </w:r>
      <w:r w:rsidR="003B4ABC">
        <w:rPr>
          <w:rFonts w:ascii="Times New Roman" w:eastAsia="Calibri" w:hAnsi="Times New Roman" w:cs="Times New Roman"/>
          <w:sz w:val="24"/>
          <w:szCs w:val="24"/>
        </w:rPr>
        <w:t xml:space="preserve">tika turpināts </w:t>
      </w:r>
      <w:r w:rsidR="006C688C">
        <w:rPr>
          <w:rFonts w:ascii="Times New Roman" w:eastAsia="Calibri" w:hAnsi="Times New Roman" w:cs="Times New Roman"/>
          <w:sz w:val="24"/>
          <w:szCs w:val="24"/>
        </w:rPr>
        <w:t>darbs</w:t>
      </w:r>
      <w:r w:rsidRPr="00DC3740">
        <w:rPr>
          <w:rFonts w:ascii="Times New Roman" w:eastAsia="Calibri" w:hAnsi="Times New Roman" w:cs="Times New Roman"/>
          <w:sz w:val="24"/>
          <w:szCs w:val="24"/>
        </w:rPr>
        <w:t xml:space="preserve"> nodokļu nomaksas uzlabošanas un ēnu ekonomikas mazināšana</w:t>
      </w:r>
      <w:r>
        <w:rPr>
          <w:rFonts w:ascii="Times New Roman" w:eastAsia="Calibri" w:hAnsi="Times New Roman" w:cs="Times New Roman"/>
          <w:sz w:val="24"/>
          <w:szCs w:val="24"/>
        </w:rPr>
        <w:t xml:space="preserve">i. </w:t>
      </w:r>
    </w:p>
    <w:p w14:paraId="29447812" w14:textId="554B2696" w:rsidR="00A51F18" w:rsidRDefault="00A842A3" w:rsidP="00533715">
      <w:pPr>
        <w:rPr>
          <w:rFonts w:ascii="Times New Roman" w:hAnsi="Times New Roman" w:cs="Times New Roman"/>
          <w:sz w:val="24"/>
          <w:szCs w:val="24"/>
        </w:rPr>
      </w:pPr>
      <w:r>
        <w:rPr>
          <w:rFonts w:ascii="Times New Roman" w:eastAsia="Calibri" w:hAnsi="Times New Roman" w:cs="Times New Roman"/>
          <w:sz w:val="24"/>
          <w:szCs w:val="24"/>
        </w:rPr>
        <w:t>Tik</w:t>
      </w:r>
      <w:r w:rsidR="003B4ABC">
        <w:rPr>
          <w:rFonts w:ascii="Times New Roman" w:eastAsia="Calibri" w:hAnsi="Times New Roman" w:cs="Times New Roman"/>
          <w:sz w:val="24"/>
          <w:szCs w:val="24"/>
        </w:rPr>
        <w:t>a</w:t>
      </w:r>
      <w:r>
        <w:rPr>
          <w:rFonts w:ascii="Times New Roman" w:eastAsia="Calibri" w:hAnsi="Times New Roman" w:cs="Times New Roman"/>
          <w:sz w:val="24"/>
          <w:szCs w:val="24"/>
        </w:rPr>
        <w:t xml:space="preserve"> pārskatīts l</w:t>
      </w:r>
      <w:r w:rsidRPr="00DC3740">
        <w:rPr>
          <w:rFonts w:ascii="Times New Roman" w:eastAsia="Calibri" w:hAnsi="Times New Roman" w:cs="Times New Roman"/>
          <w:sz w:val="24"/>
          <w:szCs w:val="24"/>
        </w:rPr>
        <w:t xml:space="preserve">ikumā </w:t>
      </w:r>
      <w:r w:rsidRPr="00DC3740">
        <w:rPr>
          <w:rFonts w:ascii="Times New Roman" w:hAnsi="Times New Roman" w:cs="Times New Roman"/>
          <w:sz w:val="24"/>
          <w:szCs w:val="24"/>
        </w:rPr>
        <w:t>“Par nodokļiem un nodevām” ietvert</w:t>
      </w:r>
      <w:r w:rsidR="00993853">
        <w:rPr>
          <w:rFonts w:ascii="Times New Roman" w:hAnsi="Times New Roman" w:cs="Times New Roman"/>
          <w:sz w:val="24"/>
          <w:szCs w:val="24"/>
        </w:rPr>
        <w:t>ais</w:t>
      </w:r>
      <w:r w:rsidRPr="00DC3740">
        <w:rPr>
          <w:rFonts w:ascii="Times New Roman" w:hAnsi="Times New Roman" w:cs="Times New Roman"/>
          <w:sz w:val="24"/>
          <w:szCs w:val="24"/>
        </w:rPr>
        <w:t xml:space="preserve"> </w:t>
      </w:r>
      <w:r>
        <w:rPr>
          <w:rFonts w:ascii="Times New Roman" w:hAnsi="Times New Roman" w:cs="Times New Roman"/>
          <w:sz w:val="24"/>
          <w:szCs w:val="24"/>
        </w:rPr>
        <w:t>nodokļu kontroles regulējums nolūkā to pilnveidot</w:t>
      </w:r>
      <w:r w:rsidRPr="00DC3740">
        <w:rPr>
          <w:rFonts w:ascii="Times New Roman" w:hAnsi="Times New Roman" w:cs="Times New Roman"/>
          <w:sz w:val="24"/>
          <w:szCs w:val="24"/>
        </w:rPr>
        <w:t>,</w:t>
      </w:r>
      <w:r>
        <w:rPr>
          <w:rFonts w:ascii="Times New Roman" w:hAnsi="Times New Roman" w:cs="Times New Roman"/>
          <w:sz w:val="24"/>
          <w:szCs w:val="24"/>
        </w:rPr>
        <w:t xml:space="preserve"> lai nodrošinātu</w:t>
      </w:r>
      <w:r w:rsidRPr="00DC3740">
        <w:rPr>
          <w:rFonts w:ascii="Times New Roman" w:hAnsi="Times New Roman" w:cs="Times New Roman"/>
          <w:sz w:val="24"/>
          <w:szCs w:val="24"/>
        </w:rPr>
        <w:t xml:space="preserve"> kontroles procesa izsekojamību ne tikai nodokļu administrācijai, bet jebkurai iesaistītajai un trešajai kvalificētajai pusei</w:t>
      </w:r>
      <w:r>
        <w:rPr>
          <w:rFonts w:ascii="Times New Roman" w:hAnsi="Times New Roman" w:cs="Times New Roman"/>
          <w:sz w:val="24"/>
          <w:szCs w:val="24"/>
        </w:rPr>
        <w:t xml:space="preserve">. </w:t>
      </w:r>
    </w:p>
    <w:p w14:paraId="42BF1970" w14:textId="3F1EC940" w:rsidR="00A842A3" w:rsidRPr="009A5728" w:rsidRDefault="003B4ABC" w:rsidP="00A51F18">
      <w:pPr>
        <w:rPr>
          <w:rFonts w:ascii="Times New Roman" w:eastAsia="Times New Roman" w:hAnsi="Times New Roman"/>
          <w:sz w:val="24"/>
          <w:szCs w:val="24"/>
          <w:lang w:eastAsia="lv-LV"/>
        </w:rPr>
      </w:pPr>
      <w:r>
        <w:rPr>
          <w:rFonts w:ascii="Times New Roman" w:hAnsi="Times New Roman" w:cs="Times New Roman"/>
          <w:sz w:val="24"/>
          <w:szCs w:val="24"/>
        </w:rPr>
        <w:t>Turpinātas arī</w:t>
      </w:r>
      <w:r w:rsidRPr="00DD72A8">
        <w:rPr>
          <w:rFonts w:ascii="Times New Roman" w:eastAsia="Calibri" w:hAnsi="Times New Roman" w:cs="Times New Roman"/>
          <w:sz w:val="24"/>
          <w:szCs w:val="24"/>
        </w:rPr>
        <w:t xml:space="preserve"> </w:t>
      </w:r>
      <w:r w:rsidR="00A51F18" w:rsidRPr="00DD72A8">
        <w:rPr>
          <w:rFonts w:ascii="Times New Roman" w:eastAsia="Calibri" w:hAnsi="Times New Roman" w:cs="Times New Roman"/>
          <w:sz w:val="24"/>
          <w:szCs w:val="24"/>
        </w:rPr>
        <w:t xml:space="preserve">diskusijas par PVN dalītā maksājuma mehānisma ieviešanas lietderību Latvijā, vērtējot, vai kāds no iespējamiem PVN dalītā maksājuma mehānisma modeļiem būtu piemērots un efektīvs līdzeklis ēnu ekonomikas </w:t>
      </w:r>
      <w:r w:rsidR="00B07283" w:rsidRPr="00DD72A8">
        <w:rPr>
          <w:rFonts w:ascii="Times New Roman" w:eastAsia="Calibri" w:hAnsi="Times New Roman" w:cs="Times New Roman"/>
          <w:sz w:val="24"/>
          <w:szCs w:val="24"/>
        </w:rPr>
        <w:t>ierobežošanai</w:t>
      </w:r>
      <w:r w:rsidR="00A51F18" w:rsidRPr="00DD72A8">
        <w:rPr>
          <w:rFonts w:ascii="Times New Roman" w:eastAsia="Calibri" w:hAnsi="Times New Roman" w:cs="Times New Roman"/>
          <w:sz w:val="24"/>
          <w:szCs w:val="24"/>
        </w:rPr>
        <w:t xml:space="preserve"> Latvijā, vienlaikus samērojot šā mehānisma ieviešanas mērķi ar iespējamiem ieguvumiem, optimālām ieviešanas izmaksām un samērīgu administratīvo slogu gan VID, gan nodokļu maksātājiem.</w:t>
      </w:r>
      <w:r w:rsidR="00A842A3">
        <w:rPr>
          <w:rFonts w:ascii="Times New Roman" w:eastAsia="Times New Roman" w:hAnsi="Times New Roman"/>
          <w:sz w:val="24"/>
          <w:szCs w:val="24"/>
          <w:lang w:eastAsia="lv-LV"/>
        </w:rPr>
        <w:tab/>
      </w:r>
    </w:p>
    <w:p w14:paraId="383FC1CB" w14:textId="77777777" w:rsidR="00A842A3" w:rsidRPr="009A5728" w:rsidRDefault="00A842A3" w:rsidP="00A842A3">
      <w:pPr>
        <w:tabs>
          <w:tab w:val="left" w:pos="851"/>
        </w:tabs>
        <w:ind w:firstLine="0"/>
        <w:rPr>
          <w:rFonts w:ascii="Times New Roman" w:hAnsi="Times New Roman" w:cs="Times New Roman"/>
          <w:sz w:val="24"/>
          <w:szCs w:val="24"/>
        </w:rPr>
      </w:pPr>
      <w:r>
        <w:rPr>
          <w:rFonts w:ascii="Times New Roman" w:hAnsi="Times New Roman" w:cs="Times New Roman"/>
          <w:sz w:val="24"/>
          <w:szCs w:val="24"/>
        </w:rPr>
        <w:tab/>
      </w:r>
      <w:r w:rsidRPr="009A5728">
        <w:rPr>
          <w:rFonts w:ascii="Times New Roman" w:hAnsi="Times New Roman" w:cs="Times New Roman"/>
          <w:sz w:val="24"/>
          <w:szCs w:val="24"/>
        </w:rPr>
        <w:t xml:space="preserve">Lai mazinātu nelegālo reklāmu tirgus apjomu azartspēļu jomā, kā arī identificējot aizvien vairāk dažādas informācijas platformas nelegālai reklāmas izplatībai, paredzēts pilnveidot normatīvo regulējumu, lai paplašinātu </w:t>
      </w:r>
      <w:r w:rsidRPr="00DA57CB">
        <w:rPr>
          <w:rFonts w:ascii="Times New Roman" w:hAnsi="Times New Roman" w:cs="Times New Roman"/>
          <w:sz w:val="24"/>
          <w:szCs w:val="24"/>
        </w:rPr>
        <w:t>iespējas identificēt nelegālas reklāmas</w:t>
      </w:r>
      <w:r w:rsidRPr="009A5728">
        <w:rPr>
          <w:rFonts w:ascii="Times New Roman" w:hAnsi="Times New Roman" w:cs="Times New Roman"/>
          <w:sz w:val="24"/>
          <w:szCs w:val="24"/>
        </w:rPr>
        <w:t xml:space="preserve"> un tās laicīgi novērstu.</w:t>
      </w:r>
    </w:p>
    <w:p w14:paraId="00FA5600" w14:textId="07F5BACE" w:rsidR="00A842A3" w:rsidRPr="009A5728" w:rsidRDefault="00A842A3" w:rsidP="00A842A3">
      <w:pPr>
        <w:tabs>
          <w:tab w:val="left" w:pos="851"/>
        </w:tabs>
        <w:ind w:firstLine="0"/>
        <w:rPr>
          <w:rFonts w:ascii="Times New Roman" w:eastAsia="Times New Roman" w:hAnsi="Times New Roman"/>
          <w:sz w:val="24"/>
          <w:szCs w:val="24"/>
          <w:lang w:eastAsia="lv-LV"/>
        </w:rPr>
      </w:pPr>
      <w:r>
        <w:rPr>
          <w:rFonts w:ascii="Times New Roman" w:eastAsia="Times New Roman" w:hAnsi="Times New Roman"/>
          <w:sz w:val="24"/>
          <w:szCs w:val="24"/>
          <w:lang w:eastAsia="lv-LV"/>
        </w:rPr>
        <w:tab/>
        <w:t>FM</w:t>
      </w:r>
      <w:r w:rsidRPr="009A5728">
        <w:rPr>
          <w:rFonts w:ascii="Times New Roman" w:eastAsia="Times New Roman" w:hAnsi="Times New Roman"/>
          <w:sz w:val="24"/>
          <w:szCs w:val="24"/>
          <w:lang w:eastAsia="lv-LV"/>
        </w:rPr>
        <w:t xml:space="preserve"> </w:t>
      </w:r>
      <w:r w:rsidR="003B4ABC">
        <w:rPr>
          <w:rFonts w:ascii="Times New Roman" w:eastAsia="Times New Roman" w:hAnsi="Times New Roman"/>
          <w:sz w:val="24"/>
          <w:szCs w:val="24"/>
          <w:lang w:eastAsia="lv-LV"/>
        </w:rPr>
        <w:t>vadībā ir izveidota</w:t>
      </w:r>
      <w:r w:rsidR="003B4ABC" w:rsidRPr="009A5728">
        <w:rPr>
          <w:rFonts w:ascii="Times New Roman" w:eastAsia="Times New Roman" w:hAnsi="Times New Roman"/>
          <w:sz w:val="24"/>
          <w:szCs w:val="24"/>
          <w:lang w:eastAsia="lv-LV"/>
        </w:rPr>
        <w:t xml:space="preserve"> </w:t>
      </w:r>
      <w:r w:rsidRPr="009A5728">
        <w:rPr>
          <w:rFonts w:ascii="Times New Roman" w:eastAsia="Times New Roman" w:hAnsi="Times New Roman"/>
          <w:sz w:val="24"/>
          <w:szCs w:val="24"/>
          <w:lang w:eastAsia="lv-LV"/>
        </w:rPr>
        <w:t>starpinstitūciju darba grup</w:t>
      </w:r>
      <w:r w:rsidR="00A86F95">
        <w:rPr>
          <w:rFonts w:ascii="Times New Roman" w:eastAsia="Times New Roman" w:hAnsi="Times New Roman"/>
          <w:sz w:val="24"/>
          <w:szCs w:val="24"/>
          <w:lang w:eastAsia="lv-LV"/>
        </w:rPr>
        <w:t>a</w:t>
      </w:r>
      <w:r w:rsidRPr="009A5728">
        <w:rPr>
          <w:rFonts w:ascii="Times New Roman" w:eastAsia="Times New Roman" w:hAnsi="Times New Roman"/>
          <w:sz w:val="24"/>
          <w:szCs w:val="24"/>
          <w:lang w:eastAsia="lv-LV"/>
        </w:rPr>
        <w:t xml:space="preserve">, lai izstrādātu priekšlikumus nodokļu maksātāju </w:t>
      </w:r>
      <w:r w:rsidRPr="00DA57CB">
        <w:rPr>
          <w:rFonts w:ascii="Times New Roman" w:eastAsia="Times New Roman" w:hAnsi="Times New Roman"/>
          <w:sz w:val="24"/>
          <w:szCs w:val="24"/>
          <w:lang w:eastAsia="lv-LV"/>
        </w:rPr>
        <w:t>darījumu attaisnojuma dokumentu (rēķinu, pavadzīmju, kases čeku) apriti elektroniskā vidē</w:t>
      </w:r>
      <w:r w:rsidRPr="009A5728">
        <w:rPr>
          <w:rFonts w:ascii="Times New Roman" w:eastAsia="Times New Roman" w:hAnsi="Times New Roman"/>
          <w:sz w:val="24"/>
          <w:szCs w:val="24"/>
          <w:lang w:eastAsia="lv-LV"/>
        </w:rPr>
        <w:t>, nodrošinot “bezpapīra” dokumentu apriti tiešsaistē un to izmantošanu nodokļu administrēšanas pasākumiem.</w:t>
      </w:r>
    </w:p>
    <w:p w14:paraId="1EC1FBE5" w14:textId="7212EB9C" w:rsidR="00A842A3" w:rsidRPr="009A5728" w:rsidRDefault="00A842A3" w:rsidP="00A842A3">
      <w:pPr>
        <w:tabs>
          <w:tab w:val="left" w:pos="851"/>
        </w:tabs>
        <w:ind w:firstLine="0"/>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ab/>
      </w:r>
      <w:r w:rsidRPr="00CA5379">
        <w:rPr>
          <w:rFonts w:ascii="Times New Roman" w:eastAsia="Times New Roman" w:hAnsi="Times New Roman" w:cs="Times New Roman"/>
          <w:sz w:val="24"/>
          <w:szCs w:val="24"/>
          <w:lang w:eastAsia="lv-LV"/>
        </w:rPr>
        <w:t xml:space="preserve">Saskaņā ar Ministru kabineta </w:t>
      </w:r>
      <w:r w:rsidRPr="00CA5379">
        <w:rPr>
          <w:rFonts w:ascii="Times New Roman" w:hAnsi="Times New Roman" w:cs="Times New Roman"/>
          <w:sz w:val="24"/>
          <w:szCs w:val="24"/>
        </w:rPr>
        <w:t>2020.</w:t>
      </w:r>
      <w:r w:rsidR="00B958DE" w:rsidRPr="00CA5379">
        <w:rPr>
          <w:rFonts w:ascii="Times New Roman" w:hAnsi="Times New Roman" w:cs="Times New Roman"/>
          <w:sz w:val="24"/>
          <w:szCs w:val="24"/>
        </w:rPr>
        <w:t> </w:t>
      </w:r>
      <w:r w:rsidR="006C688C" w:rsidRPr="00CA5379">
        <w:rPr>
          <w:rFonts w:ascii="Times New Roman" w:hAnsi="Times New Roman" w:cs="Times New Roman"/>
          <w:sz w:val="24"/>
          <w:szCs w:val="24"/>
        </w:rPr>
        <w:t>gada 11.</w:t>
      </w:r>
      <w:r w:rsidR="00B958DE" w:rsidRPr="00CA5379">
        <w:rPr>
          <w:rFonts w:ascii="Times New Roman" w:hAnsi="Times New Roman" w:cs="Times New Roman"/>
          <w:sz w:val="24"/>
          <w:szCs w:val="24"/>
        </w:rPr>
        <w:t> </w:t>
      </w:r>
      <w:r w:rsidR="006C688C" w:rsidRPr="00CA5379">
        <w:rPr>
          <w:rFonts w:ascii="Times New Roman" w:hAnsi="Times New Roman" w:cs="Times New Roman"/>
          <w:sz w:val="24"/>
          <w:szCs w:val="24"/>
        </w:rPr>
        <w:t>februāra</w:t>
      </w:r>
      <w:r w:rsidRPr="00CA5379">
        <w:rPr>
          <w:rFonts w:ascii="Times New Roman" w:hAnsi="Times New Roman" w:cs="Times New Roman"/>
          <w:sz w:val="24"/>
          <w:szCs w:val="24"/>
        </w:rPr>
        <w:t xml:space="preserve"> rīkojumu Nr.</w:t>
      </w:r>
      <w:r w:rsidR="0002015C" w:rsidRPr="00CA5379">
        <w:rPr>
          <w:rFonts w:ascii="Times New Roman" w:hAnsi="Times New Roman" w:cs="Times New Roman"/>
          <w:sz w:val="24"/>
          <w:szCs w:val="24"/>
        </w:rPr>
        <w:t> </w:t>
      </w:r>
      <w:r w:rsidRPr="00CA5379">
        <w:rPr>
          <w:rFonts w:ascii="Times New Roman" w:hAnsi="Times New Roman" w:cs="Times New Roman"/>
          <w:sz w:val="24"/>
          <w:szCs w:val="24"/>
        </w:rPr>
        <w:t xml:space="preserve">49 “Par Rīcības plānu publisko iepirkumu sistēmas uzlabošanai” </w:t>
      </w:r>
      <w:r w:rsidR="003F166A" w:rsidRPr="00CA5379">
        <w:rPr>
          <w:rFonts w:ascii="Times New Roman" w:hAnsi="Times New Roman" w:cs="Times New Roman"/>
          <w:sz w:val="24"/>
          <w:szCs w:val="24"/>
        </w:rPr>
        <w:t>FM izstrādāts likumprojekts “Grozījumi Publisko iep</w:t>
      </w:r>
      <w:r w:rsidR="008E539D" w:rsidRPr="00CA5379">
        <w:rPr>
          <w:rFonts w:ascii="Times New Roman" w:hAnsi="Times New Roman" w:cs="Times New Roman"/>
          <w:sz w:val="24"/>
          <w:szCs w:val="24"/>
        </w:rPr>
        <w:t>ir</w:t>
      </w:r>
      <w:r w:rsidR="003F166A" w:rsidRPr="00CA5379">
        <w:rPr>
          <w:rFonts w:ascii="Times New Roman" w:hAnsi="Times New Roman" w:cs="Times New Roman"/>
          <w:sz w:val="24"/>
          <w:szCs w:val="24"/>
        </w:rPr>
        <w:t>kumu likumā”, kas paredz izmaiņas</w:t>
      </w:r>
      <w:r w:rsidRPr="00CA5379">
        <w:rPr>
          <w:rFonts w:ascii="Times New Roman" w:hAnsi="Times New Roman" w:cs="Times New Roman"/>
          <w:sz w:val="24"/>
          <w:szCs w:val="24"/>
        </w:rPr>
        <w:t xml:space="preserve"> publisko iepirkumu regulējumā noteikt</w:t>
      </w:r>
      <w:r w:rsidR="003F166A" w:rsidRPr="00CA5379">
        <w:rPr>
          <w:rFonts w:ascii="Times New Roman" w:hAnsi="Times New Roman" w:cs="Times New Roman"/>
          <w:sz w:val="24"/>
          <w:szCs w:val="24"/>
        </w:rPr>
        <w:t>ajo</w:t>
      </w:r>
      <w:r w:rsidRPr="00CA5379">
        <w:rPr>
          <w:rFonts w:ascii="Times New Roman" w:hAnsi="Times New Roman" w:cs="Times New Roman"/>
          <w:sz w:val="24"/>
          <w:szCs w:val="24"/>
        </w:rPr>
        <w:t xml:space="preserve">s </w:t>
      </w:r>
      <w:r w:rsidRPr="00CA5379">
        <w:rPr>
          <w:rFonts w:ascii="Times New Roman" w:hAnsi="Times New Roman" w:cs="Times New Roman"/>
          <w:sz w:val="24"/>
          <w:szCs w:val="24"/>
          <w:shd w:val="clear" w:color="auto" w:fill="FFFFFF"/>
        </w:rPr>
        <w:t>kandidātu un pretendentu izslēgšanas nosacījum</w:t>
      </w:r>
      <w:r w:rsidR="003F166A" w:rsidRPr="00CA5379">
        <w:rPr>
          <w:rFonts w:ascii="Times New Roman" w:hAnsi="Times New Roman" w:cs="Times New Roman"/>
          <w:sz w:val="24"/>
          <w:szCs w:val="24"/>
          <w:shd w:val="clear" w:color="auto" w:fill="FFFFFF"/>
        </w:rPr>
        <w:t>o</w:t>
      </w:r>
      <w:r w:rsidRPr="00CA5379">
        <w:rPr>
          <w:rFonts w:ascii="Times New Roman" w:hAnsi="Times New Roman" w:cs="Times New Roman"/>
          <w:sz w:val="24"/>
          <w:szCs w:val="24"/>
          <w:shd w:val="clear" w:color="auto" w:fill="FFFFFF"/>
        </w:rPr>
        <w:t>s t.sk.</w:t>
      </w:r>
      <w:r w:rsidR="003F166A">
        <w:rPr>
          <w:rFonts w:ascii="Times New Roman" w:hAnsi="Times New Roman" w:cs="Times New Roman"/>
          <w:sz w:val="24"/>
          <w:szCs w:val="24"/>
          <w:shd w:val="clear" w:color="auto" w:fill="FFFFFF"/>
        </w:rPr>
        <w:t>:</w:t>
      </w:r>
    </w:p>
    <w:p w14:paraId="12E93505" w14:textId="77777777" w:rsidR="00A842A3" w:rsidRPr="00DC3740" w:rsidRDefault="00A842A3" w:rsidP="00A842A3">
      <w:pPr>
        <w:pStyle w:val="ListParagraph"/>
        <w:numPr>
          <w:ilvl w:val="2"/>
          <w:numId w:val="4"/>
        </w:numPr>
        <w:rPr>
          <w:rFonts w:ascii="Times New Roman" w:hAnsi="Times New Roman" w:cs="Times New Roman"/>
          <w:sz w:val="24"/>
          <w:szCs w:val="24"/>
          <w:shd w:val="clear" w:color="auto" w:fill="FFFFFF"/>
        </w:rPr>
      </w:pPr>
      <w:r w:rsidRPr="00DC3740">
        <w:rPr>
          <w:rFonts w:ascii="Times New Roman" w:hAnsi="Times New Roman" w:cs="Times New Roman"/>
          <w:sz w:val="24"/>
          <w:szCs w:val="24"/>
          <w:shd w:val="clear" w:color="auto" w:fill="FFFFFF"/>
        </w:rPr>
        <w:t xml:space="preserve">nodokļu jomas normatīvo aktu pārkāpumiem (ne tikai par nodokļu parādu esamību, bet arī tad, ja </w:t>
      </w:r>
      <w:r>
        <w:rPr>
          <w:rFonts w:ascii="Times New Roman" w:hAnsi="Times New Roman" w:cs="Times New Roman"/>
          <w:sz w:val="24"/>
          <w:szCs w:val="24"/>
          <w:shd w:val="clear" w:color="auto" w:fill="FFFFFF"/>
        </w:rPr>
        <w:t>VID</w:t>
      </w:r>
      <w:r w:rsidRPr="00DC3740">
        <w:rPr>
          <w:rFonts w:ascii="Times New Roman" w:hAnsi="Times New Roman" w:cs="Times New Roman"/>
          <w:sz w:val="24"/>
          <w:szCs w:val="24"/>
          <w:shd w:val="clear" w:color="auto" w:fill="FFFFFF"/>
        </w:rPr>
        <w:t xml:space="preserve"> nav iesniegtas normatīvajos aktos noteiktās nodokļu deklarācijas, kas bija jāiesniedz);</w:t>
      </w:r>
    </w:p>
    <w:p w14:paraId="17A3C1F8" w14:textId="77777777" w:rsidR="00A842A3" w:rsidRPr="00DC3740" w:rsidRDefault="00A842A3" w:rsidP="00A842A3">
      <w:pPr>
        <w:pStyle w:val="ListParagraph"/>
        <w:numPr>
          <w:ilvl w:val="2"/>
          <w:numId w:val="4"/>
        </w:numPr>
        <w:rPr>
          <w:rFonts w:ascii="Times New Roman" w:hAnsi="Times New Roman" w:cs="Times New Roman"/>
          <w:sz w:val="24"/>
          <w:szCs w:val="24"/>
          <w:shd w:val="clear" w:color="auto" w:fill="FFFFFF"/>
        </w:rPr>
      </w:pPr>
      <w:r w:rsidRPr="00DC3740">
        <w:rPr>
          <w:rFonts w:ascii="Times New Roman" w:hAnsi="Times New Roman" w:cs="Times New Roman"/>
          <w:sz w:val="24"/>
          <w:szCs w:val="24"/>
          <w:shd w:val="clear" w:color="auto" w:fill="FFFFFF"/>
        </w:rPr>
        <w:t>vienam patiesajam labuma guvējam piederošu piegādātāju veiktiem pārkāpumiem, novēršot iespēju izvairīties no izslēgšanas no dalības iepirkumos.</w:t>
      </w:r>
    </w:p>
    <w:p w14:paraId="00550B52" w14:textId="77777777" w:rsidR="00A842A3" w:rsidRPr="00DA57CB" w:rsidRDefault="00A842A3" w:rsidP="00A842A3">
      <w:pPr>
        <w:ind w:firstLine="714"/>
        <w:rPr>
          <w:rFonts w:ascii="Times New Roman" w:hAnsi="Times New Roman" w:cs="Times New Roman"/>
          <w:sz w:val="24"/>
          <w:szCs w:val="24"/>
          <w:shd w:val="clear" w:color="auto" w:fill="FFFFFF"/>
        </w:rPr>
      </w:pPr>
    </w:p>
    <w:p w14:paraId="599FF7CE" w14:textId="6264052C" w:rsidR="00AD071D" w:rsidRDefault="00A842A3" w:rsidP="00A74D39">
      <w:pPr>
        <w:ind w:firstLine="714"/>
        <w:rPr>
          <w:rFonts w:ascii="Times New Roman" w:hAnsi="Times New Roman" w:cs="Times New Roman"/>
          <w:sz w:val="24"/>
          <w:szCs w:val="24"/>
        </w:rPr>
      </w:pPr>
      <w:r>
        <w:rPr>
          <w:rFonts w:ascii="Times New Roman" w:hAnsi="Times New Roman" w:cs="Times New Roman"/>
          <w:sz w:val="24"/>
          <w:szCs w:val="24"/>
          <w:shd w:val="clear" w:color="auto" w:fill="FFFFFF"/>
        </w:rPr>
        <w:t>VID</w:t>
      </w:r>
      <w:r w:rsidRPr="00DA57CB">
        <w:rPr>
          <w:rFonts w:ascii="Times New Roman" w:hAnsi="Times New Roman" w:cs="Times New Roman"/>
          <w:sz w:val="24"/>
          <w:szCs w:val="24"/>
          <w:shd w:val="clear" w:color="auto" w:fill="FFFFFF"/>
        </w:rPr>
        <w:t xml:space="preserve"> attīstības stratēģijā 2020.</w:t>
      </w:r>
      <w:r w:rsidRPr="00DA57CB">
        <w:rPr>
          <w:rFonts w:ascii="Times New Roman" w:hAnsi="Times New Roman" w:cs="Times New Roman"/>
          <w:sz w:val="24"/>
          <w:szCs w:val="24"/>
        </w:rPr>
        <w:t>–</w:t>
      </w:r>
      <w:r w:rsidRPr="00DA57CB">
        <w:rPr>
          <w:rFonts w:ascii="Times New Roman" w:hAnsi="Times New Roman" w:cs="Times New Roman"/>
          <w:sz w:val="24"/>
          <w:szCs w:val="24"/>
          <w:shd w:val="clear" w:color="auto" w:fill="FFFFFF"/>
        </w:rPr>
        <w:t>2022.</w:t>
      </w:r>
      <w:r w:rsidR="0002015C">
        <w:rPr>
          <w:rFonts w:ascii="Times New Roman" w:hAnsi="Times New Roman" w:cs="Times New Roman"/>
          <w:sz w:val="24"/>
          <w:szCs w:val="24"/>
          <w:shd w:val="clear" w:color="auto" w:fill="FFFFFF"/>
        </w:rPr>
        <w:t> </w:t>
      </w:r>
      <w:r w:rsidRPr="00DA57CB">
        <w:rPr>
          <w:rFonts w:ascii="Times New Roman" w:hAnsi="Times New Roman" w:cs="Times New Roman"/>
          <w:sz w:val="24"/>
          <w:szCs w:val="24"/>
          <w:shd w:val="clear" w:color="auto" w:fill="FFFFFF"/>
        </w:rPr>
        <w:t>gadam ir paredzēti pasākumi, kuru īstenošana ietekmēs gan nodokļu maksātāju labprātīgu nodokļu nomaksu, gan arī sekmēs mērķtiecīgu</w:t>
      </w:r>
      <w:r w:rsidRPr="00DC3740">
        <w:rPr>
          <w:rFonts w:ascii="Times New Roman" w:hAnsi="Times New Roman" w:cs="Times New Roman"/>
          <w:sz w:val="24"/>
          <w:szCs w:val="24"/>
          <w:shd w:val="clear" w:color="auto" w:fill="FFFFFF"/>
        </w:rPr>
        <w:t xml:space="preserve"> cīņu </w:t>
      </w:r>
      <w:r w:rsidRPr="00DC3740">
        <w:rPr>
          <w:rFonts w:ascii="Times New Roman" w:hAnsi="Times New Roman" w:cs="Times New Roman"/>
          <w:sz w:val="24"/>
          <w:szCs w:val="24"/>
          <w:shd w:val="clear" w:color="auto" w:fill="FFFFFF"/>
        </w:rPr>
        <w:lastRenderedPageBreak/>
        <w:t>pret izvairīšanos no nodokļu nomaksas. VID īstenotās prioritātes nākamajā periodā tiks vērstas aplokšņu algu izmaksu apkarošanai, PVN krāpšanas apkarošanai, nelegālu akcīzes preču aprites apkarošanai, narkotisko vielu kontrabandas un nelegālas izcelsmes skaidras naudas aprites minimizēšanai. VID turpinās darbu analītisko rīku attīstībai</w:t>
      </w:r>
      <w:r w:rsidRPr="00DC3740">
        <w:rPr>
          <w:rFonts w:ascii="Times New Roman" w:hAnsi="Times New Roman" w:cs="Times New Roman"/>
          <w:color w:val="000000" w:themeColor="text1"/>
          <w:sz w:val="24"/>
          <w:szCs w:val="24"/>
        </w:rPr>
        <w:t>, izmantojot inovatīvu pieeju un jaunus rīkus</w:t>
      </w:r>
      <w:r w:rsidR="00A9151F">
        <w:rPr>
          <w:rFonts w:ascii="Times New Roman" w:hAnsi="Times New Roman" w:cs="Times New Roman"/>
          <w:color w:val="000000" w:themeColor="text1"/>
          <w:sz w:val="24"/>
          <w:szCs w:val="24"/>
        </w:rPr>
        <w:t xml:space="preserve">. </w:t>
      </w:r>
      <w:r w:rsidR="00A86F95">
        <w:rPr>
          <w:rFonts w:ascii="Times New Roman" w:hAnsi="Times New Roman" w:cs="Times New Roman"/>
          <w:color w:val="000000" w:themeColor="text1"/>
          <w:sz w:val="24"/>
          <w:szCs w:val="24"/>
        </w:rPr>
        <w:t>N</w:t>
      </w:r>
      <w:r w:rsidR="00A9151F" w:rsidRPr="00A9151F">
        <w:rPr>
          <w:rFonts w:ascii="Times New Roman" w:hAnsi="Times New Roman" w:cs="Times New Roman"/>
          <w:color w:val="000000" w:themeColor="text1"/>
          <w:sz w:val="24"/>
          <w:szCs w:val="24"/>
        </w:rPr>
        <w:t xml:space="preserve">odokļu maksātājiem ir pieejams rīks “Nodokļu maksātāju reitinga sistēma”, kurā uz šo brīdi jau ir aprakstīti 18 rādītāji, tai skaitā par nodokļu pārskatu iesniegšanas disciplīnu, darba samaksas rādītāji, saimnieciskās darbības rādītāji, nodokļu deklarēšanas riski u.c. Minētais rīks ne tikai informē nodokļu maksātājus par viņa saimniecisko darbību raksturojošo rādītāju atbilstību vispārējām ekonomiskajām tendencēm, bet arī motivē nodokļu maksātājus sekot nodokļu saistību izpildes disciplīnai un uzlabot to. </w:t>
      </w:r>
      <w:r w:rsidR="001A0097" w:rsidRPr="00DD72A8">
        <w:rPr>
          <w:rFonts w:ascii="Times New Roman" w:hAnsi="Times New Roman" w:cs="Times New Roman"/>
          <w:color w:val="000000" w:themeColor="text1"/>
          <w:sz w:val="24"/>
          <w:szCs w:val="24"/>
        </w:rPr>
        <w:t>Tāpat VID īsteno stratēģiskās iniciatīvas nodokļu maksātāju segmentēšanai</w:t>
      </w:r>
      <w:r w:rsidR="00A9151F" w:rsidRPr="00A9151F">
        <w:rPr>
          <w:rFonts w:ascii="Times New Roman" w:hAnsi="Times New Roman" w:cs="Times New Roman"/>
          <w:color w:val="000000" w:themeColor="text1"/>
          <w:sz w:val="24"/>
          <w:szCs w:val="24"/>
        </w:rPr>
        <w:t>, kas paredz, ka nodokļu administrēšanas procesu politika tiek balstīta uz nodokļu maksātāju uzvedības un brīvprātīgas saistību izpildes līmeņa novērtējumu. Proti, nodokļu maksātāji tiek sadalīti kopās jeb segmentos pēc nodokļu maksāšanas uzvedības modeļiem, ņemot vērā noteiktas raksturīgas nodokļu saistību izpildes disciplīnas pazīmes, un katram no šim segmentiem tiks izstrādāts atbilstošo nodokļu administrēšanas pakalpojumu “grozs”</w:t>
      </w:r>
      <w:r w:rsidRPr="00DC3740">
        <w:rPr>
          <w:rFonts w:ascii="Times New Roman" w:hAnsi="Times New Roman" w:cs="Times New Roman"/>
          <w:color w:val="000000" w:themeColor="text1"/>
          <w:sz w:val="24"/>
          <w:szCs w:val="24"/>
        </w:rPr>
        <w:t xml:space="preserve">. Tostarp, </w:t>
      </w:r>
      <w:r w:rsidRPr="00DC3740">
        <w:rPr>
          <w:rFonts w:ascii="Times New Roman" w:hAnsi="Times New Roman" w:cs="Times New Roman"/>
          <w:sz w:val="24"/>
          <w:szCs w:val="24"/>
        </w:rPr>
        <w:t>VID darbs virtuālā asistenta izveidei, nodrošinās konsultāciju sniegšanu nodokļu maksātājiem 24/7 režīmā.</w:t>
      </w:r>
    </w:p>
    <w:p w14:paraId="68F28612" w14:textId="19DC23D2" w:rsidR="00043AC0" w:rsidRDefault="00043AC0" w:rsidP="00043AC0">
      <w:pPr>
        <w:ind w:firstLine="714"/>
        <w:rPr>
          <w:rFonts w:ascii="Times New Roman" w:hAnsi="Times New Roman" w:cs="Times New Roman"/>
          <w:sz w:val="24"/>
          <w:szCs w:val="24"/>
          <w:shd w:val="clear" w:color="auto" w:fill="FFFFFF"/>
        </w:rPr>
      </w:pPr>
      <w:r w:rsidRPr="00CA5379">
        <w:rPr>
          <w:rFonts w:ascii="Times New Roman" w:hAnsi="Times New Roman" w:cs="Times New Roman"/>
          <w:sz w:val="24"/>
          <w:szCs w:val="24"/>
          <w:shd w:val="clear" w:color="auto" w:fill="FFFFFF"/>
        </w:rPr>
        <w:t>Neapšaubāmi, ka ēnu ekonomikas izpausmes risku</w:t>
      </w:r>
      <w:r w:rsidR="006662AC" w:rsidRPr="00CA5379">
        <w:rPr>
          <w:rFonts w:ascii="Times New Roman" w:hAnsi="Times New Roman" w:cs="Times New Roman"/>
          <w:sz w:val="24"/>
          <w:szCs w:val="24"/>
          <w:shd w:val="clear" w:color="auto" w:fill="FFFFFF"/>
        </w:rPr>
        <w:t xml:space="preserve"> būtiski var palielināt ar COVID-</w:t>
      </w:r>
      <w:r w:rsidRPr="00CA5379">
        <w:rPr>
          <w:rFonts w:ascii="Times New Roman" w:hAnsi="Times New Roman" w:cs="Times New Roman"/>
          <w:sz w:val="24"/>
          <w:szCs w:val="24"/>
          <w:shd w:val="clear" w:color="auto" w:fill="FFFFFF"/>
        </w:rPr>
        <w:t xml:space="preserve">19 vīrusa izplatību saistītās sekas, ietekmējot finanšu stāvokli noteiktās tautsaimniecības nozarēs un valstī kopumā. </w:t>
      </w:r>
      <w:r w:rsidR="00D60246" w:rsidRPr="00CA5379">
        <w:rPr>
          <w:rFonts w:ascii="Times New Roman" w:hAnsi="Times New Roman" w:cs="Times New Roman"/>
          <w:sz w:val="24"/>
          <w:szCs w:val="24"/>
          <w:shd w:val="clear" w:color="auto" w:fill="FFFFFF"/>
        </w:rPr>
        <w:t>COVID-19 izraisītā ietekme uz ekonomikas attīstību veicina</w:t>
      </w:r>
      <w:r w:rsidRPr="00CA5379">
        <w:rPr>
          <w:rFonts w:ascii="Times New Roman" w:hAnsi="Times New Roman" w:cs="Times New Roman"/>
          <w:sz w:val="24"/>
          <w:szCs w:val="24"/>
          <w:shd w:val="clear" w:color="auto" w:fill="FFFFFF"/>
        </w:rPr>
        <w:t xml:space="preserve"> bezdarba pieaugumu, kas savukārt var veicināt darba meklētāju toleranci, pieņemot piedāvājumus atalgojuma samaksai “aplokšņu algās”. Savukārt, uzņēmumu darbības apgrozījuma samazināšanās, finanšu līdzekļu trūkums un citi apstākļi var veicināt darbības nolūkā izvairīties no nodokļu nomaksas vai iesaistīties nodokļu optimizācijas “shēmās”. Tāpēc </w:t>
      </w:r>
      <w:r w:rsidR="006B450B" w:rsidRPr="00CA5379">
        <w:rPr>
          <w:rFonts w:ascii="Times New Roman" w:hAnsi="Times New Roman" w:cs="Times New Roman"/>
          <w:sz w:val="24"/>
          <w:szCs w:val="24"/>
          <w:shd w:val="clear" w:color="auto" w:fill="FFFFFF"/>
        </w:rPr>
        <w:t xml:space="preserve">valdības </w:t>
      </w:r>
      <w:r w:rsidR="006662AC" w:rsidRPr="00CA5379">
        <w:rPr>
          <w:rFonts w:ascii="Times New Roman" w:hAnsi="Times New Roman" w:cs="Times New Roman"/>
          <w:sz w:val="24"/>
          <w:szCs w:val="24"/>
          <w:shd w:val="clear" w:color="auto" w:fill="FFFFFF"/>
        </w:rPr>
        <w:t xml:space="preserve">veiktie </w:t>
      </w:r>
      <w:r w:rsidR="006B450B" w:rsidRPr="00CA5379">
        <w:rPr>
          <w:rFonts w:ascii="Times New Roman" w:hAnsi="Times New Roman" w:cs="Times New Roman"/>
          <w:sz w:val="24"/>
          <w:szCs w:val="24"/>
          <w:shd w:val="clear" w:color="auto" w:fill="FFFFFF"/>
        </w:rPr>
        <w:t xml:space="preserve">atbalsta </w:t>
      </w:r>
      <w:r w:rsidR="006662AC" w:rsidRPr="00CA5379">
        <w:rPr>
          <w:rFonts w:ascii="Times New Roman" w:hAnsi="Times New Roman" w:cs="Times New Roman"/>
          <w:sz w:val="24"/>
          <w:szCs w:val="24"/>
          <w:shd w:val="clear" w:color="auto" w:fill="FFFFFF"/>
        </w:rPr>
        <w:t>pasākumi COVID-</w:t>
      </w:r>
      <w:r w:rsidRPr="00CA5379">
        <w:rPr>
          <w:rFonts w:ascii="Times New Roman" w:hAnsi="Times New Roman" w:cs="Times New Roman"/>
          <w:sz w:val="24"/>
          <w:szCs w:val="24"/>
          <w:shd w:val="clear" w:color="auto" w:fill="FFFFFF"/>
        </w:rPr>
        <w:t xml:space="preserve">19 krīzes </w:t>
      </w:r>
      <w:r w:rsidR="003942D8" w:rsidRPr="00CA5379">
        <w:rPr>
          <w:rFonts w:ascii="Times New Roman" w:hAnsi="Times New Roman" w:cs="Times New Roman"/>
          <w:sz w:val="24"/>
          <w:szCs w:val="24"/>
          <w:shd w:val="clear" w:color="auto" w:fill="FFFFFF"/>
        </w:rPr>
        <w:t xml:space="preserve">un to seku </w:t>
      </w:r>
      <w:r w:rsidRPr="00CA5379">
        <w:rPr>
          <w:rFonts w:ascii="Times New Roman" w:hAnsi="Times New Roman" w:cs="Times New Roman"/>
          <w:sz w:val="24"/>
          <w:szCs w:val="24"/>
          <w:shd w:val="clear" w:color="auto" w:fill="FFFFFF"/>
        </w:rPr>
        <w:t xml:space="preserve">mazināšanai ir īpaši būtiski, </w:t>
      </w:r>
      <w:r w:rsidR="003942D8" w:rsidRPr="00CA5379">
        <w:rPr>
          <w:rFonts w:ascii="Times New Roman" w:hAnsi="Times New Roman" w:cs="Times New Roman"/>
          <w:sz w:val="24"/>
          <w:szCs w:val="24"/>
          <w:shd w:val="clear" w:color="auto" w:fill="FFFFFF"/>
        </w:rPr>
        <w:t xml:space="preserve">tostarp, </w:t>
      </w:r>
      <w:r w:rsidRPr="00CA5379">
        <w:rPr>
          <w:rFonts w:ascii="Times New Roman" w:hAnsi="Times New Roman" w:cs="Times New Roman"/>
          <w:sz w:val="24"/>
          <w:szCs w:val="24"/>
          <w:shd w:val="clear" w:color="auto" w:fill="FFFFFF"/>
        </w:rPr>
        <w:t>lai mazinātu uzņēmējdarbības ierobežotu aktivitāšu periodā radītās sekas, izmantojot nodokļu atmaksas pagarinājumu, dīkstāves pabalsta izmaksas, daļēju atalgojuma subsidēšanu, kā arī paplašinātas iespējas uzņēmējdarbības kreditēšanai u.c</w:t>
      </w:r>
      <w:r w:rsidR="00572729" w:rsidRPr="00CA5379">
        <w:rPr>
          <w:rFonts w:ascii="Times New Roman" w:hAnsi="Times New Roman" w:cs="Times New Roman"/>
          <w:sz w:val="24"/>
          <w:szCs w:val="24"/>
          <w:shd w:val="clear" w:color="auto" w:fill="FFFFFF"/>
        </w:rPr>
        <w:t>.</w:t>
      </w:r>
    </w:p>
    <w:p w14:paraId="6C40B968" w14:textId="2CB98BCD" w:rsidR="00B70C71" w:rsidRPr="003838FD" w:rsidRDefault="00F11829" w:rsidP="00B70C71">
      <w:pPr>
        <w:ind w:firstLine="714"/>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 xml:space="preserve">Jāatzīmē, ka COVID-19 pandēmija ir ieviesusi izmaiņas arī valsts fiskālajā </w:t>
      </w:r>
      <w:r w:rsidR="00671F2E" w:rsidRPr="003838FD">
        <w:rPr>
          <w:rFonts w:ascii="Times New Roman" w:hAnsi="Times New Roman" w:cs="Times New Roman"/>
          <w:sz w:val="24"/>
          <w:szCs w:val="24"/>
          <w:shd w:val="clear" w:color="auto" w:fill="FFFFFF"/>
        </w:rPr>
        <w:t>situācijā</w:t>
      </w:r>
      <w:r w:rsidRPr="003838FD">
        <w:rPr>
          <w:rFonts w:ascii="Times New Roman" w:hAnsi="Times New Roman" w:cs="Times New Roman"/>
          <w:sz w:val="24"/>
          <w:szCs w:val="24"/>
          <w:shd w:val="clear" w:color="auto" w:fill="FFFFFF"/>
        </w:rPr>
        <w:t xml:space="preserve">, samazinājušies </w:t>
      </w:r>
      <w:r w:rsidR="004212BF" w:rsidRPr="003838FD">
        <w:rPr>
          <w:rFonts w:ascii="Times New Roman" w:hAnsi="Times New Roman" w:cs="Times New Roman"/>
          <w:sz w:val="24"/>
          <w:szCs w:val="24"/>
          <w:shd w:val="clear" w:color="auto" w:fill="FFFFFF"/>
        </w:rPr>
        <w:t>ir</w:t>
      </w:r>
      <w:r w:rsidRPr="003838FD">
        <w:rPr>
          <w:rFonts w:ascii="Times New Roman" w:hAnsi="Times New Roman" w:cs="Times New Roman"/>
          <w:sz w:val="24"/>
          <w:szCs w:val="24"/>
          <w:shd w:val="clear" w:color="auto" w:fill="FFFFFF"/>
        </w:rPr>
        <w:t xml:space="preserve"> ieņēmumi budžetā. </w:t>
      </w:r>
      <w:r w:rsidR="00B70C71" w:rsidRPr="003838FD">
        <w:rPr>
          <w:rFonts w:ascii="Times New Roman" w:hAnsi="Times New Roman" w:cs="Times New Roman"/>
          <w:sz w:val="24"/>
          <w:szCs w:val="24"/>
          <w:shd w:val="clear" w:color="auto" w:fill="FFFFFF"/>
        </w:rPr>
        <w:t>VID administrētie kopbudžeta ieņēmumi 2020.</w:t>
      </w:r>
      <w:r w:rsidR="002E258C" w:rsidRPr="003838FD">
        <w:rPr>
          <w:rFonts w:ascii="Times New Roman" w:hAnsi="Times New Roman" w:cs="Times New Roman"/>
          <w:sz w:val="24"/>
          <w:szCs w:val="24"/>
          <w:shd w:val="clear" w:color="auto" w:fill="FFFFFF"/>
        </w:rPr>
        <w:t> </w:t>
      </w:r>
      <w:r w:rsidR="00B70C71" w:rsidRPr="003838FD">
        <w:rPr>
          <w:rFonts w:ascii="Times New Roman" w:hAnsi="Times New Roman" w:cs="Times New Roman"/>
          <w:sz w:val="24"/>
          <w:szCs w:val="24"/>
          <w:shd w:val="clear" w:color="auto" w:fill="FFFFFF"/>
        </w:rPr>
        <w:t>gada 1.</w:t>
      </w:r>
      <w:r w:rsidR="002E258C" w:rsidRPr="003838FD">
        <w:rPr>
          <w:rFonts w:ascii="Times New Roman" w:hAnsi="Times New Roman" w:cs="Times New Roman"/>
          <w:sz w:val="24"/>
          <w:szCs w:val="24"/>
          <w:shd w:val="clear" w:color="auto" w:fill="FFFFFF"/>
        </w:rPr>
        <w:t> </w:t>
      </w:r>
      <w:r w:rsidR="00B70C71" w:rsidRPr="003838FD">
        <w:rPr>
          <w:rFonts w:ascii="Times New Roman" w:hAnsi="Times New Roman" w:cs="Times New Roman"/>
          <w:sz w:val="24"/>
          <w:szCs w:val="24"/>
          <w:shd w:val="clear" w:color="auto" w:fill="FFFFFF"/>
        </w:rPr>
        <w:t xml:space="preserve">pusgadā bija 4,71 miljards </w:t>
      </w:r>
      <w:r w:rsidR="002E258C" w:rsidRPr="003838FD">
        <w:rPr>
          <w:rFonts w:ascii="Times New Roman" w:hAnsi="Times New Roman" w:cs="Times New Roman"/>
          <w:i/>
          <w:sz w:val="24"/>
          <w:szCs w:val="24"/>
          <w:shd w:val="clear" w:color="auto" w:fill="FFFFFF"/>
        </w:rPr>
        <w:t>euro</w:t>
      </w:r>
      <w:r w:rsidR="00B70C71" w:rsidRPr="003838FD">
        <w:rPr>
          <w:rFonts w:ascii="Times New Roman" w:hAnsi="Times New Roman" w:cs="Times New Roman"/>
          <w:sz w:val="24"/>
          <w:szCs w:val="24"/>
          <w:shd w:val="clear" w:color="auto" w:fill="FFFFFF"/>
        </w:rPr>
        <w:t>. Pēc ieviestā ārkārtas stāvokļa 2020.</w:t>
      </w:r>
      <w:r w:rsidR="00647163" w:rsidRPr="003838FD">
        <w:rPr>
          <w:rFonts w:ascii="Times New Roman" w:hAnsi="Times New Roman" w:cs="Times New Roman"/>
          <w:sz w:val="24"/>
          <w:szCs w:val="24"/>
          <w:shd w:val="clear" w:color="auto" w:fill="FFFFFF"/>
        </w:rPr>
        <w:t> </w:t>
      </w:r>
      <w:r w:rsidR="00B70C71" w:rsidRPr="003838FD">
        <w:rPr>
          <w:rFonts w:ascii="Times New Roman" w:hAnsi="Times New Roman" w:cs="Times New Roman"/>
          <w:sz w:val="24"/>
          <w:szCs w:val="24"/>
          <w:shd w:val="clear" w:color="auto" w:fill="FFFFFF"/>
        </w:rPr>
        <w:t xml:space="preserve">gada martā, lai apturētu COVID-19 izplatību, kad nodokļu maksātājiem nācās būtiski ierobežot, bet atsevišķu nozaru nodokļu maksātājiem pat apturēt savu saimniecisko darbību, VID administrētie kopbudžeta ieņēmumi ir samazinājušies un ir par 365,91 milj. </w:t>
      </w:r>
      <w:r w:rsidR="00B70C71" w:rsidRPr="003838FD">
        <w:rPr>
          <w:rFonts w:ascii="Times New Roman" w:hAnsi="Times New Roman" w:cs="Times New Roman"/>
          <w:i/>
          <w:sz w:val="24"/>
          <w:szCs w:val="24"/>
          <w:shd w:val="clear" w:color="auto" w:fill="FFFFFF"/>
        </w:rPr>
        <w:t>euro</w:t>
      </w:r>
      <w:r w:rsidR="00B70C71" w:rsidRPr="003838FD">
        <w:rPr>
          <w:rFonts w:ascii="Times New Roman" w:hAnsi="Times New Roman" w:cs="Times New Roman"/>
          <w:sz w:val="24"/>
          <w:szCs w:val="24"/>
          <w:shd w:val="clear" w:color="auto" w:fill="FFFFFF"/>
        </w:rPr>
        <w:t xml:space="preserve"> mazāki nekā plānots.</w:t>
      </w:r>
    </w:p>
    <w:p w14:paraId="0A15C0CC" w14:textId="25C26D27" w:rsidR="00B70C71" w:rsidRPr="003838FD" w:rsidRDefault="00B70C71" w:rsidP="00B70C71">
      <w:pPr>
        <w:ind w:firstLine="714"/>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2020.</w:t>
      </w:r>
      <w:r w:rsidR="00647163" w:rsidRPr="003838FD">
        <w:rPr>
          <w:rFonts w:ascii="Times New Roman" w:hAnsi="Times New Roman" w:cs="Times New Roman"/>
          <w:sz w:val="24"/>
          <w:szCs w:val="24"/>
          <w:shd w:val="clear" w:color="auto" w:fill="FFFFFF"/>
        </w:rPr>
        <w:t> </w:t>
      </w:r>
      <w:r w:rsidRPr="003838FD">
        <w:rPr>
          <w:rFonts w:ascii="Times New Roman" w:hAnsi="Times New Roman" w:cs="Times New Roman"/>
          <w:sz w:val="24"/>
          <w:szCs w:val="24"/>
          <w:shd w:val="clear" w:color="auto" w:fill="FFFFFF"/>
        </w:rPr>
        <w:t>gada 1.</w:t>
      </w:r>
      <w:r w:rsidR="00647163" w:rsidRPr="003838FD">
        <w:rPr>
          <w:rFonts w:ascii="Times New Roman" w:hAnsi="Times New Roman" w:cs="Times New Roman"/>
          <w:sz w:val="24"/>
          <w:szCs w:val="24"/>
          <w:shd w:val="clear" w:color="auto" w:fill="FFFFFF"/>
        </w:rPr>
        <w:t> </w:t>
      </w:r>
      <w:r w:rsidRPr="003838FD">
        <w:rPr>
          <w:rFonts w:ascii="Times New Roman" w:hAnsi="Times New Roman" w:cs="Times New Roman"/>
          <w:sz w:val="24"/>
          <w:szCs w:val="24"/>
          <w:shd w:val="clear" w:color="auto" w:fill="FFFFFF"/>
        </w:rPr>
        <w:t>pusgadā, salīdzinot ar 2019.</w:t>
      </w:r>
      <w:r w:rsidR="00647163" w:rsidRPr="003838FD">
        <w:rPr>
          <w:rFonts w:ascii="Times New Roman" w:hAnsi="Times New Roman" w:cs="Times New Roman"/>
          <w:sz w:val="24"/>
          <w:szCs w:val="24"/>
          <w:shd w:val="clear" w:color="auto" w:fill="FFFFFF"/>
        </w:rPr>
        <w:t> </w:t>
      </w:r>
      <w:r w:rsidRPr="003838FD">
        <w:rPr>
          <w:rFonts w:ascii="Times New Roman" w:hAnsi="Times New Roman" w:cs="Times New Roman"/>
          <w:sz w:val="24"/>
          <w:szCs w:val="24"/>
          <w:shd w:val="clear" w:color="auto" w:fill="FFFFFF"/>
        </w:rPr>
        <w:t>gada 1.</w:t>
      </w:r>
      <w:r w:rsidR="00647163" w:rsidRPr="003838FD">
        <w:rPr>
          <w:rFonts w:ascii="Times New Roman" w:hAnsi="Times New Roman" w:cs="Times New Roman"/>
          <w:sz w:val="24"/>
          <w:szCs w:val="24"/>
          <w:shd w:val="clear" w:color="auto" w:fill="FFFFFF"/>
        </w:rPr>
        <w:t> </w:t>
      </w:r>
      <w:r w:rsidRPr="003838FD">
        <w:rPr>
          <w:rFonts w:ascii="Times New Roman" w:hAnsi="Times New Roman" w:cs="Times New Roman"/>
          <w:sz w:val="24"/>
          <w:szCs w:val="24"/>
          <w:shd w:val="clear" w:color="auto" w:fill="FFFFFF"/>
        </w:rPr>
        <w:t xml:space="preserve">pusgadu, VID administrētie kopbudžeta ieņēmumi ir samazinājušies par 69,37 milj. </w:t>
      </w:r>
      <w:r w:rsidRPr="003838FD">
        <w:rPr>
          <w:rFonts w:ascii="Times New Roman" w:hAnsi="Times New Roman" w:cs="Times New Roman"/>
          <w:i/>
          <w:sz w:val="24"/>
          <w:szCs w:val="24"/>
          <w:shd w:val="clear" w:color="auto" w:fill="FFFFFF"/>
        </w:rPr>
        <w:t>euro</w:t>
      </w:r>
      <w:r w:rsidRPr="003838FD">
        <w:rPr>
          <w:rFonts w:ascii="Times New Roman" w:hAnsi="Times New Roman" w:cs="Times New Roman"/>
          <w:sz w:val="24"/>
          <w:szCs w:val="24"/>
          <w:shd w:val="clear" w:color="auto" w:fill="FFFFFF"/>
        </w:rPr>
        <w:t xml:space="preserve"> jeb 1,5 % un ieņēmumu plāns 2020.</w:t>
      </w:r>
      <w:r w:rsidR="00647163" w:rsidRPr="003838FD">
        <w:rPr>
          <w:rFonts w:ascii="Times New Roman" w:hAnsi="Times New Roman" w:cs="Times New Roman"/>
          <w:sz w:val="24"/>
          <w:szCs w:val="24"/>
          <w:shd w:val="clear" w:color="auto" w:fill="FFFFFF"/>
        </w:rPr>
        <w:t> </w:t>
      </w:r>
      <w:r w:rsidRPr="003838FD">
        <w:rPr>
          <w:rFonts w:ascii="Times New Roman" w:hAnsi="Times New Roman" w:cs="Times New Roman"/>
          <w:sz w:val="24"/>
          <w:szCs w:val="24"/>
          <w:shd w:val="clear" w:color="auto" w:fill="FFFFFF"/>
        </w:rPr>
        <w:t>gada 1.</w:t>
      </w:r>
      <w:r w:rsidR="00647163" w:rsidRPr="003838FD">
        <w:rPr>
          <w:rFonts w:ascii="Times New Roman" w:hAnsi="Times New Roman" w:cs="Times New Roman"/>
          <w:sz w:val="24"/>
          <w:szCs w:val="24"/>
          <w:shd w:val="clear" w:color="auto" w:fill="FFFFFF"/>
        </w:rPr>
        <w:t> </w:t>
      </w:r>
      <w:r w:rsidRPr="003838FD">
        <w:rPr>
          <w:rFonts w:ascii="Times New Roman" w:hAnsi="Times New Roman" w:cs="Times New Roman"/>
          <w:sz w:val="24"/>
          <w:szCs w:val="24"/>
          <w:shd w:val="clear" w:color="auto" w:fill="FFFFFF"/>
        </w:rPr>
        <w:t>pusgadā izpildīts par 92,8 %.</w:t>
      </w:r>
      <w:r w:rsidR="008C0F03">
        <w:rPr>
          <w:rFonts w:ascii="Times New Roman" w:hAnsi="Times New Roman" w:cs="Times New Roman"/>
          <w:sz w:val="24"/>
          <w:szCs w:val="24"/>
          <w:shd w:val="clear" w:color="auto" w:fill="FFFFFF"/>
        </w:rPr>
        <w:t xml:space="preserve"> </w:t>
      </w:r>
      <w:r w:rsidR="008C0F03" w:rsidRPr="008C0F03">
        <w:rPr>
          <w:rFonts w:ascii="Times New Roman" w:hAnsi="Times New Roman" w:cs="Times New Roman"/>
          <w:sz w:val="24"/>
          <w:szCs w:val="24"/>
          <w:shd w:val="clear" w:color="auto" w:fill="FFFFFF"/>
        </w:rPr>
        <w:t>VID administrētie kopbudžeta ieņēmumi 2020.</w:t>
      </w:r>
      <w:r w:rsidR="009629BE">
        <w:rPr>
          <w:rFonts w:ascii="Times New Roman" w:hAnsi="Times New Roman" w:cs="Times New Roman"/>
          <w:sz w:val="24"/>
          <w:szCs w:val="24"/>
          <w:shd w:val="clear" w:color="auto" w:fill="FFFFFF"/>
        </w:rPr>
        <w:t> </w:t>
      </w:r>
      <w:r w:rsidR="008C0F03" w:rsidRPr="008C0F03">
        <w:rPr>
          <w:rFonts w:ascii="Times New Roman" w:hAnsi="Times New Roman" w:cs="Times New Roman"/>
          <w:sz w:val="24"/>
          <w:szCs w:val="24"/>
          <w:shd w:val="clear" w:color="auto" w:fill="FFFFFF"/>
        </w:rPr>
        <w:t xml:space="preserve">gadā ir 9,86 miljardi </w:t>
      </w:r>
      <w:r w:rsidR="008C0F03" w:rsidRPr="00273BBF">
        <w:rPr>
          <w:rFonts w:ascii="Times New Roman" w:hAnsi="Times New Roman" w:cs="Times New Roman"/>
          <w:i/>
          <w:sz w:val="24"/>
          <w:szCs w:val="24"/>
          <w:shd w:val="clear" w:color="auto" w:fill="FFFFFF"/>
        </w:rPr>
        <w:t>e</w:t>
      </w:r>
      <w:r w:rsidR="0033746A" w:rsidRPr="00273BBF">
        <w:rPr>
          <w:rFonts w:ascii="Times New Roman" w:hAnsi="Times New Roman" w:cs="Times New Roman"/>
          <w:i/>
          <w:sz w:val="24"/>
          <w:szCs w:val="24"/>
          <w:shd w:val="clear" w:color="auto" w:fill="FFFFFF"/>
        </w:rPr>
        <w:t>u</w:t>
      </w:r>
      <w:r w:rsidR="008C0F03" w:rsidRPr="00273BBF">
        <w:rPr>
          <w:rFonts w:ascii="Times New Roman" w:hAnsi="Times New Roman" w:cs="Times New Roman"/>
          <w:i/>
          <w:sz w:val="24"/>
          <w:szCs w:val="24"/>
          <w:shd w:val="clear" w:color="auto" w:fill="FFFFFF"/>
        </w:rPr>
        <w:t>ro</w:t>
      </w:r>
      <w:r w:rsidR="008C0F03" w:rsidRPr="008C0F03">
        <w:rPr>
          <w:rFonts w:ascii="Times New Roman" w:hAnsi="Times New Roman" w:cs="Times New Roman"/>
          <w:sz w:val="24"/>
          <w:szCs w:val="24"/>
          <w:shd w:val="clear" w:color="auto" w:fill="FFFFFF"/>
        </w:rPr>
        <w:t xml:space="preserve"> un tie</w:t>
      </w:r>
      <w:r w:rsidR="00273BBF">
        <w:rPr>
          <w:rFonts w:ascii="Times New Roman" w:hAnsi="Times New Roman" w:cs="Times New Roman"/>
          <w:sz w:val="24"/>
          <w:szCs w:val="24"/>
          <w:shd w:val="clear" w:color="auto" w:fill="FFFFFF"/>
        </w:rPr>
        <w:t xml:space="preserve"> nedaudz, par 0,05 miljardiem </w:t>
      </w:r>
      <w:r w:rsidR="00273BBF" w:rsidRPr="00273BBF">
        <w:rPr>
          <w:rFonts w:ascii="Times New Roman" w:hAnsi="Times New Roman" w:cs="Times New Roman"/>
          <w:i/>
          <w:sz w:val="24"/>
          <w:szCs w:val="24"/>
          <w:shd w:val="clear" w:color="auto" w:fill="FFFFFF"/>
        </w:rPr>
        <w:t>eu</w:t>
      </w:r>
      <w:r w:rsidR="008C0F03" w:rsidRPr="00273BBF">
        <w:rPr>
          <w:rFonts w:ascii="Times New Roman" w:hAnsi="Times New Roman" w:cs="Times New Roman"/>
          <w:i/>
          <w:sz w:val="24"/>
          <w:szCs w:val="24"/>
          <w:shd w:val="clear" w:color="auto" w:fill="FFFFFF"/>
        </w:rPr>
        <w:t>ro</w:t>
      </w:r>
      <w:r w:rsidR="008C0F03" w:rsidRPr="008C0F03">
        <w:rPr>
          <w:rFonts w:ascii="Times New Roman" w:hAnsi="Times New Roman" w:cs="Times New Roman"/>
          <w:sz w:val="24"/>
          <w:szCs w:val="24"/>
          <w:shd w:val="clear" w:color="auto" w:fill="FFFFFF"/>
        </w:rPr>
        <w:t xml:space="preserve"> jeb 0,5 %, a</w:t>
      </w:r>
      <w:r w:rsidR="00B034F0">
        <w:rPr>
          <w:rFonts w:ascii="Times New Roman" w:hAnsi="Times New Roman" w:cs="Times New Roman"/>
          <w:sz w:val="24"/>
          <w:szCs w:val="24"/>
          <w:shd w:val="clear" w:color="auto" w:fill="FFFFFF"/>
        </w:rPr>
        <w:t xml:space="preserve">tpaliek no 2019.gada ieņēmumiem, </w:t>
      </w:r>
      <w:r w:rsidR="00B034F0" w:rsidRPr="00B034F0">
        <w:rPr>
          <w:rFonts w:ascii="Times New Roman" w:hAnsi="Times New Roman" w:cs="Times New Roman"/>
          <w:sz w:val="24"/>
          <w:szCs w:val="24"/>
          <w:shd w:val="clear" w:color="auto" w:fill="FFFFFF"/>
        </w:rPr>
        <w:t>līdz ar to ieņēmumu plāns 2020.</w:t>
      </w:r>
      <w:r w:rsidR="009629BE">
        <w:rPr>
          <w:rFonts w:ascii="Times New Roman" w:hAnsi="Times New Roman" w:cs="Times New Roman"/>
          <w:sz w:val="24"/>
          <w:szCs w:val="24"/>
          <w:shd w:val="clear" w:color="auto" w:fill="FFFFFF"/>
        </w:rPr>
        <w:t> </w:t>
      </w:r>
      <w:r w:rsidR="00B034F0" w:rsidRPr="00B034F0">
        <w:rPr>
          <w:rFonts w:ascii="Times New Roman" w:hAnsi="Times New Roman" w:cs="Times New Roman"/>
          <w:sz w:val="24"/>
          <w:szCs w:val="24"/>
          <w:shd w:val="clear" w:color="auto" w:fill="FFFFFF"/>
        </w:rPr>
        <w:t xml:space="preserve">gadam ir izpildīts par 93,9 % un līdz tā izpildei pietrūka 0,64 miljardi </w:t>
      </w:r>
      <w:r w:rsidR="00B034F0" w:rsidRPr="00273BBF">
        <w:rPr>
          <w:rFonts w:ascii="Times New Roman" w:hAnsi="Times New Roman" w:cs="Times New Roman"/>
          <w:i/>
          <w:sz w:val="24"/>
          <w:szCs w:val="24"/>
          <w:shd w:val="clear" w:color="auto" w:fill="FFFFFF"/>
        </w:rPr>
        <w:t>e</w:t>
      </w:r>
      <w:r w:rsidR="00273BBF" w:rsidRPr="00273BBF">
        <w:rPr>
          <w:rFonts w:ascii="Times New Roman" w:hAnsi="Times New Roman" w:cs="Times New Roman"/>
          <w:i/>
          <w:sz w:val="24"/>
          <w:szCs w:val="24"/>
          <w:shd w:val="clear" w:color="auto" w:fill="FFFFFF"/>
        </w:rPr>
        <w:t>u</w:t>
      </w:r>
      <w:r w:rsidR="00B034F0" w:rsidRPr="00273BBF">
        <w:rPr>
          <w:rFonts w:ascii="Times New Roman" w:hAnsi="Times New Roman" w:cs="Times New Roman"/>
          <w:i/>
          <w:sz w:val="24"/>
          <w:szCs w:val="24"/>
          <w:shd w:val="clear" w:color="auto" w:fill="FFFFFF"/>
        </w:rPr>
        <w:t>ro</w:t>
      </w:r>
      <w:r w:rsidR="00B034F0" w:rsidRPr="00B034F0">
        <w:rPr>
          <w:rFonts w:ascii="Times New Roman" w:hAnsi="Times New Roman" w:cs="Times New Roman"/>
          <w:sz w:val="24"/>
          <w:szCs w:val="24"/>
          <w:shd w:val="clear" w:color="auto" w:fill="FFFFFF"/>
        </w:rPr>
        <w:t>.</w:t>
      </w:r>
    </w:p>
    <w:p w14:paraId="7F9208E1" w14:textId="350D8F86" w:rsidR="00B70C71" w:rsidRPr="003838FD" w:rsidRDefault="009629BE" w:rsidP="00B70C71">
      <w:pPr>
        <w:ind w:firstLine="714"/>
        <w:rPr>
          <w:rFonts w:ascii="Times New Roman" w:hAnsi="Times New Roman" w:cs="Times New Roman"/>
          <w:sz w:val="24"/>
          <w:szCs w:val="24"/>
          <w:shd w:val="clear" w:color="auto" w:fill="FFFFFF"/>
        </w:rPr>
      </w:pPr>
      <w:r w:rsidRPr="009629BE">
        <w:rPr>
          <w:rFonts w:ascii="Times New Roman" w:hAnsi="Times New Roman" w:cs="Times New Roman"/>
          <w:sz w:val="24"/>
          <w:szCs w:val="24"/>
          <w:shd w:val="clear" w:color="auto" w:fill="FFFFFF"/>
        </w:rPr>
        <w:t>Visvairāk gan no 2019.</w:t>
      </w:r>
      <w:r>
        <w:rPr>
          <w:rFonts w:ascii="Times New Roman" w:hAnsi="Times New Roman" w:cs="Times New Roman"/>
          <w:sz w:val="24"/>
          <w:szCs w:val="24"/>
          <w:shd w:val="clear" w:color="auto" w:fill="FFFFFF"/>
        </w:rPr>
        <w:t> </w:t>
      </w:r>
      <w:r w:rsidRPr="009629BE">
        <w:rPr>
          <w:rFonts w:ascii="Times New Roman" w:hAnsi="Times New Roman" w:cs="Times New Roman"/>
          <w:sz w:val="24"/>
          <w:szCs w:val="24"/>
          <w:shd w:val="clear" w:color="auto" w:fill="FFFFFF"/>
        </w:rPr>
        <w:t>gada faktiskā, gan 2020.</w:t>
      </w:r>
      <w:r>
        <w:rPr>
          <w:rFonts w:ascii="Times New Roman" w:hAnsi="Times New Roman" w:cs="Times New Roman"/>
          <w:sz w:val="24"/>
          <w:szCs w:val="24"/>
          <w:shd w:val="clear" w:color="auto" w:fill="FFFFFF"/>
        </w:rPr>
        <w:t> </w:t>
      </w:r>
      <w:r w:rsidRPr="009629BE">
        <w:rPr>
          <w:rFonts w:ascii="Times New Roman" w:hAnsi="Times New Roman" w:cs="Times New Roman"/>
          <w:sz w:val="24"/>
          <w:szCs w:val="24"/>
          <w:shd w:val="clear" w:color="auto" w:fill="FFFFFF"/>
        </w:rPr>
        <w:t>gadā plānotā apmēra atpaliek pievienotās vērtības nodokļa ieņēmumi. 2020.</w:t>
      </w:r>
      <w:r>
        <w:rPr>
          <w:rFonts w:ascii="Times New Roman" w:hAnsi="Times New Roman" w:cs="Times New Roman"/>
          <w:sz w:val="24"/>
          <w:szCs w:val="24"/>
          <w:shd w:val="clear" w:color="auto" w:fill="FFFFFF"/>
        </w:rPr>
        <w:t> </w:t>
      </w:r>
      <w:r w:rsidR="00273BBF">
        <w:rPr>
          <w:rFonts w:ascii="Times New Roman" w:hAnsi="Times New Roman" w:cs="Times New Roman"/>
          <w:sz w:val="24"/>
          <w:szCs w:val="24"/>
          <w:shd w:val="clear" w:color="auto" w:fill="FFFFFF"/>
        </w:rPr>
        <w:t xml:space="preserve">gadā tie ir 2 544,66 milj. </w:t>
      </w:r>
      <w:r w:rsidR="00273BBF" w:rsidRPr="00273BBF">
        <w:rPr>
          <w:rFonts w:ascii="Times New Roman" w:hAnsi="Times New Roman" w:cs="Times New Roman"/>
          <w:i/>
          <w:sz w:val="24"/>
          <w:szCs w:val="24"/>
          <w:shd w:val="clear" w:color="auto" w:fill="FFFFFF"/>
        </w:rPr>
        <w:t>eu</w:t>
      </w:r>
      <w:r w:rsidRPr="00273BBF">
        <w:rPr>
          <w:rFonts w:ascii="Times New Roman" w:hAnsi="Times New Roman" w:cs="Times New Roman"/>
          <w:i/>
          <w:sz w:val="24"/>
          <w:szCs w:val="24"/>
          <w:shd w:val="clear" w:color="auto" w:fill="FFFFFF"/>
        </w:rPr>
        <w:t>ro</w:t>
      </w:r>
      <w:r w:rsidRPr="009629BE">
        <w:rPr>
          <w:rFonts w:ascii="Times New Roman" w:hAnsi="Times New Roman" w:cs="Times New Roman"/>
          <w:sz w:val="24"/>
          <w:szCs w:val="24"/>
          <w:shd w:val="clear" w:color="auto" w:fill="FFFFFF"/>
        </w:rPr>
        <w:t>, kas ir par 103,69</w:t>
      </w:r>
      <w:r>
        <w:rPr>
          <w:rFonts w:ascii="Times New Roman" w:hAnsi="Times New Roman" w:cs="Times New Roman"/>
          <w:sz w:val="24"/>
          <w:szCs w:val="24"/>
          <w:shd w:val="clear" w:color="auto" w:fill="FFFFFF"/>
        </w:rPr>
        <w:t> </w:t>
      </w:r>
      <w:r w:rsidR="00273BBF">
        <w:rPr>
          <w:rFonts w:ascii="Times New Roman" w:hAnsi="Times New Roman" w:cs="Times New Roman"/>
          <w:sz w:val="24"/>
          <w:szCs w:val="24"/>
          <w:shd w:val="clear" w:color="auto" w:fill="FFFFFF"/>
        </w:rPr>
        <w:t xml:space="preserve">milj. </w:t>
      </w:r>
      <w:r w:rsidR="00273BBF" w:rsidRPr="00273BBF">
        <w:rPr>
          <w:rFonts w:ascii="Times New Roman" w:hAnsi="Times New Roman" w:cs="Times New Roman"/>
          <w:i/>
          <w:sz w:val="24"/>
          <w:szCs w:val="24"/>
          <w:shd w:val="clear" w:color="auto" w:fill="FFFFFF"/>
        </w:rPr>
        <w:t>eu</w:t>
      </w:r>
      <w:r w:rsidRPr="00273BBF">
        <w:rPr>
          <w:rFonts w:ascii="Times New Roman" w:hAnsi="Times New Roman" w:cs="Times New Roman"/>
          <w:i/>
          <w:sz w:val="24"/>
          <w:szCs w:val="24"/>
          <w:shd w:val="clear" w:color="auto" w:fill="FFFFFF"/>
        </w:rPr>
        <w:t>ro</w:t>
      </w:r>
      <w:r w:rsidRPr="009629BE">
        <w:rPr>
          <w:rFonts w:ascii="Times New Roman" w:hAnsi="Times New Roman" w:cs="Times New Roman"/>
          <w:sz w:val="24"/>
          <w:szCs w:val="24"/>
          <w:shd w:val="clear" w:color="auto" w:fill="FFFFFF"/>
        </w:rPr>
        <w:t xml:space="preserve"> jeb 3,9 % mazāk nekā 2019.</w:t>
      </w:r>
      <w:r>
        <w:rPr>
          <w:rFonts w:ascii="Times New Roman" w:hAnsi="Times New Roman" w:cs="Times New Roman"/>
          <w:sz w:val="24"/>
          <w:szCs w:val="24"/>
          <w:shd w:val="clear" w:color="auto" w:fill="FFFFFF"/>
        </w:rPr>
        <w:t> </w:t>
      </w:r>
      <w:r w:rsidRPr="009629BE">
        <w:rPr>
          <w:rFonts w:ascii="Times New Roman" w:hAnsi="Times New Roman" w:cs="Times New Roman"/>
          <w:sz w:val="24"/>
          <w:szCs w:val="24"/>
          <w:shd w:val="clear" w:color="auto" w:fill="FFFFFF"/>
        </w:rPr>
        <w:t>gadā, nodrošinot ieņēmumu plāna izpildi par 88,2</w:t>
      </w:r>
      <w:r>
        <w:rPr>
          <w:rFonts w:ascii="Times New Roman" w:hAnsi="Times New Roman" w:cs="Times New Roman"/>
          <w:sz w:val="24"/>
          <w:szCs w:val="24"/>
          <w:shd w:val="clear" w:color="auto" w:fill="FFFFFF"/>
        </w:rPr>
        <w:t> </w:t>
      </w:r>
      <w:r w:rsidRPr="009629BE">
        <w:rPr>
          <w:rFonts w:ascii="Times New Roman" w:hAnsi="Times New Roman" w:cs="Times New Roman"/>
          <w:sz w:val="24"/>
          <w:szCs w:val="24"/>
          <w:shd w:val="clear" w:color="auto" w:fill="FFFFFF"/>
        </w:rPr>
        <w:t>%.</w:t>
      </w:r>
      <w:r w:rsidR="00B70C71" w:rsidRPr="003838FD">
        <w:rPr>
          <w:rFonts w:ascii="Times New Roman" w:hAnsi="Times New Roman" w:cs="Times New Roman"/>
          <w:sz w:val="24"/>
          <w:szCs w:val="24"/>
          <w:shd w:val="clear" w:color="auto" w:fill="FFFFFF"/>
        </w:rPr>
        <w:t xml:space="preserve"> </w:t>
      </w:r>
      <w:r w:rsidRPr="009629BE">
        <w:rPr>
          <w:rFonts w:ascii="Times New Roman" w:hAnsi="Times New Roman" w:cs="Times New Roman"/>
          <w:sz w:val="24"/>
          <w:szCs w:val="24"/>
          <w:shd w:val="clear" w:color="auto" w:fill="FFFFFF"/>
        </w:rPr>
        <w:t xml:space="preserve">2020. gadā lielākais iemaksu samazinājums ir no operāciju ar nekustamo īpašumu </w:t>
      </w:r>
      <w:r w:rsidRPr="009629BE">
        <w:rPr>
          <w:rFonts w:ascii="Times New Roman" w:hAnsi="Times New Roman" w:cs="Times New Roman"/>
          <w:sz w:val="24"/>
          <w:szCs w:val="24"/>
          <w:shd w:val="clear" w:color="auto" w:fill="FFFFFF"/>
        </w:rPr>
        <w:lastRenderedPageBreak/>
        <w:t>nozares un izmitināšanas un ēdināšanas pakalpojumu nozares nodokļu maksātājiem, savukārt lielākais nodokļa atmaksu pieaugums – būvniecības nozarē strādājošajiem.</w:t>
      </w:r>
    </w:p>
    <w:p w14:paraId="206B977A" w14:textId="18549219" w:rsidR="00B70C71" w:rsidRPr="003838FD" w:rsidRDefault="00B70C71" w:rsidP="00B70C71">
      <w:pPr>
        <w:ind w:firstLine="714"/>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Straujas pārmaiņas ir arī darbaspēka nodokļu ieņēmumos, kas pēc ilgstoša pieauguma perioda, pēc ārkārtas stāvokļa ieviešanas vairs nesasniedz iepriekšējā gada atbilstošā perioda ieņēmumu apmēru. Darbaspēka nodokļos lielākais ieņēmumu samazinājums 2020.</w:t>
      </w:r>
      <w:r w:rsidR="00647163" w:rsidRPr="003838FD">
        <w:rPr>
          <w:rFonts w:ascii="Times New Roman" w:hAnsi="Times New Roman" w:cs="Times New Roman"/>
          <w:sz w:val="24"/>
          <w:szCs w:val="24"/>
          <w:shd w:val="clear" w:color="auto" w:fill="FFFFFF"/>
        </w:rPr>
        <w:t> </w:t>
      </w:r>
      <w:r w:rsidRPr="003838FD">
        <w:rPr>
          <w:rFonts w:ascii="Times New Roman" w:hAnsi="Times New Roman" w:cs="Times New Roman"/>
          <w:sz w:val="24"/>
          <w:szCs w:val="24"/>
          <w:shd w:val="clear" w:color="auto" w:fill="FFFFFF"/>
        </w:rPr>
        <w:t>gada 1.</w:t>
      </w:r>
      <w:r w:rsidR="00647163" w:rsidRPr="003838FD">
        <w:rPr>
          <w:rFonts w:ascii="Times New Roman" w:hAnsi="Times New Roman" w:cs="Times New Roman"/>
          <w:sz w:val="24"/>
          <w:szCs w:val="24"/>
          <w:shd w:val="clear" w:color="auto" w:fill="FFFFFF"/>
        </w:rPr>
        <w:t> </w:t>
      </w:r>
      <w:r w:rsidRPr="003838FD">
        <w:rPr>
          <w:rFonts w:ascii="Times New Roman" w:hAnsi="Times New Roman" w:cs="Times New Roman"/>
          <w:sz w:val="24"/>
          <w:szCs w:val="24"/>
          <w:shd w:val="clear" w:color="auto" w:fill="FFFFFF"/>
        </w:rPr>
        <w:t>pusgadā, salīdzinot ar 2019.</w:t>
      </w:r>
      <w:r w:rsidR="00647163" w:rsidRPr="003838FD">
        <w:rPr>
          <w:rFonts w:ascii="Times New Roman" w:hAnsi="Times New Roman" w:cs="Times New Roman"/>
          <w:sz w:val="24"/>
          <w:szCs w:val="24"/>
          <w:shd w:val="clear" w:color="auto" w:fill="FFFFFF"/>
        </w:rPr>
        <w:t> </w:t>
      </w:r>
      <w:r w:rsidRPr="003838FD">
        <w:rPr>
          <w:rFonts w:ascii="Times New Roman" w:hAnsi="Times New Roman" w:cs="Times New Roman"/>
          <w:sz w:val="24"/>
          <w:szCs w:val="24"/>
          <w:shd w:val="clear" w:color="auto" w:fill="FFFFFF"/>
        </w:rPr>
        <w:t>gada attiecīgo periodu, ir no nodokļu maksātājiem, kuru pamatdarbības veids saistīts ar transportu un uzglabāšanu, kā arī izmitināšanu un ēdināšanas pakalpojumiem.</w:t>
      </w:r>
    </w:p>
    <w:p w14:paraId="449290D1" w14:textId="6748A90B" w:rsidR="00F11829" w:rsidRPr="003838FD" w:rsidRDefault="00517F8D" w:rsidP="00B70C71">
      <w:pPr>
        <w:ind w:firstLine="714"/>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VSAOI</w:t>
      </w:r>
      <w:r w:rsidR="00B70C71" w:rsidRPr="003838FD">
        <w:rPr>
          <w:rFonts w:ascii="Times New Roman" w:hAnsi="Times New Roman" w:cs="Times New Roman"/>
          <w:sz w:val="24"/>
          <w:szCs w:val="24"/>
          <w:shd w:val="clear" w:color="auto" w:fill="FFFFFF"/>
        </w:rPr>
        <w:t xml:space="preserve"> 2020.</w:t>
      </w:r>
      <w:r w:rsidR="00647163" w:rsidRPr="003838FD">
        <w:rPr>
          <w:rFonts w:ascii="Times New Roman" w:hAnsi="Times New Roman" w:cs="Times New Roman"/>
          <w:sz w:val="24"/>
          <w:szCs w:val="24"/>
          <w:shd w:val="clear" w:color="auto" w:fill="FFFFFF"/>
        </w:rPr>
        <w:t> </w:t>
      </w:r>
      <w:r w:rsidR="00B70C71" w:rsidRPr="003838FD">
        <w:rPr>
          <w:rFonts w:ascii="Times New Roman" w:hAnsi="Times New Roman" w:cs="Times New Roman"/>
          <w:sz w:val="24"/>
          <w:szCs w:val="24"/>
          <w:shd w:val="clear" w:color="auto" w:fill="FFFFFF"/>
        </w:rPr>
        <w:t>gada 1.</w:t>
      </w:r>
      <w:r w:rsidR="001E1FFF" w:rsidRPr="003838FD">
        <w:rPr>
          <w:rFonts w:ascii="Times New Roman" w:hAnsi="Times New Roman" w:cs="Times New Roman"/>
          <w:sz w:val="24"/>
          <w:szCs w:val="24"/>
          <w:shd w:val="clear" w:color="auto" w:fill="FFFFFF"/>
        </w:rPr>
        <w:t> </w:t>
      </w:r>
      <w:r w:rsidR="00B70C71" w:rsidRPr="003838FD">
        <w:rPr>
          <w:rFonts w:ascii="Times New Roman" w:hAnsi="Times New Roman" w:cs="Times New Roman"/>
          <w:sz w:val="24"/>
          <w:szCs w:val="24"/>
          <w:shd w:val="clear" w:color="auto" w:fill="FFFFFF"/>
        </w:rPr>
        <w:t>pusgadā ir 1,66</w:t>
      </w:r>
      <w:r w:rsidR="001E1FFF" w:rsidRPr="003838FD">
        <w:rPr>
          <w:rFonts w:ascii="Times New Roman" w:hAnsi="Times New Roman" w:cs="Times New Roman"/>
          <w:sz w:val="24"/>
          <w:szCs w:val="24"/>
          <w:shd w:val="clear" w:color="auto" w:fill="FFFFFF"/>
        </w:rPr>
        <w:t> </w:t>
      </w:r>
      <w:r w:rsidR="00B70C71" w:rsidRPr="003838FD">
        <w:rPr>
          <w:rFonts w:ascii="Times New Roman" w:hAnsi="Times New Roman" w:cs="Times New Roman"/>
          <w:sz w:val="24"/>
          <w:szCs w:val="24"/>
          <w:shd w:val="clear" w:color="auto" w:fill="FFFFFF"/>
        </w:rPr>
        <w:t xml:space="preserve">miljardi </w:t>
      </w:r>
      <w:r w:rsidR="001E1FFF" w:rsidRPr="003838FD">
        <w:rPr>
          <w:rFonts w:ascii="Times New Roman" w:hAnsi="Times New Roman" w:cs="Times New Roman"/>
          <w:i/>
          <w:sz w:val="24"/>
          <w:szCs w:val="24"/>
          <w:shd w:val="clear" w:color="auto" w:fill="FFFFFF"/>
        </w:rPr>
        <w:t>euro</w:t>
      </w:r>
      <w:r w:rsidR="00B70C71" w:rsidRPr="003838FD">
        <w:rPr>
          <w:rFonts w:ascii="Times New Roman" w:hAnsi="Times New Roman" w:cs="Times New Roman"/>
          <w:sz w:val="24"/>
          <w:szCs w:val="24"/>
          <w:shd w:val="clear" w:color="auto" w:fill="FFFFFF"/>
        </w:rPr>
        <w:t>, kas ir par 0,03 miljardiem eiro jeb 1,5 % mazāk nekā 2019.</w:t>
      </w:r>
      <w:r w:rsidR="001E1FFF" w:rsidRPr="003838FD">
        <w:rPr>
          <w:rFonts w:ascii="Times New Roman" w:hAnsi="Times New Roman" w:cs="Times New Roman"/>
          <w:sz w:val="24"/>
          <w:szCs w:val="24"/>
          <w:shd w:val="clear" w:color="auto" w:fill="FFFFFF"/>
        </w:rPr>
        <w:t> </w:t>
      </w:r>
      <w:r w:rsidR="00B70C71" w:rsidRPr="003838FD">
        <w:rPr>
          <w:rFonts w:ascii="Times New Roman" w:hAnsi="Times New Roman" w:cs="Times New Roman"/>
          <w:sz w:val="24"/>
          <w:szCs w:val="24"/>
          <w:shd w:val="clear" w:color="auto" w:fill="FFFFFF"/>
        </w:rPr>
        <w:t>gada attiecīgajā periodā. Ieņēmumi nodrošināja plāna izpildi 94,7 % apmērā.</w:t>
      </w:r>
      <w:r w:rsidR="00505FE0">
        <w:rPr>
          <w:rFonts w:ascii="Times New Roman" w:hAnsi="Times New Roman" w:cs="Times New Roman"/>
          <w:sz w:val="24"/>
          <w:szCs w:val="24"/>
          <w:shd w:val="clear" w:color="auto" w:fill="FFFFFF"/>
        </w:rPr>
        <w:t xml:space="preserve"> </w:t>
      </w:r>
      <w:r w:rsidR="00505FE0" w:rsidRPr="00505FE0">
        <w:rPr>
          <w:rFonts w:ascii="Times New Roman" w:hAnsi="Times New Roman" w:cs="Times New Roman"/>
          <w:sz w:val="24"/>
          <w:szCs w:val="24"/>
          <w:shd w:val="clear" w:color="auto" w:fill="FFFFFF"/>
        </w:rPr>
        <w:t>Darbaspēka nodokļu ieņēmumi 2020.</w:t>
      </w:r>
      <w:r w:rsidR="00505FE0">
        <w:rPr>
          <w:rFonts w:ascii="Times New Roman" w:hAnsi="Times New Roman" w:cs="Times New Roman"/>
          <w:sz w:val="24"/>
          <w:szCs w:val="24"/>
          <w:shd w:val="clear" w:color="auto" w:fill="FFFFFF"/>
        </w:rPr>
        <w:t> </w:t>
      </w:r>
      <w:r w:rsidR="00505FE0" w:rsidRPr="00505FE0">
        <w:rPr>
          <w:rFonts w:ascii="Times New Roman" w:hAnsi="Times New Roman" w:cs="Times New Roman"/>
          <w:sz w:val="24"/>
          <w:szCs w:val="24"/>
          <w:shd w:val="clear" w:color="auto" w:fill="FFFFFF"/>
        </w:rPr>
        <w:t>gadā ir 53,9 % no kopējā ieņēmumu apmēra. Salīdzinot ar 2019.</w:t>
      </w:r>
      <w:r w:rsidR="00505FE0">
        <w:rPr>
          <w:rFonts w:ascii="Times New Roman" w:hAnsi="Times New Roman" w:cs="Times New Roman"/>
          <w:sz w:val="24"/>
          <w:szCs w:val="24"/>
          <w:shd w:val="clear" w:color="auto" w:fill="FFFFFF"/>
        </w:rPr>
        <w:t> </w:t>
      </w:r>
      <w:r w:rsidR="00505FE0" w:rsidRPr="00505FE0">
        <w:rPr>
          <w:rFonts w:ascii="Times New Roman" w:hAnsi="Times New Roman" w:cs="Times New Roman"/>
          <w:sz w:val="24"/>
          <w:szCs w:val="24"/>
          <w:shd w:val="clear" w:color="auto" w:fill="FFFFFF"/>
        </w:rPr>
        <w:t>gadu, tie sa</w:t>
      </w:r>
      <w:r w:rsidR="00273BBF">
        <w:rPr>
          <w:rFonts w:ascii="Times New Roman" w:hAnsi="Times New Roman" w:cs="Times New Roman"/>
          <w:sz w:val="24"/>
          <w:szCs w:val="24"/>
          <w:shd w:val="clear" w:color="auto" w:fill="FFFFFF"/>
        </w:rPr>
        <w:t>mazinājušies par 137,95 milj. </w:t>
      </w:r>
      <w:r w:rsidR="00273BBF" w:rsidRPr="00273BBF">
        <w:rPr>
          <w:rFonts w:ascii="Times New Roman" w:hAnsi="Times New Roman" w:cs="Times New Roman"/>
          <w:i/>
          <w:sz w:val="24"/>
          <w:szCs w:val="24"/>
          <w:shd w:val="clear" w:color="auto" w:fill="FFFFFF"/>
        </w:rPr>
        <w:t>eu</w:t>
      </w:r>
      <w:r w:rsidR="00505FE0" w:rsidRPr="00273BBF">
        <w:rPr>
          <w:rFonts w:ascii="Times New Roman" w:hAnsi="Times New Roman" w:cs="Times New Roman"/>
          <w:i/>
          <w:sz w:val="24"/>
          <w:szCs w:val="24"/>
          <w:shd w:val="clear" w:color="auto" w:fill="FFFFFF"/>
        </w:rPr>
        <w:t>ro</w:t>
      </w:r>
      <w:r w:rsidR="00505FE0" w:rsidRPr="00505FE0">
        <w:rPr>
          <w:rFonts w:ascii="Times New Roman" w:hAnsi="Times New Roman" w:cs="Times New Roman"/>
          <w:sz w:val="24"/>
          <w:szCs w:val="24"/>
          <w:shd w:val="clear" w:color="auto" w:fill="FFFFFF"/>
        </w:rPr>
        <w:t xml:space="preserve"> jeb 2,5 %. Tajā skaitā – iedzīvotāju ienākuma nodokļa ieņēmumi sa</w:t>
      </w:r>
      <w:r w:rsidR="00273BBF">
        <w:rPr>
          <w:rFonts w:ascii="Times New Roman" w:hAnsi="Times New Roman" w:cs="Times New Roman"/>
          <w:sz w:val="24"/>
          <w:szCs w:val="24"/>
          <w:shd w:val="clear" w:color="auto" w:fill="FFFFFF"/>
        </w:rPr>
        <w:t>mazinājušies par 129,29 milj. </w:t>
      </w:r>
      <w:r w:rsidR="00273BBF" w:rsidRPr="00273BBF">
        <w:rPr>
          <w:rFonts w:ascii="Times New Roman" w:hAnsi="Times New Roman" w:cs="Times New Roman"/>
          <w:i/>
          <w:sz w:val="24"/>
          <w:szCs w:val="24"/>
          <w:shd w:val="clear" w:color="auto" w:fill="FFFFFF"/>
        </w:rPr>
        <w:t>eu</w:t>
      </w:r>
      <w:r w:rsidR="00505FE0" w:rsidRPr="00273BBF">
        <w:rPr>
          <w:rFonts w:ascii="Times New Roman" w:hAnsi="Times New Roman" w:cs="Times New Roman"/>
          <w:i/>
          <w:sz w:val="24"/>
          <w:szCs w:val="24"/>
          <w:shd w:val="clear" w:color="auto" w:fill="FFFFFF"/>
        </w:rPr>
        <w:t>ro</w:t>
      </w:r>
      <w:r w:rsidR="00505FE0" w:rsidRPr="00505FE0">
        <w:rPr>
          <w:rFonts w:ascii="Times New Roman" w:hAnsi="Times New Roman" w:cs="Times New Roman"/>
          <w:sz w:val="24"/>
          <w:szCs w:val="24"/>
          <w:shd w:val="clear" w:color="auto" w:fill="FFFFFF"/>
        </w:rPr>
        <w:t xml:space="preserve"> jeb 6,6 %, bet valsts sociālās apdrošināšanas obligā</w:t>
      </w:r>
      <w:r w:rsidR="00273BBF">
        <w:rPr>
          <w:rFonts w:ascii="Times New Roman" w:hAnsi="Times New Roman" w:cs="Times New Roman"/>
          <w:sz w:val="24"/>
          <w:szCs w:val="24"/>
          <w:shd w:val="clear" w:color="auto" w:fill="FFFFFF"/>
        </w:rPr>
        <w:t>tās iemaksas – par 8,66 milj. </w:t>
      </w:r>
      <w:r w:rsidR="00273BBF" w:rsidRPr="00273BBF">
        <w:rPr>
          <w:rFonts w:ascii="Times New Roman" w:hAnsi="Times New Roman" w:cs="Times New Roman"/>
          <w:i/>
          <w:sz w:val="24"/>
          <w:szCs w:val="24"/>
          <w:shd w:val="clear" w:color="auto" w:fill="FFFFFF"/>
        </w:rPr>
        <w:t>eu</w:t>
      </w:r>
      <w:r w:rsidR="00505FE0" w:rsidRPr="00273BBF">
        <w:rPr>
          <w:rFonts w:ascii="Times New Roman" w:hAnsi="Times New Roman" w:cs="Times New Roman"/>
          <w:i/>
          <w:sz w:val="24"/>
          <w:szCs w:val="24"/>
          <w:shd w:val="clear" w:color="auto" w:fill="FFFFFF"/>
        </w:rPr>
        <w:t>ro</w:t>
      </w:r>
      <w:r w:rsidR="00505FE0" w:rsidRPr="00505FE0">
        <w:rPr>
          <w:rFonts w:ascii="Times New Roman" w:hAnsi="Times New Roman" w:cs="Times New Roman"/>
          <w:sz w:val="24"/>
          <w:szCs w:val="24"/>
          <w:shd w:val="clear" w:color="auto" w:fill="FFFFFF"/>
        </w:rPr>
        <w:t xml:space="preserve"> jeb 0,2 %.</w:t>
      </w:r>
    </w:p>
    <w:p w14:paraId="45CA8116" w14:textId="77777777" w:rsidR="00F11829" w:rsidRPr="003838FD" w:rsidRDefault="00F11829" w:rsidP="00F11829">
      <w:pPr>
        <w:ind w:firstLine="714"/>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 xml:space="preserve">Savukārt, 2020. gada 2. ceturksnī, salīdzinot ar 2019. gada 2. ceturksni, vidējā mēneša bruto darba samaksa par pilnas slodzes darbu pieauga par 3,9 % jeb 42 </w:t>
      </w:r>
      <w:r w:rsidRPr="003838FD">
        <w:rPr>
          <w:rFonts w:ascii="Times New Roman" w:hAnsi="Times New Roman" w:cs="Times New Roman"/>
          <w:i/>
          <w:sz w:val="24"/>
          <w:szCs w:val="24"/>
          <w:shd w:val="clear" w:color="auto" w:fill="FFFFFF"/>
        </w:rPr>
        <w:t>euro</w:t>
      </w:r>
      <w:r w:rsidRPr="003838FD">
        <w:rPr>
          <w:rFonts w:ascii="Times New Roman" w:hAnsi="Times New Roman" w:cs="Times New Roman"/>
          <w:sz w:val="24"/>
          <w:szCs w:val="24"/>
          <w:shd w:val="clear" w:color="auto" w:fill="FFFFFF"/>
        </w:rPr>
        <w:t xml:space="preserve">, sasniedzot 1 118 </w:t>
      </w:r>
      <w:r w:rsidRPr="003838FD">
        <w:rPr>
          <w:rFonts w:ascii="Times New Roman" w:hAnsi="Times New Roman" w:cs="Times New Roman"/>
          <w:i/>
          <w:sz w:val="24"/>
          <w:szCs w:val="24"/>
          <w:shd w:val="clear" w:color="auto" w:fill="FFFFFF"/>
        </w:rPr>
        <w:t>euro</w:t>
      </w:r>
      <w:r w:rsidRPr="003838FD">
        <w:rPr>
          <w:rFonts w:ascii="Times New Roman" w:hAnsi="Times New Roman" w:cs="Times New Roman"/>
          <w:sz w:val="24"/>
          <w:szCs w:val="24"/>
          <w:shd w:val="clear" w:color="auto" w:fill="FFFFFF"/>
        </w:rPr>
        <w:t>, liecina CSP dati.</w:t>
      </w:r>
    </w:p>
    <w:p w14:paraId="04C6F6B2" w14:textId="00968F00" w:rsidR="00F11829" w:rsidRPr="003838FD" w:rsidRDefault="00AF258A" w:rsidP="00F11829">
      <w:pPr>
        <w:ind w:firstLine="714"/>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 xml:space="preserve">Nozaru griezumā </w:t>
      </w:r>
      <w:r w:rsidR="00F11829" w:rsidRPr="003838FD">
        <w:rPr>
          <w:rFonts w:ascii="Times New Roman" w:hAnsi="Times New Roman" w:cs="Times New Roman"/>
          <w:sz w:val="24"/>
          <w:szCs w:val="24"/>
          <w:shd w:val="clear" w:color="auto" w:fill="FFFFFF"/>
        </w:rPr>
        <w:t>2020. gada 2. ceturksnī, salīdzinot ar 2019. gada 2. ceturksni, vidējā bruto darba samaksa izmitināšanas un ēdināšanas pakalpojumu nozarē samazinājās par 16,5 %, bet transporta un uzglabāšanas nozarē – par 5,1 %. Vidējā darba samaksa gada laikā ir nedaudz kritusies arī nekustamo īpašumu nozarē – par 1,5 % un mākslas, izklaides un atpūtas nozarē – par 1,0 %.</w:t>
      </w:r>
    </w:p>
    <w:p w14:paraId="289D5BCF" w14:textId="145804D7" w:rsidR="001B3F30" w:rsidRPr="001B3F30" w:rsidRDefault="001B3F30" w:rsidP="001B3F30">
      <w:pPr>
        <w:ind w:firstLine="714"/>
        <w:rPr>
          <w:rFonts w:ascii="Times New Roman" w:hAnsi="Times New Roman" w:cs="Times New Roman"/>
          <w:sz w:val="24"/>
          <w:szCs w:val="24"/>
          <w:shd w:val="clear" w:color="auto" w:fill="FFFFFF"/>
        </w:rPr>
      </w:pPr>
      <w:r w:rsidRPr="001B3F30">
        <w:rPr>
          <w:rFonts w:ascii="Times New Roman" w:hAnsi="Times New Roman" w:cs="Times New Roman"/>
          <w:bCs/>
          <w:sz w:val="24"/>
          <w:szCs w:val="24"/>
          <w:shd w:val="clear" w:color="auto" w:fill="FFFFFF"/>
        </w:rPr>
        <w:t>2020. gada decembrī faktiskā bezdarba līmenis Latvijā bija 8,3 %, kas salīdzinājumā ar novembri ir par 0,4 procentpunktiem vairāk, liecina CSP dati. Salīdzinot ar 2019. gada decembri vērojams bezdarba līmeņa pieaugums – 1,7 procentpunkti faktiskā bezdarba līmenim un 1,5 procentpunkti reģistrētā bezdarba līmenim.</w:t>
      </w:r>
      <w:r>
        <w:rPr>
          <w:rFonts w:ascii="Times New Roman" w:hAnsi="Times New Roman" w:cs="Times New Roman"/>
          <w:bCs/>
          <w:sz w:val="24"/>
          <w:szCs w:val="24"/>
          <w:shd w:val="clear" w:color="auto" w:fill="FFFFFF"/>
        </w:rPr>
        <w:t xml:space="preserve"> </w:t>
      </w:r>
      <w:r w:rsidRPr="001B3F30">
        <w:rPr>
          <w:rFonts w:ascii="Times New Roman" w:hAnsi="Times New Roman" w:cs="Times New Roman"/>
          <w:bCs/>
          <w:sz w:val="24"/>
          <w:szCs w:val="24"/>
          <w:shd w:val="clear" w:color="auto" w:fill="FFFFFF"/>
        </w:rPr>
        <w:t xml:space="preserve">2020. gada decembrī Latvijā bija 80,5 tūkstoši bezdarbnieku, kas ir par 3,9 tūkstošiem vairāk nekā novembrī un par 16,8 tūkstošiem vairāk nekā attiecīgajā periodā </w:t>
      </w:r>
      <w:r>
        <w:rPr>
          <w:rFonts w:ascii="Times New Roman" w:hAnsi="Times New Roman" w:cs="Times New Roman"/>
          <w:bCs/>
          <w:sz w:val="24"/>
          <w:szCs w:val="24"/>
          <w:shd w:val="clear" w:color="auto" w:fill="FFFFFF"/>
        </w:rPr>
        <w:t>2019. gadā</w:t>
      </w:r>
      <w:r w:rsidRPr="001B3F30">
        <w:rPr>
          <w:rFonts w:ascii="Times New Roman" w:hAnsi="Times New Roman" w:cs="Times New Roman"/>
          <w:bCs/>
          <w:sz w:val="24"/>
          <w:szCs w:val="24"/>
          <w:shd w:val="clear" w:color="auto" w:fill="FFFFFF"/>
        </w:rPr>
        <w:t xml:space="preserve">. </w:t>
      </w:r>
      <w:r w:rsidR="00BF40B4" w:rsidRPr="00BF40B4">
        <w:rPr>
          <w:rFonts w:ascii="Times New Roman" w:hAnsi="Times New Roman" w:cs="Times New Roman"/>
          <w:bCs/>
          <w:sz w:val="24"/>
          <w:szCs w:val="24"/>
          <w:shd w:val="clear" w:color="auto" w:fill="FFFFFF"/>
        </w:rPr>
        <w:t>COVID-19 izraisītās krīzes rezultātā palielinājās bezdarbnieku skaits.</w:t>
      </w:r>
      <w:r w:rsidR="00BF40B4">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L</w:t>
      </w:r>
      <w:r w:rsidRPr="001B3F30">
        <w:rPr>
          <w:rFonts w:ascii="Times New Roman" w:hAnsi="Times New Roman" w:cs="Times New Roman"/>
          <w:bCs/>
          <w:sz w:val="24"/>
          <w:szCs w:val="24"/>
          <w:shd w:val="clear" w:color="auto" w:fill="FFFFFF"/>
        </w:rPr>
        <w:t>aikā kopš pirmās ārkārtējās situācijas izsludināšanas salīdzinājumā ar 2020. gada februāra faktiskā mēneša bezdarba datiem, bezdarbnieku skaits pieaudzis par 8,9 tūkstošiem.</w:t>
      </w:r>
    </w:p>
    <w:p w14:paraId="2D56EB29" w14:textId="2D6AC05B" w:rsidR="00F11829" w:rsidRPr="00A74D39" w:rsidRDefault="00F11829" w:rsidP="00F11829">
      <w:pPr>
        <w:ind w:firstLine="714"/>
        <w:rPr>
          <w:rFonts w:ascii="Times New Roman" w:hAnsi="Times New Roman" w:cs="Times New Roman"/>
          <w:sz w:val="24"/>
          <w:szCs w:val="24"/>
          <w:shd w:val="clear" w:color="auto" w:fill="FFFFFF"/>
        </w:rPr>
      </w:pPr>
    </w:p>
    <w:p w14:paraId="3B0E441F" w14:textId="77777777" w:rsidR="004110B7" w:rsidRPr="001D5481" w:rsidRDefault="004110B7" w:rsidP="001D5481">
      <w:pPr>
        <w:ind w:firstLine="0"/>
        <w:rPr>
          <w:rFonts w:ascii="Times New Roman" w:hAnsi="Times New Roman" w:cs="Times New Roman"/>
          <w:b/>
          <w:sz w:val="24"/>
          <w:szCs w:val="24"/>
        </w:rPr>
      </w:pPr>
    </w:p>
    <w:p w14:paraId="2D581C19" w14:textId="77777777" w:rsidR="00587D81" w:rsidRDefault="000B2A43" w:rsidP="0030738E">
      <w:pPr>
        <w:pStyle w:val="Heading1"/>
      </w:pPr>
      <w:bookmarkStart w:id="15" w:name="_Toc63687773"/>
      <w:r>
        <w:t xml:space="preserve">Valsts </w:t>
      </w:r>
      <w:r w:rsidR="00587D81">
        <w:t>pētījumu programma</w:t>
      </w:r>
      <w:r w:rsidRPr="000B2A43">
        <w:t xml:space="preserve"> </w:t>
      </w:r>
      <w:r>
        <w:t>ēnu ekonomikas mazināšanai</w:t>
      </w:r>
      <w:bookmarkEnd w:id="15"/>
    </w:p>
    <w:p w14:paraId="283AC5D2" w14:textId="77777777" w:rsidR="008E62A7" w:rsidRDefault="008E62A7" w:rsidP="00587D81">
      <w:pPr>
        <w:rPr>
          <w:rFonts w:ascii="Times New Roman" w:hAnsi="Times New Roman" w:cs="Times New Roman"/>
          <w:sz w:val="24"/>
          <w:szCs w:val="24"/>
        </w:rPr>
      </w:pPr>
    </w:p>
    <w:p w14:paraId="71C3E1DA" w14:textId="7F59C533" w:rsidR="00587D81" w:rsidRPr="00567BC8" w:rsidRDefault="00587D81" w:rsidP="00587D81">
      <w:pPr>
        <w:rPr>
          <w:rFonts w:ascii="Times New Roman" w:hAnsi="Times New Roman" w:cs="Times New Roman"/>
          <w:sz w:val="24"/>
          <w:szCs w:val="24"/>
        </w:rPr>
      </w:pPr>
      <w:r w:rsidRPr="00575F2F">
        <w:rPr>
          <w:rFonts w:ascii="Times New Roman" w:hAnsi="Times New Roman" w:cs="Times New Roman"/>
          <w:sz w:val="24"/>
          <w:szCs w:val="24"/>
        </w:rPr>
        <w:t>2020.</w:t>
      </w:r>
      <w:r w:rsidR="005F5145">
        <w:rPr>
          <w:rFonts w:ascii="Times New Roman" w:hAnsi="Times New Roman" w:cs="Times New Roman"/>
          <w:sz w:val="24"/>
          <w:szCs w:val="24"/>
        </w:rPr>
        <w:t> </w:t>
      </w:r>
      <w:r w:rsidRPr="00575F2F">
        <w:rPr>
          <w:rFonts w:ascii="Times New Roman" w:hAnsi="Times New Roman" w:cs="Times New Roman"/>
          <w:sz w:val="24"/>
          <w:szCs w:val="24"/>
        </w:rPr>
        <w:t xml:space="preserve">gadā </w:t>
      </w:r>
      <w:r w:rsidR="00FD742F">
        <w:rPr>
          <w:rFonts w:ascii="Times New Roman" w:hAnsi="Times New Roman" w:cs="Times New Roman"/>
          <w:sz w:val="24"/>
          <w:szCs w:val="24"/>
        </w:rPr>
        <w:t>FM</w:t>
      </w:r>
      <w:r w:rsidRPr="00575F2F">
        <w:rPr>
          <w:rFonts w:ascii="Times New Roman" w:hAnsi="Times New Roman" w:cs="Times New Roman"/>
          <w:sz w:val="24"/>
          <w:szCs w:val="24"/>
        </w:rPr>
        <w:t xml:space="preserve"> valsts budžeta programmas 97.00.00 </w:t>
      </w:r>
      <w:r>
        <w:rPr>
          <w:rFonts w:ascii="Times New Roman" w:hAnsi="Times New Roman" w:cs="Times New Roman"/>
          <w:sz w:val="24"/>
          <w:szCs w:val="24"/>
        </w:rPr>
        <w:t>“</w:t>
      </w:r>
      <w:r w:rsidRPr="00575F2F">
        <w:rPr>
          <w:rFonts w:ascii="Times New Roman" w:hAnsi="Times New Roman" w:cs="Times New Roman"/>
          <w:sz w:val="24"/>
          <w:szCs w:val="24"/>
        </w:rPr>
        <w:t>Nozaru vadība un politikas plānošana</w:t>
      </w:r>
      <w:r>
        <w:rPr>
          <w:rFonts w:ascii="Times New Roman" w:hAnsi="Times New Roman" w:cs="Times New Roman"/>
          <w:sz w:val="24"/>
          <w:szCs w:val="24"/>
        </w:rPr>
        <w:t>”</w:t>
      </w:r>
      <w:r w:rsidR="0061093B">
        <w:rPr>
          <w:rFonts w:ascii="Times New Roman" w:hAnsi="Times New Roman" w:cs="Times New Roman"/>
          <w:sz w:val="24"/>
          <w:szCs w:val="24"/>
        </w:rPr>
        <w:t xml:space="preserve"> ietvaros </w:t>
      </w:r>
      <w:r w:rsidR="00216F71">
        <w:rPr>
          <w:rFonts w:ascii="Times New Roman" w:hAnsi="Times New Roman" w:cs="Times New Roman"/>
          <w:sz w:val="24"/>
          <w:szCs w:val="24"/>
        </w:rPr>
        <w:t>uzsāka</w:t>
      </w:r>
      <w:r w:rsidRPr="00575F2F">
        <w:rPr>
          <w:rFonts w:ascii="Times New Roman" w:hAnsi="Times New Roman" w:cs="Times New Roman"/>
          <w:sz w:val="24"/>
          <w:szCs w:val="24"/>
        </w:rPr>
        <w:t xml:space="preserve"> darbu pie </w:t>
      </w:r>
      <w:r w:rsidRPr="00182EC7">
        <w:rPr>
          <w:rFonts w:ascii="Times New Roman" w:hAnsi="Times New Roman" w:cs="Times New Roman"/>
          <w:bCs/>
          <w:sz w:val="24"/>
          <w:szCs w:val="24"/>
        </w:rPr>
        <w:t xml:space="preserve">valsts pētījumu programmas “Ēnu ekonomikas mazināšana ilgtspējīgas ekonomikas attīstības nodrošināšanai” īstenošanas. </w:t>
      </w:r>
      <w:r w:rsidRPr="00575F2F">
        <w:rPr>
          <w:rFonts w:ascii="Times New Roman" w:hAnsi="Times New Roman" w:cs="Times New Roman"/>
          <w:sz w:val="24"/>
          <w:szCs w:val="24"/>
        </w:rPr>
        <w:t>Valsts pētījumu programmas mērķis ir veicināt zinātnisku pētījumu izmantošanu valsts politikas plānošanā un lēmumu pieņemšanā noteiktās jomās.</w:t>
      </w:r>
      <w:r w:rsidRPr="00567BC8">
        <w:rPr>
          <w:rFonts w:ascii="Times New Roman" w:hAnsi="Times New Roman" w:cs="Times New Roman"/>
          <w:sz w:val="24"/>
          <w:szCs w:val="24"/>
        </w:rPr>
        <w:tab/>
      </w:r>
    </w:p>
    <w:p w14:paraId="02BC5CDD" w14:textId="2FB9754C" w:rsidR="00587D81" w:rsidRDefault="00587D81" w:rsidP="00587D81">
      <w:pPr>
        <w:rPr>
          <w:rFonts w:ascii="Times New Roman" w:eastAsia="Calibri" w:hAnsi="Times New Roman" w:cs="Times New Roman"/>
          <w:sz w:val="24"/>
          <w:szCs w:val="24"/>
        </w:rPr>
      </w:pPr>
      <w:r w:rsidRPr="00567BC8">
        <w:rPr>
          <w:rFonts w:ascii="Times New Roman" w:eastAsia="Calibri" w:hAnsi="Times New Roman" w:cs="Times New Roman"/>
          <w:sz w:val="24"/>
          <w:szCs w:val="24"/>
        </w:rPr>
        <w:t xml:space="preserve">Ņemot vērā, ka līgums ar zinātnisko pētniecības iestādi par programmas īstenošanu </w:t>
      </w:r>
      <w:r w:rsidRPr="00CA5379">
        <w:rPr>
          <w:rFonts w:ascii="Times New Roman" w:eastAsia="Calibri" w:hAnsi="Times New Roman" w:cs="Times New Roman"/>
          <w:sz w:val="24"/>
          <w:szCs w:val="24"/>
        </w:rPr>
        <w:t>noslēgts 2020.</w:t>
      </w:r>
      <w:r w:rsidR="005F5145" w:rsidRPr="00CA5379">
        <w:rPr>
          <w:rFonts w:ascii="Times New Roman" w:eastAsia="Calibri" w:hAnsi="Times New Roman" w:cs="Times New Roman"/>
          <w:sz w:val="24"/>
          <w:szCs w:val="24"/>
        </w:rPr>
        <w:t> </w:t>
      </w:r>
      <w:r w:rsidRPr="00CA5379">
        <w:rPr>
          <w:rFonts w:ascii="Times New Roman" w:eastAsia="Calibri" w:hAnsi="Times New Roman" w:cs="Times New Roman"/>
          <w:sz w:val="24"/>
          <w:szCs w:val="24"/>
        </w:rPr>
        <w:t xml:space="preserve">gada </w:t>
      </w:r>
      <w:r w:rsidR="00970B86" w:rsidRPr="00CA5379">
        <w:rPr>
          <w:rFonts w:ascii="Times New Roman" w:eastAsia="Calibri" w:hAnsi="Times New Roman" w:cs="Times New Roman"/>
          <w:sz w:val="24"/>
          <w:szCs w:val="24"/>
        </w:rPr>
        <w:t>augustā</w:t>
      </w:r>
      <w:r w:rsidRPr="00C120E2">
        <w:rPr>
          <w:rFonts w:ascii="Times New Roman" w:eastAsia="Calibri" w:hAnsi="Times New Roman" w:cs="Times New Roman"/>
          <w:sz w:val="24"/>
          <w:szCs w:val="24"/>
        </w:rPr>
        <w:t>, no pētniekiem ir sagaidāms darbs ēnu ekonomik</w:t>
      </w:r>
      <w:r w:rsidR="001026C8">
        <w:rPr>
          <w:rFonts w:ascii="Times New Roman" w:eastAsia="Calibri" w:hAnsi="Times New Roman" w:cs="Times New Roman"/>
          <w:sz w:val="24"/>
          <w:szCs w:val="24"/>
        </w:rPr>
        <w:t>u veicinošu</w:t>
      </w:r>
      <w:r w:rsidRPr="00C120E2">
        <w:rPr>
          <w:rFonts w:ascii="Times New Roman" w:eastAsia="Calibri" w:hAnsi="Times New Roman" w:cs="Times New Roman"/>
          <w:sz w:val="24"/>
          <w:szCs w:val="24"/>
        </w:rPr>
        <w:t xml:space="preserve"> faktoru novērtējumā un rīcībpolitikas ieteikumu sagatavošanā. Jāuzsver</w:t>
      </w:r>
      <w:r w:rsidRPr="00182EC7">
        <w:rPr>
          <w:rFonts w:ascii="Times New Roman" w:eastAsia="Calibri" w:hAnsi="Times New Roman" w:cs="Times New Roman"/>
          <w:sz w:val="24"/>
          <w:szCs w:val="24"/>
        </w:rPr>
        <w:t xml:space="preserve">, ka šī ir jauna </w:t>
      </w:r>
      <w:r w:rsidR="00FD742F">
        <w:rPr>
          <w:rFonts w:ascii="Times New Roman" w:eastAsia="Calibri" w:hAnsi="Times New Roman" w:cs="Times New Roman"/>
          <w:sz w:val="24"/>
          <w:szCs w:val="24"/>
        </w:rPr>
        <w:t>FM</w:t>
      </w:r>
      <w:r w:rsidRPr="00182EC7">
        <w:rPr>
          <w:rFonts w:ascii="Times New Roman" w:eastAsia="Calibri" w:hAnsi="Times New Roman" w:cs="Times New Roman"/>
          <w:sz w:val="24"/>
          <w:szCs w:val="24"/>
        </w:rPr>
        <w:t xml:space="preserve"> </w:t>
      </w:r>
      <w:r w:rsidRPr="00182EC7">
        <w:rPr>
          <w:rFonts w:ascii="Times New Roman" w:eastAsia="Calibri" w:hAnsi="Times New Roman" w:cs="Times New Roman"/>
          <w:sz w:val="24"/>
          <w:szCs w:val="24"/>
        </w:rPr>
        <w:lastRenderedPageBreak/>
        <w:t>rosināta pieeja, ēnu ekonomikas mazināšanas pasākumu izvērtēšanā</w:t>
      </w:r>
      <w:r w:rsidRPr="00C120E2">
        <w:rPr>
          <w:rFonts w:ascii="Times New Roman" w:eastAsia="Calibri" w:hAnsi="Times New Roman" w:cs="Times New Roman"/>
          <w:b/>
          <w:sz w:val="24"/>
          <w:szCs w:val="24"/>
        </w:rPr>
        <w:t xml:space="preserve"> </w:t>
      </w:r>
      <w:r w:rsidRPr="00C120E2">
        <w:rPr>
          <w:rFonts w:ascii="Times New Roman" w:eastAsia="Calibri" w:hAnsi="Times New Roman" w:cs="Times New Roman"/>
          <w:sz w:val="24"/>
          <w:szCs w:val="24"/>
        </w:rPr>
        <w:t>piesaistot zinātniekus un izmantojot zinātnisku pētījumu rezultātā veiktus secinājumus un priekšlikumus turpmākai rīcībai.</w:t>
      </w:r>
      <w:r w:rsidRPr="00C120E2">
        <w:rPr>
          <w:rFonts w:ascii="Times New Roman" w:eastAsia="Calibri" w:hAnsi="Times New Roman" w:cs="Times New Roman"/>
          <w:b/>
          <w:sz w:val="24"/>
          <w:szCs w:val="24"/>
        </w:rPr>
        <w:t xml:space="preserve"> </w:t>
      </w:r>
      <w:r w:rsidRPr="00C120E2">
        <w:rPr>
          <w:rFonts w:ascii="Times New Roman" w:eastAsia="Calibri" w:hAnsi="Times New Roman" w:cs="Times New Roman"/>
          <w:sz w:val="24"/>
          <w:szCs w:val="24"/>
        </w:rPr>
        <w:t>Valsts pētījumu programmas īstenošana vienlaikus būs i</w:t>
      </w:r>
      <w:r w:rsidRPr="00C120E2">
        <w:rPr>
          <w:rFonts w:ascii="Times New Roman" w:hAnsi="Times New Roman" w:cs="Times New Roman"/>
          <w:sz w:val="24"/>
          <w:szCs w:val="24"/>
        </w:rPr>
        <w:t xml:space="preserve">eguldījums gan valsts ilgtspējīgai attīstībai, gan Latvijas zinātnes attīstībai. </w:t>
      </w:r>
      <w:r w:rsidR="007B0810">
        <w:rPr>
          <w:rFonts w:ascii="Times New Roman" w:eastAsia="Calibri" w:hAnsi="Times New Roman" w:cs="Times New Roman"/>
          <w:sz w:val="24"/>
          <w:szCs w:val="24"/>
        </w:rPr>
        <w:t>P</w:t>
      </w:r>
      <w:r w:rsidRPr="00C120E2">
        <w:rPr>
          <w:rFonts w:ascii="Times New Roman" w:eastAsia="Calibri" w:hAnsi="Times New Roman" w:cs="Times New Roman"/>
          <w:sz w:val="24"/>
          <w:szCs w:val="24"/>
        </w:rPr>
        <w:t xml:space="preserve">ētniecības darbā būs nepieciešama arī citu nozaru ministrijās esošā informācija un ministriju ekspertu viedoklis, </w:t>
      </w:r>
      <w:r w:rsidR="00DB4200">
        <w:rPr>
          <w:rFonts w:ascii="Times New Roman" w:eastAsia="Calibri" w:hAnsi="Times New Roman" w:cs="Times New Roman"/>
          <w:sz w:val="24"/>
          <w:szCs w:val="24"/>
        </w:rPr>
        <w:t>līdz ar to būs nepieciešama visu nozaru ministriju darbība</w:t>
      </w:r>
      <w:r w:rsidR="00DB4200" w:rsidRPr="00C120E2">
        <w:rPr>
          <w:rFonts w:ascii="Times New Roman" w:eastAsia="Calibri" w:hAnsi="Times New Roman" w:cs="Times New Roman"/>
          <w:sz w:val="24"/>
          <w:szCs w:val="24"/>
        </w:rPr>
        <w:t xml:space="preserve"> </w:t>
      </w:r>
      <w:r w:rsidRPr="00C120E2">
        <w:rPr>
          <w:rFonts w:ascii="Times New Roman" w:eastAsia="Calibri" w:hAnsi="Times New Roman" w:cs="Times New Roman"/>
          <w:sz w:val="24"/>
          <w:szCs w:val="24"/>
        </w:rPr>
        <w:t>snie</w:t>
      </w:r>
      <w:r w:rsidR="00ED1153">
        <w:rPr>
          <w:rFonts w:ascii="Times New Roman" w:eastAsia="Calibri" w:hAnsi="Times New Roman" w:cs="Times New Roman"/>
          <w:sz w:val="24"/>
          <w:szCs w:val="24"/>
        </w:rPr>
        <w:t>dzot</w:t>
      </w:r>
      <w:r w:rsidRPr="00C120E2">
        <w:rPr>
          <w:rFonts w:ascii="Times New Roman" w:eastAsia="Calibri" w:hAnsi="Times New Roman" w:cs="Times New Roman"/>
          <w:sz w:val="24"/>
          <w:szCs w:val="24"/>
        </w:rPr>
        <w:t xml:space="preserve"> nepieciešamo atbalstu valsts pētījumu programmu īstenotājiem, Latvijas zinātniskajām institūcijām.</w:t>
      </w:r>
    </w:p>
    <w:p w14:paraId="78D5BE72" w14:textId="77777777" w:rsidR="00C33A6A" w:rsidRDefault="00C33A6A" w:rsidP="00587D81">
      <w:pPr>
        <w:rPr>
          <w:rFonts w:ascii="Times New Roman" w:eastAsia="Calibri" w:hAnsi="Times New Roman" w:cs="Times New Roman"/>
          <w:sz w:val="24"/>
          <w:szCs w:val="24"/>
        </w:rPr>
      </w:pPr>
    </w:p>
    <w:p w14:paraId="2096FFAC" w14:textId="77777777" w:rsidR="003D096D" w:rsidRPr="003D096D" w:rsidRDefault="003D096D" w:rsidP="0030738E">
      <w:pPr>
        <w:pStyle w:val="Heading1"/>
        <w:rPr>
          <w:rFonts w:eastAsia="Calibri"/>
        </w:rPr>
      </w:pPr>
      <w:bookmarkStart w:id="16" w:name="_Toc63687774"/>
      <w:r w:rsidRPr="003D096D">
        <w:rPr>
          <w:rFonts w:eastAsia="Calibri"/>
        </w:rPr>
        <w:t>Secinājumi</w:t>
      </w:r>
      <w:bookmarkEnd w:id="16"/>
    </w:p>
    <w:p w14:paraId="5BDB3742" w14:textId="77777777" w:rsidR="003D096D" w:rsidRPr="003D096D" w:rsidRDefault="003D096D" w:rsidP="003D096D">
      <w:pPr>
        <w:rPr>
          <w:rFonts w:ascii="Times New Roman" w:eastAsia="Calibri" w:hAnsi="Times New Roman" w:cs="Times New Roman"/>
          <w:sz w:val="24"/>
          <w:szCs w:val="24"/>
        </w:rPr>
      </w:pPr>
    </w:p>
    <w:p w14:paraId="03E3CDA6" w14:textId="7B268CC8" w:rsidR="003D096D" w:rsidRPr="003D096D" w:rsidRDefault="003D096D" w:rsidP="003D096D">
      <w:pPr>
        <w:rPr>
          <w:rFonts w:ascii="Times New Roman" w:eastAsia="Calibri" w:hAnsi="Times New Roman" w:cs="Times New Roman"/>
          <w:sz w:val="24"/>
          <w:szCs w:val="24"/>
        </w:rPr>
      </w:pPr>
      <w:r w:rsidRPr="003D096D">
        <w:rPr>
          <w:rFonts w:ascii="Times New Roman" w:eastAsia="Calibri" w:hAnsi="Times New Roman" w:cs="Times New Roman"/>
          <w:sz w:val="24"/>
          <w:szCs w:val="24"/>
        </w:rPr>
        <w:t xml:space="preserve">Vērtējot Plāna darbības efektivitāti, FM uzskata, ka </w:t>
      </w:r>
      <w:r w:rsidR="00205977">
        <w:rPr>
          <w:rFonts w:ascii="Times New Roman" w:eastAsia="Calibri" w:hAnsi="Times New Roman" w:cs="Times New Roman"/>
          <w:sz w:val="24"/>
          <w:szCs w:val="24"/>
        </w:rPr>
        <w:t>Plānā</w:t>
      </w:r>
      <w:r w:rsidRPr="003D096D">
        <w:rPr>
          <w:rFonts w:ascii="Times New Roman" w:eastAsia="Calibri" w:hAnsi="Times New Roman" w:cs="Times New Roman"/>
          <w:sz w:val="24"/>
          <w:szCs w:val="24"/>
        </w:rPr>
        <w:t xml:space="preserve"> dažkārt tika ietverti pasākumi, kuru saistība ar mērķi – mazināt ēnu ekonomiku ir saistāma tikai pastarpināti. Pie tam, ierosināto pasākumu ietekme uz ēnu ekonomikas mazināšanu vai budžeta ieņēmumu palielināšanos sākotnēji nav izvērtēta.</w:t>
      </w:r>
    </w:p>
    <w:p w14:paraId="555517A5" w14:textId="77777777" w:rsidR="003D096D" w:rsidRPr="003D096D" w:rsidRDefault="00205977" w:rsidP="003D096D">
      <w:pPr>
        <w:rPr>
          <w:rFonts w:ascii="Times New Roman" w:eastAsia="Calibri" w:hAnsi="Times New Roman" w:cs="Times New Roman"/>
          <w:sz w:val="24"/>
          <w:szCs w:val="24"/>
        </w:rPr>
      </w:pPr>
      <w:r>
        <w:rPr>
          <w:rFonts w:ascii="Times New Roman" w:eastAsia="Calibri" w:hAnsi="Times New Roman" w:cs="Times New Roman"/>
          <w:sz w:val="24"/>
          <w:szCs w:val="24"/>
        </w:rPr>
        <w:t>P</w:t>
      </w:r>
      <w:r w:rsidR="003D096D" w:rsidRPr="003D096D">
        <w:rPr>
          <w:rFonts w:ascii="Times New Roman" w:eastAsia="Calibri" w:hAnsi="Times New Roman" w:cs="Times New Roman"/>
          <w:sz w:val="24"/>
          <w:szCs w:val="24"/>
        </w:rPr>
        <w:t>lānā rosinātie pasākumi pašlaik dažkārt dublē citos plānošanas dokumentos esošos valsts iestāžu rīcības virzienus, piemēram:</w:t>
      </w:r>
    </w:p>
    <w:p w14:paraId="3C78F394" w14:textId="77777777" w:rsidR="003D096D" w:rsidRPr="003D096D" w:rsidRDefault="003D096D" w:rsidP="003D096D">
      <w:pPr>
        <w:numPr>
          <w:ilvl w:val="0"/>
          <w:numId w:val="5"/>
        </w:numPr>
        <w:rPr>
          <w:rFonts w:ascii="Times New Roman" w:eastAsia="Calibri" w:hAnsi="Times New Roman" w:cs="Times New Roman"/>
          <w:bCs/>
          <w:sz w:val="24"/>
          <w:szCs w:val="24"/>
        </w:rPr>
      </w:pPr>
      <w:r w:rsidRPr="003D096D">
        <w:rPr>
          <w:rFonts w:ascii="Times New Roman" w:eastAsia="Calibri" w:hAnsi="Times New Roman" w:cs="Times New Roman"/>
          <w:bCs/>
          <w:sz w:val="24"/>
          <w:szCs w:val="24"/>
        </w:rPr>
        <w:t>Uzņēmējdarbības vides pilnveidošanas pasākumu plāns 2019.</w:t>
      </w:r>
      <w:r w:rsidRPr="003D096D">
        <w:rPr>
          <w:rFonts w:ascii="Times New Roman" w:eastAsia="Calibri" w:hAnsi="Times New Roman" w:cs="Times New Roman"/>
          <w:sz w:val="24"/>
          <w:szCs w:val="24"/>
        </w:rPr>
        <w:t xml:space="preserve"> – </w:t>
      </w:r>
      <w:r w:rsidRPr="003D096D">
        <w:rPr>
          <w:rFonts w:ascii="Times New Roman" w:eastAsia="Calibri" w:hAnsi="Times New Roman" w:cs="Times New Roman"/>
          <w:bCs/>
          <w:sz w:val="24"/>
          <w:szCs w:val="24"/>
        </w:rPr>
        <w:t>2022.</w:t>
      </w:r>
      <w:r w:rsidR="00E04196">
        <w:rPr>
          <w:rFonts w:ascii="Times New Roman" w:eastAsia="Calibri" w:hAnsi="Times New Roman" w:cs="Times New Roman"/>
          <w:bCs/>
          <w:sz w:val="24"/>
          <w:szCs w:val="24"/>
        </w:rPr>
        <w:t> </w:t>
      </w:r>
      <w:r w:rsidRPr="003D096D">
        <w:rPr>
          <w:rFonts w:ascii="Times New Roman" w:eastAsia="Calibri" w:hAnsi="Times New Roman" w:cs="Times New Roman"/>
          <w:bCs/>
          <w:sz w:val="24"/>
          <w:szCs w:val="24"/>
        </w:rPr>
        <w:t>gadam</w:t>
      </w:r>
    </w:p>
    <w:p w14:paraId="0725380E" w14:textId="77777777" w:rsidR="003D096D" w:rsidRPr="003D096D" w:rsidRDefault="003D096D" w:rsidP="003D096D">
      <w:pPr>
        <w:numPr>
          <w:ilvl w:val="0"/>
          <w:numId w:val="5"/>
        </w:numPr>
        <w:rPr>
          <w:rFonts w:ascii="Times New Roman" w:eastAsia="Calibri" w:hAnsi="Times New Roman" w:cs="Times New Roman"/>
          <w:sz w:val="24"/>
          <w:szCs w:val="24"/>
        </w:rPr>
      </w:pPr>
      <w:r w:rsidRPr="003D096D">
        <w:rPr>
          <w:rFonts w:ascii="Times New Roman" w:eastAsia="Calibri" w:hAnsi="Times New Roman" w:cs="Times New Roman"/>
          <w:sz w:val="24"/>
          <w:szCs w:val="24"/>
        </w:rPr>
        <w:t>Korupcijas novēršanas un apkarošanas pamatnostādnes 2015. – 2020.</w:t>
      </w:r>
      <w:r w:rsidR="00E04196">
        <w:rPr>
          <w:rFonts w:ascii="Times New Roman" w:eastAsia="Calibri" w:hAnsi="Times New Roman" w:cs="Times New Roman"/>
          <w:sz w:val="24"/>
          <w:szCs w:val="24"/>
        </w:rPr>
        <w:t> </w:t>
      </w:r>
      <w:r w:rsidRPr="003D096D">
        <w:rPr>
          <w:rFonts w:ascii="Times New Roman" w:eastAsia="Calibri" w:hAnsi="Times New Roman" w:cs="Times New Roman"/>
          <w:sz w:val="24"/>
          <w:szCs w:val="24"/>
        </w:rPr>
        <w:t>gadam;</w:t>
      </w:r>
    </w:p>
    <w:p w14:paraId="39E428E9" w14:textId="77777777" w:rsidR="003D096D" w:rsidRPr="003D096D" w:rsidRDefault="003D096D" w:rsidP="003D096D">
      <w:pPr>
        <w:numPr>
          <w:ilvl w:val="0"/>
          <w:numId w:val="5"/>
        </w:numPr>
        <w:rPr>
          <w:rFonts w:ascii="Times New Roman" w:eastAsia="Calibri" w:hAnsi="Times New Roman" w:cs="Times New Roman"/>
          <w:sz w:val="24"/>
          <w:szCs w:val="24"/>
        </w:rPr>
      </w:pPr>
      <w:r w:rsidRPr="003D096D">
        <w:rPr>
          <w:rFonts w:ascii="Times New Roman" w:eastAsia="Calibri" w:hAnsi="Times New Roman" w:cs="Times New Roman"/>
          <w:sz w:val="24"/>
          <w:szCs w:val="24"/>
        </w:rPr>
        <w:t>Rīcības plāns publisko iepirkumu sistēmas uzlabošanai</w:t>
      </w:r>
      <w:r w:rsidR="006C688C">
        <w:rPr>
          <w:rFonts w:ascii="Times New Roman" w:eastAsia="Calibri" w:hAnsi="Times New Roman" w:cs="Times New Roman"/>
          <w:sz w:val="24"/>
          <w:szCs w:val="24"/>
        </w:rPr>
        <w:t>;</w:t>
      </w:r>
    </w:p>
    <w:p w14:paraId="0102327D" w14:textId="77777777" w:rsidR="003D096D" w:rsidRPr="003D096D" w:rsidRDefault="003D096D" w:rsidP="003D096D">
      <w:pPr>
        <w:numPr>
          <w:ilvl w:val="0"/>
          <w:numId w:val="5"/>
        </w:numPr>
        <w:rPr>
          <w:rFonts w:ascii="Times New Roman" w:eastAsia="Calibri" w:hAnsi="Times New Roman" w:cs="Times New Roman"/>
          <w:sz w:val="24"/>
          <w:szCs w:val="24"/>
        </w:rPr>
      </w:pPr>
      <w:r w:rsidRPr="003D096D">
        <w:rPr>
          <w:rFonts w:ascii="Times New Roman" w:eastAsia="Calibri" w:hAnsi="Times New Roman" w:cs="Times New Roman"/>
          <w:sz w:val="24"/>
          <w:szCs w:val="24"/>
        </w:rPr>
        <w:t>Organizētās noziedzības novēršanas un apkarošanas plāns 2018. – 2020. gadam</w:t>
      </w:r>
    </w:p>
    <w:p w14:paraId="4C578F98" w14:textId="77777777" w:rsidR="003D096D" w:rsidRPr="00924E67" w:rsidRDefault="003D096D" w:rsidP="00924E67">
      <w:pPr>
        <w:rPr>
          <w:rFonts w:ascii="Times New Roman" w:eastAsia="Calibri" w:hAnsi="Times New Roman" w:cs="Times New Roman"/>
          <w:sz w:val="24"/>
          <w:szCs w:val="24"/>
        </w:rPr>
      </w:pPr>
      <w:r w:rsidRPr="003D096D">
        <w:rPr>
          <w:rFonts w:ascii="Times New Roman" w:eastAsia="Calibri" w:hAnsi="Times New Roman" w:cs="Times New Roman"/>
          <w:sz w:val="24"/>
          <w:szCs w:val="24"/>
        </w:rPr>
        <w:t xml:space="preserve">u.c. </w:t>
      </w:r>
    </w:p>
    <w:p w14:paraId="562C9E2C" w14:textId="1E05C3C4" w:rsidR="001911C7" w:rsidRDefault="00205977" w:rsidP="001D5481">
      <w:pPr>
        <w:rPr>
          <w:rFonts w:ascii="Times New Roman" w:eastAsia="Calibri" w:hAnsi="Times New Roman" w:cs="Times New Roman"/>
          <w:sz w:val="24"/>
          <w:szCs w:val="24"/>
        </w:rPr>
      </w:pPr>
      <w:r>
        <w:rPr>
          <w:rFonts w:ascii="Times New Roman" w:eastAsia="Calibri" w:hAnsi="Times New Roman" w:cs="Times New Roman"/>
          <w:sz w:val="24"/>
          <w:szCs w:val="24"/>
        </w:rPr>
        <w:t>P</w:t>
      </w:r>
      <w:r w:rsidR="003D096D" w:rsidRPr="003D096D">
        <w:rPr>
          <w:rFonts w:ascii="Times New Roman" w:eastAsia="Calibri" w:hAnsi="Times New Roman" w:cs="Times New Roman"/>
          <w:sz w:val="24"/>
          <w:szCs w:val="24"/>
        </w:rPr>
        <w:t xml:space="preserve">lāna sastādīšana un iestāžu darbs </w:t>
      </w:r>
      <w:r>
        <w:rPr>
          <w:rFonts w:ascii="Times New Roman" w:eastAsia="Calibri" w:hAnsi="Times New Roman" w:cs="Times New Roman"/>
          <w:sz w:val="24"/>
          <w:szCs w:val="24"/>
        </w:rPr>
        <w:t>P</w:t>
      </w:r>
      <w:r w:rsidR="003D096D" w:rsidRPr="003D096D">
        <w:rPr>
          <w:rFonts w:ascii="Times New Roman" w:eastAsia="Calibri" w:hAnsi="Times New Roman" w:cs="Times New Roman"/>
          <w:sz w:val="24"/>
          <w:szCs w:val="24"/>
        </w:rPr>
        <w:t>lānā ietverto uzdevumu izpildei ir devis pozitīvu rezultātu ēnu ekonomikas mazināšanai, tomēr mūsdienu ekonomikas attīstība, jaunu komercdarbību formu rašanās, digitālās vides izmantošana komercdarbībā, pieaugošie kibernoziedzības riski, kā arī citi faktori nosaka nepieciešamību meklēt jaunus veidus mērķtiecīgu pasākumu īstenošanai, kuru rezultātā tikt</w:t>
      </w:r>
      <w:r w:rsidR="006C688C">
        <w:rPr>
          <w:rFonts w:ascii="Times New Roman" w:eastAsia="Calibri" w:hAnsi="Times New Roman" w:cs="Times New Roman"/>
          <w:sz w:val="24"/>
          <w:szCs w:val="24"/>
        </w:rPr>
        <w:t>u</w:t>
      </w:r>
      <w:r w:rsidR="003D096D" w:rsidRPr="003D096D">
        <w:rPr>
          <w:rFonts w:ascii="Times New Roman" w:eastAsia="Calibri" w:hAnsi="Times New Roman" w:cs="Times New Roman"/>
          <w:sz w:val="24"/>
          <w:szCs w:val="24"/>
        </w:rPr>
        <w:t xml:space="preserve"> panākts noteikts un izmērāms efekts ēnu ekonomikas samazinājumā kopumā vai noteiktā tautsaimniecības nozarē. </w:t>
      </w:r>
    </w:p>
    <w:p w14:paraId="08BCEF21" w14:textId="77777777" w:rsidR="006C688C" w:rsidRPr="00924E67" w:rsidRDefault="006C688C" w:rsidP="0030738E">
      <w:pPr>
        <w:pStyle w:val="Heading1"/>
        <w:rPr>
          <w:sz w:val="12"/>
          <w:szCs w:val="12"/>
        </w:rPr>
      </w:pPr>
    </w:p>
    <w:p w14:paraId="532E831A" w14:textId="77777777" w:rsidR="00CA012A" w:rsidRPr="00CA012A" w:rsidRDefault="008D743B" w:rsidP="00BE53FF">
      <w:pPr>
        <w:pStyle w:val="Heading1"/>
        <w:ind w:left="720" w:firstLine="0"/>
        <w:rPr>
          <w:rFonts w:eastAsia="Times New Roman"/>
          <w:lang w:eastAsia="lv-LV"/>
        </w:rPr>
      </w:pPr>
      <w:bookmarkStart w:id="17" w:name="_Toc63687775"/>
      <w:r>
        <w:t>P</w:t>
      </w:r>
      <w:r w:rsidR="00CA012A" w:rsidRPr="00CA012A">
        <w:rPr>
          <w:rFonts w:eastAsia="Times New Roman"/>
          <w:lang w:eastAsia="lv-LV"/>
        </w:rPr>
        <w:t xml:space="preserve">riekšlikumi </w:t>
      </w:r>
      <w:r>
        <w:rPr>
          <w:rFonts w:eastAsia="Times New Roman"/>
          <w:lang w:eastAsia="lv-LV"/>
        </w:rPr>
        <w:t>P</w:t>
      </w:r>
      <w:r w:rsidRPr="00CA012A">
        <w:rPr>
          <w:rFonts w:eastAsia="Times New Roman"/>
          <w:lang w:eastAsia="lv-LV"/>
        </w:rPr>
        <w:t>lāna</w:t>
      </w:r>
      <w:r>
        <w:rPr>
          <w:rFonts w:eastAsia="Times New Roman"/>
          <w:lang w:eastAsia="lv-LV"/>
        </w:rPr>
        <w:t xml:space="preserve"> izstrādei </w:t>
      </w:r>
      <w:r w:rsidR="00CA012A" w:rsidRPr="00CA012A">
        <w:rPr>
          <w:rFonts w:eastAsia="Times New Roman"/>
          <w:lang w:eastAsia="lv-LV"/>
        </w:rPr>
        <w:t>nākamajam periodam</w:t>
      </w:r>
      <w:r w:rsidR="00205977">
        <w:rPr>
          <w:rFonts w:eastAsia="Times New Roman"/>
          <w:lang w:eastAsia="lv-LV"/>
        </w:rPr>
        <w:t xml:space="preserve"> </w:t>
      </w:r>
      <w:r w:rsidR="0061093B">
        <w:rPr>
          <w:rFonts w:eastAsia="Times New Roman"/>
          <w:lang w:eastAsia="lv-LV"/>
        </w:rPr>
        <w:t>–</w:t>
      </w:r>
      <w:r w:rsidR="00205977">
        <w:rPr>
          <w:rFonts w:eastAsia="Times New Roman"/>
          <w:lang w:eastAsia="lv-LV"/>
        </w:rPr>
        <w:t xml:space="preserve"> 2</w:t>
      </w:r>
      <w:r w:rsidR="00CA012A" w:rsidRPr="00CA012A">
        <w:rPr>
          <w:rFonts w:eastAsia="Times New Roman"/>
          <w:lang w:eastAsia="lv-LV"/>
        </w:rPr>
        <w:t>021</w:t>
      </w:r>
      <w:r w:rsidR="0061093B">
        <w:rPr>
          <w:rFonts w:eastAsia="Times New Roman"/>
          <w:lang w:eastAsia="lv-LV"/>
        </w:rPr>
        <w:t>.</w:t>
      </w:r>
      <w:r w:rsidR="00CA012A" w:rsidRPr="00CA012A">
        <w:t> – 2</w:t>
      </w:r>
      <w:r w:rsidR="00CA012A" w:rsidRPr="00CA012A">
        <w:rPr>
          <w:rFonts w:eastAsia="Times New Roman"/>
          <w:lang w:eastAsia="lv-LV"/>
        </w:rPr>
        <w:t>025.</w:t>
      </w:r>
      <w:r w:rsidR="00BE53FF">
        <w:rPr>
          <w:rFonts w:eastAsia="Times New Roman"/>
          <w:lang w:eastAsia="lv-LV"/>
        </w:rPr>
        <w:t> gadam</w:t>
      </w:r>
      <w:bookmarkEnd w:id="17"/>
      <w:r w:rsidR="00205977">
        <w:rPr>
          <w:rFonts w:eastAsia="Times New Roman"/>
          <w:lang w:eastAsia="lv-LV"/>
        </w:rPr>
        <w:t xml:space="preserve"> </w:t>
      </w:r>
    </w:p>
    <w:p w14:paraId="3A686C8A" w14:textId="77777777" w:rsidR="008E62A7" w:rsidRDefault="008E62A7" w:rsidP="00CA012A">
      <w:pPr>
        <w:rPr>
          <w:rFonts w:ascii="Times New Roman" w:hAnsi="Times New Roman" w:cs="Times New Roman"/>
          <w:sz w:val="24"/>
          <w:szCs w:val="24"/>
        </w:rPr>
      </w:pPr>
    </w:p>
    <w:p w14:paraId="5318B9C8" w14:textId="12688B7E" w:rsidR="00CA012A" w:rsidRPr="00CA012A" w:rsidRDefault="005D2C67" w:rsidP="00CA012A">
      <w:pPr>
        <w:rPr>
          <w:rFonts w:ascii="Times New Roman" w:hAnsi="Times New Roman" w:cs="Times New Roman"/>
          <w:sz w:val="24"/>
          <w:szCs w:val="24"/>
        </w:rPr>
      </w:pPr>
      <w:r>
        <w:rPr>
          <w:rFonts w:ascii="Times New Roman" w:hAnsi="Times New Roman" w:cs="Times New Roman"/>
          <w:sz w:val="24"/>
          <w:szCs w:val="24"/>
        </w:rPr>
        <w:t>Plāns</w:t>
      </w:r>
      <w:r w:rsidR="00737CB8" w:rsidRPr="00737CB8">
        <w:rPr>
          <w:rFonts w:ascii="Times New Roman" w:hAnsi="Times New Roman" w:cs="Times New Roman"/>
          <w:sz w:val="24"/>
          <w:szCs w:val="24"/>
        </w:rPr>
        <w:t xml:space="preserve"> </w:t>
      </w:r>
      <w:r w:rsidR="00C96CA8">
        <w:rPr>
          <w:rFonts w:ascii="Times New Roman" w:hAnsi="Times New Roman" w:cs="Times New Roman"/>
          <w:sz w:val="24"/>
          <w:szCs w:val="24"/>
        </w:rPr>
        <w:t xml:space="preserve">bija </w:t>
      </w:r>
      <w:r w:rsidR="00EA6BCF">
        <w:rPr>
          <w:rFonts w:ascii="Times New Roman" w:hAnsi="Times New Roman" w:cs="Times New Roman"/>
          <w:sz w:val="24"/>
          <w:szCs w:val="24"/>
        </w:rPr>
        <w:t>spēkā</w:t>
      </w:r>
      <w:r w:rsidR="00737CB8">
        <w:rPr>
          <w:rFonts w:ascii="Times New Roman" w:hAnsi="Times New Roman" w:cs="Times New Roman"/>
          <w:sz w:val="24"/>
          <w:szCs w:val="24"/>
        </w:rPr>
        <w:t xml:space="preserve"> līdz 2020.</w:t>
      </w:r>
      <w:r w:rsidR="00BE53FF">
        <w:rPr>
          <w:rFonts w:ascii="Times New Roman" w:hAnsi="Times New Roman" w:cs="Times New Roman"/>
          <w:sz w:val="24"/>
          <w:szCs w:val="24"/>
        </w:rPr>
        <w:t> gada</w:t>
      </w:r>
      <w:r w:rsidR="00457522">
        <w:rPr>
          <w:rFonts w:ascii="Times New Roman" w:hAnsi="Times New Roman" w:cs="Times New Roman"/>
          <w:sz w:val="24"/>
          <w:szCs w:val="24"/>
        </w:rPr>
        <w:t> </w:t>
      </w:r>
      <w:r w:rsidR="00737CB8">
        <w:rPr>
          <w:rFonts w:ascii="Times New Roman" w:hAnsi="Times New Roman" w:cs="Times New Roman"/>
          <w:sz w:val="24"/>
          <w:szCs w:val="24"/>
        </w:rPr>
        <w:t xml:space="preserve"> beigām</w:t>
      </w:r>
      <w:r w:rsidR="00737CB8" w:rsidRPr="00737CB8">
        <w:rPr>
          <w:rFonts w:ascii="Times New Roman" w:hAnsi="Times New Roman" w:cs="Times New Roman"/>
          <w:sz w:val="24"/>
          <w:szCs w:val="24"/>
        </w:rPr>
        <w:t xml:space="preserve">. </w:t>
      </w:r>
      <w:r w:rsidR="00CA012A" w:rsidRPr="00CA012A">
        <w:rPr>
          <w:rFonts w:ascii="Times New Roman" w:hAnsi="Times New Roman" w:cs="Times New Roman"/>
          <w:sz w:val="24"/>
          <w:szCs w:val="24"/>
        </w:rPr>
        <w:t xml:space="preserve">Tāpēc </w:t>
      </w:r>
      <w:r w:rsidR="001911C7">
        <w:rPr>
          <w:rFonts w:ascii="Times New Roman" w:hAnsi="Times New Roman" w:cs="Times New Roman"/>
          <w:sz w:val="24"/>
          <w:szCs w:val="24"/>
        </w:rPr>
        <w:t>FM</w:t>
      </w:r>
      <w:r w:rsidR="00CA012A" w:rsidRPr="00CA012A">
        <w:rPr>
          <w:rFonts w:ascii="Times New Roman" w:hAnsi="Times New Roman" w:cs="Times New Roman"/>
          <w:sz w:val="24"/>
          <w:szCs w:val="24"/>
        </w:rPr>
        <w:t xml:space="preserve"> </w:t>
      </w:r>
      <w:r w:rsidR="0013108F">
        <w:rPr>
          <w:rFonts w:ascii="Times New Roman" w:hAnsi="Times New Roman" w:cs="Times New Roman"/>
          <w:sz w:val="24"/>
          <w:szCs w:val="24"/>
        </w:rPr>
        <w:t xml:space="preserve">redzējumā </w:t>
      </w:r>
      <w:r w:rsidR="00EA6BCF">
        <w:rPr>
          <w:rFonts w:ascii="Times New Roman" w:hAnsi="Times New Roman" w:cs="Times New Roman"/>
          <w:sz w:val="24"/>
          <w:szCs w:val="24"/>
        </w:rPr>
        <w:t>nākošajam periodam ē</w:t>
      </w:r>
      <w:r w:rsidR="00CA012A" w:rsidRPr="00CA012A">
        <w:rPr>
          <w:rFonts w:ascii="Times New Roman" w:hAnsi="Times New Roman" w:cs="Times New Roman"/>
          <w:sz w:val="24"/>
          <w:szCs w:val="24"/>
        </w:rPr>
        <w:t>nu ekonomikas ierobežošanas pasākumu plān</w:t>
      </w:r>
      <w:r w:rsidR="0013108F">
        <w:rPr>
          <w:rFonts w:ascii="Times New Roman" w:hAnsi="Times New Roman" w:cs="Times New Roman"/>
          <w:sz w:val="24"/>
          <w:szCs w:val="24"/>
        </w:rPr>
        <w:t>s</w:t>
      </w:r>
      <w:r w:rsidR="00CA012A" w:rsidRPr="00CA012A">
        <w:rPr>
          <w:rFonts w:ascii="Times New Roman" w:hAnsi="Times New Roman" w:cs="Times New Roman"/>
          <w:sz w:val="24"/>
          <w:szCs w:val="24"/>
        </w:rPr>
        <w:t xml:space="preserve"> </w:t>
      </w:r>
      <w:r w:rsidR="0013108F">
        <w:rPr>
          <w:rFonts w:ascii="Times New Roman" w:hAnsi="Times New Roman" w:cs="Times New Roman"/>
          <w:sz w:val="24"/>
          <w:szCs w:val="24"/>
        </w:rPr>
        <w:t>ir jā</w:t>
      </w:r>
      <w:r w:rsidR="00CA012A" w:rsidRPr="00CA012A">
        <w:rPr>
          <w:rFonts w:ascii="Times New Roman" w:hAnsi="Times New Roman" w:cs="Times New Roman"/>
          <w:sz w:val="24"/>
          <w:szCs w:val="24"/>
        </w:rPr>
        <w:t>veido</w:t>
      </w:r>
      <w:r w:rsidR="0013108F">
        <w:rPr>
          <w:rFonts w:ascii="Times New Roman" w:hAnsi="Times New Roman" w:cs="Times New Roman"/>
          <w:sz w:val="24"/>
          <w:szCs w:val="24"/>
        </w:rPr>
        <w:t>,</w:t>
      </w:r>
      <w:r w:rsidR="00EA6BCF">
        <w:rPr>
          <w:rFonts w:ascii="Times New Roman" w:hAnsi="Times New Roman" w:cs="Times New Roman"/>
          <w:sz w:val="24"/>
          <w:szCs w:val="24"/>
        </w:rPr>
        <w:t xml:space="preserve"> ievērojot šādus nosacījumus:</w:t>
      </w:r>
    </w:p>
    <w:p w14:paraId="769C0AB7" w14:textId="77777777" w:rsidR="00CA012A" w:rsidRPr="00CA012A" w:rsidRDefault="00CA012A" w:rsidP="00CA012A">
      <w:pPr>
        <w:rPr>
          <w:rFonts w:ascii="Times New Roman" w:hAnsi="Times New Roman" w:cs="Times New Roman"/>
          <w:sz w:val="24"/>
          <w:szCs w:val="24"/>
        </w:rPr>
      </w:pPr>
      <w:r w:rsidRPr="00CA012A">
        <w:rPr>
          <w:rFonts w:ascii="Times New Roman" w:hAnsi="Times New Roman" w:cs="Times New Roman"/>
          <w:sz w:val="24"/>
          <w:szCs w:val="24"/>
        </w:rPr>
        <w:t>-</w:t>
      </w:r>
      <w:r w:rsidR="00665C9B">
        <w:rPr>
          <w:rFonts w:ascii="Times New Roman" w:hAnsi="Times New Roman" w:cs="Times New Roman"/>
          <w:sz w:val="24"/>
          <w:szCs w:val="24"/>
        </w:rPr>
        <w:t xml:space="preserve"> </w:t>
      </w:r>
      <w:r w:rsidRPr="00CA012A">
        <w:rPr>
          <w:rFonts w:ascii="Times New Roman" w:hAnsi="Times New Roman" w:cs="Times New Roman"/>
          <w:sz w:val="24"/>
          <w:szCs w:val="24"/>
        </w:rPr>
        <w:t>ēnu ekonomiku veicinošu faktoru (cēloņu) identi</w:t>
      </w:r>
      <w:r w:rsidR="006C688C">
        <w:rPr>
          <w:rFonts w:ascii="Times New Roman" w:hAnsi="Times New Roman" w:cs="Times New Roman"/>
          <w:sz w:val="24"/>
          <w:szCs w:val="24"/>
        </w:rPr>
        <w:t>ficēšana un novērtēšana</w:t>
      </w:r>
      <w:r w:rsidRPr="00CA012A">
        <w:rPr>
          <w:rFonts w:ascii="Times New Roman" w:hAnsi="Times New Roman" w:cs="Times New Roman"/>
          <w:sz w:val="24"/>
          <w:szCs w:val="24"/>
        </w:rPr>
        <w:t xml:space="preserve">, </w:t>
      </w:r>
    </w:p>
    <w:p w14:paraId="5B53FF3F" w14:textId="77777777" w:rsidR="00CA012A" w:rsidRPr="00CA012A" w:rsidRDefault="00CA012A" w:rsidP="00CA012A">
      <w:pPr>
        <w:rPr>
          <w:rFonts w:ascii="Times New Roman" w:hAnsi="Times New Roman" w:cs="Times New Roman"/>
          <w:sz w:val="24"/>
          <w:szCs w:val="24"/>
        </w:rPr>
      </w:pPr>
      <w:r w:rsidRPr="00CA012A">
        <w:rPr>
          <w:rFonts w:ascii="Times New Roman" w:hAnsi="Times New Roman" w:cs="Times New Roman"/>
          <w:sz w:val="24"/>
          <w:szCs w:val="24"/>
        </w:rPr>
        <w:t>-</w:t>
      </w:r>
      <w:r w:rsidR="006C688C">
        <w:rPr>
          <w:rFonts w:ascii="Times New Roman" w:hAnsi="Times New Roman" w:cs="Times New Roman"/>
          <w:sz w:val="24"/>
          <w:szCs w:val="24"/>
        </w:rPr>
        <w:t xml:space="preserve"> </w:t>
      </w:r>
      <w:r w:rsidR="006C688C" w:rsidRPr="00CA012A">
        <w:rPr>
          <w:rFonts w:ascii="Times New Roman" w:hAnsi="Times New Roman" w:cs="Times New Roman"/>
          <w:sz w:val="24"/>
          <w:szCs w:val="24"/>
        </w:rPr>
        <w:t xml:space="preserve">iesaistīto iestāžu </w:t>
      </w:r>
      <w:r w:rsidR="006C688C">
        <w:rPr>
          <w:rFonts w:ascii="Times New Roman" w:hAnsi="Times New Roman" w:cs="Times New Roman"/>
          <w:sz w:val="24"/>
          <w:szCs w:val="24"/>
        </w:rPr>
        <w:t>mērķtiecīgi</w:t>
      </w:r>
      <w:r w:rsidRPr="00CA012A">
        <w:rPr>
          <w:rFonts w:ascii="Times New Roman" w:hAnsi="Times New Roman" w:cs="Times New Roman"/>
          <w:sz w:val="24"/>
          <w:szCs w:val="24"/>
        </w:rPr>
        <w:t xml:space="preserve"> </w:t>
      </w:r>
      <w:r w:rsidR="006C688C">
        <w:rPr>
          <w:rFonts w:ascii="Times New Roman" w:hAnsi="Times New Roman" w:cs="Times New Roman"/>
          <w:sz w:val="24"/>
          <w:szCs w:val="24"/>
        </w:rPr>
        <w:t>īstenoti</w:t>
      </w:r>
      <w:r w:rsidR="006C688C" w:rsidRPr="00CA012A">
        <w:rPr>
          <w:rFonts w:ascii="Times New Roman" w:hAnsi="Times New Roman" w:cs="Times New Roman"/>
          <w:sz w:val="24"/>
          <w:szCs w:val="24"/>
        </w:rPr>
        <w:t xml:space="preserve"> </w:t>
      </w:r>
      <w:r w:rsidR="006C688C">
        <w:rPr>
          <w:rFonts w:ascii="Times New Roman" w:hAnsi="Times New Roman" w:cs="Times New Roman"/>
          <w:sz w:val="24"/>
          <w:szCs w:val="24"/>
        </w:rPr>
        <w:t>pasākumi</w:t>
      </w:r>
      <w:r w:rsidRPr="00CA012A">
        <w:rPr>
          <w:rFonts w:ascii="Times New Roman" w:hAnsi="Times New Roman" w:cs="Times New Roman"/>
          <w:sz w:val="24"/>
          <w:szCs w:val="24"/>
        </w:rPr>
        <w:t xml:space="preserve"> noteiktu faktoru ietekmes mazināšanai.</w:t>
      </w:r>
    </w:p>
    <w:p w14:paraId="4073FBF6" w14:textId="77777777" w:rsidR="00CA012A" w:rsidRPr="00CA012A" w:rsidRDefault="00CA012A" w:rsidP="00CA012A">
      <w:pPr>
        <w:rPr>
          <w:rFonts w:ascii="Times New Roman" w:hAnsi="Times New Roman" w:cs="Times New Roman"/>
          <w:sz w:val="24"/>
          <w:szCs w:val="24"/>
        </w:rPr>
      </w:pPr>
      <w:r w:rsidRPr="00CA012A">
        <w:rPr>
          <w:rFonts w:ascii="Times New Roman" w:hAnsi="Times New Roman" w:cs="Times New Roman"/>
          <w:sz w:val="24"/>
          <w:szCs w:val="24"/>
        </w:rPr>
        <w:t xml:space="preserve">Minētā uzdevuma īstenošanas </w:t>
      </w:r>
      <w:r w:rsidR="0061093B">
        <w:rPr>
          <w:rFonts w:ascii="Times New Roman" w:hAnsi="Times New Roman" w:cs="Times New Roman"/>
          <w:sz w:val="24"/>
          <w:szCs w:val="24"/>
        </w:rPr>
        <w:t xml:space="preserve">veicamie </w:t>
      </w:r>
      <w:r w:rsidRPr="00CA012A">
        <w:rPr>
          <w:rFonts w:ascii="Times New Roman" w:hAnsi="Times New Roman" w:cs="Times New Roman"/>
          <w:sz w:val="24"/>
          <w:szCs w:val="24"/>
        </w:rPr>
        <w:t>soļi:</w:t>
      </w:r>
    </w:p>
    <w:p w14:paraId="3C95F1AC" w14:textId="77777777" w:rsidR="00CA012A" w:rsidRPr="00CA012A" w:rsidRDefault="00CA012A" w:rsidP="00CA012A">
      <w:pPr>
        <w:rPr>
          <w:rFonts w:ascii="Times New Roman" w:hAnsi="Times New Roman" w:cs="Times New Roman"/>
          <w:sz w:val="24"/>
          <w:szCs w:val="24"/>
        </w:rPr>
      </w:pPr>
      <w:r w:rsidRPr="00CA012A">
        <w:rPr>
          <w:rFonts w:ascii="Times New Roman" w:hAnsi="Times New Roman" w:cs="Times New Roman"/>
          <w:sz w:val="24"/>
          <w:szCs w:val="24"/>
        </w:rPr>
        <w:t>1)</w:t>
      </w:r>
      <w:r w:rsidR="002D7C5B">
        <w:rPr>
          <w:rFonts w:ascii="Times New Roman" w:hAnsi="Times New Roman" w:cs="Times New Roman"/>
          <w:sz w:val="24"/>
          <w:szCs w:val="24"/>
        </w:rPr>
        <w:t xml:space="preserve"> </w:t>
      </w:r>
      <w:r w:rsidRPr="00CA012A">
        <w:rPr>
          <w:rFonts w:ascii="Times New Roman" w:hAnsi="Times New Roman" w:cs="Times New Roman"/>
          <w:sz w:val="24"/>
          <w:szCs w:val="24"/>
        </w:rPr>
        <w:t xml:space="preserve">nozares ministrija veic ēnu ekonomiku </w:t>
      </w:r>
      <w:r w:rsidR="001026C8">
        <w:rPr>
          <w:rFonts w:ascii="Times New Roman" w:hAnsi="Times New Roman" w:cs="Times New Roman"/>
          <w:sz w:val="24"/>
          <w:szCs w:val="24"/>
        </w:rPr>
        <w:t>veicinošu</w:t>
      </w:r>
      <w:r w:rsidR="001026C8" w:rsidRPr="00CA012A">
        <w:rPr>
          <w:rFonts w:ascii="Times New Roman" w:hAnsi="Times New Roman" w:cs="Times New Roman"/>
          <w:sz w:val="24"/>
          <w:szCs w:val="24"/>
        </w:rPr>
        <w:t xml:space="preserve"> </w:t>
      </w:r>
      <w:r w:rsidRPr="00CA012A">
        <w:rPr>
          <w:rFonts w:ascii="Times New Roman" w:hAnsi="Times New Roman" w:cs="Times New Roman"/>
          <w:sz w:val="24"/>
          <w:szCs w:val="24"/>
        </w:rPr>
        <w:t>faktoru apzināšanu (konsultējoties ar nozares ekspertiem);</w:t>
      </w:r>
    </w:p>
    <w:p w14:paraId="5F651D23" w14:textId="77777777" w:rsidR="00CA012A" w:rsidRPr="00CA012A" w:rsidRDefault="00CA012A" w:rsidP="00CA012A">
      <w:pPr>
        <w:rPr>
          <w:rFonts w:ascii="Times New Roman" w:hAnsi="Times New Roman" w:cs="Times New Roman"/>
          <w:sz w:val="24"/>
          <w:szCs w:val="24"/>
        </w:rPr>
      </w:pPr>
      <w:r w:rsidRPr="00CA012A">
        <w:rPr>
          <w:rFonts w:ascii="Times New Roman" w:hAnsi="Times New Roman" w:cs="Times New Roman"/>
          <w:sz w:val="24"/>
          <w:szCs w:val="24"/>
        </w:rPr>
        <w:t>2)</w:t>
      </w:r>
      <w:r w:rsidR="002D7C5B">
        <w:rPr>
          <w:rFonts w:ascii="Times New Roman" w:hAnsi="Times New Roman" w:cs="Times New Roman"/>
          <w:sz w:val="24"/>
          <w:szCs w:val="24"/>
        </w:rPr>
        <w:t xml:space="preserve"> </w:t>
      </w:r>
      <w:r w:rsidRPr="00CA012A">
        <w:rPr>
          <w:rFonts w:ascii="Times New Roman" w:hAnsi="Times New Roman" w:cs="Times New Roman"/>
          <w:sz w:val="24"/>
          <w:szCs w:val="24"/>
        </w:rPr>
        <w:t>nozares ministrija veic faktoru ietekmes izvērtējumu un identificē faktorus, kuru ietekme uz ēnu ekonomikas apmēru nozarē ir novērtēta kā augsta un ļoti augsta (konsultējoties ar nozares ekspertiem);</w:t>
      </w:r>
    </w:p>
    <w:p w14:paraId="451BB6C2" w14:textId="77777777" w:rsidR="00CA012A" w:rsidRPr="00CA012A" w:rsidRDefault="00CA012A" w:rsidP="00CA012A">
      <w:pPr>
        <w:rPr>
          <w:rFonts w:ascii="Times New Roman" w:hAnsi="Times New Roman" w:cs="Times New Roman"/>
          <w:sz w:val="24"/>
          <w:szCs w:val="24"/>
        </w:rPr>
      </w:pPr>
      <w:r w:rsidRPr="00CA012A">
        <w:rPr>
          <w:rFonts w:ascii="Times New Roman" w:hAnsi="Times New Roman" w:cs="Times New Roman"/>
          <w:sz w:val="24"/>
          <w:szCs w:val="24"/>
        </w:rPr>
        <w:lastRenderedPageBreak/>
        <w:t>3)</w:t>
      </w:r>
      <w:r w:rsidR="002D7C5B">
        <w:rPr>
          <w:rFonts w:ascii="Times New Roman" w:hAnsi="Times New Roman" w:cs="Times New Roman"/>
          <w:sz w:val="24"/>
          <w:szCs w:val="24"/>
        </w:rPr>
        <w:t xml:space="preserve"> </w:t>
      </w:r>
      <w:r w:rsidRPr="00CA012A">
        <w:rPr>
          <w:rFonts w:ascii="Times New Roman" w:hAnsi="Times New Roman" w:cs="Times New Roman"/>
          <w:sz w:val="24"/>
          <w:szCs w:val="24"/>
        </w:rPr>
        <w:t>nozares ministrija sadarbībā ar F</w:t>
      </w:r>
      <w:r w:rsidR="0077455A">
        <w:rPr>
          <w:rFonts w:ascii="Times New Roman" w:hAnsi="Times New Roman" w:cs="Times New Roman"/>
          <w:sz w:val="24"/>
          <w:szCs w:val="24"/>
        </w:rPr>
        <w:t>M</w:t>
      </w:r>
      <w:r w:rsidRPr="00CA012A">
        <w:rPr>
          <w:rFonts w:ascii="Times New Roman" w:hAnsi="Times New Roman" w:cs="Times New Roman"/>
          <w:sz w:val="24"/>
          <w:szCs w:val="24"/>
        </w:rPr>
        <w:t>, citām iesaistītajām ministrijām un nozares ekspertiem izvērtē pasākumus noteiktu faktoru ietekmes samazināšanai, vienlaikus veicot aprēķinus par īstenojamo pasākumu fiskālo ietekmi valsts budžeta ieņēmumos;</w:t>
      </w:r>
    </w:p>
    <w:p w14:paraId="533F11A8" w14:textId="77777777" w:rsidR="00CA012A" w:rsidRPr="00CA012A" w:rsidRDefault="00CA012A" w:rsidP="00CA012A">
      <w:pPr>
        <w:rPr>
          <w:rFonts w:ascii="Times New Roman" w:hAnsi="Times New Roman" w:cs="Times New Roman"/>
          <w:sz w:val="24"/>
          <w:szCs w:val="24"/>
        </w:rPr>
      </w:pPr>
      <w:r w:rsidRPr="00CA012A">
        <w:rPr>
          <w:rFonts w:ascii="Times New Roman" w:hAnsi="Times New Roman" w:cs="Times New Roman"/>
          <w:sz w:val="24"/>
          <w:szCs w:val="24"/>
        </w:rPr>
        <w:t>4)</w:t>
      </w:r>
      <w:r w:rsidR="002D7C5B">
        <w:rPr>
          <w:rFonts w:ascii="Times New Roman" w:hAnsi="Times New Roman" w:cs="Times New Roman"/>
          <w:sz w:val="24"/>
          <w:szCs w:val="24"/>
        </w:rPr>
        <w:t xml:space="preserve"> </w:t>
      </w:r>
      <w:r w:rsidRPr="00CA012A">
        <w:rPr>
          <w:rFonts w:ascii="Times New Roman" w:hAnsi="Times New Roman" w:cs="Times New Roman"/>
          <w:sz w:val="24"/>
          <w:szCs w:val="24"/>
        </w:rPr>
        <w:t>F</w:t>
      </w:r>
      <w:r w:rsidR="0077455A">
        <w:rPr>
          <w:rFonts w:ascii="Times New Roman" w:hAnsi="Times New Roman" w:cs="Times New Roman"/>
          <w:sz w:val="24"/>
          <w:szCs w:val="24"/>
        </w:rPr>
        <w:t>M</w:t>
      </w:r>
      <w:r w:rsidRPr="00CA012A">
        <w:rPr>
          <w:rFonts w:ascii="Times New Roman" w:hAnsi="Times New Roman" w:cs="Times New Roman"/>
          <w:sz w:val="24"/>
          <w:szCs w:val="24"/>
        </w:rPr>
        <w:t xml:space="preserve"> sadarbībā ar nozares ministriju Ēnu ekonomikas apkarošanas padomē virza priekšlikumu uzdevumiem iekļaušanai </w:t>
      </w:r>
      <w:r w:rsidR="00B80901">
        <w:rPr>
          <w:rFonts w:ascii="Times New Roman" w:hAnsi="Times New Roman" w:cs="Times New Roman"/>
          <w:sz w:val="24"/>
          <w:szCs w:val="24"/>
        </w:rPr>
        <w:t>P</w:t>
      </w:r>
      <w:r w:rsidRPr="00CA012A">
        <w:rPr>
          <w:rFonts w:ascii="Times New Roman" w:hAnsi="Times New Roman" w:cs="Times New Roman"/>
          <w:sz w:val="24"/>
          <w:szCs w:val="24"/>
        </w:rPr>
        <w:t>lānā, nosakot par izpildi atbildīgās ministrijas vai iestādes, kā arī uzdevuma izpildes termiņu;</w:t>
      </w:r>
    </w:p>
    <w:p w14:paraId="35954A6D" w14:textId="77777777" w:rsidR="00CA012A" w:rsidRDefault="00CA012A" w:rsidP="00CA012A">
      <w:pPr>
        <w:rPr>
          <w:rFonts w:ascii="Times New Roman" w:hAnsi="Times New Roman" w:cs="Times New Roman"/>
          <w:sz w:val="24"/>
          <w:szCs w:val="24"/>
        </w:rPr>
      </w:pPr>
      <w:r w:rsidRPr="00CA012A">
        <w:rPr>
          <w:rFonts w:ascii="Times New Roman" w:hAnsi="Times New Roman" w:cs="Times New Roman"/>
          <w:sz w:val="24"/>
          <w:szCs w:val="24"/>
        </w:rPr>
        <w:t>5)</w:t>
      </w:r>
      <w:r w:rsidR="002D7C5B">
        <w:rPr>
          <w:rFonts w:ascii="Times New Roman" w:hAnsi="Times New Roman" w:cs="Times New Roman"/>
          <w:sz w:val="24"/>
          <w:szCs w:val="24"/>
        </w:rPr>
        <w:t xml:space="preserve"> </w:t>
      </w:r>
      <w:r w:rsidRPr="00CA012A">
        <w:rPr>
          <w:rFonts w:ascii="Times New Roman" w:hAnsi="Times New Roman" w:cs="Times New Roman"/>
          <w:sz w:val="24"/>
          <w:szCs w:val="24"/>
        </w:rPr>
        <w:t>F</w:t>
      </w:r>
      <w:r w:rsidR="0077455A">
        <w:rPr>
          <w:rFonts w:ascii="Times New Roman" w:hAnsi="Times New Roman" w:cs="Times New Roman"/>
          <w:sz w:val="24"/>
          <w:szCs w:val="24"/>
        </w:rPr>
        <w:t>M</w:t>
      </w:r>
      <w:r w:rsidRPr="00CA012A">
        <w:rPr>
          <w:rFonts w:ascii="Times New Roman" w:hAnsi="Times New Roman" w:cs="Times New Roman"/>
          <w:sz w:val="24"/>
          <w:szCs w:val="24"/>
        </w:rPr>
        <w:t xml:space="preserve"> sadarbībā ar nozares ministriju veic </w:t>
      </w:r>
      <w:r w:rsidR="00B80901">
        <w:rPr>
          <w:rFonts w:ascii="Times New Roman" w:hAnsi="Times New Roman" w:cs="Times New Roman"/>
          <w:sz w:val="24"/>
          <w:szCs w:val="24"/>
        </w:rPr>
        <w:t>P</w:t>
      </w:r>
      <w:r w:rsidRPr="00CA012A">
        <w:rPr>
          <w:rFonts w:ascii="Times New Roman" w:hAnsi="Times New Roman" w:cs="Times New Roman"/>
          <w:sz w:val="24"/>
          <w:szCs w:val="24"/>
        </w:rPr>
        <w:t>lānā iekļauto un īstenoto pasākumu darbības efektivitātes novērtējumu ēnu ekonomikas ietekmējošā faktora samazinājumā.</w:t>
      </w:r>
    </w:p>
    <w:p w14:paraId="3B54FCC2" w14:textId="77777777" w:rsidR="00651F7B" w:rsidRDefault="00651F7B" w:rsidP="00CA012A">
      <w:pPr>
        <w:rPr>
          <w:rFonts w:ascii="Times New Roman" w:hAnsi="Times New Roman" w:cs="Times New Roman"/>
          <w:sz w:val="24"/>
          <w:szCs w:val="24"/>
        </w:rPr>
      </w:pPr>
    </w:p>
    <w:p w14:paraId="328E287D" w14:textId="49112938" w:rsidR="00C86BB2" w:rsidRDefault="00C86BB2" w:rsidP="00C86BB2">
      <w:pPr>
        <w:rPr>
          <w:rFonts w:ascii="Times New Roman" w:hAnsi="Times New Roman" w:cs="Times New Roman"/>
          <w:sz w:val="24"/>
          <w:szCs w:val="24"/>
        </w:rPr>
      </w:pPr>
      <w:r w:rsidRPr="00C86BB2">
        <w:rPr>
          <w:rFonts w:ascii="Times New Roman" w:hAnsi="Times New Roman" w:cs="Times New Roman"/>
          <w:sz w:val="24"/>
          <w:szCs w:val="24"/>
        </w:rPr>
        <w:t>Ir jāatzīmē, ka nozaru ministrijās ir nepieciešams vairot iniciatīvu sadarboties ar noteiktu tautsaimniecības nozaru organizācijām, lai identificētu ēnu ekonomiku veicinošus faktorus un rastu risinājumus to ietekmes mazināšanai, sadarbojoties vairākām nozaru ministrijām un iestādēm. Vienlaikus secināms, ka nozaru ministrijām ir jāpaplašina savs redzējums par ēnu ekonomikas izpausmēm, faktoriem un nozares problēmām, ņemot vērā, uzņēmēju organizāciju sniegto informāciju un aprēķinus par ēnu ekonomikas īpatsvaru. Ēnu ekonomikas ierobežošana ir ilgtermiņā koordinēti veicami kompleksi vairāku iestāžu pasākumi, un to efektīvākai īstenošanai ir nepieciešama nozaru ministriju un iestāžu iesaistes veicināšana un sadarbība. Izpratnes veicināšanai valsts pārvaldē par ēnu ekonomikas mazināšanas pasākumu plānošanu un īstenošanu Valsts administrācijas skolas vadībā ir izveidots mācību modulis “Ēnu ekonomikas izpratne un politikas izstrāde tās mazināšanai”. Mācību kurss ir paredzēts gan politikas veidotājiem, gan politikas īstenotājiem, it īpaši ministriju nozaru politikas struktūrvienību vadītājiem un darbiniekiem, tiesībaizsardzības un citu kontrolējošo institūciju vidējā un augstākā līmeņa vadītājiem.</w:t>
      </w:r>
    </w:p>
    <w:p w14:paraId="46716B0E" w14:textId="3FD391D3" w:rsidR="00CA012A" w:rsidRPr="00CA012A" w:rsidRDefault="00CA012A" w:rsidP="00CA012A">
      <w:pPr>
        <w:rPr>
          <w:rFonts w:ascii="Times New Roman" w:hAnsi="Times New Roman" w:cs="Times New Roman"/>
          <w:sz w:val="24"/>
          <w:szCs w:val="24"/>
        </w:rPr>
      </w:pPr>
      <w:r w:rsidRPr="00CA012A">
        <w:rPr>
          <w:rFonts w:ascii="Times New Roman" w:hAnsi="Times New Roman" w:cs="Times New Roman"/>
          <w:sz w:val="24"/>
          <w:szCs w:val="24"/>
        </w:rPr>
        <w:t xml:space="preserve">Vienotai izpratnei, uzsākot rosināto pasākumu īstenošanu, tiks izmantoti valsts pētījumu programmas “Ēnu ekonomikas mazināšana ilgtspējīgas ekonomikas attīstības nodrošināšanai” ietvaros zinātnisko institūciju veiktais pētnieciskais darbs, secinājumi un priekšlikumi rīcībpolitikai. </w:t>
      </w:r>
    </w:p>
    <w:p w14:paraId="321D918E" w14:textId="17566FE9" w:rsidR="00CA012A" w:rsidRPr="00CA012A" w:rsidRDefault="00CA012A" w:rsidP="00CA012A">
      <w:pPr>
        <w:rPr>
          <w:rFonts w:ascii="Times New Roman" w:hAnsi="Times New Roman" w:cs="Times New Roman"/>
          <w:sz w:val="24"/>
          <w:szCs w:val="24"/>
        </w:rPr>
      </w:pPr>
      <w:r w:rsidRPr="00CA012A">
        <w:rPr>
          <w:rFonts w:ascii="Times New Roman" w:hAnsi="Times New Roman" w:cs="Times New Roman"/>
          <w:sz w:val="24"/>
          <w:szCs w:val="24"/>
        </w:rPr>
        <w:t>Ierosin</w:t>
      </w:r>
      <w:r>
        <w:rPr>
          <w:rFonts w:ascii="Times New Roman" w:hAnsi="Times New Roman" w:cs="Times New Roman"/>
          <w:sz w:val="24"/>
          <w:szCs w:val="24"/>
        </w:rPr>
        <w:t>ām</w:t>
      </w:r>
      <w:r w:rsidRPr="00CA012A">
        <w:rPr>
          <w:rFonts w:ascii="Times New Roman" w:hAnsi="Times New Roman" w:cs="Times New Roman"/>
          <w:sz w:val="24"/>
          <w:szCs w:val="24"/>
        </w:rPr>
        <w:t xml:space="preserve"> jaunam Ēnu ekonomikas ierobežošanas pasākumu plāna</w:t>
      </w:r>
      <w:r>
        <w:rPr>
          <w:rFonts w:ascii="Times New Roman" w:hAnsi="Times New Roman" w:cs="Times New Roman"/>
          <w:sz w:val="24"/>
          <w:szCs w:val="24"/>
        </w:rPr>
        <w:t>m</w:t>
      </w:r>
      <w:r w:rsidRPr="00CA012A">
        <w:rPr>
          <w:rFonts w:ascii="Times New Roman" w:hAnsi="Times New Roman" w:cs="Times New Roman"/>
          <w:sz w:val="24"/>
          <w:szCs w:val="24"/>
        </w:rPr>
        <w:t xml:space="preserve"> </w:t>
      </w:r>
      <w:r>
        <w:rPr>
          <w:rFonts w:ascii="Times New Roman" w:hAnsi="Times New Roman" w:cs="Times New Roman"/>
          <w:sz w:val="24"/>
          <w:szCs w:val="24"/>
        </w:rPr>
        <w:t xml:space="preserve">definēt </w:t>
      </w:r>
      <w:r w:rsidRPr="00CA012A">
        <w:rPr>
          <w:rFonts w:ascii="Times New Roman" w:hAnsi="Times New Roman" w:cs="Times New Roman"/>
          <w:sz w:val="24"/>
          <w:szCs w:val="24"/>
        </w:rPr>
        <w:t>šād</w:t>
      </w:r>
      <w:r>
        <w:rPr>
          <w:rFonts w:ascii="Times New Roman" w:hAnsi="Times New Roman" w:cs="Times New Roman"/>
          <w:sz w:val="24"/>
          <w:szCs w:val="24"/>
        </w:rPr>
        <w:t xml:space="preserve">u </w:t>
      </w:r>
      <w:r w:rsidRPr="00CA012A">
        <w:rPr>
          <w:rFonts w:ascii="Times New Roman" w:hAnsi="Times New Roman" w:cs="Times New Roman"/>
          <w:sz w:val="24"/>
          <w:szCs w:val="24"/>
        </w:rPr>
        <w:t>stratēģisk</w:t>
      </w:r>
      <w:r>
        <w:rPr>
          <w:rFonts w:ascii="Times New Roman" w:hAnsi="Times New Roman" w:cs="Times New Roman"/>
          <w:sz w:val="24"/>
          <w:szCs w:val="24"/>
        </w:rPr>
        <w:t xml:space="preserve">o </w:t>
      </w:r>
      <w:r w:rsidRPr="00CA012A">
        <w:rPr>
          <w:rFonts w:ascii="Times New Roman" w:hAnsi="Times New Roman" w:cs="Times New Roman"/>
          <w:sz w:val="24"/>
          <w:szCs w:val="24"/>
        </w:rPr>
        <w:t>mērķ</w:t>
      </w:r>
      <w:r>
        <w:rPr>
          <w:rFonts w:ascii="Times New Roman" w:hAnsi="Times New Roman" w:cs="Times New Roman"/>
          <w:sz w:val="24"/>
          <w:szCs w:val="24"/>
        </w:rPr>
        <w:t>i</w:t>
      </w:r>
      <w:r w:rsidRPr="00CA012A">
        <w:rPr>
          <w:rFonts w:ascii="Times New Roman" w:hAnsi="Times New Roman" w:cs="Times New Roman"/>
          <w:sz w:val="24"/>
          <w:szCs w:val="24"/>
        </w:rPr>
        <w:t>:</w:t>
      </w:r>
    </w:p>
    <w:p w14:paraId="3365BCE5" w14:textId="09076044" w:rsidR="00CE7DF2" w:rsidRDefault="00EB47AE" w:rsidP="00924E67">
      <w:pPr>
        <w:rPr>
          <w:rFonts w:ascii="Times New Roman" w:hAnsi="Times New Roman" w:cs="Times New Roman"/>
          <w:b/>
          <w:bCs/>
          <w:sz w:val="24"/>
          <w:szCs w:val="24"/>
        </w:rPr>
      </w:pPr>
      <w:r>
        <w:rPr>
          <w:rFonts w:ascii="Times New Roman" w:hAnsi="Times New Roman" w:cs="Times New Roman"/>
          <w:b/>
          <w:bCs/>
          <w:sz w:val="24"/>
          <w:szCs w:val="24"/>
        </w:rPr>
        <w:t>“</w:t>
      </w:r>
      <w:r w:rsidR="00CA012A" w:rsidRPr="00CA012A">
        <w:rPr>
          <w:rFonts w:ascii="Times New Roman" w:hAnsi="Times New Roman" w:cs="Times New Roman"/>
          <w:b/>
          <w:bCs/>
          <w:sz w:val="24"/>
          <w:szCs w:val="24"/>
        </w:rPr>
        <w:t>nozaru ministriju un valsts iestāžu integrēta un mērķtiecīga darbība, identificējot un novērtējot ēnu ekonomiku veicinošus faktorus noteiktās nozares politikās un ministriju atbildības darbības jomās, un īstenojot rīcībpolitikas pasākumus identificēto faktoru ietekmes mazināšanai.</w:t>
      </w:r>
      <w:r w:rsidR="00C973B3">
        <w:rPr>
          <w:rFonts w:ascii="Times New Roman" w:hAnsi="Times New Roman" w:cs="Times New Roman"/>
          <w:b/>
          <w:bCs/>
          <w:sz w:val="24"/>
          <w:szCs w:val="24"/>
        </w:rPr>
        <w:t>”</w:t>
      </w:r>
    </w:p>
    <w:p w14:paraId="610C5B88" w14:textId="77777777" w:rsidR="002F0C76" w:rsidRDefault="002F0C76" w:rsidP="00924E67">
      <w:pPr>
        <w:rPr>
          <w:rFonts w:ascii="Times New Roman" w:hAnsi="Times New Roman" w:cs="Times New Roman"/>
          <w:b/>
          <w:bCs/>
          <w:sz w:val="24"/>
          <w:szCs w:val="24"/>
        </w:rPr>
      </w:pPr>
    </w:p>
    <w:p w14:paraId="32204F0B" w14:textId="77777777" w:rsidR="002F0C76" w:rsidRDefault="002F0C76" w:rsidP="00924E67">
      <w:pPr>
        <w:rPr>
          <w:rFonts w:ascii="Times New Roman" w:hAnsi="Times New Roman" w:cs="Times New Roman"/>
          <w:b/>
          <w:bCs/>
          <w:sz w:val="24"/>
          <w:szCs w:val="24"/>
        </w:rPr>
      </w:pPr>
    </w:p>
    <w:p w14:paraId="1C851C49" w14:textId="77777777" w:rsidR="002F0C76" w:rsidRDefault="002F0C76" w:rsidP="00924E67">
      <w:pPr>
        <w:rPr>
          <w:rFonts w:ascii="Times New Roman" w:hAnsi="Times New Roman" w:cs="Times New Roman"/>
          <w:b/>
          <w:bCs/>
          <w:sz w:val="24"/>
          <w:szCs w:val="24"/>
        </w:rPr>
      </w:pPr>
    </w:p>
    <w:p w14:paraId="399AD458" w14:textId="77777777" w:rsidR="002F0C76" w:rsidRDefault="002F0C76" w:rsidP="00924E67">
      <w:pPr>
        <w:rPr>
          <w:rFonts w:ascii="Times New Roman" w:hAnsi="Times New Roman" w:cs="Times New Roman"/>
          <w:b/>
          <w:bCs/>
          <w:sz w:val="24"/>
          <w:szCs w:val="24"/>
        </w:rPr>
      </w:pPr>
    </w:p>
    <w:p w14:paraId="03D0F3D0" w14:textId="77777777" w:rsidR="002F0C76" w:rsidRDefault="002F0C76" w:rsidP="00924E67">
      <w:pPr>
        <w:rPr>
          <w:rFonts w:ascii="Times New Roman" w:hAnsi="Times New Roman" w:cs="Times New Roman"/>
          <w:b/>
          <w:bCs/>
          <w:sz w:val="24"/>
          <w:szCs w:val="24"/>
        </w:rPr>
      </w:pPr>
    </w:p>
    <w:p w14:paraId="02261CC0" w14:textId="77777777" w:rsidR="002F0C76" w:rsidRDefault="002F0C76" w:rsidP="00924E67">
      <w:pPr>
        <w:rPr>
          <w:rFonts w:ascii="Times New Roman" w:hAnsi="Times New Roman" w:cs="Times New Roman"/>
          <w:b/>
          <w:bCs/>
          <w:sz w:val="24"/>
          <w:szCs w:val="24"/>
        </w:rPr>
      </w:pPr>
    </w:p>
    <w:p w14:paraId="0B29AF58" w14:textId="77777777" w:rsidR="002F0C76" w:rsidRDefault="002F0C76" w:rsidP="00924E67">
      <w:pPr>
        <w:rPr>
          <w:rFonts w:ascii="Times New Roman" w:hAnsi="Times New Roman" w:cs="Times New Roman"/>
          <w:b/>
          <w:bCs/>
          <w:sz w:val="24"/>
          <w:szCs w:val="24"/>
        </w:rPr>
      </w:pPr>
    </w:p>
    <w:p w14:paraId="59388249" w14:textId="77777777" w:rsidR="002F0C76" w:rsidRDefault="002F0C76" w:rsidP="00924E67">
      <w:pPr>
        <w:rPr>
          <w:rFonts w:ascii="Times New Roman" w:hAnsi="Times New Roman" w:cs="Times New Roman"/>
          <w:b/>
          <w:bCs/>
          <w:sz w:val="24"/>
          <w:szCs w:val="24"/>
        </w:rPr>
      </w:pPr>
    </w:p>
    <w:p w14:paraId="67EB07A5" w14:textId="77777777" w:rsidR="002F0C76" w:rsidRDefault="002F0C76" w:rsidP="00924E67">
      <w:pPr>
        <w:rPr>
          <w:rFonts w:ascii="Times New Roman" w:hAnsi="Times New Roman" w:cs="Times New Roman"/>
          <w:b/>
          <w:bCs/>
          <w:sz w:val="24"/>
          <w:szCs w:val="24"/>
        </w:rPr>
      </w:pPr>
    </w:p>
    <w:p w14:paraId="6287371C" w14:textId="77777777" w:rsidR="002F0C76" w:rsidRPr="00AA3782" w:rsidRDefault="002F0C76" w:rsidP="002F0C76">
      <w:pPr>
        <w:spacing w:line="240" w:lineRule="auto"/>
        <w:rPr>
          <w:rFonts w:ascii="Times New Roman" w:hAnsi="Times New Roman"/>
          <w:sz w:val="26"/>
          <w:szCs w:val="26"/>
        </w:rPr>
      </w:pPr>
    </w:p>
    <w:p w14:paraId="31082D0C" w14:textId="571E3472" w:rsidR="002F0C76" w:rsidRPr="00924E67" w:rsidRDefault="002F0C76" w:rsidP="002F0C76">
      <w:pPr>
        <w:ind w:firstLine="0"/>
        <w:rPr>
          <w:rFonts w:ascii="Times New Roman" w:hAnsi="Times New Roman" w:cs="Times New Roman"/>
          <w:b/>
          <w:bCs/>
          <w:sz w:val="24"/>
          <w:szCs w:val="24"/>
        </w:rPr>
      </w:pPr>
    </w:p>
    <w:sectPr w:rsidR="002F0C76" w:rsidRPr="00924E67" w:rsidSect="000B2A43">
      <w:footerReference w:type="default" r:id="rId22"/>
      <w:pgSz w:w="11906" w:h="16838"/>
      <w:pgMar w:top="1418" w:right="1134" w:bottom="1418" w:left="1701"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9E053" w14:textId="77777777" w:rsidR="004A7BDB" w:rsidRDefault="004A7BDB" w:rsidP="005E7765">
      <w:pPr>
        <w:spacing w:line="240" w:lineRule="auto"/>
      </w:pPr>
      <w:r>
        <w:separator/>
      </w:r>
    </w:p>
  </w:endnote>
  <w:endnote w:type="continuationSeparator" w:id="0">
    <w:p w14:paraId="236C7DD7" w14:textId="77777777" w:rsidR="004A7BDB" w:rsidRDefault="004A7BDB" w:rsidP="005E7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797787"/>
      <w:docPartObj>
        <w:docPartGallery w:val="Page Numbers (Bottom of Page)"/>
        <w:docPartUnique/>
      </w:docPartObj>
    </w:sdtPr>
    <w:sdtEndPr>
      <w:rPr>
        <w:rFonts w:ascii="Times New Roman" w:hAnsi="Times New Roman" w:cs="Times New Roman"/>
      </w:rPr>
    </w:sdtEndPr>
    <w:sdtContent>
      <w:p w14:paraId="17FAEBC2" w14:textId="77777777" w:rsidR="004A7BDB" w:rsidRDefault="004A7BDB">
        <w:pPr>
          <w:pStyle w:val="Footer"/>
          <w:jc w:val="center"/>
        </w:pPr>
      </w:p>
      <w:p w14:paraId="103330A5" w14:textId="34F6E569" w:rsidR="004A7BDB" w:rsidRPr="00CA5379" w:rsidRDefault="004A7BDB" w:rsidP="002114BD">
        <w:pPr>
          <w:pStyle w:val="Footer"/>
          <w:jc w:val="left"/>
          <w:rPr>
            <w:rFonts w:ascii="Times New Roman" w:hAnsi="Times New Roman" w:cs="Times New Roman"/>
            <w:i/>
            <w:iCs/>
          </w:rPr>
        </w:pPr>
        <w:r w:rsidRPr="00CA5379">
          <w:rPr>
            <w:rFonts w:ascii="Times New Roman" w:hAnsi="Times New Roman" w:cs="Times New Roman"/>
            <w:i/>
            <w:iCs/>
          </w:rPr>
          <w:t>FMZin_</w:t>
        </w:r>
        <w:r>
          <w:rPr>
            <w:rFonts w:ascii="Times New Roman" w:hAnsi="Times New Roman" w:cs="Times New Roman"/>
            <w:i/>
            <w:iCs/>
          </w:rPr>
          <w:t>010220</w:t>
        </w:r>
        <w:r w:rsidRPr="00CA5379">
          <w:rPr>
            <w:rFonts w:ascii="Times New Roman" w:hAnsi="Times New Roman" w:cs="Times New Roman"/>
            <w:i/>
            <w:iCs/>
          </w:rPr>
          <w:t>2</w:t>
        </w:r>
        <w:r>
          <w:rPr>
            <w:rFonts w:ascii="Times New Roman" w:hAnsi="Times New Roman" w:cs="Times New Roman"/>
            <w:i/>
            <w:iCs/>
          </w:rPr>
          <w:t>1</w:t>
        </w:r>
        <w:r w:rsidRPr="00CA5379">
          <w:rPr>
            <w:rFonts w:ascii="Times New Roman" w:hAnsi="Times New Roman" w:cs="Times New Roman"/>
            <w:i/>
            <w:iCs/>
          </w:rPr>
          <w:t>_ĒE</w:t>
        </w:r>
      </w:p>
      <w:p w14:paraId="16DDE224" w14:textId="749CCFA2" w:rsidR="004A7BDB" w:rsidRPr="001A4780" w:rsidRDefault="004A7BDB">
        <w:pPr>
          <w:pStyle w:val="Footer"/>
          <w:jc w:val="center"/>
          <w:rPr>
            <w:rFonts w:ascii="Times New Roman" w:hAnsi="Times New Roman" w:cs="Times New Roman"/>
          </w:rPr>
        </w:pPr>
        <w:r w:rsidRPr="001A4780">
          <w:rPr>
            <w:rFonts w:ascii="Times New Roman" w:hAnsi="Times New Roman" w:cs="Times New Roman"/>
          </w:rPr>
          <w:fldChar w:fldCharType="begin"/>
        </w:r>
        <w:r w:rsidRPr="001A4780">
          <w:rPr>
            <w:rFonts w:ascii="Times New Roman" w:hAnsi="Times New Roman" w:cs="Times New Roman"/>
          </w:rPr>
          <w:instrText>PAGE   \* MERGEFORMAT</w:instrText>
        </w:r>
        <w:r w:rsidRPr="001A4780">
          <w:rPr>
            <w:rFonts w:ascii="Times New Roman" w:hAnsi="Times New Roman" w:cs="Times New Roman"/>
          </w:rPr>
          <w:fldChar w:fldCharType="separate"/>
        </w:r>
        <w:r w:rsidR="00CE720D">
          <w:rPr>
            <w:rFonts w:ascii="Times New Roman" w:hAnsi="Times New Roman" w:cs="Times New Roman"/>
            <w:noProof/>
          </w:rPr>
          <w:t>2</w:t>
        </w:r>
        <w:r w:rsidRPr="001A478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88CE5" w14:textId="77777777" w:rsidR="004A7BDB" w:rsidRDefault="004A7BDB" w:rsidP="005E7765">
      <w:pPr>
        <w:spacing w:line="240" w:lineRule="auto"/>
      </w:pPr>
      <w:r>
        <w:separator/>
      </w:r>
    </w:p>
  </w:footnote>
  <w:footnote w:type="continuationSeparator" w:id="0">
    <w:p w14:paraId="44524D32" w14:textId="77777777" w:rsidR="004A7BDB" w:rsidRDefault="004A7BDB" w:rsidP="005E7765">
      <w:pPr>
        <w:spacing w:line="240" w:lineRule="auto"/>
      </w:pPr>
      <w:r>
        <w:continuationSeparator/>
      </w:r>
    </w:p>
  </w:footnote>
  <w:footnote w:id="1">
    <w:p w14:paraId="7076E376" w14:textId="77777777" w:rsidR="004A7BDB" w:rsidRDefault="004A7BDB">
      <w:pPr>
        <w:pStyle w:val="FootnoteText"/>
      </w:pPr>
      <w:r>
        <w:rPr>
          <w:rStyle w:val="FootnoteReference"/>
        </w:rPr>
        <w:footnoteRef/>
      </w:r>
      <w:r>
        <w:t xml:space="preserve"> </w:t>
      </w:r>
      <w:r w:rsidRPr="00735D3D">
        <w:rPr>
          <w:rFonts w:ascii="Times New Roman" w:hAnsi="Times New Roman" w:cs="Times New Roman"/>
        </w:rPr>
        <w:t>Apstiprināts ar Saeimas 2020.gada 2.jūlija lēmumu</w:t>
      </w:r>
    </w:p>
  </w:footnote>
  <w:footnote w:id="2">
    <w:p w14:paraId="1C01204D" w14:textId="77777777" w:rsidR="004A7BDB" w:rsidRPr="002F2953" w:rsidRDefault="004A7BDB" w:rsidP="00764C20">
      <w:pPr>
        <w:pStyle w:val="FootnoteText"/>
        <w:ind w:firstLine="0"/>
        <w:rPr>
          <w:rFonts w:ascii="Times New Roman" w:hAnsi="Times New Roman" w:cs="Times New Roman"/>
        </w:rPr>
      </w:pPr>
      <w:r>
        <w:rPr>
          <w:rStyle w:val="FootnoteReference"/>
        </w:rPr>
        <w:footnoteRef/>
      </w:r>
      <w:r>
        <w:t xml:space="preserve"> </w:t>
      </w:r>
      <w:r w:rsidRPr="002F2953">
        <w:rPr>
          <w:rFonts w:ascii="Times New Roman" w:hAnsi="Times New Roman" w:cs="Times New Roman"/>
        </w:rPr>
        <w:t>Ēnu ekonomikas apkarošanas padomes nolikums, Ministru kabineta noteikumi Nr.549, Pieņemti: 16.09.2014., Publicēti: 19.09.2014. Latvijas Vēstnesis Nr.186, Zaudē spēku: 31.12.2020.</w:t>
      </w:r>
    </w:p>
  </w:footnote>
  <w:footnote w:id="3">
    <w:p w14:paraId="7240FC51" w14:textId="77777777" w:rsidR="004A7BDB" w:rsidRPr="002F2953" w:rsidRDefault="004A7BDB" w:rsidP="00764C20">
      <w:pPr>
        <w:pStyle w:val="FootnoteText"/>
        <w:ind w:firstLine="0"/>
        <w:rPr>
          <w:rFonts w:ascii="Times New Roman" w:hAnsi="Times New Roman" w:cs="Times New Roman"/>
        </w:rPr>
      </w:pPr>
      <w:r w:rsidRPr="002F2953">
        <w:rPr>
          <w:rStyle w:val="FootnoteReference"/>
          <w:rFonts w:ascii="Times New Roman" w:hAnsi="Times New Roman" w:cs="Times New Roman"/>
        </w:rPr>
        <w:footnoteRef/>
      </w:r>
      <w:r w:rsidRPr="002F2953">
        <w:rPr>
          <w:rFonts w:ascii="Times New Roman" w:hAnsi="Times New Roman" w:cs="Times New Roman"/>
        </w:rPr>
        <w:t xml:space="preserve">Valsts iestāžu darba plāns ēnu ekonomikas ierobežošanai 2016.-2020. gadam. Iegūts no: </w:t>
      </w:r>
      <w:hyperlink r:id="rId1" w:history="1">
        <w:r w:rsidRPr="002F2953">
          <w:rPr>
            <w:rStyle w:val="Hyperlink"/>
            <w:rFonts w:ascii="Times New Roman" w:hAnsi="Times New Roman" w:cs="Times New Roman"/>
          </w:rPr>
          <w:t>https://www.fm.gov.lv/lv/sadalas/nodoklu_politika/enu_ekonomika/enu_ekonomikas_apkarosanas_padome_/</w:t>
        </w:r>
      </w:hyperlink>
    </w:p>
  </w:footnote>
  <w:footnote w:id="4">
    <w:p w14:paraId="421CA12B" w14:textId="77777777" w:rsidR="004A7BDB" w:rsidRPr="0039767D" w:rsidRDefault="004A7BDB" w:rsidP="009316D2">
      <w:pPr>
        <w:pStyle w:val="FootnoteText"/>
        <w:ind w:firstLine="0"/>
        <w:rPr>
          <w:rFonts w:ascii="Times New Roman" w:hAnsi="Times New Roman" w:cs="Times New Roman"/>
          <w:sz w:val="22"/>
          <w:szCs w:val="22"/>
        </w:rPr>
      </w:pPr>
      <w:r w:rsidRPr="0039767D">
        <w:rPr>
          <w:rStyle w:val="FootnoteReference"/>
          <w:rFonts w:ascii="Times New Roman" w:hAnsi="Times New Roman" w:cs="Times New Roman"/>
          <w:sz w:val="22"/>
          <w:szCs w:val="22"/>
        </w:rPr>
        <w:footnoteRef/>
      </w:r>
      <w:r w:rsidRPr="0039767D">
        <w:rPr>
          <w:rFonts w:ascii="Times New Roman" w:hAnsi="Times New Roman" w:cs="Times New Roman"/>
          <w:sz w:val="22"/>
          <w:szCs w:val="22"/>
        </w:rPr>
        <w:t xml:space="preserve"> </w:t>
      </w:r>
      <w:r w:rsidRPr="00296E94">
        <w:rPr>
          <w:rFonts w:ascii="Times New Roman" w:hAnsi="Times New Roman" w:cs="Times New Roman"/>
          <w:sz w:val="22"/>
          <w:szCs w:val="22"/>
          <w:lang w:val="en-GB"/>
        </w:rPr>
        <w:t>Shining Light on the Shadow Economy: Opportunities and Threats</w:t>
      </w:r>
      <w:r w:rsidRPr="0039767D">
        <w:rPr>
          <w:rFonts w:ascii="Times New Roman" w:hAnsi="Times New Roman" w:cs="Times New Roman"/>
          <w:sz w:val="22"/>
          <w:szCs w:val="22"/>
        </w:rPr>
        <w:t xml:space="preserve">, OECD, 2017 - </w:t>
      </w:r>
      <w:hyperlink r:id="rId2" w:history="1">
        <w:r w:rsidRPr="0039767D">
          <w:rPr>
            <w:rStyle w:val="Hyperlink"/>
            <w:rFonts w:ascii="Times New Roman" w:hAnsi="Times New Roman" w:cs="Times New Roman"/>
            <w:sz w:val="22"/>
            <w:szCs w:val="22"/>
          </w:rPr>
          <w:t>https://www.oecd.org/tax/crime/shining-light-on-the-shadow-economy-opportunities-and-threats.pdf</w:t>
        </w:r>
      </w:hyperlink>
    </w:p>
  </w:footnote>
  <w:footnote w:id="5">
    <w:p w14:paraId="5F5FBE45" w14:textId="77777777" w:rsidR="004A7BDB" w:rsidRPr="0039767D" w:rsidRDefault="004A7BDB" w:rsidP="00FB4442">
      <w:pPr>
        <w:ind w:firstLine="0"/>
        <w:rPr>
          <w:rFonts w:ascii="Times New Roman" w:hAnsi="Times New Roman" w:cs="Times New Roman"/>
        </w:rPr>
      </w:pPr>
      <w:r w:rsidRPr="0039767D">
        <w:rPr>
          <w:rStyle w:val="FootnoteReference"/>
          <w:rFonts w:ascii="Times New Roman" w:hAnsi="Times New Roman" w:cs="Times New Roman"/>
        </w:rPr>
        <w:footnoteRef/>
      </w:r>
      <w:r w:rsidRPr="0039767D">
        <w:rPr>
          <w:rFonts w:ascii="Times New Roman" w:hAnsi="Times New Roman" w:cs="Times New Roman"/>
        </w:rPr>
        <w:t xml:space="preserve"> </w:t>
      </w:r>
      <w:r w:rsidRPr="0039767D">
        <w:rPr>
          <w:rFonts w:ascii="Times New Roman" w:eastAsia="Calibri" w:hAnsi="Times New Roman" w:cs="Times New Roman"/>
        </w:rPr>
        <w:t xml:space="preserve">Pētījums ”Ēnu ekonomikas indekss Baltijas valstīs 2009.-2019. gadā”, SSE </w:t>
      </w:r>
      <w:r w:rsidRPr="00C86BB2">
        <w:rPr>
          <w:rFonts w:ascii="Times New Roman" w:eastAsia="Calibri" w:hAnsi="Times New Roman" w:cs="Times New Roman"/>
        </w:rPr>
        <w:t>Riga</w:t>
      </w:r>
      <w:r w:rsidRPr="0039767D">
        <w:rPr>
          <w:rFonts w:ascii="Times New Roman" w:eastAsia="Calibri" w:hAnsi="Times New Roman" w:cs="Times New Roman"/>
        </w:rPr>
        <w:t xml:space="preserve"> Ilgtspējīga biznesa centrs, A. Sauka, T. Putniņš. </w:t>
      </w:r>
      <w:hyperlink r:id="rId3" w:history="1">
        <w:r w:rsidRPr="0039767D">
          <w:rPr>
            <w:rStyle w:val="Hyperlink"/>
            <w:rFonts w:ascii="Times New Roman" w:hAnsi="Times New Roman" w:cs="Times New Roman"/>
          </w:rPr>
          <w:t>https://issuu.com/sse_riga/docs/bro__ra_latviski_2020</w:t>
        </w:r>
      </w:hyperlink>
    </w:p>
  </w:footnote>
  <w:footnote w:id="6">
    <w:p w14:paraId="77133A20" w14:textId="77777777" w:rsidR="004A7BDB" w:rsidRPr="0039767D" w:rsidRDefault="004A7BDB" w:rsidP="00DB6DFC">
      <w:pPr>
        <w:pStyle w:val="FootnoteText"/>
        <w:ind w:firstLine="0"/>
        <w:jc w:val="left"/>
        <w:rPr>
          <w:rFonts w:ascii="Times New Roman" w:hAnsi="Times New Roman" w:cs="Times New Roman"/>
          <w:sz w:val="22"/>
          <w:szCs w:val="22"/>
        </w:rPr>
      </w:pPr>
      <w:r w:rsidRPr="0039767D">
        <w:rPr>
          <w:rStyle w:val="FootnoteReference"/>
          <w:rFonts w:ascii="Times New Roman" w:hAnsi="Times New Roman" w:cs="Times New Roman"/>
          <w:sz w:val="22"/>
          <w:szCs w:val="22"/>
        </w:rPr>
        <w:footnoteRef/>
      </w:r>
      <w:r w:rsidRPr="0039767D">
        <w:rPr>
          <w:rFonts w:ascii="Times New Roman" w:hAnsi="Times New Roman" w:cs="Times New Roman"/>
          <w:sz w:val="22"/>
          <w:szCs w:val="22"/>
        </w:rPr>
        <w:t xml:space="preserve"> Lincas Universitātes profesora Dr. F. Šneidera pētījums”</w:t>
      </w:r>
      <w:r w:rsidRPr="0039767D">
        <w:rPr>
          <w:rFonts w:ascii="Times New Roman" w:hAnsi="Times New Roman" w:cs="Times New Roman"/>
          <w:sz w:val="22"/>
          <w:szCs w:val="22"/>
          <w:lang w:val="en-US"/>
        </w:rPr>
        <w:t xml:space="preserve"> Shadow economy in Lithuania and reform efforts of the government: Latest Results</w:t>
      </w:r>
      <w:r w:rsidRPr="0039767D">
        <w:rPr>
          <w:rFonts w:ascii="Times New Roman" w:hAnsi="Times New Roman" w:cs="Times New Roman"/>
          <w:sz w:val="22"/>
          <w:szCs w:val="22"/>
        </w:rPr>
        <w:t xml:space="preserve">”, </w:t>
      </w:r>
      <w:r w:rsidRPr="0039767D">
        <w:rPr>
          <w:rFonts w:ascii="Times New Roman" w:hAnsi="Times New Roman" w:cs="Times New Roman"/>
          <w:sz w:val="22"/>
          <w:szCs w:val="22"/>
          <w:lang w:val="en-US"/>
        </w:rPr>
        <w:t xml:space="preserve">October </w:t>
      </w:r>
      <w:r w:rsidRPr="0039767D">
        <w:rPr>
          <w:rFonts w:ascii="Times New Roman" w:hAnsi="Times New Roman" w:cs="Times New Roman"/>
          <w:sz w:val="22"/>
          <w:szCs w:val="22"/>
        </w:rPr>
        <w:t xml:space="preserve">2018. </w:t>
      </w:r>
      <w:hyperlink r:id="rId4" w:history="1">
        <w:r w:rsidRPr="0039767D">
          <w:rPr>
            <w:rStyle w:val="Hyperlink"/>
            <w:rFonts w:ascii="Times New Roman" w:hAnsi="Times New Roman" w:cs="Times New Roman"/>
            <w:sz w:val="22"/>
            <w:szCs w:val="22"/>
          </w:rPr>
          <w:t>https://lrv.lt/uploads/main/documents/files/Shadow%20EcLithuania_September.pdf</w:t>
        </w:r>
      </w:hyperlink>
    </w:p>
  </w:footnote>
  <w:footnote w:id="7">
    <w:p w14:paraId="37A9CE65" w14:textId="77777777" w:rsidR="004A7BDB" w:rsidRPr="00AD1A09" w:rsidRDefault="004A7BDB" w:rsidP="00E0107B">
      <w:pPr>
        <w:pStyle w:val="FootnoteText"/>
        <w:ind w:firstLine="0"/>
        <w:rPr>
          <w:rFonts w:ascii="Times New Roman" w:hAnsi="Times New Roman" w:cs="Times New Roman"/>
        </w:rPr>
      </w:pPr>
      <w:r>
        <w:rPr>
          <w:rStyle w:val="FootnoteReference"/>
        </w:rPr>
        <w:footnoteRef/>
      </w:r>
      <w:r>
        <w:t xml:space="preserve"> </w:t>
      </w:r>
      <w:bookmarkStart w:id="6" w:name="_Hlk35331436"/>
      <w:r w:rsidRPr="00AD1A09">
        <w:rPr>
          <w:rFonts w:ascii="Times New Roman" w:hAnsi="Times New Roman" w:cs="Times New Roman"/>
          <w:lang w:val="en-GB"/>
        </w:rPr>
        <w:t>“Shadow Economy: Understanding Drivers, Reducing Incentives”, Lithuanian Free Market Institute, Vilnius, 2018.</w:t>
      </w:r>
      <w:r w:rsidRPr="00AD1A09">
        <w:rPr>
          <w:rFonts w:ascii="Times New Roman" w:hAnsi="Times New Roman" w:cs="Times New Roman"/>
        </w:rPr>
        <w:t xml:space="preserve"> </w:t>
      </w:r>
      <w:bookmarkEnd w:id="6"/>
      <w:r>
        <w:fldChar w:fldCharType="begin"/>
      </w:r>
      <w:r>
        <w:instrText xml:space="preserve"> HYPERLINK "https://www.llri.lt/wp-content/uploads/2018/11/Shadow-Economy.-Understanding-Drivers-Reducing-Incentives.pdf" </w:instrText>
      </w:r>
      <w:r>
        <w:fldChar w:fldCharType="separate"/>
      </w:r>
      <w:r w:rsidRPr="00AD1A09">
        <w:rPr>
          <w:rStyle w:val="Hyperlink"/>
          <w:rFonts w:ascii="Times New Roman" w:hAnsi="Times New Roman" w:cs="Times New Roman"/>
        </w:rPr>
        <w:t>https://www.llri.lt/wp-content/uploads/2018/11/Shadow-Economy.-Understanding-Drivers-Reducing-Incentives.pdf</w:t>
      </w:r>
      <w:r>
        <w:rPr>
          <w:rStyle w:val="Hyperlink"/>
          <w:rFonts w:ascii="Times New Roman" w:hAnsi="Times New Roman" w:cs="Times New Roman"/>
        </w:rPr>
        <w:fldChar w:fldCharType="end"/>
      </w:r>
    </w:p>
  </w:footnote>
  <w:footnote w:id="8">
    <w:p w14:paraId="085FBA68" w14:textId="77777777" w:rsidR="004A7BDB" w:rsidRDefault="004A7BDB" w:rsidP="005578B4">
      <w:pPr>
        <w:pStyle w:val="FootnoteText"/>
        <w:ind w:firstLine="0"/>
        <w:jc w:val="left"/>
      </w:pPr>
      <w:r>
        <w:rPr>
          <w:rStyle w:val="FootnoteReference"/>
        </w:rPr>
        <w:footnoteRef/>
      </w:r>
      <w:r>
        <w:t xml:space="preserve"> </w:t>
      </w:r>
      <w:r w:rsidRPr="00915D4F">
        <w:rPr>
          <w:rFonts w:ascii="Times New Roman" w:hAnsi="Times New Roman" w:cs="Times New Roman"/>
        </w:rPr>
        <w:t>VID prezentācija par darba algas nodokļu plaisu, 2019.g.</w:t>
      </w:r>
      <w:r w:rsidRPr="006610BF">
        <w:t xml:space="preserve"> </w:t>
      </w:r>
      <w:hyperlink r:id="rId5" w:history="1">
        <w:r w:rsidRPr="006610BF">
          <w:rPr>
            <w:rStyle w:val="Hyperlink"/>
            <w:rFonts w:ascii="Times New Roman" w:hAnsi="Times New Roman" w:cs="Times New Roman"/>
          </w:rPr>
          <w:t>https://www.vid.gov.lv/sites/default/files/aploksnu_algu_plaisa_komersantiem_kas_strada_vispareja_rezima_2018.gada_publikacijai.pdf</w:t>
        </w:r>
      </w:hyperlink>
    </w:p>
  </w:footnote>
  <w:footnote w:id="9">
    <w:p w14:paraId="5B7EE6B8" w14:textId="77777777" w:rsidR="004A7BDB" w:rsidRDefault="004A7BDB" w:rsidP="005578B4">
      <w:pPr>
        <w:pStyle w:val="FootnoteText"/>
        <w:ind w:firstLine="0"/>
      </w:pPr>
      <w:r>
        <w:rPr>
          <w:rStyle w:val="FootnoteReference"/>
        </w:rPr>
        <w:footnoteRef/>
      </w:r>
      <w:r>
        <w:t xml:space="preserve"> </w:t>
      </w:r>
      <w:r w:rsidRPr="00CC24EF">
        <w:rPr>
          <w:rFonts w:ascii="Times New Roman" w:hAnsi="Times New Roman" w:cs="Times New Roman"/>
        </w:rPr>
        <w:t>Starpība starp iekasējamo un iekasēto PVN apjomu jeb nedeklarētās un deklarētās, bet nesamaksātās PVN summas attiecība pret potenciālo PVN masu, kas tiktu aprēķināta un iekasēta pie nosacījuma, ka visi nodokļu maksātāji pilnā apmērā izpilda savas PVN saistības.</w:t>
      </w:r>
    </w:p>
  </w:footnote>
  <w:footnote w:id="10">
    <w:p w14:paraId="2E6610DD" w14:textId="2AEFDA52" w:rsidR="004A7BDB" w:rsidRPr="005A2ECE" w:rsidRDefault="004A7BDB" w:rsidP="00BC32DB">
      <w:pPr>
        <w:pStyle w:val="FootnoteText"/>
        <w:ind w:firstLine="0"/>
        <w:jc w:val="left"/>
        <w:rPr>
          <w:rFonts w:ascii="Times New Roman" w:hAnsi="Times New Roman" w:cs="Times New Roman"/>
        </w:rPr>
      </w:pPr>
      <w:r>
        <w:rPr>
          <w:rStyle w:val="FootnoteReference"/>
        </w:rPr>
        <w:footnoteRef/>
      </w:r>
      <w:r>
        <w:t xml:space="preserve"> </w:t>
      </w:r>
      <w:r w:rsidRPr="005A2ECE">
        <w:rPr>
          <w:rFonts w:ascii="Times New Roman" w:hAnsi="Times New Roman" w:cs="Times New Roman"/>
        </w:rPr>
        <w:t>PVN plaisas 201</w:t>
      </w:r>
      <w:r>
        <w:rPr>
          <w:rFonts w:ascii="Times New Roman" w:hAnsi="Times New Roman" w:cs="Times New Roman"/>
        </w:rPr>
        <w:t>9</w:t>
      </w:r>
      <w:r w:rsidRPr="005A2ECE">
        <w:rPr>
          <w:rFonts w:ascii="Times New Roman" w:hAnsi="Times New Roman" w:cs="Times New Roman"/>
        </w:rPr>
        <w:t>.</w:t>
      </w:r>
      <w:r>
        <w:rPr>
          <w:rFonts w:ascii="Times New Roman" w:hAnsi="Times New Roman" w:cs="Times New Roman"/>
        </w:rPr>
        <w:t> </w:t>
      </w:r>
      <w:r w:rsidRPr="005A2ECE">
        <w:rPr>
          <w:rFonts w:ascii="Times New Roman" w:hAnsi="Times New Roman" w:cs="Times New Roman"/>
        </w:rPr>
        <w:t xml:space="preserve">gada novērtējums, VID </w:t>
      </w:r>
      <w:hyperlink r:id="rId6" w:history="1">
        <w:r w:rsidRPr="00BB3FD8">
          <w:rPr>
            <w:rStyle w:val="Hyperlink"/>
            <w:rFonts w:ascii="Times New Roman" w:hAnsi="Times New Roman" w:cs="Times New Roman"/>
          </w:rPr>
          <w:t>https://www.vid.gov.lv/lv/par-2019-gadu</w:t>
        </w:r>
      </w:hyperlink>
      <w:r w:rsidRPr="00BB3FD8">
        <w:rPr>
          <w:rFonts w:ascii="Times New Roman" w:hAnsi="Times New Roman" w:cs="Times New Roman"/>
          <w:color w:val="1F497D"/>
        </w:rPr>
        <w:t>.</w:t>
      </w:r>
      <w:r w:rsidRPr="00BB3FD8" w:rsidDel="00A01DC2">
        <w:rPr>
          <w:rFonts w:ascii="Times New Roman" w:hAnsi="Times New Roman" w:cs="Times New Roman"/>
        </w:rPr>
        <w:t xml:space="preserve"> </w:t>
      </w:r>
    </w:p>
  </w:footnote>
  <w:footnote w:id="11">
    <w:p w14:paraId="1CA1B6F8" w14:textId="77777777" w:rsidR="004A7BDB" w:rsidRDefault="004A7BDB" w:rsidP="009848B7">
      <w:pPr>
        <w:pStyle w:val="FootnoteText"/>
        <w:ind w:firstLine="0"/>
      </w:pPr>
      <w:r>
        <w:rPr>
          <w:rStyle w:val="FootnoteReference"/>
        </w:rPr>
        <w:footnoteRef/>
      </w:r>
      <w:r>
        <w:t xml:space="preserve"> </w:t>
      </w:r>
      <w:r w:rsidRPr="00891453">
        <w:rPr>
          <w:rFonts w:ascii="Times New Roman" w:hAnsi="Times New Roman" w:cs="Times New Roman"/>
        </w:rPr>
        <w:t>Ministru kabineta rīkojums Nr.210 “Par Valdības rīcības plānu Deklarācijas par Artura Krišjāņa Kariņa vadītā ministru kabineta iecerēto darbību īstenošanai”, Pieņemts: 07.05.2019., Publicēts: 09.05.2019. Latvijas Vēstnesis Nr.91</w:t>
      </w:r>
      <w:r w:rsidRPr="00891453">
        <w:rPr>
          <w:rStyle w:val="Hyperlink"/>
          <w:rFonts w:ascii="Times New Roman" w:hAnsi="Times New Roman" w:cs="Times New Roman"/>
          <w:color w:val="auto"/>
        </w:rPr>
        <w:t>;</w:t>
      </w:r>
      <w:r w:rsidRPr="00891453">
        <w:rPr>
          <w:rFonts w:ascii="Times New Roman" w:hAnsi="Times New Roman" w:cs="Times New Roman"/>
        </w:rPr>
        <w:t xml:space="preserve"> </w:t>
      </w:r>
    </w:p>
  </w:footnote>
  <w:footnote w:id="12">
    <w:p w14:paraId="02F502EB" w14:textId="77777777" w:rsidR="004A7BDB" w:rsidRPr="000046E8" w:rsidRDefault="004A7BDB" w:rsidP="00BF6DBB">
      <w:pPr>
        <w:ind w:firstLine="0"/>
        <w:rPr>
          <w:rFonts w:ascii="Times New Roman" w:hAnsi="Times New Roman" w:cs="Times New Roman"/>
        </w:rPr>
      </w:pPr>
      <w:r>
        <w:rPr>
          <w:rStyle w:val="FootnoteReference"/>
        </w:rPr>
        <w:footnoteRef/>
      </w:r>
      <w:r w:rsidRPr="0039767D">
        <w:rPr>
          <w:rFonts w:ascii="Times New Roman" w:hAnsi="Times New Roman" w:cs="Times New Roman"/>
          <w:sz w:val="20"/>
          <w:szCs w:val="20"/>
        </w:rPr>
        <w:t>Ieg</w:t>
      </w:r>
      <w:r>
        <w:rPr>
          <w:rFonts w:ascii="Times New Roman" w:hAnsi="Times New Roman" w:cs="Times New Roman"/>
          <w:sz w:val="20"/>
          <w:szCs w:val="20"/>
        </w:rPr>
        <w:t>ūts</w:t>
      </w:r>
      <w:r>
        <w:t>: </w:t>
      </w:r>
      <w:hyperlink r:id="rId7" w:history="1">
        <w:r w:rsidRPr="00AA1E64">
          <w:rPr>
            <w:rStyle w:val="Hyperlink"/>
            <w:rFonts w:ascii="Times New Roman" w:hAnsi="Times New Roman" w:cs="Times New Roman"/>
          </w:rPr>
          <w:t>https://www.latvijasbuvnieki.lv/research/petijuma-enu-ekonomikas-indekss-latvijas-buvnieciba-2015-2019/</w:t>
        </w:r>
      </w:hyperlink>
    </w:p>
    <w:p w14:paraId="0C7D950A" w14:textId="77777777" w:rsidR="004A7BDB" w:rsidRDefault="004A7BDB" w:rsidP="00270BEC">
      <w:pPr>
        <w:ind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3B9"/>
    <w:multiLevelType w:val="hybridMultilevel"/>
    <w:tmpl w:val="3C74862C"/>
    <w:lvl w:ilvl="0" w:tplc="EBA6E6FA">
      <w:start w:val="1"/>
      <w:numFmt w:val="bullet"/>
      <w:lvlText w:val="•"/>
      <w:lvlJc w:val="left"/>
      <w:pPr>
        <w:tabs>
          <w:tab w:val="num" w:pos="720"/>
        </w:tabs>
        <w:ind w:left="720" w:hanging="360"/>
      </w:pPr>
      <w:rPr>
        <w:rFonts w:ascii="Arial" w:hAnsi="Arial" w:hint="default"/>
      </w:rPr>
    </w:lvl>
    <w:lvl w:ilvl="1" w:tplc="A216D8A8" w:tentative="1">
      <w:start w:val="1"/>
      <w:numFmt w:val="bullet"/>
      <w:lvlText w:val="•"/>
      <w:lvlJc w:val="left"/>
      <w:pPr>
        <w:tabs>
          <w:tab w:val="num" w:pos="1440"/>
        </w:tabs>
        <w:ind w:left="1440" w:hanging="360"/>
      </w:pPr>
      <w:rPr>
        <w:rFonts w:ascii="Arial" w:hAnsi="Arial" w:hint="default"/>
      </w:rPr>
    </w:lvl>
    <w:lvl w:ilvl="2" w:tplc="2B223D88" w:tentative="1">
      <w:start w:val="1"/>
      <w:numFmt w:val="bullet"/>
      <w:lvlText w:val="•"/>
      <w:lvlJc w:val="left"/>
      <w:pPr>
        <w:tabs>
          <w:tab w:val="num" w:pos="2160"/>
        </w:tabs>
        <w:ind w:left="2160" w:hanging="360"/>
      </w:pPr>
      <w:rPr>
        <w:rFonts w:ascii="Arial" w:hAnsi="Arial" w:hint="default"/>
      </w:rPr>
    </w:lvl>
    <w:lvl w:ilvl="3" w:tplc="F9A61B46" w:tentative="1">
      <w:start w:val="1"/>
      <w:numFmt w:val="bullet"/>
      <w:lvlText w:val="•"/>
      <w:lvlJc w:val="left"/>
      <w:pPr>
        <w:tabs>
          <w:tab w:val="num" w:pos="2880"/>
        </w:tabs>
        <w:ind w:left="2880" w:hanging="360"/>
      </w:pPr>
      <w:rPr>
        <w:rFonts w:ascii="Arial" w:hAnsi="Arial" w:hint="default"/>
      </w:rPr>
    </w:lvl>
    <w:lvl w:ilvl="4" w:tplc="D4BE179E" w:tentative="1">
      <w:start w:val="1"/>
      <w:numFmt w:val="bullet"/>
      <w:lvlText w:val="•"/>
      <w:lvlJc w:val="left"/>
      <w:pPr>
        <w:tabs>
          <w:tab w:val="num" w:pos="3600"/>
        </w:tabs>
        <w:ind w:left="3600" w:hanging="360"/>
      </w:pPr>
      <w:rPr>
        <w:rFonts w:ascii="Arial" w:hAnsi="Arial" w:hint="default"/>
      </w:rPr>
    </w:lvl>
    <w:lvl w:ilvl="5" w:tplc="87A43D60" w:tentative="1">
      <w:start w:val="1"/>
      <w:numFmt w:val="bullet"/>
      <w:lvlText w:val="•"/>
      <w:lvlJc w:val="left"/>
      <w:pPr>
        <w:tabs>
          <w:tab w:val="num" w:pos="4320"/>
        </w:tabs>
        <w:ind w:left="4320" w:hanging="360"/>
      </w:pPr>
      <w:rPr>
        <w:rFonts w:ascii="Arial" w:hAnsi="Arial" w:hint="default"/>
      </w:rPr>
    </w:lvl>
    <w:lvl w:ilvl="6" w:tplc="E7869BCE" w:tentative="1">
      <w:start w:val="1"/>
      <w:numFmt w:val="bullet"/>
      <w:lvlText w:val="•"/>
      <w:lvlJc w:val="left"/>
      <w:pPr>
        <w:tabs>
          <w:tab w:val="num" w:pos="5040"/>
        </w:tabs>
        <w:ind w:left="5040" w:hanging="360"/>
      </w:pPr>
      <w:rPr>
        <w:rFonts w:ascii="Arial" w:hAnsi="Arial" w:hint="default"/>
      </w:rPr>
    </w:lvl>
    <w:lvl w:ilvl="7" w:tplc="AB9AE400" w:tentative="1">
      <w:start w:val="1"/>
      <w:numFmt w:val="bullet"/>
      <w:lvlText w:val="•"/>
      <w:lvlJc w:val="left"/>
      <w:pPr>
        <w:tabs>
          <w:tab w:val="num" w:pos="5760"/>
        </w:tabs>
        <w:ind w:left="5760" w:hanging="360"/>
      </w:pPr>
      <w:rPr>
        <w:rFonts w:ascii="Arial" w:hAnsi="Arial" w:hint="default"/>
      </w:rPr>
    </w:lvl>
    <w:lvl w:ilvl="8" w:tplc="939078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E93AA1"/>
    <w:multiLevelType w:val="hybridMultilevel"/>
    <w:tmpl w:val="89B427E8"/>
    <w:lvl w:ilvl="0" w:tplc="3F9217D4">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6011C14"/>
    <w:multiLevelType w:val="hybridMultilevel"/>
    <w:tmpl w:val="E86AAD0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0982B01"/>
    <w:multiLevelType w:val="hybridMultilevel"/>
    <w:tmpl w:val="799E0262"/>
    <w:lvl w:ilvl="0" w:tplc="BFCEB6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86B5C61"/>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10E7F78"/>
    <w:multiLevelType w:val="hybridMultilevel"/>
    <w:tmpl w:val="86C24666"/>
    <w:lvl w:ilvl="0" w:tplc="6FE0873C">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752D1DE2"/>
    <w:multiLevelType w:val="hybridMultilevel"/>
    <w:tmpl w:val="5F7A32A8"/>
    <w:lvl w:ilvl="0" w:tplc="04260001">
      <w:start w:val="1"/>
      <w:numFmt w:val="bullet"/>
      <w:lvlText w:val=""/>
      <w:lvlJc w:val="left"/>
      <w:pPr>
        <w:ind w:left="1504" w:hanging="360"/>
      </w:pPr>
      <w:rPr>
        <w:rFonts w:ascii="Symbol" w:hAnsi="Symbol" w:hint="default"/>
      </w:rPr>
    </w:lvl>
    <w:lvl w:ilvl="1" w:tplc="04260003" w:tentative="1">
      <w:start w:val="1"/>
      <w:numFmt w:val="bullet"/>
      <w:lvlText w:val="o"/>
      <w:lvlJc w:val="left"/>
      <w:pPr>
        <w:ind w:left="2224" w:hanging="360"/>
      </w:pPr>
      <w:rPr>
        <w:rFonts w:ascii="Courier New" w:hAnsi="Courier New" w:cs="Courier New" w:hint="default"/>
      </w:rPr>
    </w:lvl>
    <w:lvl w:ilvl="2" w:tplc="04260005" w:tentative="1">
      <w:start w:val="1"/>
      <w:numFmt w:val="bullet"/>
      <w:lvlText w:val=""/>
      <w:lvlJc w:val="left"/>
      <w:pPr>
        <w:ind w:left="2944" w:hanging="360"/>
      </w:pPr>
      <w:rPr>
        <w:rFonts w:ascii="Wingdings" w:hAnsi="Wingdings" w:hint="default"/>
      </w:rPr>
    </w:lvl>
    <w:lvl w:ilvl="3" w:tplc="04260001" w:tentative="1">
      <w:start w:val="1"/>
      <w:numFmt w:val="bullet"/>
      <w:lvlText w:val=""/>
      <w:lvlJc w:val="left"/>
      <w:pPr>
        <w:ind w:left="3664" w:hanging="360"/>
      </w:pPr>
      <w:rPr>
        <w:rFonts w:ascii="Symbol" w:hAnsi="Symbol" w:hint="default"/>
      </w:rPr>
    </w:lvl>
    <w:lvl w:ilvl="4" w:tplc="04260003" w:tentative="1">
      <w:start w:val="1"/>
      <w:numFmt w:val="bullet"/>
      <w:lvlText w:val="o"/>
      <w:lvlJc w:val="left"/>
      <w:pPr>
        <w:ind w:left="4384" w:hanging="360"/>
      </w:pPr>
      <w:rPr>
        <w:rFonts w:ascii="Courier New" w:hAnsi="Courier New" w:cs="Courier New" w:hint="default"/>
      </w:rPr>
    </w:lvl>
    <w:lvl w:ilvl="5" w:tplc="04260005" w:tentative="1">
      <w:start w:val="1"/>
      <w:numFmt w:val="bullet"/>
      <w:lvlText w:val=""/>
      <w:lvlJc w:val="left"/>
      <w:pPr>
        <w:ind w:left="5104" w:hanging="360"/>
      </w:pPr>
      <w:rPr>
        <w:rFonts w:ascii="Wingdings" w:hAnsi="Wingdings" w:hint="default"/>
      </w:rPr>
    </w:lvl>
    <w:lvl w:ilvl="6" w:tplc="04260001" w:tentative="1">
      <w:start w:val="1"/>
      <w:numFmt w:val="bullet"/>
      <w:lvlText w:val=""/>
      <w:lvlJc w:val="left"/>
      <w:pPr>
        <w:ind w:left="5824" w:hanging="360"/>
      </w:pPr>
      <w:rPr>
        <w:rFonts w:ascii="Symbol" w:hAnsi="Symbol" w:hint="default"/>
      </w:rPr>
    </w:lvl>
    <w:lvl w:ilvl="7" w:tplc="04260003" w:tentative="1">
      <w:start w:val="1"/>
      <w:numFmt w:val="bullet"/>
      <w:lvlText w:val="o"/>
      <w:lvlJc w:val="left"/>
      <w:pPr>
        <w:ind w:left="6544" w:hanging="360"/>
      </w:pPr>
      <w:rPr>
        <w:rFonts w:ascii="Courier New" w:hAnsi="Courier New" w:cs="Courier New" w:hint="default"/>
      </w:rPr>
    </w:lvl>
    <w:lvl w:ilvl="8" w:tplc="04260005" w:tentative="1">
      <w:start w:val="1"/>
      <w:numFmt w:val="bullet"/>
      <w:lvlText w:val=""/>
      <w:lvlJc w:val="left"/>
      <w:pPr>
        <w:ind w:left="7264"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BC"/>
    <w:rsid w:val="00000D6D"/>
    <w:rsid w:val="00003068"/>
    <w:rsid w:val="00005130"/>
    <w:rsid w:val="00011265"/>
    <w:rsid w:val="0001324C"/>
    <w:rsid w:val="00015BE9"/>
    <w:rsid w:val="00016374"/>
    <w:rsid w:val="00017672"/>
    <w:rsid w:val="0002015C"/>
    <w:rsid w:val="00020D37"/>
    <w:rsid w:val="000233E4"/>
    <w:rsid w:val="0002463E"/>
    <w:rsid w:val="00025967"/>
    <w:rsid w:val="000314F7"/>
    <w:rsid w:val="00033E92"/>
    <w:rsid w:val="0003471D"/>
    <w:rsid w:val="0003612C"/>
    <w:rsid w:val="00037227"/>
    <w:rsid w:val="00037D73"/>
    <w:rsid w:val="0004395B"/>
    <w:rsid w:val="00043AC0"/>
    <w:rsid w:val="0004488D"/>
    <w:rsid w:val="000539BB"/>
    <w:rsid w:val="000563CA"/>
    <w:rsid w:val="0006334C"/>
    <w:rsid w:val="00070284"/>
    <w:rsid w:val="000805A3"/>
    <w:rsid w:val="00080C73"/>
    <w:rsid w:val="00083D1C"/>
    <w:rsid w:val="00086C88"/>
    <w:rsid w:val="00086DAF"/>
    <w:rsid w:val="00087FE3"/>
    <w:rsid w:val="00092146"/>
    <w:rsid w:val="00093318"/>
    <w:rsid w:val="00094D60"/>
    <w:rsid w:val="000971C1"/>
    <w:rsid w:val="00097493"/>
    <w:rsid w:val="000A09BF"/>
    <w:rsid w:val="000A180F"/>
    <w:rsid w:val="000A5FB4"/>
    <w:rsid w:val="000B0071"/>
    <w:rsid w:val="000B00A8"/>
    <w:rsid w:val="000B0DCC"/>
    <w:rsid w:val="000B2A43"/>
    <w:rsid w:val="000C08BE"/>
    <w:rsid w:val="000C5D94"/>
    <w:rsid w:val="000C645C"/>
    <w:rsid w:val="000C7427"/>
    <w:rsid w:val="000D1BBB"/>
    <w:rsid w:val="000D3A84"/>
    <w:rsid w:val="000D7397"/>
    <w:rsid w:val="000D7F68"/>
    <w:rsid w:val="000E081F"/>
    <w:rsid w:val="000E24EB"/>
    <w:rsid w:val="000E3330"/>
    <w:rsid w:val="000E5E8F"/>
    <w:rsid w:val="000F4241"/>
    <w:rsid w:val="000F42E3"/>
    <w:rsid w:val="000F5317"/>
    <w:rsid w:val="001003A7"/>
    <w:rsid w:val="00100EB8"/>
    <w:rsid w:val="001026C8"/>
    <w:rsid w:val="0010425A"/>
    <w:rsid w:val="00112940"/>
    <w:rsid w:val="00114176"/>
    <w:rsid w:val="001202AB"/>
    <w:rsid w:val="00120DC4"/>
    <w:rsid w:val="00121F15"/>
    <w:rsid w:val="001275C9"/>
    <w:rsid w:val="0013108F"/>
    <w:rsid w:val="00136AA3"/>
    <w:rsid w:val="001373C9"/>
    <w:rsid w:val="0013778D"/>
    <w:rsid w:val="00143555"/>
    <w:rsid w:val="0014580A"/>
    <w:rsid w:val="00152396"/>
    <w:rsid w:val="00154189"/>
    <w:rsid w:val="00155FA2"/>
    <w:rsid w:val="001576D5"/>
    <w:rsid w:val="00166EF9"/>
    <w:rsid w:val="00174B59"/>
    <w:rsid w:val="00175346"/>
    <w:rsid w:val="00175D11"/>
    <w:rsid w:val="00177B54"/>
    <w:rsid w:val="00177CEA"/>
    <w:rsid w:val="00180624"/>
    <w:rsid w:val="00180B4D"/>
    <w:rsid w:val="00181537"/>
    <w:rsid w:val="00182A64"/>
    <w:rsid w:val="00182EC7"/>
    <w:rsid w:val="00183B67"/>
    <w:rsid w:val="00184A3A"/>
    <w:rsid w:val="00187ACD"/>
    <w:rsid w:val="001911C7"/>
    <w:rsid w:val="00191825"/>
    <w:rsid w:val="00194E58"/>
    <w:rsid w:val="001A0097"/>
    <w:rsid w:val="001A30FC"/>
    <w:rsid w:val="001A4780"/>
    <w:rsid w:val="001A59CA"/>
    <w:rsid w:val="001A64D7"/>
    <w:rsid w:val="001A6C79"/>
    <w:rsid w:val="001B0626"/>
    <w:rsid w:val="001B1358"/>
    <w:rsid w:val="001B2CF9"/>
    <w:rsid w:val="001B3F30"/>
    <w:rsid w:val="001B5522"/>
    <w:rsid w:val="001D33D2"/>
    <w:rsid w:val="001D5481"/>
    <w:rsid w:val="001E1302"/>
    <w:rsid w:val="001E1FFF"/>
    <w:rsid w:val="001E2310"/>
    <w:rsid w:val="001E3EC4"/>
    <w:rsid w:val="001E5375"/>
    <w:rsid w:val="001E5743"/>
    <w:rsid w:val="001E7993"/>
    <w:rsid w:val="001E7E23"/>
    <w:rsid w:val="001F18F3"/>
    <w:rsid w:val="001F2B95"/>
    <w:rsid w:val="001F402E"/>
    <w:rsid w:val="001F6633"/>
    <w:rsid w:val="002005AA"/>
    <w:rsid w:val="002014F9"/>
    <w:rsid w:val="002042B2"/>
    <w:rsid w:val="00205977"/>
    <w:rsid w:val="00207FE4"/>
    <w:rsid w:val="002105BC"/>
    <w:rsid w:val="002114BD"/>
    <w:rsid w:val="00212586"/>
    <w:rsid w:val="00216F71"/>
    <w:rsid w:val="0022066D"/>
    <w:rsid w:val="00220C43"/>
    <w:rsid w:val="00221C20"/>
    <w:rsid w:val="00223B40"/>
    <w:rsid w:val="00223EF8"/>
    <w:rsid w:val="002265AF"/>
    <w:rsid w:val="00227740"/>
    <w:rsid w:val="00231592"/>
    <w:rsid w:val="00235E16"/>
    <w:rsid w:val="0024457B"/>
    <w:rsid w:val="00246E27"/>
    <w:rsid w:val="0024714B"/>
    <w:rsid w:val="00253A12"/>
    <w:rsid w:val="0025622F"/>
    <w:rsid w:val="002611C7"/>
    <w:rsid w:val="002617AF"/>
    <w:rsid w:val="00267C52"/>
    <w:rsid w:val="00270BEC"/>
    <w:rsid w:val="00273BBF"/>
    <w:rsid w:val="00276EE2"/>
    <w:rsid w:val="0027792A"/>
    <w:rsid w:val="002815E2"/>
    <w:rsid w:val="00282733"/>
    <w:rsid w:val="00287008"/>
    <w:rsid w:val="0029093D"/>
    <w:rsid w:val="00296E94"/>
    <w:rsid w:val="00296FC4"/>
    <w:rsid w:val="002973BF"/>
    <w:rsid w:val="00297698"/>
    <w:rsid w:val="002A23E8"/>
    <w:rsid w:val="002A5190"/>
    <w:rsid w:val="002A6CB2"/>
    <w:rsid w:val="002B3E02"/>
    <w:rsid w:val="002B5D9F"/>
    <w:rsid w:val="002C3DC0"/>
    <w:rsid w:val="002C5C47"/>
    <w:rsid w:val="002C5D01"/>
    <w:rsid w:val="002C6377"/>
    <w:rsid w:val="002D6876"/>
    <w:rsid w:val="002D7C5B"/>
    <w:rsid w:val="002E0908"/>
    <w:rsid w:val="002E101D"/>
    <w:rsid w:val="002E18EA"/>
    <w:rsid w:val="002E258C"/>
    <w:rsid w:val="002E5950"/>
    <w:rsid w:val="002E7A45"/>
    <w:rsid w:val="002F01B2"/>
    <w:rsid w:val="002F0C76"/>
    <w:rsid w:val="002F1F9D"/>
    <w:rsid w:val="002F2953"/>
    <w:rsid w:val="002F3CBA"/>
    <w:rsid w:val="002F62D3"/>
    <w:rsid w:val="002F6D65"/>
    <w:rsid w:val="00303D37"/>
    <w:rsid w:val="00306F09"/>
    <w:rsid w:val="0030738E"/>
    <w:rsid w:val="00310A6B"/>
    <w:rsid w:val="00313803"/>
    <w:rsid w:val="00317473"/>
    <w:rsid w:val="00321D3B"/>
    <w:rsid w:val="00323885"/>
    <w:rsid w:val="003250FD"/>
    <w:rsid w:val="00325DB7"/>
    <w:rsid w:val="00327F7B"/>
    <w:rsid w:val="00330BC3"/>
    <w:rsid w:val="00336244"/>
    <w:rsid w:val="00336FFA"/>
    <w:rsid w:val="0033746A"/>
    <w:rsid w:val="00340C17"/>
    <w:rsid w:val="003418B8"/>
    <w:rsid w:val="00341EE8"/>
    <w:rsid w:val="003430B9"/>
    <w:rsid w:val="0034409E"/>
    <w:rsid w:val="00344229"/>
    <w:rsid w:val="00344BA3"/>
    <w:rsid w:val="0034533E"/>
    <w:rsid w:val="00347955"/>
    <w:rsid w:val="003511DE"/>
    <w:rsid w:val="00352353"/>
    <w:rsid w:val="0035371C"/>
    <w:rsid w:val="0035791D"/>
    <w:rsid w:val="00364872"/>
    <w:rsid w:val="003708EB"/>
    <w:rsid w:val="00370C76"/>
    <w:rsid w:val="00374AA0"/>
    <w:rsid w:val="003759A5"/>
    <w:rsid w:val="003763EA"/>
    <w:rsid w:val="00376C45"/>
    <w:rsid w:val="0038256D"/>
    <w:rsid w:val="003838FD"/>
    <w:rsid w:val="003864BA"/>
    <w:rsid w:val="00386D4B"/>
    <w:rsid w:val="00387F18"/>
    <w:rsid w:val="003942D8"/>
    <w:rsid w:val="00394AA7"/>
    <w:rsid w:val="0039767D"/>
    <w:rsid w:val="003A0D91"/>
    <w:rsid w:val="003A143C"/>
    <w:rsid w:val="003B0759"/>
    <w:rsid w:val="003B2087"/>
    <w:rsid w:val="003B32C6"/>
    <w:rsid w:val="003B4ABC"/>
    <w:rsid w:val="003B6E4B"/>
    <w:rsid w:val="003B740A"/>
    <w:rsid w:val="003C4635"/>
    <w:rsid w:val="003D05B5"/>
    <w:rsid w:val="003D096D"/>
    <w:rsid w:val="003D17A7"/>
    <w:rsid w:val="003D1CE5"/>
    <w:rsid w:val="003D7033"/>
    <w:rsid w:val="003E1F93"/>
    <w:rsid w:val="003E473C"/>
    <w:rsid w:val="003E5C59"/>
    <w:rsid w:val="003E684B"/>
    <w:rsid w:val="003E70B7"/>
    <w:rsid w:val="003E7897"/>
    <w:rsid w:val="003F166A"/>
    <w:rsid w:val="00400488"/>
    <w:rsid w:val="00400FFE"/>
    <w:rsid w:val="004110B7"/>
    <w:rsid w:val="0041288F"/>
    <w:rsid w:val="00413BB3"/>
    <w:rsid w:val="00415A88"/>
    <w:rsid w:val="004212BF"/>
    <w:rsid w:val="0042400B"/>
    <w:rsid w:val="0043308B"/>
    <w:rsid w:val="00434ADA"/>
    <w:rsid w:val="00437685"/>
    <w:rsid w:val="0043789A"/>
    <w:rsid w:val="004439B4"/>
    <w:rsid w:val="00452513"/>
    <w:rsid w:val="00453D66"/>
    <w:rsid w:val="00456F06"/>
    <w:rsid w:val="00457522"/>
    <w:rsid w:val="00462A0F"/>
    <w:rsid w:val="00467042"/>
    <w:rsid w:val="00467BC6"/>
    <w:rsid w:val="00476610"/>
    <w:rsid w:val="00484977"/>
    <w:rsid w:val="00485B4B"/>
    <w:rsid w:val="00485F09"/>
    <w:rsid w:val="00486972"/>
    <w:rsid w:val="004932C6"/>
    <w:rsid w:val="004939A4"/>
    <w:rsid w:val="00495A7B"/>
    <w:rsid w:val="00497CF9"/>
    <w:rsid w:val="004A1CC7"/>
    <w:rsid w:val="004A21B5"/>
    <w:rsid w:val="004A4BC9"/>
    <w:rsid w:val="004A6AE9"/>
    <w:rsid w:val="004A7BDB"/>
    <w:rsid w:val="004B0CC5"/>
    <w:rsid w:val="004B1C68"/>
    <w:rsid w:val="004C48B6"/>
    <w:rsid w:val="004C704A"/>
    <w:rsid w:val="004D07C7"/>
    <w:rsid w:val="004D640B"/>
    <w:rsid w:val="004D648B"/>
    <w:rsid w:val="004D699F"/>
    <w:rsid w:val="004F0FBE"/>
    <w:rsid w:val="004F25BB"/>
    <w:rsid w:val="004F4047"/>
    <w:rsid w:val="004F52B5"/>
    <w:rsid w:val="00500018"/>
    <w:rsid w:val="005023AF"/>
    <w:rsid w:val="0050369B"/>
    <w:rsid w:val="0050454D"/>
    <w:rsid w:val="00505DA3"/>
    <w:rsid w:val="00505FE0"/>
    <w:rsid w:val="0051319A"/>
    <w:rsid w:val="00513C82"/>
    <w:rsid w:val="005168FC"/>
    <w:rsid w:val="00516E13"/>
    <w:rsid w:val="00517F8D"/>
    <w:rsid w:val="005207A8"/>
    <w:rsid w:val="00521452"/>
    <w:rsid w:val="00523131"/>
    <w:rsid w:val="00527FC8"/>
    <w:rsid w:val="005326D5"/>
    <w:rsid w:val="00532D30"/>
    <w:rsid w:val="00533715"/>
    <w:rsid w:val="0053648F"/>
    <w:rsid w:val="00536858"/>
    <w:rsid w:val="005378F6"/>
    <w:rsid w:val="00550F7F"/>
    <w:rsid w:val="00551AD3"/>
    <w:rsid w:val="0055245F"/>
    <w:rsid w:val="0055386A"/>
    <w:rsid w:val="00553FF7"/>
    <w:rsid w:val="005578B4"/>
    <w:rsid w:val="0056044C"/>
    <w:rsid w:val="005670E3"/>
    <w:rsid w:val="00567B2C"/>
    <w:rsid w:val="00572729"/>
    <w:rsid w:val="00573A92"/>
    <w:rsid w:val="00574833"/>
    <w:rsid w:val="00575537"/>
    <w:rsid w:val="0057595C"/>
    <w:rsid w:val="00580883"/>
    <w:rsid w:val="0058363A"/>
    <w:rsid w:val="00584703"/>
    <w:rsid w:val="00585854"/>
    <w:rsid w:val="00586680"/>
    <w:rsid w:val="00587D81"/>
    <w:rsid w:val="00592F7F"/>
    <w:rsid w:val="00594D91"/>
    <w:rsid w:val="00595284"/>
    <w:rsid w:val="005A2602"/>
    <w:rsid w:val="005A2ECE"/>
    <w:rsid w:val="005A460B"/>
    <w:rsid w:val="005B1444"/>
    <w:rsid w:val="005B2E30"/>
    <w:rsid w:val="005C0114"/>
    <w:rsid w:val="005C116D"/>
    <w:rsid w:val="005C2B22"/>
    <w:rsid w:val="005D2129"/>
    <w:rsid w:val="005D2C67"/>
    <w:rsid w:val="005D38B1"/>
    <w:rsid w:val="005D609F"/>
    <w:rsid w:val="005E002C"/>
    <w:rsid w:val="005E355A"/>
    <w:rsid w:val="005E4938"/>
    <w:rsid w:val="005E61EA"/>
    <w:rsid w:val="005E6D73"/>
    <w:rsid w:val="005E7765"/>
    <w:rsid w:val="005F2D07"/>
    <w:rsid w:val="005F5145"/>
    <w:rsid w:val="006004BB"/>
    <w:rsid w:val="00601B4B"/>
    <w:rsid w:val="006023D6"/>
    <w:rsid w:val="00605552"/>
    <w:rsid w:val="0061093B"/>
    <w:rsid w:val="00615B8C"/>
    <w:rsid w:val="00615C19"/>
    <w:rsid w:val="0061639E"/>
    <w:rsid w:val="00616FA3"/>
    <w:rsid w:val="00620CA2"/>
    <w:rsid w:val="00621664"/>
    <w:rsid w:val="00623BC5"/>
    <w:rsid w:val="00624F5B"/>
    <w:rsid w:val="00625266"/>
    <w:rsid w:val="006365A5"/>
    <w:rsid w:val="00647163"/>
    <w:rsid w:val="00651F7B"/>
    <w:rsid w:val="006535B8"/>
    <w:rsid w:val="00654C12"/>
    <w:rsid w:val="00655B15"/>
    <w:rsid w:val="006575E2"/>
    <w:rsid w:val="0065765D"/>
    <w:rsid w:val="00660709"/>
    <w:rsid w:val="006610BF"/>
    <w:rsid w:val="00662C88"/>
    <w:rsid w:val="00665C9B"/>
    <w:rsid w:val="006662AC"/>
    <w:rsid w:val="00670643"/>
    <w:rsid w:val="00671F2E"/>
    <w:rsid w:val="006731F9"/>
    <w:rsid w:val="00674EC7"/>
    <w:rsid w:val="00680070"/>
    <w:rsid w:val="00681FD4"/>
    <w:rsid w:val="00682221"/>
    <w:rsid w:val="00683AD9"/>
    <w:rsid w:val="00683F5A"/>
    <w:rsid w:val="006910E9"/>
    <w:rsid w:val="006A18BC"/>
    <w:rsid w:val="006A2832"/>
    <w:rsid w:val="006A47D3"/>
    <w:rsid w:val="006A55F4"/>
    <w:rsid w:val="006A58EF"/>
    <w:rsid w:val="006B450B"/>
    <w:rsid w:val="006B731B"/>
    <w:rsid w:val="006C048C"/>
    <w:rsid w:val="006C49AE"/>
    <w:rsid w:val="006C5195"/>
    <w:rsid w:val="006C6263"/>
    <w:rsid w:val="006C688C"/>
    <w:rsid w:val="006C6D19"/>
    <w:rsid w:val="006D4C3C"/>
    <w:rsid w:val="006D54AC"/>
    <w:rsid w:val="006D5DA8"/>
    <w:rsid w:val="006D7ACD"/>
    <w:rsid w:val="006E039A"/>
    <w:rsid w:val="006E7BF6"/>
    <w:rsid w:val="006F38D3"/>
    <w:rsid w:val="006F52F1"/>
    <w:rsid w:val="006F6C03"/>
    <w:rsid w:val="006F7225"/>
    <w:rsid w:val="00700AE9"/>
    <w:rsid w:val="00700C0F"/>
    <w:rsid w:val="007028EF"/>
    <w:rsid w:val="00703C61"/>
    <w:rsid w:val="00704C31"/>
    <w:rsid w:val="0070602C"/>
    <w:rsid w:val="00707004"/>
    <w:rsid w:val="00711448"/>
    <w:rsid w:val="0071166E"/>
    <w:rsid w:val="00711C02"/>
    <w:rsid w:val="00713F3C"/>
    <w:rsid w:val="007336E4"/>
    <w:rsid w:val="00736DD1"/>
    <w:rsid w:val="00737A07"/>
    <w:rsid w:val="00737CB8"/>
    <w:rsid w:val="00737F88"/>
    <w:rsid w:val="00740334"/>
    <w:rsid w:val="00740725"/>
    <w:rsid w:val="00740D81"/>
    <w:rsid w:val="007431B8"/>
    <w:rsid w:val="00746ABD"/>
    <w:rsid w:val="00753E1B"/>
    <w:rsid w:val="007618B5"/>
    <w:rsid w:val="00764C20"/>
    <w:rsid w:val="00764C2B"/>
    <w:rsid w:val="0077167B"/>
    <w:rsid w:val="0077184D"/>
    <w:rsid w:val="0077455A"/>
    <w:rsid w:val="00777C75"/>
    <w:rsid w:val="007852DF"/>
    <w:rsid w:val="00786C60"/>
    <w:rsid w:val="0078721D"/>
    <w:rsid w:val="0078732E"/>
    <w:rsid w:val="00790AE8"/>
    <w:rsid w:val="007952CB"/>
    <w:rsid w:val="007A2B16"/>
    <w:rsid w:val="007A6DBE"/>
    <w:rsid w:val="007B0810"/>
    <w:rsid w:val="007B1110"/>
    <w:rsid w:val="007B20AB"/>
    <w:rsid w:val="007B5587"/>
    <w:rsid w:val="007B7C61"/>
    <w:rsid w:val="007C6B3F"/>
    <w:rsid w:val="007D49BB"/>
    <w:rsid w:val="007E158F"/>
    <w:rsid w:val="007E6A34"/>
    <w:rsid w:val="007E6D0D"/>
    <w:rsid w:val="008041AE"/>
    <w:rsid w:val="0080442F"/>
    <w:rsid w:val="00804D6C"/>
    <w:rsid w:val="0080576B"/>
    <w:rsid w:val="0081248D"/>
    <w:rsid w:val="00815C83"/>
    <w:rsid w:val="008168F5"/>
    <w:rsid w:val="00817989"/>
    <w:rsid w:val="0082014C"/>
    <w:rsid w:val="00823139"/>
    <w:rsid w:val="008273DB"/>
    <w:rsid w:val="008343DB"/>
    <w:rsid w:val="00837F26"/>
    <w:rsid w:val="00841077"/>
    <w:rsid w:val="00842D3D"/>
    <w:rsid w:val="008432C2"/>
    <w:rsid w:val="00852A7C"/>
    <w:rsid w:val="00852AA6"/>
    <w:rsid w:val="00861DDD"/>
    <w:rsid w:val="00866865"/>
    <w:rsid w:val="00870D3D"/>
    <w:rsid w:val="008720B0"/>
    <w:rsid w:val="0087233B"/>
    <w:rsid w:val="0087674D"/>
    <w:rsid w:val="00883E80"/>
    <w:rsid w:val="00883FCC"/>
    <w:rsid w:val="00890F74"/>
    <w:rsid w:val="00891453"/>
    <w:rsid w:val="00891E58"/>
    <w:rsid w:val="00893626"/>
    <w:rsid w:val="00896050"/>
    <w:rsid w:val="008A3AD6"/>
    <w:rsid w:val="008A5A99"/>
    <w:rsid w:val="008A6454"/>
    <w:rsid w:val="008C00FF"/>
    <w:rsid w:val="008C06BB"/>
    <w:rsid w:val="008C0F03"/>
    <w:rsid w:val="008C268C"/>
    <w:rsid w:val="008C401B"/>
    <w:rsid w:val="008D112B"/>
    <w:rsid w:val="008D34A1"/>
    <w:rsid w:val="008D3946"/>
    <w:rsid w:val="008D636E"/>
    <w:rsid w:val="008D743B"/>
    <w:rsid w:val="008E17EC"/>
    <w:rsid w:val="008E539D"/>
    <w:rsid w:val="008E62A7"/>
    <w:rsid w:val="008E718F"/>
    <w:rsid w:val="008F0CE0"/>
    <w:rsid w:val="008F3F62"/>
    <w:rsid w:val="00900462"/>
    <w:rsid w:val="0090119B"/>
    <w:rsid w:val="00904552"/>
    <w:rsid w:val="0090686F"/>
    <w:rsid w:val="00912114"/>
    <w:rsid w:val="00915D4F"/>
    <w:rsid w:val="00915E70"/>
    <w:rsid w:val="009176B2"/>
    <w:rsid w:val="00924D79"/>
    <w:rsid w:val="00924E67"/>
    <w:rsid w:val="009262C9"/>
    <w:rsid w:val="009316D2"/>
    <w:rsid w:val="00931CEB"/>
    <w:rsid w:val="0093344D"/>
    <w:rsid w:val="00937D9A"/>
    <w:rsid w:val="00943483"/>
    <w:rsid w:val="009451C3"/>
    <w:rsid w:val="00945FEE"/>
    <w:rsid w:val="009524EC"/>
    <w:rsid w:val="00957E6A"/>
    <w:rsid w:val="009629BE"/>
    <w:rsid w:val="009707EA"/>
    <w:rsid w:val="00970B86"/>
    <w:rsid w:val="009713FB"/>
    <w:rsid w:val="00971A09"/>
    <w:rsid w:val="00971E77"/>
    <w:rsid w:val="009825A5"/>
    <w:rsid w:val="009848B7"/>
    <w:rsid w:val="00990F7B"/>
    <w:rsid w:val="00993853"/>
    <w:rsid w:val="009944DC"/>
    <w:rsid w:val="00996B25"/>
    <w:rsid w:val="009A09D2"/>
    <w:rsid w:val="009A0DE3"/>
    <w:rsid w:val="009A111D"/>
    <w:rsid w:val="009A328A"/>
    <w:rsid w:val="009A5074"/>
    <w:rsid w:val="009B15E5"/>
    <w:rsid w:val="009B27ED"/>
    <w:rsid w:val="009B5054"/>
    <w:rsid w:val="009B5CA1"/>
    <w:rsid w:val="009B6238"/>
    <w:rsid w:val="009C0401"/>
    <w:rsid w:val="009C2BE5"/>
    <w:rsid w:val="009C4B7F"/>
    <w:rsid w:val="009D2945"/>
    <w:rsid w:val="009D442F"/>
    <w:rsid w:val="009D6029"/>
    <w:rsid w:val="009E1375"/>
    <w:rsid w:val="009F114A"/>
    <w:rsid w:val="00A01DC2"/>
    <w:rsid w:val="00A03BDB"/>
    <w:rsid w:val="00A041DE"/>
    <w:rsid w:val="00A064C6"/>
    <w:rsid w:val="00A11165"/>
    <w:rsid w:val="00A11403"/>
    <w:rsid w:val="00A1722D"/>
    <w:rsid w:val="00A178A4"/>
    <w:rsid w:val="00A22648"/>
    <w:rsid w:val="00A317BD"/>
    <w:rsid w:val="00A3297F"/>
    <w:rsid w:val="00A35C52"/>
    <w:rsid w:val="00A37F88"/>
    <w:rsid w:val="00A4246E"/>
    <w:rsid w:val="00A432C4"/>
    <w:rsid w:val="00A45971"/>
    <w:rsid w:val="00A51F18"/>
    <w:rsid w:val="00A54514"/>
    <w:rsid w:val="00A55042"/>
    <w:rsid w:val="00A61AAF"/>
    <w:rsid w:val="00A64E99"/>
    <w:rsid w:val="00A70393"/>
    <w:rsid w:val="00A7433A"/>
    <w:rsid w:val="00A7476D"/>
    <w:rsid w:val="00A74C81"/>
    <w:rsid w:val="00A74D39"/>
    <w:rsid w:val="00A81641"/>
    <w:rsid w:val="00A828CE"/>
    <w:rsid w:val="00A842A3"/>
    <w:rsid w:val="00A86A8E"/>
    <w:rsid w:val="00A86F95"/>
    <w:rsid w:val="00A87934"/>
    <w:rsid w:val="00A9151F"/>
    <w:rsid w:val="00A91959"/>
    <w:rsid w:val="00A928D7"/>
    <w:rsid w:val="00A9508B"/>
    <w:rsid w:val="00A95D35"/>
    <w:rsid w:val="00AA085B"/>
    <w:rsid w:val="00AA1E64"/>
    <w:rsid w:val="00AA6E47"/>
    <w:rsid w:val="00AB4F81"/>
    <w:rsid w:val="00AB5118"/>
    <w:rsid w:val="00AB7A3F"/>
    <w:rsid w:val="00AB7ABE"/>
    <w:rsid w:val="00AC37A5"/>
    <w:rsid w:val="00AD071D"/>
    <w:rsid w:val="00AD0CA2"/>
    <w:rsid w:val="00AD1A09"/>
    <w:rsid w:val="00AD275B"/>
    <w:rsid w:val="00AD4047"/>
    <w:rsid w:val="00AD42AC"/>
    <w:rsid w:val="00AD63F7"/>
    <w:rsid w:val="00AD71CD"/>
    <w:rsid w:val="00AE2891"/>
    <w:rsid w:val="00AF258A"/>
    <w:rsid w:val="00AF25F8"/>
    <w:rsid w:val="00AF2C06"/>
    <w:rsid w:val="00AF48C6"/>
    <w:rsid w:val="00AF7A90"/>
    <w:rsid w:val="00B0251F"/>
    <w:rsid w:val="00B034F0"/>
    <w:rsid w:val="00B0473E"/>
    <w:rsid w:val="00B07283"/>
    <w:rsid w:val="00B1155B"/>
    <w:rsid w:val="00B14B50"/>
    <w:rsid w:val="00B158C8"/>
    <w:rsid w:val="00B21099"/>
    <w:rsid w:val="00B24D31"/>
    <w:rsid w:val="00B304B9"/>
    <w:rsid w:val="00B3095F"/>
    <w:rsid w:val="00B312B2"/>
    <w:rsid w:val="00B34F30"/>
    <w:rsid w:val="00B37E38"/>
    <w:rsid w:val="00B40E02"/>
    <w:rsid w:val="00B444E1"/>
    <w:rsid w:val="00B45405"/>
    <w:rsid w:val="00B47D21"/>
    <w:rsid w:val="00B52F03"/>
    <w:rsid w:val="00B5462F"/>
    <w:rsid w:val="00B55A49"/>
    <w:rsid w:val="00B61B2B"/>
    <w:rsid w:val="00B62F44"/>
    <w:rsid w:val="00B63A00"/>
    <w:rsid w:val="00B65F27"/>
    <w:rsid w:val="00B70C71"/>
    <w:rsid w:val="00B744FC"/>
    <w:rsid w:val="00B80901"/>
    <w:rsid w:val="00B814EB"/>
    <w:rsid w:val="00B81D05"/>
    <w:rsid w:val="00B93539"/>
    <w:rsid w:val="00B94513"/>
    <w:rsid w:val="00B958DE"/>
    <w:rsid w:val="00BA0380"/>
    <w:rsid w:val="00BA4F58"/>
    <w:rsid w:val="00BA5BDE"/>
    <w:rsid w:val="00BB0458"/>
    <w:rsid w:val="00BB0854"/>
    <w:rsid w:val="00BB2250"/>
    <w:rsid w:val="00BB24F1"/>
    <w:rsid w:val="00BB3FD8"/>
    <w:rsid w:val="00BB5E6C"/>
    <w:rsid w:val="00BC2FF3"/>
    <w:rsid w:val="00BC32DB"/>
    <w:rsid w:val="00BD1335"/>
    <w:rsid w:val="00BD241D"/>
    <w:rsid w:val="00BE29B8"/>
    <w:rsid w:val="00BE4762"/>
    <w:rsid w:val="00BE4995"/>
    <w:rsid w:val="00BE53FF"/>
    <w:rsid w:val="00BE5759"/>
    <w:rsid w:val="00BE7E20"/>
    <w:rsid w:val="00BF40B4"/>
    <w:rsid w:val="00BF6DBB"/>
    <w:rsid w:val="00C03814"/>
    <w:rsid w:val="00C05C4E"/>
    <w:rsid w:val="00C05E35"/>
    <w:rsid w:val="00C10EDE"/>
    <w:rsid w:val="00C123FC"/>
    <w:rsid w:val="00C14268"/>
    <w:rsid w:val="00C144B4"/>
    <w:rsid w:val="00C1664B"/>
    <w:rsid w:val="00C168C2"/>
    <w:rsid w:val="00C20597"/>
    <w:rsid w:val="00C24420"/>
    <w:rsid w:val="00C26BF1"/>
    <w:rsid w:val="00C30059"/>
    <w:rsid w:val="00C309CE"/>
    <w:rsid w:val="00C30A47"/>
    <w:rsid w:val="00C32F32"/>
    <w:rsid w:val="00C33521"/>
    <w:rsid w:val="00C33A6A"/>
    <w:rsid w:val="00C33F9A"/>
    <w:rsid w:val="00C34B8E"/>
    <w:rsid w:val="00C35344"/>
    <w:rsid w:val="00C43736"/>
    <w:rsid w:val="00C47090"/>
    <w:rsid w:val="00C47B46"/>
    <w:rsid w:val="00C56340"/>
    <w:rsid w:val="00C619B9"/>
    <w:rsid w:val="00C6409A"/>
    <w:rsid w:val="00C64A85"/>
    <w:rsid w:val="00C726CA"/>
    <w:rsid w:val="00C80762"/>
    <w:rsid w:val="00C80C31"/>
    <w:rsid w:val="00C84E9E"/>
    <w:rsid w:val="00C86BB2"/>
    <w:rsid w:val="00C902B7"/>
    <w:rsid w:val="00C91A95"/>
    <w:rsid w:val="00C91D86"/>
    <w:rsid w:val="00C92A25"/>
    <w:rsid w:val="00C9566C"/>
    <w:rsid w:val="00C96CA8"/>
    <w:rsid w:val="00C970EB"/>
    <w:rsid w:val="00C973B3"/>
    <w:rsid w:val="00CA012A"/>
    <w:rsid w:val="00CA5379"/>
    <w:rsid w:val="00CB0EF4"/>
    <w:rsid w:val="00CC0664"/>
    <w:rsid w:val="00CC55AA"/>
    <w:rsid w:val="00CC6454"/>
    <w:rsid w:val="00CC7E6A"/>
    <w:rsid w:val="00CD1BD7"/>
    <w:rsid w:val="00CD3691"/>
    <w:rsid w:val="00CD414F"/>
    <w:rsid w:val="00CD452F"/>
    <w:rsid w:val="00CE1984"/>
    <w:rsid w:val="00CE4B4D"/>
    <w:rsid w:val="00CE720D"/>
    <w:rsid w:val="00CE7DF2"/>
    <w:rsid w:val="00CF0419"/>
    <w:rsid w:val="00CF0F28"/>
    <w:rsid w:val="00CF16D6"/>
    <w:rsid w:val="00CF49F5"/>
    <w:rsid w:val="00CF6DEE"/>
    <w:rsid w:val="00D11186"/>
    <w:rsid w:val="00D205A8"/>
    <w:rsid w:val="00D24227"/>
    <w:rsid w:val="00D24E27"/>
    <w:rsid w:val="00D32BAC"/>
    <w:rsid w:val="00D34E4C"/>
    <w:rsid w:val="00D36880"/>
    <w:rsid w:val="00D40AE0"/>
    <w:rsid w:val="00D44650"/>
    <w:rsid w:val="00D47753"/>
    <w:rsid w:val="00D577C8"/>
    <w:rsid w:val="00D60246"/>
    <w:rsid w:val="00D61F9E"/>
    <w:rsid w:val="00D71CA2"/>
    <w:rsid w:val="00D741E2"/>
    <w:rsid w:val="00D753C2"/>
    <w:rsid w:val="00D757CC"/>
    <w:rsid w:val="00D84CDF"/>
    <w:rsid w:val="00D85E8C"/>
    <w:rsid w:val="00D95E11"/>
    <w:rsid w:val="00DA2405"/>
    <w:rsid w:val="00DA2B08"/>
    <w:rsid w:val="00DA2EED"/>
    <w:rsid w:val="00DB2A28"/>
    <w:rsid w:val="00DB4200"/>
    <w:rsid w:val="00DB611A"/>
    <w:rsid w:val="00DB6DFC"/>
    <w:rsid w:val="00DB7146"/>
    <w:rsid w:val="00DC3B8E"/>
    <w:rsid w:val="00DC5A03"/>
    <w:rsid w:val="00DD0DA1"/>
    <w:rsid w:val="00DD186B"/>
    <w:rsid w:val="00DD19C5"/>
    <w:rsid w:val="00DD341F"/>
    <w:rsid w:val="00DD4F37"/>
    <w:rsid w:val="00DD641C"/>
    <w:rsid w:val="00DD72A8"/>
    <w:rsid w:val="00DD7F3C"/>
    <w:rsid w:val="00DE0BA7"/>
    <w:rsid w:val="00DE3071"/>
    <w:rsid w:val="00DE3209"/>
    <w:rsid w:val="00DE4C11"/>
    <w:rsid w:val="00DE652D"/>
    <w:rsid w:val="00DE6995"/>
    <w:rsid w:val="00DE7B29"/>
    <w:rsid w:val="00DE7EE0"/>
    <w:rsid w:val="00DF5457"/>
    <w:rsid w:val="00DF553B"/>
    <w:rsid w:val="00DF68EF"/>
    <w:rsid w:val="00E0107B"/>
    <w:rsid w:val="00E04196"/>
    <w:rsid w:val="00E057A1"/>
    <w:rsid w:val="00E05EFC"/>
    <w:rsid w:val="00E10209"/>
    <w:rsid w:val="00E25DDD"/>
    <w:rsid w:val="00E278EE"/>
    <w:rsid w:val="00E328A2"/>
    <w:rsid w:val="00E35E6F"/>
    <w:rsid w:val="00E3615A"/>
    <w:rsid w:val="00E4219B"/>
    <w:rsid w:val="00E50E36"/>
    <w:rsid w:val="00E540B0"/>
    <w:rsid w:val="00E54973"/>
    <w:rsid w:val="00E56576"/>
    <w:rsid w:val="00E57018"/>
    <w:rsid w:val="00E573BD"/>
    <w:rsid w:val="00E63DC7"/>
    <w:rsid w:val="00E63E7F"/>
    <w:rsid w:val="00E714C4"/>
    <w:rsid w:val="00E73D47"/>
    <w:rsid w:val="00E74B00"/>
    <w:rsid w:val="00E76731"/>
    <w:rsid w:val="00E76766"/>
    <w:rsid w:val="00E8653A"/>
    <w:rsid w:val="00E9598E"/>
    <w:rsid w:val="00E960A7"/>
    <w:rsid w:val="00E96B60"/>
    <w:rsid w:val="00EA6B52"/>
    <w:rsid w:val="00EA6BCF"/>
    <w:rsid w:val="00EB47AE"/>
    <w:rsid w:val="00EB4F3B"/>
    <w:rsid w:val="00EB6C45"/>
    <w:rsid w:val="00EC1E9D"/>
    <w:rsid w:val="00EC298E"/>
    <w:rsid w:val="00ED07FC"/>
    <w:rsid w:val="00ED1153"/>
    <w:rsid w:val="00ED3687"/>
    <w:rsid w:val="00ED3FDB"/>
    <w:rsid w:val="00ED7491"/>
    <w:rsid w:val="00ED767B"/>
    <w:rsid w:val="00EE0EB0"/>
    <w:rsid w:val="00EE4915"/>
    <w:rsid w:val="00EE4B8F"/>
    <w:rsid w:val="00EE5C49"/>
    <w:rsid w:val="00EE5EDC"/>
    <w:rsid w:val="00EF0A34"/>
    <w:rsid w:val="00EF16EF"/>
    <w:rsid w:val="00EF1863"/>
    <w:rsid w:val="00EF730F"/>
    <w:rsid w:val="00EF7868"/>
    <w:rsid w:val="00F035B2"/>
    <w:rsid w:val="00F03F7F"/>
    <w:rsid w:val="00F11829"/>
    <w:rsid w:val="00F1192C"/>
    <w:rsid w:val="00F1357B"/>
    <w:rsid w:val="00F13E81"/>
    <w:rsid w:val="00F15964"/>
    <w:rsid w:val="00F16BB8"/>
    <w:rsid w:val="00F16E57"/>
    <w:rsid w:val="00F24C00"/>
    <w:rsid w:val="00F360D3"/>
    <w:rsid w:val="00F40738"/>
    <w:rsid w:val="00F439E8"/>
    <w:rsid w:val="00F4799B"/>
    <w:rsid w:val="00F507EF"/>
    <w:rsid w:val="00F51559"/>
    <w:rsid w:val="00F53BDB"/>
    <w:rsid w:val="00F54965"/>
    <w:rsid w:val="00F55DE2"/>
    <w:rsid w:val="00F6089F"/>
    <w:rsid w:val="00F60DFB"/>
    <w:rsid w:val="00F66CE7"/>
    <w:rsid w:val="00F7488A"/>
    <w:rsid w:val="00F76472"/>
    <w:rsid w:val="00F82F4A"/>
    <w:rsid w:val="00F83E68"/>
    <w:rsid w:val="00F846C6"/>
    <w:rsid w:val="00F846EE"/>
    <w:rsid w:val="00F863E8"/>
    <w:rsid w:val="00F907ED"/>
    <w:rsid w:val="00F92E62"/>
    <w:rsid w:val="00F97E70"/>
    <w:rsid w:val="00FA08E8"/>
    <w:rsid w:val="00FB4442"/>
    <w:rsid w:val="00FC0B38"/>
    <w:rsid w:val="00FC15ED"/>
    <w:rsid w:val="00FC5D98"/>
    <w:rsid w:val="00FC7813"/>
    <w:rsid w:val="00FD6C6B"/>
    <w:rsid w:val="00FD742F"/>
    <w:rsid w:val="00FE15DB"/>
    <w:rsid w:val="00FE2230"/>
    <w:rsid w:val="00FE7640"/>
    <w:rsid w:val="00FF0882"/>
    <w:rsid w:val="00FF1305"/>
    <w:rsid w:val="00FF68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319EE"/>
  <w15:chartTrackingRefBased/>
  <w15:docId w15:val="{7E9A3EFD-FAC3-4FBA-922D-B18AAC00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BC"/>
    <w:rPr>
      <w:rFonts w:asciiTheme="minorHAnsi" w:hAnsiTheme="minorHAnsi" w:cstheme="minorBidi"/>
      <w:sz w:val="22"/>
      <w:szCs w:val="22"/>
    </w:rPr>
  </w:style>
  <w:style w:type="paragraph" w:styleId="Heading1">
    <w:name w:val="heading 1"/>
    <w:basedOn w:val="Normal"/>
    <w:next w:val="Normal"/>
    <w:link w:val="Heading1Char"/>
    <w:qFormat/>
    <w:rsid w:val="000A180F"/>
    <w:pPr>
      <w:keepNext/>
      <w:keepLines/>
      <w:spacing w:before="120" w:after="120"/>
      <w:jc w:val="left"/>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177B54"/>
    <w:pPr>
      <w:keepNext/>
      <w:keepLines/>
      <w:spacing w:before="120" w:after="12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E7765"/>
    <w:pPr>
      <w:spacing w:line="240" w:lineRule="auto"/>
    </w:pPr>
    <w:rPr>
      <w:sz w:val="20"/>
      <w:szCs w:val="20"/>
    </w:rPr>
  </w:style>
  <w:style w:type="character" w:customStyle="1" w:styleId="FootnoteTextChar">
    <w:name w:val="Footnote Text Char"/>
    <w:basedOn w:val="DefaultParagraphFont"/>
    <w:link w:val="FootnoteText"/>
    <w:uiPriority w:val="99"/>
    <w:semiHidden/>
    <w:rsid w:val="005E7765"/>
    <w:rPr>
      <w:rFonts w:asciiTheme="minorHAnsi" w:hAnsiTheme="minorHAnsi" w:cstheme="minorBidi"/>
      <w:sz w:val="20"/>
      <w:szCs w:val="20"/>
    </w:rPr>
  </w:style>
  <w:style w:type="character" w:styleId="FootnoteReference">
    <w:name w:val="footnote reference"/>
    <w:aliases w:val="Footnote Reference Number,Footnote Refernece"/>
    <w:basedOn w:val="DefaultParagraphFont"/>
    <w:uiPriority w:val="99"/>
    <w:unhideWhenUsed/>
    <w:qFormat/>
    <w:rsid w:val="005E7765"/>
    <w:rPr>
      <w:vertAlign w:val="superscript"/>
    </w:rPr>
  </w:style>
  <w:style w:type="character" w:styleId="Hyperlink">
    <w:name w:val="Hyperlink"/>
    <w:basedOn w:val="DefaultParagraphFont"/>
    <w:uiPriority w:val="99"/>
    <w:unhideWhenUsed/>
    <w:rsid w:val="005E7765"/>
    <w:rPr>
      <w:color w:val="0000FF"/>
      <w:u w:val="single"/>
    </w:rPr>
  </w:style>
  <w:style w:type="paragraph" w:styleId="ListParagraph">
    <w:name w:val="List Paragraph"/>
    <w:aliases w:val="2,Strip,Akapit z listą BS,Numbered Para 1,Dot pt,No Spacing1,List Paragraph Char Char Char,Indicator Text,List Paragraph1,Bullet 1,Bullet Points,MAIN CONTENT,IFCL - List Paragraph,List Paragraph12,OBC Bullet,F5 List Paragraph"/>
    <w:basedOn w:val="Normal"/>
    <w:link w:val="ListParagraphChar"/>
    <w:uiPriority w:val="34"/>
    <w:qFormat/>
    <w:rsid w:val="00C33F9A"/>
    <w:pPr>
      <w:ind w:left="720"/>
      <w:contextualSpacing/>
    </w:pPr>
  </w:style>
  <w:style w:type="character" w:customStyle="1" w:styleId="ListParagraphChar">
    <w:name w:val="List Paragraph Char"/>
    <w:aliases w:val="2 Char,Strip Char,Akapit z listą BS Char,Numbered Para 1 Char,Dot pt Char,No Spacing1 Char,List Paragraph Char Char Char Char,Indicator Text Char,List Paragraph1 Char,Bullet 1 Char,Bullet Points Char,MAIN CONTENT Char,OBC Bullet Char"/>
    <w:link w:val="ListParagraph"/>
    <w:uiPriority w:val="34"/>
    <w:qFormat/>
    <w:rsid w:val="00C33F9A"/>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1B0626"/>
    <w:rPr>
      <w:color w:val="954F72" w:themeColor="followedHyperlink"/>
      <w:u w:val="single"/>
    </w:rPr>
  </w:style>
  <w:style w:type="paragraph" w:styleId="NormalWeb">
    <w:name w:val="Normal (Web)"/>
    <w:basedOn w:val="Normal"/>
    <w:uiPriority w:val="99"/>
    <w:unhideWhenUsed/>
    <w:rsid w:val="000233E4"/>
    <w:rPr>
      <w:rFonts w:ascii="Times New Roman" w:hAnsi="Times New Roman" w:cs="Times New Roman"/>
      <w:sz w:val="24"/>
      <w:szCs w:val="24"/>
    </w:rPr>
  </w:style>
  <w:style w:type="table" w:styleId="TableGrid">
    <w:name w:val="Table Grid"/>
    <w:basedOn w:val="TableNormal"/>
    <w:uiPriority w:val="59"/>
    <w:rsid w:val="0071166E"/>
    <w:pPr>
      <w:spacing w:line="240" w:lineRule="auto"/>
    </w:pPr>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1166E"/>
    <w:pPr>
      <w:spacing w:line="240" w:lineRule="auto"/>
    </w:pPr>
    <w:rPr>
      <w:rFonts w:ascii="Times New Roman" w:eastAsia="Times New Roman" w:hAnsi="Times New Roman" w:cs="Times New Roman"/>
      <w:sz w:val="28"/>
      <w:szCs w:val="20"/>
      <w:lang w:eastAsia="lv-LV"/>
    </w:rPr>
  </w:style>
  <w:style w:type="character" w:customStyle="1" w:styleId="BodyTextIndent2Char">
    <w:name w:val="Body Text Indent 2 Char"/>
    <w:basedOn w:val="DefaultParagraphFont"/>
    <w:link w:val="BodyTextIndent2"/>
    <w:rsid w:val="0071166E"/>
    <w:rPr>
      <w:rFonts w:eastAsia="Times New Roman"/>
      <w:sz w:val="28"/>
      <w:szCs w:val="20"/>
      <w:lang w:eastAsia="lv-LV"/>
    </w:rPr>
  </w:style>
  <w:style w:type="paragraph" w:styleId="Header">
    <w:name w:val="header"/>
    <w:basedOn w:val="Normal"/>
    <w:link w:val="HeaderChar"/>
    <w:uiPriority w:val="99"/>
    <w:unhideWhenUsed/>
    <w:rsid w:val="00CA012A"/>
    <w:pPr>
      <w:tabs>
        <w:tab w:val="center" w:pos="4680"/>
        <w:tab w:val="right" w:pos="9360"/>
      </w:tabs>
      <w:spacing w:line="240" w:lineRule="auto"/>
    </w:pPr>
  </w:style>
  <w:style w:type="character" w:customStyle="1" w:styleId="HeaderChar">
    <w:name w:val="Header Char"/>
    <w:basedOn w:val="DefaultParagraphFont"/>
    <w:link w:val="Header"/>
    <w:uiPriority w:val="99"/>
    <w:rsid w:val="00CA012A"/>
    <w:rPr>
      <w:rFonts w:asciiTheme="minorHAnsi" w:hAnsiTheme="minorHAnsi" w:cstheme="minorBidi"/>
      <w:sz w:val="22"/>
      <w:szCs w:val="22"/>
    </w:rPr>
  </w:style>
  <w:style w:type="paragraph" w:styleId="Footer">
    <w:name w:val="footer"/>
    <w:basedOn w:val="Normal"/>
    <w:link w:val="FooterChar"/>
    <w:uiPriority w:val="99"/>
    <w:unhideWhenUsed/>
    <w:rsid w:val="00CA012A"/>
    <w:pPr>
      <w:tabs>
        <w:tab w:val="center" w:pos="4680"/>
        <w:tab w:val="right" w:pos="9360"/>
      </w:tabs>
      <w:spacing w:line="240" w:lineRule="auto"/>
    </w:pPr>
  </w:style>
  <w:style w:type="character" w:customStyle="1" w:styleId="FooterChar">
    <w:name w:val="Footer Char"/>
    <w:basedOn w:val="DefaultParagraphFont"/>
    <w:link w:val="Footer"/>
    <w:uiPriority w:val="99"/>
    <w:rsid w:val="00CA012A"/>
    <w:rPr>
      <w:rFonts w:asciiTheme="minorHAnsi" w:hAnsiTheme="minorHAnsi" w:cstheme="minorBidi"/>
      <w:sz w:val="22"/>
      <w:szCs w:val="22"/>
    </w:rPr>
  </w:style>
  <w:style w:type="character" w:customStyle="1" w:styleId="Heading1Char">
    <w:name w:val="Heading 1 Char"/>
    <w:basedOn w:val="DefaultParagraphFont"/>
    <w:link w:val="Heading1"/>
    <w:rsid w:val="000A180F"/>
    <w:rPr>
      <w:rFonts w:eastAsiaTheme="majorEastAsia" w:cstheme="majorBidi"/>
      <w:b/>
      <w:sz w:val="28"/>
      <w:szCs w:val="32"/>
    </w:rPr>
  </w:style>
  <w:style w:type="paragraph" w:customStyle="1" w:styleId="teksts1r">
    <w:name w:val="teksts_1r"/>
    <w:basedOn w:val="Normal"/>
    <w:rsid w:val="002C5D01"/>
    <w:pPr>
      <w:spacing w:before="120" w:after="120" w:line="240" w:lineRule="auto"/>
    </w:pPr>
    <w:rPr>
      <w:rFonts w:ascii="Garamond" w:eastAsia="Times New Roman" w:hAnsi="Garamond" w:cs="Times New Roman"/>
      <w:snapToGrid w:val="0"/>
      <w:sz w:val="24"/>
      <w:szCs w:val="20"/>
      <w:lang w:val="en-US"/>
    </w:rPr>
  </w:style>
  <w:style w:type="character" w:styleId="Emphasis">
    <w:name w:val="Emphasis"/>
    <w:qFormat/>
    <w:rsid w:val="002C5D01"/>
    <w:rPr>
      <w:i/>
      <w:iCs/>
    </w:rPr>
  </w:style>
  <w:style w:type="paragraph" w:styleId="BalloonText">
    <w:name w:val="Balloon Text"/>
    <w:basedOn w:val="Normal"/>
    <w:link w:val="BalloonTextChar"/>
    <w:uiPriority w:val="99"/>
    <w:semiHidden/>
    <w:unhideWhenUsed/>
    <w:rsid w:val="009316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6D2"/>
    <w:rPr>
      <w:rFonts w:ascii="Segoe UI" w:hAnsi="Segoe UI" w:cs="Segoe UI"/>
      <w:sz w:val="18"/>
      <w:szCs w:val="18"/>
    </w:rPr>
  </w:style>
  <w:style w:type="character" w:styleId="CommentReference">
    <w:name w:val="annotation reference"/>
    <w:basedOn w:val="DefaultParagraphFont"/>
    <w:uiPriority w:val="99"/>
    <w:semiHidden/>
    <w:unhideWhenUsed/>
    <w:rsid w:val="00E63E7F"/>
    <w:rPr>
      <w:sz w:val="16"/>
      <w:szCs w:val="16"/>
    </w:rPr>
  </w:style>
  <w:style w:type="paragraph" w:styleId="CommentText">
    <w:name w:val="annotation text"/>
    <w:basedOn w:val="Normal"/>
    <w:link w:val="CommentTextChar"/>
    <w:uiPriority w:val="99"/>
    <w:semiHidden/>
    <w:unhideWhenUsed/>
    <w:rsid w:val="00E63E7F"/>
    <w:pPr>
      <w:spacing w:line="240" w:lineRule="auto"/>
    </w:pPr>
    <w:rPr>
      <w:sz w:val="20"/>
      <w:szCs w:val="20"/>
    </w:rPr>
  </w:style>
  <w:style w:type="character" w:customStyle="1" w:styleId="CommentTextChar">
    <w:name w:val="Comment Text Char"/>
    <w:basedOn w:val="DefaultParagraphFont"/>
    <w:link w:val="CommentText"/>
    <w:uiPriority w:val="99"/>
    <w:semiHidden/>
    <w:rsid w:val="00E63E7F"/>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63E7F"/>
    <w:rPr>
      <w:b/>
      <w:bCs/>
    </w:rPr>
  </w:style>
  <w:style w:type="character" w:customStyle="1" w:styleId="CommentSubjectChar">
    <w:name w:val="Comment Subject Char"/>
    <w:basedOn w:val="CommentTextChar"/>
    <w:link w:val="CommentSubject"/>
    <w:uiPriority w:val="99"/>
    <w:semiHidden/>
    <w:rsid w:val="00E63E7F"/>
    <w:rPr>
      <w:rFonts w:asciiTheme="minorHAnsi" w:hAnsiTheme="minorHAnsi" w:cstheme="minorBidi"/>
      <w:b/>
      <w:bCs/>
      <w:sz w:val="20"/>
      <w:szCs w:val="20"/>
    </w:rPr>
  </w:style>
  <w:style w:type="paragraph" w:styleId="NoSpacing">
    <w:name w:val="No Spacing"/>
    <w:uiPriority w:val="1"/>
    <w:qFormat/>
    <w:rsid w:val="00D71CA2"/>
    <w:pPr>
      <w:spacing w:line="240" w:lineRule="auto"/>
      <w:ind w:firstLine="0"/>
      <w:jc w:val="left"/>
    </w:pPr>
    <w:rPr>
      <w:rFonts w:asciiTheme="minorHAnsi" w:hAnsiTheme="minorHAnsi" w:cstheme="minorBidi"/>
      <w:sz w:val="22"/>
      <w:szCs w:val="22"/>
    </w:rPr>
  </w:style>
  <w:style w:type="character" w:customStyle="1" w:styleId="Neatrisintapieminana1">
    <w:name w:val="Neatrisināta pieminēšana1"/>
    <w:basedOn w:val="DefaultParagraphFont"/>
    <w:uiPriority w:val="99"/>
    <w:semiHidden/>
    <w:unhideWhenUsed/>
    <w:rsid w:val="00670643"/>
    <w:rPr>
      <w:color w:val="605E5C"/>
      <w:shd w:val="clear" w:color="auto" w:fill="E1DFDD"/>
    </w:rPr>
  </w:style>
  <w:style w:type="character" w:customStyle="1" w:styleId="Heading2Char">
    <w:name w:val="Heading 2 Char"/>
    <w:basedOn w:val="DefaultParagraphFont"/>
    <w:link w:val="Heading2"/>
    <w:uiPriority w:val="9"/>
    <w:rsid w:val="00177B54"/>
    <w:rPr>
      <w:rFonts w:eastAsiaTheme="majorEastAsia" w:cstheme="majorBidi"/>
      <w:b/>
      <w:szCs w:val="26"/>
    </w:rPr>
  </w:style>
  <w:style w:type="paragraph" w:styleId="TOCHeading">
    <w:name w:val="TOC Heading"/>
    <w:basedOn w:val="Heading1"/>
    <w:next w:val="Normal"/>
    <w:uiPriority w:val="39"/>
    <w:unhideWhenUsed/>
    <w:qFormat/>
    <w:rsid w:val="00F82F4A"/>
    <w:pPr>
      <w:spacing w:before="240" w:after="0" w:line="259" w:lineRule="auto"/>
      <w:ind w:firstLine="0"/>
      <w:outlineLvl w:val="9"/>
    </w:pPr>
    <w:rPr>
      <w:rFonts w:asciiTheme="majorHAnsi" w:hAnsiTheme="majorHAnsi"/>
      <w:b w:val="0"/>
      <w:color w:val="2E74B5" w:themeColor="accent1" w:themeShade="BF"/>
      <w:sz w:val="32"/>
      <w:lang w:eastAsia="lv-LV"/>
    </w:rPr>
  </w:style>
  <w:style w:type="paragraph" w:styleId="TOC1">
    <w:name w:val="toc 1"/>
    <w:aliases w:val="Saturs"/>
    <w:basedOn w:val="Normal"/>
    <w:next w:val="Normal"/>
    <w:autoRedefine/>
    <w:uiPriority w:val="39"/>
    <w:unhideWhenUsed/>
    <w:rsid w:val="0043308B"/>
    <w:pPr>
      <w:spacing w:after="100"/>
      <w:jc w:val="left"/>
    </w:pPr>
    <w:rPr>
      <w:rFonts w:ascii="Times New Roman" w:hAnsi="Times New Roman"/>
      <w:sz w:val="24"/>
    </w:rPr>
  </w:style>
  <w:style w:type="paragraph" w:styleId="TOC2">
    <w:name w:val="toc 2"/>
    <w:basedOn w:val="Normal"/>
    <w:next w:val="Normal"/>
    <w:autoRedefine/>
    <w:uiPriority w:val="39"/>
    <w:unhideWhenUsed/>
    <w:rsid w:val="002973BF"/>
    <w:pPr>
      <w:spacing w:after="100"/>
      <w:ind w:left="220"/>
    </w:pPr>
    <w:rPr>
      <w:rFonts w:ascii="Times New Roman" w:hAnsi="Times New Roman"/>
      <w:sz w:val="24"/>
    </w:rPr>
  </w:style>
  <w:style w:type="paragraph" w:styleId="TOC3">
    <w:name w:val="toc 3"/>
    <w:basedOn w:val="Normal"/>
    <w:next w:val="Normal"/>
    <w:autoRedefine/>
    <w:uiPriority w:val="39"/>
    <w:semiHidden/>
    <w:unhideWhenUsed/>
    <w:rsid w:val="002973BF"/>
    <w:pPr>
      <w:spacing w:after="100"/>
      <w:ind w:left="44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20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ssuu.com/sse_riga/docs/bro__ra_latviski_2020" TargetMode="External"/><Relationship Id="rId7" Type="http://schemas.openxmlformats.org/officeDocument/2006/relationships/hyperlink" Target="https://www.latvijasbuvnieki.lv/research/petijuma-enu-ekonomikas-indekss-latvijas-buvnieciba-2015-2019/" TargetMode="External"/><Relationship Id="rId2" Type="http://schemas.openxmlformats.org/officeDocument/2006/relationships/hyperlink" Target="https://www.oecd.org/tax/crime/shining-light-on-the-shadow-economy-opportunities-and-threats.pdf" TargetMode="External"/><Relationship Id="rId1" Type="http://schemas.openxmlformats.org/officeDocument/2006/relationships/hyperlink" Target="https://www.fm.gov.lv/lv/sadalas/nodoklu_politika/enu_ekonomika/enu_ekonomikas_apkarosanas_padome_/" TargetMode="External"/><Relationship Id="rId6" Type="http://schemas.openxmlformats.org/officeDocument/2006/relationships/hyperlink" Target="https://www.vid.gov.lv/lv/par-2019-gadu" TargetMode="External"/><Relationship Id="rId5" Type="http://schemas.openxmlformats.org/officeDocument/2006/relationships/hyperlink" Target="https://www.vid.gov.lv/sites/default/files/aploksnu_algu_plaisa_komersantiem_kas_strada_vispareja_rezima_2018.gada_publikacijai.pdf" TargetMode="External"/><Relationship Id="rId4" Type="http://schemas.openxmlformats.org/officeDocument/2006/relationships/hyperlink" Target="https://lrv.lt/uploads/main/documents/files/Shadow%20EcLithuania_September.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s\eeikd\JAUNAS%20MAPES\21.%20DATI%20UN%20STATISTIKA\&#274;nu%20ekonomikas%20&#299;patsvars\&#274;E%20&#299;patsvars%20Eiropas%20v..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fk\personal$\EEIKD\ee-belak\Grafiki%20pa%20nozar&#275;m.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k\personal$\EEIKD\ee-belak\Grafiki%20pa%20nozar&#275;m.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fk\eeikd\JAUNAS%20MAPES\21.%20DATI%20UN%20STATISTIKA\&#274;nu%20ekonomikas%20&#299;patsvars\2019.%20gads\&#274;E%201%25%20nodok&#316;u%20ie&#326;&#275;mumu%20apr&#275;&#311;in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k\eeikd\JAUNAS%20MAPES\21.%20DATI%20UN%20STATISTIKA\Zi&#326;ojumi%20par%20EE%20&#299;patsvaru\2020.gads\Zi&#326;ojuma%20iepriek&#353;&#275;j&#257;s%20versijas\grafiks%20Lietuvas%20p&#275;t&#299;jumam.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fk\eeikd\JAUNAS%20MAPES\21.%20DATI%20UN%20STATISTIKA\&#274;nu%20ekonomikas%20&#299;patsvars\2019.%20gads\&#274;E%201%25%20nodok&#316;u%20ie&#326;&#275;mumu%20apr&#275;&#311;in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1"/>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Sheet1!$C$4</c:f>
              <c:strCache>
                <c:ptCount val="1"/>
              </c:strCache>
            </c:strRef>
          </c:tx>
          <c:spPr>
            <a:solidFill>
              <a:schemeClr val="accent1"/>
            </a:solidFill>
            <a:ln>
              <a:noFill/>
            </a:ln>
            <a:effectLst/>
          </c:spPr>
          <c:invertIfNegative val="0"/>
          <c:dPt>
            <c:idx val="6"/>
            <c:invertIfNegative val="0"/>
            <c:bubble3D val="0"/>
            <c:spPr>
              <a:solidFill>
                <a:schemeClr val="tx1"/>
              </a:solidFill>
              <a:ln>
                <a:noFill/>
              </a:ln>
              <a:effectLst/>
            </c:spPr>
            <c:extLst>
              <c:ext xmlns:c16="http://schemas.microsoft.com/office/drawing/2014/chart" uri="{C3380CC4-5D6E-409C-BE32-E72D297353CC}">
                <c16:uniqueId val="{00000001-8023-45C2-91AD-A72A9449270C}"/>
              </c:ext>
            </c:extLst>
          </c:dPt>
          <c:dPt>
            <c:idx val="8"/>
            <c:invertIfNegative val="0"/>
            <c:bubble3D val="0"/>
            <c:spPr>
              <a:solidFill>
                <a:srgbClr val="92D050"/>
              </a:solidFill>
              <a:ln>
                <a:noFill/>
              </a:ln>
              <a:effectLst/>
            </c:spPr>
            <c:extLst>
              <c:ext xmlns:c16="http://schemas.microsoft.com/office/drawing/2014/chart" uri="{C3380CC4-5D6E-409C-BE32-E72D297353CC}">
                <c16:uniqueId val="{00000003-8023-45C2-91AD-A72A9449270C}"/>
              </c:ext>
            </c:extLst>
          </c:dPt>
          <c:dPt>
            <c:idx val="11"/>
            <c:invertIfNegative val="0"/>
            <c:bubble3D val="0"/>
            <c:spPr>
              <a:solidFill>
                <a:srgbClr val="C00000"/>
              </a:solidFill>
              <a:ln>
                <a:noFill/>
              </a:ln>
              <a:effectLst/>
            </c:spPr>
            <c:extLst>
              <c:ext xmlns:c16="http://schemas.microsoft.com/office/drawing/2014/chart" uri="{C3380CC4-5D6E-409C-BE32-E72D297353CC}">
                <c16:uniqueId val="{00000005-8023-45C2-91AD-A72A9449270C}"/>
              </c:ext>
            </c:extLst>
          </c:dPt>
          <c:dPt>
            <c:idx val="14"/>
            <c:invertIfNegative val="0"/>
            <c:bubble3D val="0"/>
            <c:spPr>
              <a:pattFill prst="solidDmnd">
                <a:fgClr>
                  <a:srgbClr val="FF0000"/>
                </a:fgClr>
                <a:bgClr>
                  <a:schemeClr val="bg1"/>
                </a:bgClr>
              </a:pattFill>
              <a:ln>
                <a:noFill/>
              </a:ln>
              <a:effectLst/>
            </c:spPr>
            <c:extLst>
              <c:ext xmlns:c16="http://schemas.microsoft.com/office/drawing/2014/chart" uri="{C3380CC4-5D6E-409C-BE32-E72D297353CC}">
                <c16:uniqueId val="{00000007-8023-45C2-91AD-A72A9449270C}"/>
              </c:ext>
            </c:extLst>
          </c:dPt>
          <c:dLbls>
            <c:dLbl>
              <c:idx val="6"/>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023-45C2-91AD-A72A9449270C}"/>
                </c:ext>
              </c:extLst>
            </c:dLbl>
            <c:dLbl>
              <c:idx val="8"/>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023-45C2-91AD-A72A9449270C}"/>
                </c:ext>
              </c:extLst>
            </c:dLbl>
            <c:dLbl>
              <c:idx val="11"/>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023-45C2-91AD-A72A9449270C}"/>
                </c:ext>
              </c:extLst>
            </c:dLbl>
            <c:dLbl>
              <c:idx val="14"/>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023-45C2-91AD-A72A9449270C}"/>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Sheet1!$B$5:$B$36</c:f>
              <c:strCache>
                <c:ptCount val="32"/>
                <c:pt idx="0">
                  <c:v>Bulgārija </c:v>
                </c:pt>
                <c:pt idx="1">
                  <c:v>Turcija</c:v>
                </c:pt>
                <c:pt idx="2">
                  <c:v>Rumānija</c:v>
                </c:pt>
                <c:pt idx="3">
                  <c:v>Horvātija</c:v>
                </c:pt>
                <c:pt idx="4">
                  <c:v>Ungārija </c:v>
                </c:pt>
                <c:pt idx="5">
                  <c:v>Dienvidkipra</c:v>
                </c:pt>
                <c:pt idx="6">
                  <c:v>Igaunija</c:v>
                </c:pt>
                <c:pt idx="7">
                  <c:v>Malta</c:v>
                </c:pt>
                <c:pt idx="8">
                  <c:v>Lietuva</c:v>
                </c:pt>
                <c:pt idx="9">
                  <c:v>Slovēnija</c:v>
                </c:pt>
                <c:pt idx="10">
                  <c:v>Polija</c:v>
                </c:pt>
                <c:pt idx="11">
                  <c:v>Latvija</c:v>
                </c:pt>
                <c:pt idx="12">
                  <c:v>Grieķija</c:v>
                </c:pt>
                <c:pt idx="13">
                  <c:v>Itālija</c:v>
                </c:pt>
                <c:pt idx="14">
                  <c:v>Vidējais</c:v>
                </c:pt>
                <c:pt idx="15">
                  <c:v>Portugāle </c:v>
                </c:pt>
                <c:pt idx="16">
                  <c:v>Spānija</c:v>
                </c:pt>
                <c:pt idx="17">
                  <c:v>Beļģija</c:v>
                </c:pt>
                <c:pt idx="18">
                  <c:v>Čehija</c:v>
                </c:pt>
                <c:pt idx="19">
                  <c:v>Francija</c:v>
                </c:pt>
                <c:pt idx="20">
                  <c:v>Slovakija</c:v>
                </c:pt>
                <c:pt idx="21">
                  <c:v>Norvēģija</c:v>
                </c:pt>
                <c:pt idx="22">
                  <c:v>Zviedrija</c:v>
                </c:pt>
                <c:pt idx="23">
                  <c:v>Somija</c:v>
                </c:pt>
                <c:pt idx="24">
                  <c:v>Dānija</c:v>
                </c:pt>
                <c:pt idx="25">
                  <c:v>Īrija</c:v>
                </c:pt>
                <c:pt idx="26">
                  <c:v>Apv. Karaliste</c:v>
                </c:pt>
                <c:pt idx="27">
                  <c:v>Vācija</c:v>
                </c:pt>
                <c:pt idx="28">
                  <c:v>Luksemburga</c:v>
                </c:pt>
                <c:pt idx="29">
                  <c:v>Nīderlande</c:v>
                </c:pt>
                <c:pt idx="30">
                  <c:v>Austrija</c:v>
                </c:pt>
                <c:pt idx="31">
                  <c:v>Šveice</c:v>
                </c:pt>
              </c:strCache>
            </c:strRef>
          </c:cat>
          <c:val>
            <c:numRef>
              <c:f>Sheet1!$C$5:$C$36</c:f>
              <c:numCache>
                <c:formatCode>0.0</c:formatCode>
                <c:ptCount val="32"/>
                <c:pt idx="0">
                  <c:v>31.1</c:v>
                </c:pt>
                <c:pt idx="1">
                  <c:v>29.4</c:v>
                </c:pt>
                <c:pt idx="2">
                  <c:v>26.9</c:v>
                </c:pt>
                <c:pt idx="3">
                  <c:v>26.4</c:v>
                </c:pt>
                <c:pt idx="4">
                  <c:v>23.2</c:v>
                </c:pt>
                <c:pt idx="5">
                  <c:v>22.1</c:v>
                </c:pt>
                <c:pt idx="6">
                  <c:v>22.1</c:v>
                </c:pt>
                <c:pt idx="7">
                  <c:v>22.1</c:v>
                </c:pt>
                <c:pt idx="8">
                  <c:v>21.9</c:v>
                </c:pt>
                <c:pt idx="9">
                  <c:v>21.5</c:v>
                </c:pt>
                <c:pt idx="10">
                  <c:v>20.7</c:v>
                </c:pt>
                <c:pt idx="11">
                  <c:v>19.899999999999999</c:v>
                </c:pt>
                <c:pt idx="12">
                  <c:v>19.2</c:v>
                </c:pt>
                <c:pt idx="13">
                  <c:v>18.7</c:v>
                </c:pt>
                <c:pt idx="14">
                  <c:v>16.3</c:v>
                </c:pt>
                <c:pt idx="15">
                  <c:v>15.4</c:v>
                </c:pt>
                <c:pt idx="16">
                  <c:v>15.4</c:v>
                </c:pt>
                <c:pt idx="17">
                  <c:v>15.1</c:v>
                </c:pt>
                <c:pt idx="18">
                  <c:v>13.1</c:v>
                </c:pt>
                <c:pt idx="19">
                  <c:v>12.4</c:v>
                </c:pt>
                <c:pt idx="20">
                  <c:v>12.2</c:v>
                </c:pt>
                <c:pt idx="21">
                  <c:v>10.8</c:v>
                </c:pt>
                <c:pt idx="22">
                  <c:v>10.7</c:v>
                </c:pt>
                <c:pt idx="23">
                  <c:v>10.6</c:v>
                </c:pt>
                <c:pt idx="24">
                  <c:v>8.9</c:v>
                </c:pt>
                <c:pt idx="25">
                  <c:v>8.9</c:v>
                </c:pt>
                <c:pt idx="26">
                  <c:v>8.6</c:v>
                </c:pt>
                <c:pt idx="27">
                  <c:v>8.5</c:v>
                </c:pt>
                <c:pt idx="28">
                  <c:v>7.4</c:v>
                </c:pt>
                <c:pt idx="29">
                  <c:v>7</c:v>
                </c:pt>
                <c:pt idx="30">
                  <c:v>6.1</c:v>
                </c:pt>
                <c:pt idx="31">
                  <c:v>5.5</c:v>
                </c:pt>
              </c:numCache>
            </c:numRef>
          </c:val>
          <c:extLst>
            <c:ext xmlns:c16="http://schemas.microsoft.com/office/drawing/2014/chart" uri="{C3380CC4-5D6E-409C-BE32-E72D297353CC}">
              <c16:uniqueId val="{00000008-8023-45C2-91AD-A72A9449270C}"/>
            </c:ext>
          </c:extLst>
        </c:ser>
        <c:dLbls>
          <c:dLblPos val="outEnd"/>
          <c:showLegendKey val="0"/>
          <c:showVal val="1"/>
          <c:showCatName val="0"/>
          <c:showSerName val="0"/>
          <c:showPercent val="0"/>
          <c:showBubbleSize val="0"/>
        </c:dLbls>
        <c:gapWidth val="219"/>
        <c:overlap val="-27"/>
        <c:axId val="1581468159"/>
        <c:axId val="1581565583"/>
        <c:extLst>
          <c:ext xmlns:c15="http://schemas.microsoft.com/office/drawing/2012/chart" uri="{02D57815-91ED-43cb-92C2-25804820EDAC}">
            <c15:filteredBarSeries>
              <c15:ser>
                <c:idx val="1"/>
                <c:order val="1"/>
                <c:tx>
                  <c:strRef>
                    <c:extLst>
                      <c:ext uri="{02D57815-91ED-43cb-92C2-25804820EDAC}">
                        <c15:formulaRef>
                          <c15:sqref>Sheet1!$D$4</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Sheet1!$B$5:$B$36</c15:sqref>
                        </c15:formulaRef>
                      </c:ext>
                    </c:extLst>
                    <c:strCache>
                      <c:ptCount val="32"/>
                      <c:pt idx="0">
                        <c:v>Bulgārija </c:v>
                      </c:pt>
                      <c:pt idx="1">
                        <c:v>Turcija</c:v>
                      </c:pt>
                      <c:pt idx="2">
                        <c:v>Rumānija</c:v>
                      </c:pt>
                      <c:pt idx="3">
                        <c:v>Horvātija</c:v>
                      </c:pt>
                      <c:pt idx="4">
                        <c:v>Ungārija </c:v>
                      </c:pt>
                      <c:pt idx="5">
                        <c:v>Dienvidkipra</c:v>
                      </c:pt>
                      <c:pt idx="6">
                        <c:v>Igaunija</c:v>
                      </c:pt>
                      <c:pt idx="7">
                        <c:v>Malta</c:v>
                      </c:pt>
                      <c:pt idx="8">
                        <c:v>Lietuva</c:v>
                      </c:pt>
                      <c:pt idx="9">
                        <c:v>Slovēnija</c:v>
                      </c:pt>
                      <c:pt idx="10">
                        <c:v>Polija</c:v>
                      </c:pt>
                      <c:pt idx="11">
                        <c:v>Latvija</c:v>
                      </c:pt>
                      <c:pt idx="12">
                        <c:v>Grieķija</c:v>
                      </c:pt>
                      <c:pt idx="13">
                        <c:v>Itālija</c:v>
                      </c:pt>
                      <c:pt idx="14">
                        <c:v>Vidējais</c:v>
                      </c:pt>
                      <c:pt idx="15">
                        <c:v>Portugāle </c:v>
                      </c:pt>
                      <c:pt idx="16">
                        <c:v>Spānija</c:v>
                      </c:pt>
                      <c:pt idx="17">
                        <c:v>Beļģija</c:v>
                      </c:pt>
                      <c:pt idx="18">
                        <c:v>Čehija</c:v>
                      </c:pt>
                      <c:pt idx="19">
                        <c:v>Francija</c:v>
                      </c:pt>
                      <c:pt idx="20">
                        <c:v>Slovakija</c:v>
                      </c:pt>
                      <c:pt idx="21">
                        <c:v>Norvēģija</c:v>
                      </c:pt>
                      <c:pt idx="22">
                        <c:v>Zviedrija</c:v>
                      </c:pt>
                      <c:pt idx="23">
                        <c:v>Somija</c:v>
                      </c:pt>
                      <c:pt idx="24">
                        <c:v>Dānija</c:v>
                      </c:pt>
                      <c:pt idx="25">
                        <c:v>Īrija</c:v>
                      </c:pt>
                      <c:pt idx="26">
                        <c:v>Apv. Karaliste</c:v>
                      </c:pt>
                      <c:pt idx="27">
                        <c:v>Vācija</c:v>
                      </c:pt>
                      <c:pt idx="28">
                        <c:v>Luksemburga</c:v>
                      </c:pt>
                      <c:pt idx="29">
                        <c:v>Nīderlande</c:v>
                      </c:pt>
                      <c:pt idx="30">
                        <c:v>Austrija</c:v>
                      </c:pt>
                      <c:pt idx="31">
                        <c:v>Šveice</c:v>
                      </c:pt>
                    </c:strCache>
                  </c:strRef>
                </c:cat>
                <c:val>
                  <c:numRef>
                    <c:extLst>
                      <c:ext uri="{02D57815-91ED-43cb-92C2-25804820EDAC}">
                        <c15:formulaRef>
                          <c15:sqref>Sheet1!$D$5:$D$36</c15:sqref>
                        </c15:formulaRef>
                      </c:ext>
                    </c:extLst>
                    <c:numCache>
                      <c:formatCode>General</c:formatCode>
                      <c:ptCount val="32"/>
                    </c:numCache>
                  </c:numRef>
                </c:val>
                <c:extLst>
                  <c:ext xmlns:c16="http://schemas.microsoft.com/office/drawing/2014/chart" uri="{C3380CC4-5D6E-409C-BE32-E72D297353CC}">
                    <c16:uniqueId val="{00000009-8023-45C2-91AD-A72A9449270C}"/>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Sheet1!$E$4</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Sheet1!$B$5:$B$36</c15:sqref>
                        </c15:formulaRef>
                      </c:ext>
                    </c:extLst>
                    <c:strCache>
                      <c:ptCount val="32"/>
                      <c:pt idx="0">
                        <c:v>Bulgārija </c:v>
                      </c:pt>
                      <c:pt idx="1">
                        <c:v>Turcija</c:v>
                      </c:pt>
                      <c:pt idx="2">
                        <c:v>Rumānija</c:v>
                      </c:pt>
                      <c:pt idx="3">
                        <c:v>Horvātija</c:v>
                      </c:pt>
                      <c:pt idx="4">
                        <c:v>Ungārija </c:v>
                      </c:pt>
                      <c:pt idx="5">
                        <c:v>Dienvidkipra</c:v>
                      </c:pt>
                      <c:pt idx="6">
                        <c:v>Igaunija</c:v>
                      </c:pt>
                      <c:pt idx="7">
                        <c:v>Malta</c:v>
                      </c:pt>
                      <c:pt idx="8">
                        <c:v>Lietuva</c:v>
                      </c:pt>
                      <c:pt idx="9">
                        <c:v>Slovēnija</c:v>
                      </c:pt>
                      <c:pt idx="10">
                        <c:v>Polija</c:v>
                      </c:pt>
                      <c:pt idx="11">
                        <c:v>Latvija</c:v>
                      </c:pt>
                      <c:pt idx="12">
                        <c:v>Grieķija</c:v>
                      </c:pt>
                      <c:pt idx="13">
                        <c:v>Itālija</c:v>
                      </c:pt>
                      <c:pt idx="14">
                        <c:v>Vidējais</c:v>
                      </c:pt>
                      <c:pt idx="15">
                        <c:v>Portugāle </c:v>
                      </c:pt>
                      <c:pt idx="16">
                        <c:v>Spānija</c:v>
                      </c:pt>
                      <c:pt idx="17">
                        <c:v>Beļģija</c:v>
                      </c:pt>
                      <c:pt idx="18">
                        <c:v>Čehija</c:v>
                      </c:pt>
                      <c:pt idx="19">
                        <c:v>Francija</c:v>
                      </c:pt>
                      <c:pt idx="20">
                        <c:v>Slovakija</c:v>
                      </c:pt>
                      <c:pt idx="21">
                        <c:v>Norvēģija</c:v>
                      </c:pt>
                      <c:pt idx="22">
                        <c:v>Zviedrija</c:v>
                      </c:pt>
                      <c:pt idx="23">
                        <c:v>Somija</c:v>
                      </c:pt>
                      <c:pt idx="24">
                        <c:v>Dānija</c:v>
                      </c:pt>
                      <c:pt idx="25">
                        <c:v>Īrija</c:v>
                      </c:pt>
                      <c:pt idx="26">
                        <c:v>Apv. Karaliste</c:v>
                      </c:pt>
                      <c:pt idx="27">
                        <c:v>Vācija</c:v>
                      </c:pt>
                      <c:pt idx="28">
                        <c:v>Luksemburga</c:v>
                      </c:pt>
                      <c:pt idx="29">
                        <c:v>Nīderlande</c:v>
                      </c:pt>
                      <c:pt idx="30">
                        <c:v>Austrija</c:v>
                      </c:pt>
                      <c:pt idx="31">
                        <c:v>Šveice</c:v>
                      </c:pt>
                    </c:strCache>
                  </c:strRef>
                </c:cat>
                <c:val>
                  <c:numRef>
                    <c:extLst xmlns:c15="http://schemas.microsoft.com/office/drawing/2012/chart">
                      <c:ext xmlns:c15="http://schemas.microsoft.com/office/drawing/2012/chart" uri="{02D57815-91ED-43cb-92C2-25804820EDAC}">
                        <c15:formulaRef>
                          <c15:sqref>Sheet1!$E$5:$E$36</c15:sqref>
                        </c15:formulaRef>
                      </c:ext>
                    </c:extLst>
                    <c:numCache>
                      <c:formatCode>General</c:formatCode>
                      <c:ptCount val="32"/>
                    </c:numCache>
                  </c:numRef>
                </c:val>
                <c:extLst xmlns:c15="http://schemas.microsoft.com/office/drawing/2012/chart">
                  <c:ext xmlns:c16="http://schemas.microsoft.com/office/drawing/2014/chart" uri="{C3380CC4-5D6E-409C-BE32-E72D297353CC}">
                    <c16:uniqueId val="{0000000A-8023-45C2-91AD-A72A9449270C}"/>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Sheet1!$F$4</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Sheet1!$B$5:$B$36</c15:sqref>
                        </c15:formulaRef>
                      </c:ext>
                    </c:extLst>
                    <c:strCache>
                      <c:ptCount val="32"/>
                      <c:pt idx="0">
                        <c:v>Bulgārija </c:v>
                      </c:pt>
                      <c:pt idx="1">
                        <c:v>Turcija</c:v>
                      </c:pt>
                      <c:pt idx="2">
                        <c:v>Rumānija</c:v>
                      </c:pt>
                      <c:pt idx="3">
                        <c:v>Horvātija</c:v>
                      </c:pt>
                      <c:pt idx="4">
                        <c:v>Ungārija </c:v>
                      </c:pt>
                      <c:pt idx="5">
                        <c:v>Dienvidkipra</c:v>
                      </c:pt>
                      <c:pt idx="6">
                        <c:v>Igaunija</c:v>
                      </c:pt>
                      <c:pt idx="7">
                        <c:v>Malta</c:v>
                      </c:pt>
                      <c:pt idx="8">
                        <c:v>Lietuva</c:v>
                      </c:pt>
                      <c:pt idx="9">
                        <c:v>Slovēnija</c:v>
                      </c:pt>
                      <c:pt idx="10">
                        <c:v>Polija</c:v>
                      </c:pt>
                      <c:pt idx="11">
                        <c:v>Latvija</c:v>
                      </c:pt>
                      <c:pt idx="12">
                        <c:v>Grieķija</c:v>
                      </c:pt>
                      <c:pt idx="13">
                        <c:v>Itālija</c:v>
                      </c:pt>
                      <c:pt idx="14">
                        <c:v>Vidējais</c:v>
                      </c:pt>
                      <c:pt idx="15">
                        <c:v>Portugāle </c:v>
                      </c:pt>
                      <c:pt idx="16">
                        <c:v>Spānija</c:v>
                      </c:pt>
                      <c:pt idx="17">
                        <c:v>Beļģija</c:v>
                      </c:pt>
                      <c:pt idx="18">
                        <c:v>Čehija</c:v>
                      </c:pt>
                      <c:pt idx="19">
                        <c:v>Francija</c:v>
                      </c:pt>
                      <c:pt idx="20">
                        <c:v>Slovakija</c:v>
                      </c:pt>
                      <c:pt idx="21">
                        <c:v>Norvēģija</c:v>
                      </c:pt>
                      <c:pt idx="22">
                        <c:v>Zviedrija</c:v>
                      </c:pt>
                      <c:pt idx="23">
                        <c:v>Somija</c:v>
                      </c:pt>
                      <c:pt idx="24">
                        <c:v>Dānija</c:v>
                      </c:pt>
                      <c:pt idx="25">
                        <c:v>Īrija</c:v>
                      </c:pt>
                      <c:pt idx="26">
                        <c:v>Apv. Karaliste</c:v>
                      </c:pt>
                      <c:pt idx="27">
                        <c:v>Vācija</c:v>
                      </c:pt>
                      <c:pt idx="28">
                        <c:v>Luksemburga</c:v>
                      </c:pt>
                      <c:pt idx="29">
                        <c:v>Nīderlande</c:v>
                      </c:pt>
                      <c:pt idx="30">
                        <c:v>Austrija</c:v>
                      </c:pt>
                      <c:pt idx="31">
                        <c:v>Šveice</c:v>
                      </c:pt>
                    </c:strCache>
                  </c:strRef>
                </c:cat>
                <c:val>
                  <c:numRef>
                    <c:extLst xmlns:c15="http://schemas.microsoft.com/office/drawing/2012/chart">
                      <c:ext xmlns:c15="http://schemas.microsoft.com/office/drawing/2012/chart" uri="{02D57815-91ED-43cb-92C2-25804820EDAC}">
                        <c15:formulaRef>
                          <c15:sqref>Sheet1!$F$5:$F$36</c15:sqref>
                        </c15:formulaRef>
                      </c:ext>
                    </c:extLst>
                    <c:numCache>
                      <c:formatCode>General</c:formatCode>
                      <c:ptCount val="32"/>
                    </c:numCache>
                  </c:numRef>
                </c:val>
                <c:extLst xmlns:c15="http://schemas.microsoft.com/office/drawing/2012/chart">
                  <c:ext xmlns:c16="http://schemas.microsoft.com/office/drawing/2014/chart" uri="{C3380CC4-5D6E-409C-BE32-E72D297353CC}">
                    <c16:uniqueId val="{0000000B-8023-45C2-91AD-A72A9449270C}"/>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Sheet1!$G$4</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Sheet1!$B$5:$B$36</c15:sqref>
                        </c15:formulaRef>
                      </c:ext>
                    </c:extLst>
                    <c:strCache>
                      <c:ptCount val="32"/>
                      <c:pt idx="0">
                        <c:v>Bulgārija </c:v>
                      </c:pt>
                      <c:pt idx="1">
                        <c:v>Turcija</c:v>
                      </c:pt>
                      <c:pt idx="2">
                        <c:v>Rumānija</c:v>
                      </c:pt>
                      <c:pt idx="3">
                        <c:v>Horvātija</c:v>
                      </c:pt>
                      <c:pt idx="4">
                        <c:v>Ungārija </c:v>
                      </c:pt>
                      <c:pt idx="5">
                        <c:v>Dienvidkipra</c:v>
                      </c:pt>
                      <c:pt idx="6">
                        <c:v>Igaunija</c:v>
                      </c:pt>
                      <c:pt idx="7">
                        <c:v>Malta</c:v>
                      </c:pt>
                      <c:pt idx="8">
                        <c:v>Lietuva</c:v>
                      </c:pt>
                      <c:pt idx="9">
                        <c:v>Slovēnija</c:v>
                      </c:pt>
                      <c:pt idx="10">
                        <c:v>Polija</c:v>
                      </c:pt>
                      <c:pt idx="11">
                        <c:v>Latvija</c:v>
                      </c:pt>
                      <c:pt idx="12">
                        <c:v>Grieķija</c:v>
                      </c:pt>
                      <c:pt idx="13">
                        <c:v>Itālija</c:v>
                      </c:pt>
                      <c:pt idx="14">
                        <c:v>Vidējais</c:v>
                      </c:pt>
                      <c:pt idx="15">
                        <c:v>Portugāle </c:v>
                      </c:pt>
                      <c:pt idx="16">
                        <c:v>Spānija</c:v>
                      </c:pt>
                      <c:pt idx="17">
                        <c:v>Beļģija</c:v>
                      </c:pt>
                      <c:pt idx="18">
                        <c:v>Čehija</c:v>
                      </c:pt>
                      <c:pt idx="19">
                        <c:v>Francija</c:v>
                      </c:pt>
                      <c:pt idx="20">
                        <c:v>Slovakija</c:v>
                      </c:pt>
                      <c:pt idx="21">
                        <c:v>Norvēģija</c:v>
                      </c:pt>
                      <c:pt idx="22">
                        <c:v>Zviedrija</c:v>
                      </c:pt>
                      <c:pt idx="23">
                        <c:v>Somija</c:v>
                      </c:pt>
                      <c:pt idx="24">
                        <c:v>Dānija</c:v>
                      </c:pt>
                      <c:pt idx="25">
                        <c:v>Īrija</c:v>
                      </c:pt>
                      <c:pt idx="26">
                        <c:v>Apv. Karaliste</c:v>
                      </c:pt>
                      <c:pt idx="27">
                        <c:v>Vācija</c:v>
                      </c:pt>
                      <c:pt idx="28">
                        <c:v>Luksemburga</c:v>
                      </c:pt>
                      <c:pt idx="29">
                        <c:v>Nīderlande</c:v>
                      </c:pt>
                      <c:pt idx="30">
                        <c:v>Austrija</c:v>
                      </c:pt>
                      <c:pt idx="31">
                        <c:v>Šveice</c:v>
                      </c:pt>
                    </c:strCache>
                  </c:strRef>
                </c:cat>
                <c:val>
                  <c:numRef>
                    <c:extLst xmlns:c15="http://schemas.microsoft.com/office/drawing/2012/chart">
                      <c:ext xmlns:c15="http://schemas.microsoft.com/office/drawing/2012/chart" uri="{02D57815-91ED-43cb-92C2-25804820EDAC}">
                        <c15:formulaRef>
                          <c15:sqref>Sheet1!$G$5:$G$36</c15:sqref>
                        </c15:formulaRef>
                      </c:ext>
                    </c:extLst>
                    <c:numCache>
                      <c:formatCode>General</c:formatCode>
                      <c:ptCount val="32"/>
                    </c:numCache>
                  </c:numRef>
                </c:val>
                <c:extLst xmlns:c15="http://schemas.microsoft.com/office/drawing/2012/chart">
                  <c:ext xmlns:c16="http://schemas.microsoft.com/office/drawing/2014/chart" uri="{C3380CC4-5D6E-409C-BE32-E72D297353CC}">
                    <c16:uniqueId val="{0000000C-8023-45C2-91AD-A72A9449270C}"/>
                  </c:ext>
                </c:extLst>
              </c15:ser>
            </c15:filteredBarSeries>
          </c:ext>
        </c:extLst>
      </c:barChart>
      <c:catAx>
        <c:axId val="1581468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581565583"/>
        <c:crosses val="autoZero"/>
        <c:auto val="1"/>
        <c:lblAlgn val="ctr"/>
        <c:lblOffset val="100"/>
        <c:noMultiLvlLbl val="0"/>
      </c:catAx>
      <c:valAx>
        <c:axId val="158156558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581468159"/>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latin typeface="Times New Roman" panose="02020603050405020304" pitchFamily="18" charset="0"/>
                <a:cs typeface="Times New Roman" panose="02020603050405020304" pitchFamily="18" charset="0"/>
              </a:rPr>
              <a:t>Nodokļu ieņēmumi ēdināšanas nozarē, milj.EUR</a:t>
            </a:r>
            <a:endParaRPr lang="en-US" b="1">
              <a:latin typeface="Times New Roman" panose="02020603050405020304" pitchFamily="18" charset="0"/>
              <a:cs typeface="Times New Roman" panose="02020603050405020304" pitchFamily="18" charset="0"/>
            </a:endParaRPr>
          </a:p>
        </c:rich>
      </c:tx>
      <c:layout/>
      <c:overlay val="1"/>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'2019.g.'!$B$18</c:f>
              <c:strCache>
                <c:ptCount val="1"/>
                <c:pt idx="0">
                  <c:v>2017.g.</c:v>
                </c:pt>
              </c:strCache>
            </c:strRef>
          </c:tx>
          <c:spPr>
            <a:solidFill>
              <a:schemeClr val="accent6"/>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'2019.g.'!$I$5</c:f>
              <c:strCache>
                <c:ptCount val="1"/>
                <c:pt idx="0">
                  <c:v>Kopā</c:v>
                </c:pt>
              </c:strCache>
            </c:strRef>
          </c:cat>
          <c:val>
            <c:numRef>
              <c:f>'2019.g.'!$I$18</c:f>
              <c:numCache>
                <c:formatCode>#,##0.00</c:formatCode>
                <c:ptCount val="1"/>
                <c:pt idx="0">
                  <c:v>110.07501478000013</c:v>
                </c:pt>
              </c:numCache>
            </c:numRef>
          </c:val>
          <c:extLst>
            <c:ext xmlns:c16="http://schemas.microsoft.com/office/drawing/2014/chart" uri="{C3380CC4-5D6E-409C-BE32-E72D297353CC}">
              <c16:uniqueId val="{00000000-CDAE-48C1-A4F7-BAB950AF6A1F}"/>
            </c:ext>
          </c:extLst>
        </c:ser>
        <c:ser>
          <c:idx val="1"/>
          <c:order val="1"/>
          <c:tx>
            <c:strRef>
              <c:f>'2019.g.'!$B$19</c:f>
              <c:strCache>
                <c:ptCount val="1"/>
                <c:pt idx="0">
                  <c:v>2018.g.</c:v>
                </c:pt>
              </c:strCache>
            </c:strRef>
          </c:tx>
          <c:spPr>
            <a:solidFill>
              <a:schemeClr val="accent5"/>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'2019.g.'!$I$5</c:f>
              <c:strCache>
                <c:ptCount val="1"/>
                <c:pt idx="0">
                  <c:v>Kopā</c:v>
                </c:pt>
              </c:strCache>
            </c:strRef>
          </c:cat>
          <c:val>
            <c:numRef>
              <c:f>'2019.g.'!$I$19</c:f>
              <c:numCache>
                <c:formatCode>#,##0.00</c:formatCode>
                <c:ptCount val="1"/>
                <c:pt idx="0">
                  <c:v>127.63965011000009</c:v>
                </c:pt>
              </c:numCache>
            </c:numRef>
          </c:val>
          <c:extLst>
            <c:ext xmlns:c16="http://schemas.microsoft.com/office/drawing/2014/chart" uri="{C3380CC4-5D6E-409C-BE32-E72D297353CC}">
              <c16:uniqueId val="{00000001-CDAE-48C1-A4F7-BAB950AF6A1F}"/>
            </c:ext>
          </c:extLst>
        </c:ser>
        <c:ser>
          <c:idx val="2"/>
          <c:order val="2"/>
          <c:tx>
            <c:strRef>
              <c:f>'2019.g.'!$B$20</c:f>
              <c:strCache>
                <c:ptCount val="1"/>
                <c:pt idx="0">
                  <c:v>2019.g.</c:v>
                </c:pt>
              </c:strCache>
            </c:strRef>
          </c:tx>
          <c:spPr>
            <a:solidFill>
              <a:schemeClr val="accent4"/>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'2019.g.'!$I$5</c:f>
              <c:strCache>
                <c:ptCount val="1"/>
                <c:pt idx="0">
                  <c:v>Kopā</c:v>
                </c:pt>
              </c:strCache>
            </c:strRef>
          </c:cat>
          <c:val>
            <c:numRef>
              <c:f>'2019.g.'!$I$20</c:f>
              <c:numCache>
                <c:formatCode>#,##0.00</c:formatCode>
                <c:ptCount val="1"/>
                <c:pt idx="0">
                  <c:v>147.56373506999969</c:v>
                </c:pt>
              </c:numCache>
            </c:numRef>
          </c:val>
          <c:extLst>
            <c:ext xmlns:c16="http://schemas.microsoft.com/office/drawing/2014/chart" uri="{C3380CC4-5D6E-409C-BE32-E72D297353CC}">
              <c16:uniqueId val="{00000002-CDAE-48C1-A4F7-BAB950AF6A1F}"/>
            </c:ext>
          </c:extLst>
        </c:ser>
        <c:dLbls>
          <c:dLblPos val="inBase"/>
          <c:showLegendKey val="0"/>
          <c:showVal val="1"/>
          <c:showCatName val="0"/>
          <c:showSerName val="0"/>
          <c:showPercent val="0"/>
          <c:showBubbleSize val="0"/>
        </c:dLbls>
        <c:gapWidth val="219"/>
        <c:overlap val="-27"/>
        <c:axId val="608277503"/>
        <c:axId val="608279167"/>
      </c:barChart>
      <c:catAx>
        <c:axId val="608277503"/>
        <c:scaling>
          <c:orientation val="minMax"/>
        </c:scaling>
        <c:delete val="1"/>
        <c:axPos val="b"/>
        <c:numFmt formatCode="General" sourceLinked="1"/>
        <c:majorTickMark val="none"/>
        <c:minorTickMark val="none"/>
        <c:tickLblPos val="nextTo"/>
        <c:crossAx val="608279167"/>
        <c:crosses val="autoZero"/>
        <c:auto val="1"/>
        <c:lblAlgn val="ctr"/>
        <c:lblOffset val="100"/>
        <c:noMultiLvlLbl val="0"/>
      </c:catAx>
      <c:valAx>
        <c:axId val="608279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0827750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latin typeface="Times New Roman" panose="02020603050405020304" pitchFamily="18" charset="0"/>
                <a:cs typeface="Times New Roman" panose="02020603050405020304" pitchFamily="18" charset="0"/>
              </a:rPr>
              <a:t>Lielākie nodokļu ieņēmumi ēdināšanas nozarē, milj.EUR</a:t>
            </a:r>
            <a:endParaRPr lang="en-US" b="1">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'2019.g.'!$B$18</c:f>
              <c:strCache>
                <c:ptCount val="1"/>
                <c:pt idx="0">
                  <c:v>2017.g.</c:v>
                </c:pt>
              </c:strCache>
            </c:strRef>
          </c:tx>
          <c:spPr>
            <a:solidFill>
              <a:schemeClr val="accent6"/>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'2019.g.'!$C$18:$E$18</c:f>
              <c:numCache>
                <c:formatCode>#,##0.00</c:formatCode>
                <c:ptCount val="3"/>
                <c:pt idx="0">
                  <c:v>39.979071660000088</c:v>
                </c:pt>
                <c:pt idx="1">
                  <c:v>22.845831600000047</c:v>
                </c:pt>
                <c:pt idx="2">
                  <c:v>42.990982910000007</c:v>
                </c:pt>
              </c:numCache>
            </c:numRef>
          </c:val>
          <c:extLst>
            <c:ext xmlns:c16="http://schemas.microsoft.com/office/drawing/2014/chart" uri="{C3380CC4-5D6E-409C-BE32-E72D297353CC}">
              <c16:uniqueId val="{00000000-2208-46A2-86AD-FEA56F214C38}"/>
            </c:ext>
          </c:extLst>
        </c:ser>
        <c:ser>
          <c:idx val="1"/>
          <c:order val="1"/>
          <c:tx>
            <c:strRef>
              <c:f>'2019.g.'!$B$19</c:f>
              <c:strCache>
                <c:ptCount val="1"/>
                <c:pt idx="0">
                  <c:v>2018.g.</c:v>
                </c:pt>
              </c:strCache>
            </c:strRef>
          </c:tx>
          <c:spPr>
            <a:solidFill>
              <a:schemeClr val="accent5"/>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'2019.g.'!$C$19:$E$19</c:f>
              <c:numCache>
                <c:formatCode>#,##0.00</c:formatCode>
                <c:ptCount val="3"/>
                <c:pt idx="0">
                  <c:v>48.734142900000002</c:v>
                </c:pt>
                <c:pt idx="1">
                  <c:v>23.291861829999991</c:v>
                </c:pt>
                <c:pt idx="2">
                  <c:v>52.188649019999858</c:v>
                </c:pt>
              </c:numCache>
            </c:numRef>
          </c:val>
          <c:extLst>
            <c:ext xmlns:c16="http://schemas.microsoft.com/office/drawing/2014/chart" uri="{C3380CC4-5D6E-409C-BE32-E72D297353CC}">
              <c16:uniqueId val="{00000001-2208-46A2-86AD-FEA56F214C38}"/>
            </c:ext>
          </c:extLst>
        </c:ser>
        <c:ser>
          <c:idx val="2"/>
          <c:order val="2"/>
          <c:tx>
            <c:strRef>
              <c:f>'2019.g.'!$B$20</c:f>
              <c:strCache>
                <c:ptCount val="1"/>
                <c:pt idx="0">
                  <c:v>2019.g.</c:v>
                </c:pt>
              </c:strCache>
            </c:strRef>
          </c:tx>
          <c:spPr>
            <a:solidFill>
              <a:schemeClr val="accent4"/>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'2019.g.'!$C$20:$E$20</c:f>
              <c:numCache>
                <c:formatCode>#,##0.00</c:formatCode>
                <c:ptCount val="3"/>
                <c:pt idx="0">
                  <c:v>57.435975610000014</c:v>
                </c:pt>
                <c:pt idx="1">
                  <c:v>26.68712454000001</c:v>
                </c:pt>
                <c:pt idx="2">
                  <c:v>60.017285030000011</c:v>
                </c:pt>
              </c:numCache>
            </c:numRef>
          </c:val>
          <c:extLst>
            <c:ext xmlns:c16="http://schemas.microsoft.com/office/drawing/2014/chart" uri="{C3380CC4-5D6E-409C-BE32-E72D297353CC}">
              <c16:uniqueId val="{00000002-2208-46A2-86AD-FEA56F214C38}"/>
            </c:ext>
          </c:extLst>
        </c:ser>
        <c:dLbls>
          <c:dLblPos val="outEnd"/>
          <c:showLegendKey val="0"/>
          <c:showVal val="1"/>
          <c:showCatName val="0"/>
          <c:showSerName val="0"/>
          <c:showPercent val="0"/>
          <c:showBubbleSize val="0"/>
        </c:dLbls>
        <c:gapWidth val="219"/>
        <c:overlap val="-27"/>
        <c:axId val="608277503"/>
        <c:axId val="608279167"/>
      </c:barChart>
      <c:catAx>
        <c:axId val="608277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lv-LV"/>
          </a:p>
        </c:txPr>
        <c:crossAx val="608279167"/>
        <c:crosses val="autoZero"/>
        <c:auto val="1"/>
        <c:lblAlgn val="ctr"/>
        <c:lblOffset val="100"/>
        <c:noMultiLvlLbl val="0"/>
      </c:catAx>
      <c:valAx>
        <c:axId val="608279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0827750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sz="1300" b="1">
                <a:latin typeface="Times New Roman" panose="02020603050405020304" pitchFamily="18" charset="0"/>
                <a:cs typeface="Times New Roman" panose="02020603050405020304" pitchFamily="18" charset="0"/>
              </a:rPr>
              <a:t>Ēnu ekonomikas īpatsvara dinamika Baltijas valstīs 2009.-2019.</a:t>
            </a:r>
            <a:r>
              <a:rPr lang="lv-LV" sz="1300" b="1" baseline="0">
                <a:latin typeface="Times New Roman" panose="02020603050405020304" pitchFamily="18" charset="0"/>
                <a:cs typeface="Times New Roman" panose="02020603050405020304" pitchFamily="18" charset="0"/>
              </a:rPr>
              <a:t> </a:t>
            </a:r>
            <a:r>
              <a:rPr lang="lv-LV" sz="1300" b="1">
                <a:latin typeface="Times New Roman" panose="02020603050405020304" pitchFamily="18" charset="0"/>
                <a:cs typeface="Times New Roman" panose="02020603050405020304" pitchFamily="18" charset="0"/>
              </a:rPr>
              <a:t>gadā, procentos no IKP</a:t>
            </a:r>
          </a:p>
        </c:rich>
      </c:tx>
      <c:layout/>
      <c:overlay val="0"/>
      <c:spPr>
        <a:noFill/>
        <a:ln>
          <a:noFill/>
        </a:ln>
        <a:effectLst/>
      </c:spPr>
      <c:txPr>
        <a:bodyPr rot="0" spcFirstLastPara="1" vertOverflow="ellipsis" vert="horz" wrap="square" anchor="ctr" anchorCtr="1"/>
        <a:lstStyle/>
        <a:p>
          <a:pPr>
            <a:defRPr sz="13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7.7435127476018287E-2"/>
          <c:y val="0.22060260586319219"/>
          <c:w val="0.89804004113219749"/>
          <c:h val="0.63251878735027833"/>
        </c:manualLayout>
      </c:layout>
      <c:lineChart>
        <c:grouping val="standard"/>
        <c:varyColors val="0"/>
        <c:ser>
          <c:idx val="0"/>
          <c:order val="0"/>
          <c:tx>
            <c:strRef>
              <c:f>'Nod. ieņēmumu grafiki'!$C$57</c:f>
              <c:strCache>
                <c:ptCount val="1"/>
                <c:pt idx="0">
                  <c:v>Latvija</c:v>
                </c:pt>
              </c:strCache>
            </c:strRef>
          </c:tx>
          <c:spPr>
            <a:ln w="28575" cap="rnd">
              <a:solidFill>
                <a:schemeClr val="accent1"/>
              </a:solidFill>
              <a:round/>
            </a:ln>
            <a:effectLst/>
          </c:spPr>
          <c:marker>
            <c:symbol val="none"/>
          </c:marker>
          <c:dPt>
            <c:idx val="10"/>
            <c:marker>
              <c:symbol val="none"/>
            </c:marker>
            <c:bubble3D val="0"/>
            <c:extLst>
              <c:ext xmlns:c16="http://schemas.microsoft.com/office/drawing/2014/chart" uri="{C3380CC4-5D6E-409C-BE32-E72D297353CC}">
                <c16:uniqueId val="{00000000-8677-4ADD-89B0-FB036CB8F92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'Nod. ieņēmumu grafiki'!$B$58:$B$68</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'Nod. ieņēmumu grafiki'!$C$58:$C$68</c:f>
              <c:numCache>
                <c:formatCode>0.0</c:formatCode>
                <c:ptCount val="11"/>
                <c:pt idx="0">
                  <c:v>36.6</c:v>
                </c:pt>
                <c:pt idx="1">
                  <c:v>38.1</c:v>
                </c:pt>
                <c:pt idx="2">
                  <c:v>30.2</c:v>
                </c:pt>
                <c:pt idx="3">
                  <c:v>21.1</c:v>
                </c:pt>
                <c:pt idx="4">
                  <c:v>23.8</c:v>
                </c:pt>
                <c:pt idx="5">
                  <c:v>23.5</c:v>
                </c:pt>
                <c:pt idx="6">
                  <c:v>21.3</c:v>
                </c:pt>
                <c:pt idx="7">
                  <c:v>20.7</c:v>
                </c:pt>
                <c:pt idx="8">
                  <c:v>22</c:v>
                </c:pt>
                <c:pt idx="9">
                  <c:v>24.2</c:v>
                </c:pt>
                <c:pt idx="10">
                  <c:v>23.9</c:v>
                </c:pt>
              </c:numCache>
            </c:numRef>
          </c:val>
          <c:smooth val="0"/>
          <c:extLst>
            <c:ext xmlns:c16="http://schemas.microsoft.com/office/drawing/2014/chart" uri="{C3380CC4-5D6E-409C-BE32-E72D297353CC}">
              <c16:uniqueId val="{00000001-8677-4ADD-89B0-FB036CB8F92B}"/>
            </c:ext>
          </c:extLst>
        </c:ser>
        <c:ser>
          <c:idx val="1"/>
          <c:order val="1"/>
          <c:tx>
            <c:strRef>
              <c:f>'Nod. ieņēmumu grafiki'!$D$57</c:f>
              <c:strCache>
                <c:ptCount val="1"/>
                <c:pt idx="0">
                  <c:v>Lietuva</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'Nod. ieņēmumu grafiki'!$B$58:$B$68</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'Nod. ieņēmumu grafiki'!$D$58:$D$68</c:f>
              <c:numCache>
                <c:formatCode>0.0</c:formatCode>
                <c:ptCount val="11"/>
                <c:pt idx="0">
                  <c:v>17.7</c:v>
                </c:pt>
                <c:pt idx="1">
                  <c:v>18.8</c:v>
                </c:pt>
                <c:pt idx="2">
                  <c:v>17.100000000000001</c:v>
                </c:pt>
                <c:pt idx="3">
                  <c:v>18.2</c:v>
                </c:pt>
                <c:pt idx="4">
                  <c:v>15.3</c:v>
                </c:pt>
                <c:pt idx="5">
                  <c:v>12.5</c:v>
                </c:pt>
                <c:pt idx="6">
                  <c:v>14.9</c:v>
                </c:pt>
                <c:pt idx="7">
                  <c:v>16.5</c:v>
                </c:pt>
                <c:pt idx="8">
                  <c:v>18.2</c:v>
                </c:pt>
                <c:pt idx="9">
                  <c:v>18.7</c:v>
                </c:pt>
                <c:pt idx="10">
                  <c:v>18.2</c:v>
                </c:pt>
              </c:numCache>
            </c:numRef>
          </c:val>
          <c:smooth val="0"/>
          <c:extLst>
            <c:ext xmlns:c16="http://schemas.microsoft.com/office/drawing/2014/chart" uri="{C3380CC4-5D6E-409C-BE32-E72D297353CC}">
              <c16:uniqueId val="{00000002-8677-4ADD-89B0-FB036CB8F92B}"/>
            </c:ext>
          </c:extLst>
        </c:ser>
        <c:ser>
          <c:idx val="2"/>
          <c:order val="2"/>
          <c:tx>
            <c:strRef>
              <c:f>'Nod. ieņēmumu grafiki'!$E$57</c:f>
              <c:strCache>
                <c:ptCount val="1"/>
                <c:pt idx="0">
                  <c:v>Igaunija</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'Nod. ieņēmumu grafiki'!$B$58:$B$68</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'Nod. ieņēmumu grafiki'!$E$58:$E$68</c:f>
              <c:numCache>
                <c:formatCode>0.0</c:formatCode>
                <c:ptCount val="11"/>
                <c:pt idx="0">
                  <c:v>20.2</c:v>
                </c:pt>
                <c:pt idx="1">
                  <c:v>19.399999999999999</c:v>
                </c:pt>
                <c:pt idx="2">
                  <c:v>18.899999999999999</c:v>
                </c:pt>
                <c:pt idx="3">
                  <c:v>19.2</c:v>
                </c:pt>
                <c:pt idx="4">
                  <c:v>15.7</c:v>
                </c:pt>
                <c:pt idx="5">
                  <c:v>13.2</c:v>
                </c:pt>
                <c:pt idx="6">
                  <c:v>15</c:v>
                </c:pt>
                <c:pt idx="7">
                  <c:v>15.4</c:v>
                </c:pt>
                <c:pt idx="8">
                  <c:v>18.2</c:v>
                </c:pt>
                <c:pt idx="9">
                  <c:v>16.7</c:v>
                </c:pt>
                <c:pt idx="10">
                  <c:v>14.3</c:v>
                </c:pt>
              </c:numCache>
            </c:numRef>
          </c:val>
          <c:smooth val="0"/>
          <c:extLst>
            <c:ext xmlns:c16="http://schemas.microsoft.com/office/drawing/2014/chart" uri="{C3380CC4-5D6E-409C-BE32-E72D297353CC}">
              <c16:uniqueId val="{00000003-8677-4ADD-89B0-FB036CB8F92B}"/>
            </c:ext>
          </c:extLst>
        </c:ser>
        <c:dLbls>
          <c:dLblPos val="t"/>
          <c:showLegendKey val="0"/>
          <c:showVal val="1"/>
          <c:showCatName val="0"/>
          <c:showSerName val="0"/>
          <c:showPercent val="0"/>
          <c:showBubbleSize val="0"/>
        </c:dLbls>
        <c:smooth val="0"/>
        <c:axId val="1360146352"/>
        <c:axId val="1360140944"/>
      </c:lineChart>
      <c:catAx>
        <c:axId val="136014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360140944"/>
        <c:crosses val="autoZero"/>
        <c:auto val="1"/>
        <c:lblAlgn val="ctr"/>
        <c:lblOffset val="100"/>
        <c:noMultiLvlLbl val="0"/>
      </c:catAx>
      <c:valAx>
        <c:axId val="1360140944"/>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3601463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sz="1300" b="1" i="0" u="none" strike="noStrike" baseline="0">
                <a:effectLst/>
                <a:latin typeface="Times New Roman" panose="02020603050405020304" pitchFamily="18" charset="0"/>
                <a:cs typeface="Times New Roman" panose="02020603050405020304" pitchFamily="18" charset="0"/>
              </a:rPr>
              <a:t>Ēnu ekonomikas īpatsvars Latvijā (% no IKP) nozaru dalījumā (vidējais 2016.-2019.gadā)</a:t>
            </a:r>
            <a:endParaRPr lang="lv-LV" sz="1300" b="1">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3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Sheet1!$A$29:$A$34</c:f>
              <c:strCache>
                <c:ptCount val="6"/>
                <c:pt idx="0">
                  <c:v>Ražošana</c:v>
                </c:pt>
                <c:pt idx="1">
                  <c:v>Mazumtirdzniecība</c:v>
                </c:pt>
                <c:pt idx="2">
                  <c:v>Vairumtirdzniecība</c:v>
                </c:pt>
                <c:pt idx="3">
                  <c:v>Pakalpojumi</c:v>
                </c:pt>
                <c:pt idx="4">
                  <c:v>Būvniecība</c:v>
                </c:pt>
                <c:pt idx="5">
                  <c:v>Citi</c:v>
                </c:pt>
              </c:strCache>
            </c:strRef>
          </c:cat>
          <c:val>
            <c:numRef>
              <c:f>Sheet1!$B$29:$B$34</c:f>
              <c:numCache>
                <c:formatCode>0.0%</c:formatCode>
                <c:ptCount val="6"/>
                <c:pt idx="0">
                  <c:v>0.17</c:v>
                </c:pt>
                <c:pt idx="1">
                  <c:v>0.27700000000000002</c:v>
                </c:pt>
                <c:pt idx="2">
                  <c:v>0.26600000000000001</c:v>
                </c:pt>
                <c:pt idx="3">
                  <c:v>0.20699999999999999</c:v>
                </c:pt>
                <c:pt idx="4">
                  <c:v>0.33300000000000002</c:v>
                </c:pt>
                <c:pt idx="5">
                  <c:v>0.217</c:v>
                </c:pt>
              </c:numCache>
            </c:numRef>
          </c:val>
          <c:extLst>
            <c:ext xmlns:c16="http://schemas.microsoft.com/office/drawing/2014/chart" uri="{C3380CC4-5D6E-409C-BE32-E72D297353CC}">
              <c16:uniqueId val="{00000000-CA6B-4BE3-9635-E93D33BD25BD}"/>
            </c:ext>
          </c:extLst>
        </c:ser>
        <c:dLbls>
          <c:dLblPos val="outEnd"/>
          <c:showLegendKey val="0"/>
          <c:showVal val="1"/>
          <c:showCatName val="0"/>
          <c:showSerName val="0"/>
          <c:showPercent val="0"/>
          <c:showBubbleSize val="0"/>
        </c:dLbls>
        <c:gapWidth val="182"/>
        <c:axId val="338333480"/>
        <c:axId val="338334136"/>
      </c:barChart>
      <c:catAx>
        <c:axId val="338333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338334136"/>
        <c:crosses val="autoZero"/>
        <c:auto val="1"/>
        <c:lblAlgn val="ctr"/>
        <c:lblOffset val="100"/>
        <c:noMultiLvlLbl val="0"/>
      </c:catAx>
      <c:valAx>
        <c:axId val="338334136"/>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338333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b="1">
                <a:latin typeface="Times New Roman" panose="02020603050405020304" pitchFamily="18" charset="0"/>
                <a:cs typeface="Times New Roman" panose="02020603050405020304" pitchFamily="18" charset="0"/>
              </a:rPr>
              <a:t>Nodokļu plaisas Latvijā , %</a:t>
            </a:r>
            <a:endParaRPr lang="en-US" b="1">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'Nod. ieņēmumu grafiki'!$C$49</c:f>
              <c:strCache>
                <c:ptCount val="1"/>
                <c:pt idx="0">
                  <c:v>IIN plaisa</c:v>
                </c:pt>
              </c:strCache>
            </c:strRef>
          </c:tx>
          <c:spPr>
            <a:solidFill>
              <a:schemeClr val="accent1"/>
            </a:solidFill>
            <a:ln>
              <a:noFill/>
            </a:ln>
            <a:effectLst/>
          </c:spPr>
          <c:invertIfNegative val="0"/>
          <c:cat>
            <c:numRef>
              <c:f>'Nod. ieņēmumu grafiki'!$B$50:$B$55</c:f>
              <c:numCache>
                <c:formatCode>General</c:formatCode>
                <c:ptCount val="6"/>
                <c:pt idx="0">
                  <c:v>2014</c:v>
                </c:pt>
                <c:pt idx="1">
                  <c:v>2015</c:v>
                </c:pt>
                <c:pt idx="2">
                  <c:v>2016</c:v>
                </c:pt>
                <c:pt idx="3">
                  <c:v>2017</c:v>
                </c:pt>
                <c:pt idx="4">
                  <c:v>2018</c:v>
                </c:pt>
                <c:pt idx="5">
                  <c:v>2019</c:v>
                </c:pt>
              </c:numCache>
            </c:numRef>
          </c:cat>
          <c:val>
            <c:numRef>
              <c:f>'Nod. ieņēmumu grafiki'!$C$50:$C$55</c:f>
              <c:numCache>
                <c:formatCode>0.0</c:formatCode>
                <c:ptCount val="6"/>
                <c:pt idx="0">
                  <c:v>21.3</c:v>
                </c:pt>
                <c:pt idx="1">
                  <c:v>19.399999999999999</c:v>
                </c:pt>
                <c:pt idx="2">
                  <c:v>18.079999999999998</c:v>
                </c:pt>
                <c:pt idx="3">
                  <c:v>17.77</c:v>
                </c:pt>
                <c:pt idx="4">
                  <c:v>17.29</c:v>
                </c:pt>
                <c:pt idx="5">
                  <c:v>17.27</c:v>
                </c:pt>
              </c:numCache>
            </c:numRef>
          </c:val>
          <c:extLst>
            <c:ext xmlns:c16="http://schemas.microsoft.com/office/drawing/2014/chart" uri="{C3380CC4-5D6E-409C-BE32-E72D297353CC}">
              <c16:uniqueId val="{00000000-D9D7-497B-9EB6-7336BE460F53}"/>
            </c:ext>
          </c:extLst>
        </c:ser>
        <c:ser>
          <c:idx val="1"/>
          <c:order val="1"/>
          <c:tx>
            <c:strRef>
              <c:f>'Nod. ieņēmumu grafiki'!$D$49</c:f>
              <c:strCache>
                <c:ptCount val="1"/>
                <c:pt idx="0">
                  <c:v>VSAOI plaisa</c:v>
                </c:pt>
              </c:strCache>
            </c:strRef>
          </c:tx>
          <c:spPr>
            <a:solidFill>
              <a:schemeClr val="accent2"/>
            </a:solidFill>
            <a:ln>
              <a:noFill/>
            </a:ln>
            <a:effectLst/>
          </c:spPr>
          <c:invertIfNegative val="0"/>
          <c:cat>
            <c:numRef>
              <c:f>'Nod. ieņēmumu grafiki'!$B$50:$B$55</c:f>
              <c:numCache>
                <c:formatCode>General</c:formatCode>
                <c:ptCount val="6"/>
                <c:pt idx="0">
                  <c:v>2014</c:v>
                </c:pt>
                <c:pt idx="1">
                  <c:v>2015</c:v>
                </c:pt>
                <c:pt idx="2">
                  <c:v>2016</c:v>
                </c:pt>
                <c:pt idx="3">
                  <c:v>2017</c:v>
                </c:pt>
                <c:pt idx="4">
                  <c:v>2018</c:v>
                </c:pt>
                <c:pt idx="5">
                  <c:v>2019</c:v>
                </c:pt>
              </c:numCache>
            </c:numRef>
          </c:cat>
          <c:val>
            <c:numRef>
              <c:f>'Nod. ieņēmumu grafiki'!$D$50:$D$55</c:f>
              <c:numCache>
                <c:formatCode>0.0</c:formatCode>
                <c:ptCount val="6"/>
                <c:pt idx="0">
                  <c:v>22</c:v>
                </c:pt>
                <c:pt idx="1">
                  <c:v>19.7</c:v>
                </c:pt>
                <c:pt idx="2">
                  <c:v>18</c:v>
                </c:pt>
                <c:pt idx="3">
                  <c:v>17.66</c:v>
                </c:pt>
                <c:pt idx="4">
                  <c:v>17.29</c:v>
                </c:pt>
                <c:pt idx="5">
                  <c:v>17.18</c:v>
                </c:pt>
              </c:numCache>
            </c:numRef>
          </c:val>
          <c:extLst>
            <c:ext xmlns:c16="http://schemas.microsoft.com/office/drawing/2014/chart" uri="{C3380CC4-5D6E-409C-BE32-E72D297353CC}">
              <c16:uniqueId val="{00000001-D9D7-497B-9EB6-7336BE460F53}"/>
            </c:ext>
          </c:extLst>
        </c:ser>
        <c:ser>
          <c:idx val="2"/>
          <c:order val="2"/>
          <c:tx>
            <c:strRef>
              <c:f>'Nod. ieņēmumu grafiki'!$E$49</c:f>
              <c:strCache>
                <c:ptCount val="1"/>
                <c:pt idx="0">
                  <c:v>PVN plaisa</c:v>
                </c:pt>
              </c:strCache>
            </c:strRef>
          </c:tx>
          <c:spPr>
            <a:solidFill>
              <a:schemeClr val="accent3"/>
            </a:solidFill>
            <a:ln>
              <a:noFill/>
            </a:ln>
            <a:effectLst/>
          </c:spPr>
          <c:invertIfNegative val="0"/>
          <c:cat>
            <c:numRef>
              <c:f>'Nod. ieņēmumu grafiki'!$B$50:$B$55</c:f>
              <c:numCache>
                <c:formatCode>General</c:formatCode>
                <c:ptCount val="6"/>
                <c:pt idx="0">
                  <c:v>2014</c:v>
                </c:pt>
                <c:pt idx="1">
                  <c:v>2015</c:v>
                </c:pt>
                <c:pt idx="2">
                  <c:v>2016</c:v>
                </c:pt>
                <c:pt idx="3">
                  <c:v>2017</c:v>
                </c:pt>
                <c:pt idx="4">
                  <c:v>2018</c:v>
                </c:pt>
                <c:pt idx="5">
                  <c:v>2019</c:v>
                </c:pt>
              </c:numCache>
            </c:numRef>
          </c:cat>
          <c:val>
            <c:numRef>
              <c:f>'Nod. ieņēmumu grafiki'!$E$50:$E$55</c:f>
              <c:numCache>
                <c:formatCode>0.0</c:formatCode>
                <c:ptCount val="6"/>
                <c:pt idx="0">
                  <c:v>18.8</c:v>
                </c:pt>
                <c:pt idx="1">
                  <c:v>17</c:v>
                </c:pt>
                <c:pt idx="2">
                  <c:v>12.8</c:v>
                </c:pt>
                <c:pt idx="3">
                  <c:v>13.9</c:v>
                </c:pt>
                <c:pt idx="4">
                  <c:v>10.199999999999999</c:v>
                </c:pt>
                <c:pt idx="5">
                  <c:v>7.1</c:v>
                </c:pt>
              </c:numCache>
            </c:numRef>
          </c:val>
          <c:extLst>
            <c:ext xmlns:c16="http://schemas.microsoft.com/office/drawing/2014/chart" uri="{C3380CC4-5D6E-409C-BE32-E72D297353CC}">
              <c16:uniqueId val="{00000002-D9D7-497B-9EB6-7336BE460F53}"/>
            </c:ext>
          </c:extLst>
        </c:ser>
        <c:dLbls>
          <c:showLegendKey val="0"/>
          <c:showVal val="0"/>
          <c:showCatName val="0"/>
          <c:showSerName val="0"/>
          <c:showPercent val="0"/>
          <c:showBubbleSize val="0"/>
        </c:dLbls>
        <c:gapWidth val="219"/>
        <c:overlap val="-27"/>
        <c:axId val="1646824815"/>
        <c:axId val="1646821903"/>
      </c:barChart>
      <c:catAx>
        <c:axId val="1646824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46821903"/>
        <c:crosses val="autoZero"/>
        <c:auto val="1"/>
        <c:lblAlgn val="ctr"/>
        <c:lblOffset val="100"/>
        <c:noMultiLvlLbl val="0"/>
      </c:catAx>
      <c:valAx>
        <c:axId val="164682190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4682481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latin typeface="Times New Roman" panose="02020603050405020304" pitchFamily="18" charset="0"/>
                <a:cs typeface="Times New Roman" panose="02020603050405020304" pitchFamily="18" charset="0"/>
              </a:rPr>
              <a:t>Nodokļu ieņēmumi būvniecībā, milj.</a:t>
            </a:r>
            <a:r>
              <a:rPr lang="lv-LV" b="1" baseline="0">
                <a:latin typeface="Times New Roman" panose="02020603050405020304" pitchFamily="18" charset="0"/>
                <a:cs typeface="Times New Roman" panose="02020603050405020304" pitchFamily="18" charset="0"/>
              </a:rPr>
              <a:t> EUR</a:t>
            </a:r>
            <a:endParaRPr lang="lv-LV" b="1">
              <a:latin typeface="Times New Roman" panose="02020603050405020304" pitchFamily="18" charset="0"/>
              <a:cs typeface="Times New Roman" panose="02020603050405020304" pitchFamily="18" charset="0"/>
            </a:endParaRPr>
          </a:p>
        </c:rich>
      </c:tx>
      <c:layout>
        <c:manualLayout>
          <c:xMode val="edge"/>
          <c:yMode val="edge"/>
          <c:x val="0.13471871982211309"/>
          <c:y val="4.6296296296296294E-3"/>
        </c:manualLayout>
      </c:layout>
      <c:overlay val="1"/>
      <c:spPr>
        <a:noFill/>
        <a:ln>
          <a:noFill/>
        </a:ln>
        <a:effectLst/>
      </c:spPr>
      <c:txPr>
        <a:bodyPr rot="0" spcFirstLastPara="1" vertOverflow="ellipsis" vert="horz" wrap="square" anchor="ctr" anchorCtr="1"/>
        <a:lstStyle/>
        <a:p>
          <a:pPr algn="ct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'2019.g.'!$B$6</c:f>
              <c:strCache>
                <c:ptCount val="1"/>
                <c:pt idx="0">
                  <c:v>2017.g.</c:v>
                </c:pt>
              </c:strCache>
            </c:strRef>
          </c:tx>
          <c:spPr>
            <a:solidFill>
              <a:schemeClr val="accent6"/>
            </a:solidFill>
            <a:ln>
              <a:noFill/>
            </a:ln>
            <a:effectLst/>
            <a:scene3d>
              <a:camera prst="orthographicFront"/>
              <a:lightRig rig="balanced" dir="t">
                <a:rot lat="0" lon="0" rev="8700000"/>
              </a:lightRig>
            </a:scene3d>
            <a:sp3d>
              <a:bevelT w="190500" h="381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'2019.g.'!$I$5</c:f>
              <c:strCache>
                <c:ptCount val="1"/>
                <c:pt idx="0">
                  <c:v>Kopā</c:v>
                </c:pt>
              </c:strCache>
            </c:strRef>
          </c:cat>
          <c:val>
            <c:numRef>
              <c:f>'2019.g.'!$I$6</c:f>
              <c:numCache>
                <c:formatCode>#,##0.00</c:formatCode>
                <c:ptCount val="1"/>
                <c:pt idx="0">
                  <c:v>194.65803849</c:v>
                </c:pt>
              </c:numCache>
            </c:numRef>
          </c:val>
          <c:extLst>
            <c:ext xmlns:c16="http://schemas.microsoft.com/office/drawing/2014/chart" uri="{C3380CC4-5D6E-409C-BE32-E72D297353CC}">
              <c16:uniqueId val="{00000000-C131-445E-AE96-533243A7A5F0}"/>
            </c:ext>
          </c:extLst>
        </c:ser>
        <c:ser>
          <c:idx val="1"/>
          <c:order val="1"/>
          <c:tx>
            <c:strRef>
              <c:f>'2019.g.'!$B$7</c:f>
              <c:strCache>
                <c:ptCount val="1"/>
                <c:pt idx="0">
                  <c:v>2018.g.</c:v>
                </c:pt>
              </c:strCache>
            </c:strRef>
          </c:tx>
          <c:spPr>
            <a:solidFill>
              <a:schemeClr val="accent5"/>
            </a:solidFill>
            <a:ln>
              <a:noFill/>
            </a:ln>
            <a:effectLst/>
            <a:scene3d>
              <a:camera prst="orthographicFront"/>
              <a:lightRig rig="balanced" dir="t">
                <a:rot lat="0" lon="0" rev="8700000"/>
              </a:lightRig>
            </a:scene3d>
            <a:sp3d>
              <a:bevelT w="190500" h="381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'2019.g.'!$I$5</c:f>
              <c:strCache>
                <c:ptCount val="1"/>
                <c:pt idx="0">
                  <c:v>Kopā</c:v>
                </c:pt>
              </c:strCache>
            </c:strRef>
          </c:cat>
          <c:val>
            <c:numRef>
              <c:f>'2019.g.'!$I$7</c:f>
              <c:numCache>
                <c:formatCode>#,##0.00</c:formatCode>
                <c:ptCount val="1"/>
                <c:pt idx="0">
                  <c:v>287.33899060000033</c:v>
                </c:pt>
              </c:numCache>
            </c:numRef>
          </c:val>
          <c:extLst>
            <c:ext xmlns:c16="http://schemas.microsoft.com/office/drawing/2014/chart" uri="{C3380CC4-5D6E-409C-BE32-E72D297353CC}">
              <c16:uniqueId val="{00000001-C131-445E-AE96-533243A7A5F0}"/>
            </c:ext>
          </c:extLst>
        </c:ser>
        <c:ser>
          <c:idx val="2"/>
          <c:order val="2"/>
          <c:tx>
            <c:strRef>
              <c:f>'2019.g.'!$B$8</c:f>
              <c:strCache>
                <c:ptCount val="1"/>
                <c:pt idx="0">
                  <c:v>2019.g.</c:v>
                </c:pt>
              </c:strCache>
            </c:strRef>
          </c:tx>
          <c:spPr>
            <a:solidFill>
              <a:schemeClr val="accent4"/>
            </a:solidFill>
            <a:ln>
              <a:noFill/>
            </a:ln>
            <a:effectLst/>
            <a:scene3d>
              <a:camera prst="orthographicFront"/>
              <a:lightRig rig="balanced" dir="t">
                <a:rot lat="0" lon="0" rev="8700000"/>
              </a:lightRig>
            </a:scene3d>
            <a:sp3d>
              <a:bevelT w="190500" h="381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'2019.g.'!$I$5</c:f>
              <c:strCache>
                <c:ptCount val="1"/>
                <c:pt idx="0">
                  <c:v>Kopā</c:v>
                </c:pt>
              </c:strCache>
            </c:strRef>
          </c:cat>
          <c:val>
            <c:numRef>
              <c:f>'2019.g.'!$I$8</c:f>
              <c:numCache>
                <c:formatCode>#,##0.00</c:formatCode>
                <c:ptCount val="1"/>
                <c:pt idx="0">
                  <c:v>327.78085528999992</c:v>
                </c:pt>
              </c:numCache>
            </c:numRef>
          </c:val>
          <c:extLst>
            <c:ext xmlns:c16="http://schemas.microsoft.com/office/drawing/2014/chart" uri="{C3380CC4-5D6E-409C-BE32-E72D297353CC}">
              <c16:uniqueId val="{00000002-C131-445E-AE96-533243A7A5F0}"/>
            </c:ext>
          </c:extLst>
        </c:ser>
        <c:dLbls>
          <c:dLblPos val="inBase"/>
          <c:showLegendKey val="0"/>
          <c:showVal val="1"/>
          <c:showCatName val="0"/>
          <c:showSerName val="0"/>
          <c:showPercent val="0"/>
          <c:showBubbleSize val="0"/>
        </c:dLbls>
        <c:gapWidth val="219"/>
        <c:overlap val="-27"/>
        <c:axId val="608277503"/>
        <c:axId val="608279167"/>
      </c:barChart>
      <c:catAx>
        <c:axId val="608277503"/>
        <c:scaling>
          <c:orientation val="minMax"/>
        </c:scaling>
        <c:delete val="1"/>
        <c:axPos val="b"/>
        <c:numFmt formatCode="General" sourceLinked="1"/>
        <c:majorTickMark val="none"/>
        <c:minorTickMark val="none"/>
        <c:tickLblPos val="nextTo"/>
        <c:crossAx val="608279167"/>
        <c:crosses val="autoZero"/>
        <c:auto val="1"/>
        <c:lblAlgn val="ctr"/>
        <c:lblOffset val="100"/>
        <c:noMultiLvlLbl val="0"/>
      </c:catAx>
      <c:valAx>
        <c:axId val="608279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0827750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5400000" vert="horz"/>
    <a:lstStyle/>
    <a:p>
      <a:pPr>
        <a:defRPr sz="1100">
          <a:solidFill>
            <a:sysClr val="windowText" lastClr="000000"/>
          </a:solidFill>
        </a:defRPr>
      </a:pPr>
      <a:endParaRPr lang="lv-LV"/>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latin typeface="Times New Roman" panose="02020603050405020304" pitchFamily="18" charset="0"/>
                <a:cs typeface="Times New Roman" panose="02020603050405020304" pitchFamily="18" charset="0"/>
              </a:rPr>
              <a:t>Lielākie nodokļu ieņēmumi būvniecības nozarē, milj.EUR</a:t>
            </a:r>
          </a:p>
        </c:rich>
      </c:tx>
      <c:layout/>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'2019.g.'!$B$6</c:f>
              <c:strCache>
                <c:ptCount val="1"/>
                <c:pt idx="0">
                  <c:v>2017.g.</c:v>
                </c:pt>
              </c:strCache>
            </c:strRef>
          </c:tx>
          <c:spPr>
            <a:solidFill>
              <a:schemeClr val="accent6"/>
            </a:solidFill>
            <a:ln>
              <a:noFill/>
            </a:ln>
            <a:effectLst/>
            <a:scene3d>
              <a:camera prst="orthographicFront"/>
              <a:lightRig rig="balanced" dir="t">
                <a:rot lat="0" lon="0" rev="8700000"/>
              </a:lightRig>
            </a:scene3d>
            <a:sp3d>
              <a:bevelT w="190500" h="38100"/>
            </a:sp3d>
          </c:spPr>
          <c:invertIfNegative val="0"/>
          <c:dLbls>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'2019.g.'!$C$6:$E$6</c:f>
              <c:numCache>
                <c:formatCode>#,##0.00</c:formatCode>
                <c:ptCount val="3"/>
                <c:pt idx="0">
                  <c:v>-71.792942509999875</c:v>
                </c:pt>
                <c:pt idx="1">
                  <c:v>87.80671044999994</c:v>
                </c:pt>
                <c:pt idx="2">
                  <c:v>153.12488925999983</c:v>
                </c:pt>
              </c:numCache>
            </c:numRef>
          </c:val>
          <c:extLst>
            <c:ext xmlns:c16="http://schemas.microsoft.com/office/drawing/2014/chart" uri="{C3380CC4-5D6E-409C-BE32-E72D297353CC}">
              <c16:uniqueId val="{00000000-3F5B-464F-9A3D-3CB8C3B7AF0D}"/>
            </c:ext>
          </c:extLst>
        </c:ser>
        <c:ser>
          <c:idx val="1"/>
          <c:order val="1"/>
          <c:tx>
            <c:strRef>
              <c:f>'2019.g.'!$B$7</c:f>
              <c:strCache>
                <c:ptCount val="1"/>
                <c:pt idx="0">
                  <c:v>2018.g.</c:v>
                </c:pt>
              </c:strCache>
            </c:strRef>
          </c:tx>
          <c:spPr>
            <a:solidFill>
              <a:schemeClr val="accent5"/>
            </a:solidFill>
            <a:ln>
              <a:noFill/>
            </a:ln>
            <a:effectLst/>
            <a:scene3d>
              <a:camera prst="orthographicFront"/>
              <a:lightRig rig="balanced" dir="t">
                <a:rot lat="0" lon="0" rev="8700000"/>
              </a:lightRig>
            </a:scene3d>
            <a:sp3d>
              <a:bevelT w="190500" h="38100"/>
            </a:sp3d>
          </c:spPr>
          <c:invertIfNegative val="0"/>
          <c:dLbls>
            <c:dLbl>
              <c:idx val="0"/>
              <c:layout>
                <c:manualLayout>
                  <c:x val="0"/>
                  <c:y val="1.813625203007981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F5B-464F-9A3D-3CB8C3B7AF0D}"/>
                </c:ext>
              </c:extLst>
            </c:dLbl>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'2019.g.'!$C$5:$E$5</c:f>
              <c:strCache>
                <c:ptCount val="3"/>
                <c:pt idx="0">
                  <c:v>PVN</c:v>
                </c:pt>
                <c:pt idx="1">
                  <c:v>IIN</c:v>
                </c:pt>
                <c:pt idx="2">
                  <c:v>VSAOI</c:v>
                </c:pt>
              </c:strCache>
            </c:strRef>
          </c:cat>
          <c:val>
            <c:numRef>
              <c:f>'2019.g.'!$C$7:$E$7</c:f>
              <c:numCache>
                <c:formatCode>#,##0.00</c:formatCode>
                <c:ptCount val="3"/>
                <c:pt idx="0">
                  <c:v>-32.651881090000003</c:v>
                </c:pt>
                <c:pt idx="1">
                  <c:v>100.73459583000003</c:v>
                </c:pt>
                <c:pt idx="2">
                  <c:v>188.4531673599999</c:v>
                </c:pt>
              </c:numCache>
            </c:numRef>
          </c:val>
          <c:extLst>
            <c:ext xmlns:c16="http://schemas.microsoft.com/office/drawing/2014/chart" uri="{C3380CC4-5D6E-409C-BE32-E72D297353CC}">
              <c16:uniqueId val="{00000002-3F5B-464F-9A3D-3CB8C3B7AF0D}"/>
            </c:ext>
          </c:extLst>
        </c:ser>
        <c:ser>
          <c:idx val="2"/>
          <c:order val="2"/>
          <c:tx>
            <c:strRef>
              <c:f>'2019.g.'!$B$8</c:f>
              <c:strCache>
                <c:ptCount val="1"/>
                <c:pt idx="0">
                  <c:v>2019.g.</c:v>
                </c:pt>
              </c:strCache>
            </c:strRef>
          </c:tx>
          <c:spPr>
            <a:solidFill>
              <a:schemeClr val="accent4"/>
            </a:solidFill>
            <a:ln>
              <a:noFill/>
            </a:ln>
            <a:effectLst/>
            <a:scene3d>
              <a:camera prst="orthographicFront"/>
              <a:lightRig rig="balanced" dir="t">
                <a:rot lat="0" lon="0" rev="8700000"/>
              </a:lightRig>
            </a:scene3d>
            <a:sp3d>
              <a:bevelT w="190500" h="38100"/>
            </a:sp3d>
          </c:spPr>
          <c:invertIfNegative val="0"/>
          <c:dLbls>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'2019.g.'!$C$8:$E$8</c:f>
              <c:numCache>
                <c:formatCode>#,##0.00</c:formatCode>
                <c:ptCount val="3"/>
                <c:pt idx="0">
                  <c:v>-26.108242170000008</c:v>
                </c:pt>
                <c:pt idx="1">
                  <c:v>116.08262033000005</c:v>
                </c:pt>
                <c:pt idx="2">
                  <c:v>218.7355885100003</c:v>
                </c:pt>
              </c:numCache>
            </c:numRef>
          </c:val>
          <c:extLst>
            <c:ext xmlns:c16="http://schemas.microsoft.com/office/drawing/2014/chart" uri="{C3380CC4-5D6E-409C-BE32-E72D297353CC}">
              <c16:uniqueId val="{00000003-3F5B-464F-9A3D-3CB8C3B7AF0D}"/>
            </c:ext>
          </c:extLst>
        </c:ser>
        <c:dLbls>
          <c:dLblPos val="inBase"/>
          <c:showLegendKey val="0"/>
          <c:showVal val="1"/>
          <c:showCatName val="0"/>
          <c:showSerName val="0"/>
          <c:showPercent val="0"/>
          <c:showBubbleSize val="0"/>
        </c:dLbls>
        <c:gapWidth val="219"/>
        <c:overlap val="-27"/>
        <c:axId val="608277503"/>
        <c:axId val="608279167"/>
      </c:barChart>
      <c:catAx>
        <c:axId val="608277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lv-LV"/>
          </a:p>
        </c:txPr>
        <c:crossAx val="608279167"/>
        <c:crosses val="autoZero"/>
        <c:auto val="1"/>
        <c:lblAlgn val="ctr"/>
        <c:lblOffset val="100"/>
        <c:noMultiLvlLbl val="0"/>
      </c:catAx>
      <c:valAx>
        <c:axId val="608279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0827750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latin typeface="Times New Roman" panose="02020603050405020304" pitchFamily="18" charset="0"/>
                <a:cs typeface="Times New Roman" panose="02020603050405020304" pitchFamily="18" charset="0"/>
              </a:rPr>
              <a:t>Nodokļu ieņēmumi taksometru nozarē, milj.EUR</a:t>
            </a:r>
          </a:p>
        </c:rich>
      </c:tx>
      <c:layout/>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'2019.g.'!$B$15</c:f>
              <c:strCache>
                <c:ptCount val="1"/>
                <c:pt idx="0">
                  <c:v>2017.g.</c:v>
                </c:pt>
              </c:strCache>
            </c:strRef>
          </c:tx>
          <c:spPr>
            <a:solidFill>
              <a:schemeClr val="accent6"/>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'2019.g.'!$I$5</c:f>
              <c:strCache>
                <c:ptCount val="1"/>
                <c:pt idx="0">
                  <c:v>Kopā</c:v>
                </c:pt>
              </c:strCache>
            </c:strRef>
          </c:cat>
          <c:val>
            <c:numRef>
              <c:f>'2019.g.'!$I$15</c:f>
              <c:numCache>
                <c:formatCode>#,##0.00</c:formatCode>
                <c:ptCount val="1"/>
                <c:pt idx="0">
                  <c:v>2.4343854999999981</c:v>
                </c:pt>
              </c:numCache>
            </c:numRef>
          </c:val>
          <c:extLst>
            <c:ext xmlns:c16="http://schemas.microsoft.com/office/drawing/2014/chart" uri="{C3380CC4-5D6E-409C-BE32-E72D297353CC}">
              <c16:uniqueId val="{00000000-0C2E-4CD4-AC2F-06FF4FF7C39B}"/>
            </c:ext>
          </c:extLst>
        </c:ser>
        <c:ser>
          <c:idx val="1"/>
          <c:order val="1"/>
          <c:tx>
            <c:strRef>
              <c:f>'2019.g.'!$B$16</c:f>
              <c:strCache>
                <c:ptCount val="1"/>
                <c:pt idx="0">
                  <c:v>2018.g..</c:v>
                </c:pt>
              </c:strCache>
            </c:strRef>
          </c:tx>
          <c:spPr>
            <a:solidFill>
              <a:schemeClr val="accent5"/>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'2019.g.'!$I$5</c:f>
              <c:strCache>
                <c:ptCount val="1"/>
                <c:pt idx="0">
                  <c:v>Kopā</c:v>
                </c:pt>
              </c:strCache>
            </c:strRef>
          </c:cat>
          <c:val>
            <c:numRef>
              <c:f>'2019.g.'!$I$16</c:f>
              <c:numCache>
                <c:formatCode>#,##0.00</c:formatCode>
                <c:ptCount val="1"/>
                <c:pt idx="0">
                  <c:v>3.1220594800000026</c:v>
                </c:pt>
              </c:numCache>
            </c:numRef>
          </c:val>
          <c:extLst>
            <c:ext xmlns:c16="http://schemas.microsoft.com/office/drawing/2014/chart" uri="{C3380CC4-5D6E-409C-BE32-E72D297353CC}">
              <c16:uniqueId val="{00000001-0C2E-4CD4-AC2F-06FF4FF7C39B}"/>
            </c:ext>
          </c:extLst>
        </c:ser>
        <c:ser>
          <c:idx val="2"/>
          <c:order val="2"/>
          <c:tx>
            <c:strRef>
              <c:f>'2019.g.'!$B$17</c:f>
              <c:strCache>
                <c:ptCount val="1"/>
                <c:pt idx="0">
                  <c:v>2019.g.</c:v>
                </c:pt>
              </c:strCache>
            </c:strRef>
          </c:tx>
          <c:spPr>
            <a:solidFill>
              <a:schemeClr val="accent4"/>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'2019.g.'!$I$5</c:f>
              <c:strCache>
                <c:ptCount val="1"/>
                <c:pt idx="0">
                  <c:v>Kopā</c:v>
                </c:pt>
              </c:strCache>
            </c:strRef>
          </c:cat>
          <c:val>
            <c:numRef>
              <c:f>'2019.g.'!$I$17</c:f>
              <c:numCache>
                <c:formatCode>#,##0.00</c:formatCode>
                <c:ptCount val="1"/>
                <c:pt idx="0">
                  <c:v>2.7811398699999992</c:v>
                </c:pt>
              </c:numCache>
            </c:numRef>
          </c:val>
          <c:extLst>
            <c:ext xmlns:c16="http://schemas.microsoft.com/office/drawing/2014/chart" uri="{C3380CC4-5D6E-409C-BE32-E72D297353CC}">
              <c16:uniqueId val="{00000002-0C2E-4CD4-AC2F-06FF4FF7C39B}"/>
            </c:ext>
          </c:extLst>
        </c:ser>
        <c:dLbls>
          <c:dLblPos val="inBase"/>
          <c:showLegendKey val="0"/>
          <c:showVal val="1"/>
          <c:showCatName val="0"/>
          <c:showSerName val="0"/>
          <c:showPercent val="0"/>
          <c:showBubbleSize val="0"/>
        </c:dLbls>
        <c:gapWidth val="219"/>
        <c:overlap val="-27"/>
        <c:axId val="608277503"/>
        <c:axId val="608279167"/>
      </c:barChart>
      <c:catAx>
        <c:axId val="608277503"/>
        <c:scaling>
          <c:orientation val="minMax"/>
        </c:scaling>
        <c:delete val="1"/>
        <c:axPos val="b"/>
        <c:numFmt formatCode="General" sourceLinked="1"/>
        <c:majorTickMark val="none"/>
        <c:minorTickMark val="none"/>
        <c:tickLblPos val="nextTo"/>
        <c:crossAx val="608279167"/>
        <c:crosses val="autoZero"/>
        <c:auto val="1"/>
        <c:lblAlgn val="ctr"/>
        <c:lblOffset val="100"/>
        <c:noMultiLvlLbl val="0"/>
      </c:catAx>
      <c:valAx>
        <c:axId val="608279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0827750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latin typeface="Times New Roman" panose="02020603050405020304" pitchFamily="18" charset="0"/>
                <a:cs typeface="Times New Roman" panose="02020603050405020304" pitchFamily="18" charset="0"/>
              </a:rPr>
              <a:t>Lielākie nodokļu ieņēmumi taksometru nozarē, milj.EUR</a:t>
            </a:r>
          </a:p>
        </c:rich>
      </c:tx>
      <c:layout/>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'2019.g.'!$B$15</c:f>
              <c:strCache>
                <c:ptCount val="1"/>
                <c:pt idx="0">
                  <c:v>2017.g.</c:v>
                </c:pt>
              </c:strCache>
            </c:strRef>
          </c:tx>
          <c:spPr>
            <a:solidFill>
              <a:schemeClr val="accent6"/>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'2019.g.'!$C$15:$E$15</c:f>
              <c:numCache>
                <c:formatCode>#,##0.00</c:formatCode>
                <c:ptCount val="3"/>
                <c:pt idx="0">
                  <c:v>0.34832249999999992</c:v>
                </c:pt>
                <c:pt idx="1">
                  <c:v>0.30658350999999989</c:v>
                </c:pt>
                <c:pt idx="2">
                  <c:v>0.76871370999999844</c:v>
                </c:pt>
              </c:numCache>
            </c:numRef>
          </c:val>
          <c:extLst>
            <c:ext xmlns:c16="http://schemas.microsoft.com/office/drawing/2014/chart" uri="{C3380CC4-5D6E-409C-BE32-E72D297353CC}">
              <c16:uniqueId val="{00000000-A2DE-4D1D-8C4C-A465FEEDC7D0}"/>
            </c:ext>
          </c:extLst>
        </c:ser>
        <c:ser>
          <c:idx val="1"/>
          <c:order val="1"/>
          <c:tx>
            <c:strRef>
              <c:f>'2019.g.'!$B$16</c:f>
              <c:strCache>
                <c:ptCount val="1"/>
                <c:pt idx="0">
                  <c:v>2018.g..</c:v>
                </c:pt>
              </c:strCache>
            </c:strRef>
          </c:tx>
          <c:spPr>
            <a:solidFill>
              <a:schemeClr val="accent5"/>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'2019.g.'!$C$16:$E$16</c:f>
              <c:numCache>
                <c:formatCode>#,##0.00</c:formatCode>
                <c:ptCount val="3"/>
                <c:pt idx="0">
                  <c:v>0.51517818999999998</c:v>
                </c:pt>
                <c:pt idx="1">
                  <c:v>0.33113892999999978</c:v>
                </c:pt>
                <c:pt idx="2">
                  <c:v>1.3304156799999993</c:v>
                </c:pt>
              </c:numCache>
            </c:numRef>
          </c:val>
          <c:extLst>
            <c:ext xmlns:c16="http://schemas.microsoft.com/office/drawing/2014/chart" uri="{C3380CC4-5D6E-409C-BE32-E72D297353CC}">
              <c16:uniqueId val="{00000001-A2DE-4D1D-8C4C-A465FEEDC7D0}"/>
            </c:ext>
          </c:extLst>
        </c:ser>
        <c:ser>
          <c:idx val="2"/>
          <c:order val="2"/>
          <c:tx>
            <c:strRef>
              <c:f>'2019.g.'!$B$17</c:f>
              <c:strCache>
                <c:ptCount val="1"/>
                <c:pt idx="0">
                  <c:v>2019.g.</c:v>
                </c:pt>
              </c:strCache>
            </c:strRef>
          </c:tx>
          <c:spPr>
            <a:solidFill>
              <a:schemeClr val="accent4"/>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'2019.g.'!$C$17:$E$17</c:f>
              <c:numCache>
                <c:formatCode>#,##0.00</c:formatCode>
                <c:ptCount val="3"/>
                <c:pt idx="0">
                  <c:v>0.27251603999999996</c:v>
                </c:pt>
                <c:pt idx="1">
                  <c:v>0.37871707000000016</c:v>
                </c:pt>
                <c:pt idx="2">
                  <c:v>1.5890970600000007</c:v>
                </c:pt>
              </c:numCache>
            </c:numRef>
          </c:val>
          <c:extLst>
            <c:ext xmlns:c16="http://schemas.microsoft.com/office/drawing/2014/chart" uri="{C3380CC4-5D6E-409C-BE32-E72D297353CC}">
              <c16:uniqueId val="{00000002-A2DE-4D1D-8C4C-A465FEEDC7D0}"/>
            </c:ext>
          </c:extLst>
        </c:ser>
        <c:dLbls>
          <c:dLblPos val="outEnd"/>
          <c:showLegendKey val="0"/>
          <c:showVal val="1"/>
          <c:showCatName val="0"/>
          <c:showSerName val="0"/>
          <c:showPercent val="0"/>
          <c:showBubbleSize val="0"/>
        </c:dLbls>
        <c:gapWidth val="219"/>
        <c:overlap val="-27"/>
        <c:axId val="608277503"/>
        <c:axId val="608279167"/>
      </c:barChart>
      <c:catAx>
        <c:axId val="608277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08279167"/>
        <c:crosses val="autoZero"/>
        <c:auto val="1"/>
        <c:lblAlgn val="ctr"/>
        <c:lblOffset val="100"/>
        <c:noMultiLvlLbl val="0"/>
      </c:catAx>
      <c:valAx>
        <c:axId val="608279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0827750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latin typeface="Times New Roman" panose="02020603050405020304" pitchFamily="18" charset="0"/>
                <a:cs typeface="Times New Roman" panose="02020603050405020304" pitchFamily="18" charset="0"/>
              </a:rPr>
              <a:t>Lielākie nodokļu ieņēmumi apsardzes nozarē, milj. EUR </a:t>
            </a:r>
          </a:p>
        </c:rich>
      </c:tx>
      <c:layout/>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'2019.g.'!$B$12</c:f>
              <c:strCache>
                <c:ptCount val="1"/>
                <c:pt idx="0">
                  <c:v>2017.g.</c:v>
                </c:pt>
              </c:strCache>
            </c:strRef>
          </c:tx>
          <c:spPr>
            <a:solidFill>
              <a:schemeClr val="accent6"/>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'2019.g.'!$C$12:$E$12</c:f>
              <c:numCache>
                <c:formatCode>#,##0.00</c:formatCode>
                <c:ptCount val="3"/>
                <c:pt idx="0">
                  <c:v>20.008531719999993</c:v>
                </c:pt>
                <c:pt idx="1">
                  <c:v>12.013388540000006</c:v>
                </c:pt>
                <c:pt idx="2">
                  <c:v>21.848126400000009</c:v>
                </c:pt>
              </c:numCache>
            </c:numRef>
          </c:val>
          <c:extLst>
            <c:ext xmlns:c16="http://schemas.microsoft.com/office/drawing/2014/chart" uri="{C3380CC4-5D6E-409C-BE32-E72D297353CC}">
              <c16:uniqueId val="{00000000-676E-4BC9-BA59-3251B9A0D73C}"/>
            </c:ext>
          </c:extLst>
        </c:ser>
        <c:ser>
          <c:idx val="1"/>
          <c:order val="1"/>
          <c:tx>
            <c:strRef>
              <c:f>'2019.g.'!$B$13</c:f>
              <c:strCache>
                <c:ptCount val="1"/>
                <c:pt idx="0">
                  <c:v>2018.g.</c:v>
                </c:pt>
              </c:strCache>
            </c:strRef>
          </c:tx>
          <c:spPr>
            <a:solidFill>
              <a:schemeClr val="accent5"/>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'2019.g.'!$C$13:$E$13</c:f>
              <c:numCache>
                <c:formatCode>#,##0.00</c:formatCode>
                <c:ptCount val="3"/>
                <c:pt idx="0">
                  <c:v>20.161982090000009</c:v>
                </c:pt>
                <c:pt idx="1">
                  <c:v>12.542588389999995</c:v>
                </c:pt>
                <c:pt idx="2">
                  <c:v>25.116015490000009</c:v>
                </c:pt>
              </c:numCache>
            </c:numRef>
          </c:val>
          <c:extLst>
            <c:ext xmlns:c16="http://schemas.microsoft.com/office/drawing/2014/chart" uri="{C3380CC4-5D6E-409C-BE32-E72D297353CC}">
              <c16:uniqueId val="{00000001-676E-4BC9-BA59-3251B9A0D73C}"/>
            </c:ext>
          </c:extLst>
        </c:ser>
        <c:ser>
          <c:idx val="2"/>
          <c:order val="2"/>
          <c:tx>
            <c:strRef>
              <c:f>'2019.g.'!$B$14</c:f>
              <c:strCache>
                <c:ptCount val="1"/>
                <c:pt idx="0">
                  <c:v>2019.g.</c:v>
                </c:pt>
              </c:strCache>
            </c:strRef>
          </c:tx>
          <c:spPr>
            <a:solidFill>
              <a:schemeClr val="accent4"/>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'2019.g.'!$C$14:$E$14</c:f>
              <c:numCache>
                <c:formatCode>#,##0.00</c:formatCode>
                <c:ptCount val="3"/>
                <c:pt idx="0">
                  <c:v>21.674571319999988</c:v>
                </c:pt>
                <c:pt idx="1">
                  <c:v>13.498971059999995</c:v>
                </c:pt>
                <c:pt idx="2">
                  <c:v>27.22995476000002</c:v>
                </c:pt>
              </c:numCache>
            </c:numRef>
          </c:val>
          <c:extLst>
            <c:ext xmlns:c16="http://schemas.microsoft.com/office/drawing/2014/chart" uri="{C3380CC4-5D6E-409C-BE32-E72D297353CC}">
              <c16:uniqueId val="{00000002-676E-4BC9-BA59-3251B9A0D73C}"/>
            </c:ext>
          </c:extLst>
        </c:ser>
        <c:dLbls>
          <c:dLblPos val="outEnd"/>
          <c:showLegendKey val="0"/>
          <c:showVal val="1"/>
          <c:showCatName val="0"/>
          <c:showSerName val="0"/>
          <c:showPercent val="0"/>
          <c:showBubbleSize val="0"/>
        </c:dLbls>
        <c:gapWidth val="219"/>
        <c:overlap val="-27"/>
        <c:axId val="608277503"/>
        <c:axId val="608279167"/>
      </c:barChart>
      <c:catAx>
        <c:axId val="608277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lv-LV"/>
          </a:p>
        </c:txPr>
        <c:crossAx val="608279167"/>
        <c:crosses val="autoZero"/>
        <c:auto val="1"/>
        <c:lblAlgn val="ctr"/>
        <c:lblOffset val="100"/>
        <c:noMultiLvlLbl val="0"/>
      </c:catAx>
      <c:valAx>
        <c:axId val="608279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0827750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13A0F-BF89-4302-BBB6-40B38E65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28</Pages>
  <Words>36503</Words>
  <Characters>20807</Characters>
  <Application>Microsoft Office Word</Application>
  <DocSecurity>0</DocSecurity>
  <Lines>173</Lines>
  <Paragraphs>114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ēnu ekonomikas ierobežošanas pasākumu efektivitāti un ēnu ekonomikas ierobežošanas plānu 2021.-2025. gadam</vt:lpstr>
      <vt:lpstr/>
    </vt:vector>
  </TitlesOfParts>
  <Company>Finanšu Ministrija</Company>
  <LinksUpToDate>false</LinksUpToDate>
  <CharactersWithSpaces>57196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ēnu ekonomikas ierobežošanas pasākumu efektivitāti un ēnu ekonomikas ierobežošanas plānu 2021.-2025. gadam</dc:title>
  <dc:subject>Informatīvais ziņojums</dc:subject>
  <dc:creator>Daiga Gulbe</dc:creator>
  <cp:keywords/>
  <dc:description>67095555, Daiga.Gulbe@fm.gov.lv</dc:description>
  <cp:lastModifiedBy>Iveta Beļakova</cp:lastModifiedBy>
  <cp:revision>10</cp:revision>
  <dcterms:created xsi:type="dcterms:W3CDTF">2021-02-08T10:54:00Z</dcterms:created>
  <dcterms:modified xsi:type="dcterms:W3CDTF">2021-02-08T12:42:00Z</dcterms:modified>
</cp:coreProperties>
</file>