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C53C7" w14:textId="207F5473" w:rsidR="00E41FCE" w:rsidRPr="00812F8E" w:rsidRDefault="00614474" w:rsidP="00812F8E">
      <w:pPr>
        <w:jc w:val="center"/>
        <w:rPr>
          <w:rFonts w:eastAsia="Times New Roman" w:cs="Times New Roman"/>
          <w:b/>
          <w:bCs/>
          <w:sz w:val="28"/>
          <w:szCs w:val="28"/>
          <w:lang w:eastAsia="lv-LV"/>
        </w:rPr>
      </w:pPr>
      <w:bookmarkStart w:id="0" w:name="_Hlk511289679"/>
      <w:r w:rsidRPr="00812F8E">
        <w:rPr>
          <w:rFonts w:cs="Times New Roman"/>
          <w:b/>
          <w:sz w:val="28"/>
          <w:szCs w:val="28"/>
        </w:rPr>
        <w:t>Ministru kabineta noteikumu projekta</w:t>
      </w:r>
      <w:r w:rsidRPr="00812F8E">
        <w:rPr>
          <w:rFonts w:eastAsia="Times New Roman" w:cs="Times New Roman"/>
          <w:b/>
          <w:bCs/>
          <w:color w:val="000000"/>
          <w:sz w:val="28"/>
          <w:szCs w:val="28"/>
          <w:lang w:eastAsia="lv-LV"/>
        </w:rPr>
        <w:t xml:space="preserve"> “</w:t>
      </w:r>
      <w:r w:rsidR="00812F8E" w:rsidRPr="00812F8E">
        <w:rPr>
          <w:b/>
          <w:bCs/>
          <w:sz w:val="28"/>
          <w:szCs w:val="28"/>
        </w:rPr>
        <w:t>Grozījum</w:t>
      </w:r>
      <w:r w:rsidR="00190878">
        <w:rPr>
          <w:b/>
          <w:bCs/>
          <w:sz w:val="28"/>
          <w:szCs w:val="28"/>
        </w:rPr>
        <w:t>i</w:t>
      </w:r>
      <w:r w:rsidR="00812F8E" w:rsidRPr="00812F8E">
        <w:rPr>
          <w:b/>
          <w:bCs/>
          <w:sz w:val="28"/>
          <w:szCs w:val="28"/>
        </w:rPr>
        <w:t xml:space="preserve"> Ministru kabineta 2018.gada 30.oktobra noteikumos Nr.661 </w:t>
      </w:r>
      <w:r w:rsidR="00812F8E" w:rsidRPr="00812F8E">
        <w:rPr>
          <w:b/>
          <w:sz w:val="28"/>
          <w:szCs w:val="28"/>
        </w:rPr>
        <w:t>“</w:t>
      </w:r>
      <w:r w:rsidR="00812F8E" w:rsidRPr="00812F8E">
        <w:rPr>
          <w:b/>
          <w:bCs/>
          <w:sz w:val="28"/>
          <w:szCs w:val="28"/>
        </w:rPr>
        <w:t>Kārtība, kādā maksā nodokļus, nodevas, citus valsts noteiktos maksājumus un ar tiem saistītos maksājumus un novirza tos saistību segšanai</w:t>
      </w:r>
      <w:r w:rsidR="00812F8E" w:rsidRPr="00812F8E">
        <w:rPr>
          <w:b/>
          <w:sz w:val="28"/>
          <w:szCs w:val="28"/>
        </w:rPr>
        <w:t>”</w:t>
      </w:r>
      <w:r w:rsidRPr="00812F8E">
        <w:rPr>
          <w:rFonts w:eastAsia="Times New Roman" w:cs="Times New Roman"/>
          <w:b/>
          <w:bCs/>
          <w:color w:val="000000"/>
          <w:sz w:val="28"/>
          <w:szCs w:val="28"/>
          <w:lang w:eastAsia="lv-LV"/>
        </w:rPr>
        <w:t>”</w:t>
      </w:r>
      <w:r w:rsidRPr="00812F8E">
        <w:rPr>
          <w:rFonts w:eastAsia="Times New Roman" w:cs="Times New Roman"/>
          <w:b/>
          <w:bCs/>
          <w:sz w:val="28"/>
          <w:szCs w:val="28"/>
          <w:lang w:eastAsia="lv-LV"/>
        </w:rPr>
        <w:t xml:space="preserve"> sākotnējās ietekmes </w:t>
      </w:r>
    </w:p>
    <w:p w14:paraId="5876C7BE" w14:textId="77777777" w:rsidR="00614474" w:rsidRPr="00812F8E" w:rsidRDefault="00614474" w:rsidP="00614474">
      <w:pPr>
        <w:jc w:val="center"/>
        <w:rPr>
          <w:rFonts w:cs="Times New Roman"/>
          <w:b/>
          <w:bCs/>
          <w:sz w:val="28"/>
          <w:szCs w:val="28"/>
        </w:rPr>
      </w:pPr>
      <w:r w:rsidRPr="00812F8E">
        <w:rPr>
          <w:rFonts w:eastAsia="Times New Roman" w:cs="Times New Roman"/>
          <w:b/>
          <w:bCs/>
          <w:sz w:val="28"/>
          <w:szCs w:val="28"/>
          <w:lang w:eastAsia="lv-LV"/>
        </w:rPr>
        <w:t>novērtējuma ziņojums (anotācija)</w:t>
      </w:r>
      <w:bookmarkEnd w:id="0"/>
    </w:p>
    <w:p w14:paraId="5FD9A4AE" w14:textId="77777777" w:rsidR="00E5323B" w:rsidRPr="00812F8E" w:rsidRDefault="00E5323B" w:rsidP="00894C55">
      <w:pPr>
        <w:shd w:val="clear" w:color="auto" w:fill="FFFFFF"/>
        <w:jc w:val="center"/>
        <w:rPr>
          <w:rFonts w:eastAsia="Times New Roman" w:cs="Times New Roman"/>
          <w:b/>
          <w:bCs/>
          <w:sz w:val="28"/>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53"/>
        <w:gridCol w:w="5802"/>
      </w:tblGrid>
      <w:tr w:rsidR="00CE33AC" w:rsidRPr="00A26C8D" w14:paraId="0D284C72"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8F8D30" w14:textId="77777777" w:rsidR="00655F2C" w:rsidRPr="00A26C8D" w:rsidRDefault="00E5323B" w:rsidP="00E5323B">
            <w:pPr>
              <w:rPr>
                <w:rFonts w:eastAsia="Times New Roman" w:cs="Times New Roman"/>
                <w:b/>
                <w:bCs/>
                <w:iCs/>
                <w:szCs w:val="24"/>
                <w:lang w:eastAsia="lv-LV"/>
              </w:rPr>
            </w:pPr>
            <w:r w:rsidRPr="00A26C8D">
              <w:rPr>
                <w:rFonts w:eastAsia="Times New Roman" w:cs="Times New Roman"/>
                <w:b/>
                <w:bCs/>
                <w:iCs/>
                <w:szCs w:val="24"/>
                <w:lang w:eastAsia="lv-LV"/>
              </w:rPr>
              <w:t>Tiesību akta projekta anotācijas kopsavilkums</w:t>
            </w:r>
          </w:p>
        </w:tc>
      </w:tr>
      <w:tr w:rsidR="00CE33AC" w:rsidRPr="00A26C8D" w14:paraId="388850E2" w14:textId="77777777" w:rsidTr="001F7321">
        <w:trPr>
          <w:tblCellSpacing w:w="15" w:type="dxa"/>
        </w:trPr>
        <w:tc>
          <w:tcPr>
            <w:tcW w:w="1771" w:type="pct"/>
            <w:tcBorders>
              <w:top w:val="outset" w:sz="6" w:space="0" w:color="auto"/>
              <w:left w:val="outset" w:sz="6" w:space="0" w:color="auto"/>
              <w:bottom w:val="outset" w:sz="6" w:space="0" w:color="auto"/>
              <w:right w:val="outset" w:sz="6" w:space="0" w:color="auto"/>
            </w:tcBorders>
            <w:hideMark/>
          </w:tcPr>
          <w:p w14:paraId="5E097B5E" w14:textId="77777777" w:rsidR="00E5323B" w:rsidRPr="00A26C8D" w:rsidRDefault="00E5323B" w:rsidP="00E5323B">
            <w:pPr>
              <w:rPr>
                <w:rFonts w:eastAsia="Times New Roman" w:cs="Times New Roman"/>
                <w:iCs/>
                <w:szCs w:val="24"/>
                <w:lang w:eastAsia="lv-LV"/>
              </w:rPr>
            </w:pPr>
            <w:r w:rsidRPr="00A26C8D">
              <w:rPr>
                <w:rFonts w:eastAsia="Times New Roman" w:cs="Times New Roman"/>
                <w:iCs/>
                <w:szCs w:val="24"/>
                <w:lang w:eastAsia="lv-LV"/>
              </w:rPr>
              <w:t>Mērķis, risinājums un projekta spēkā stāšanās laiks (500 zīmes bez atstarpēm)</w:t>
            </w:r>
          </w:p>
        </w:tc>
        <w:tc>
          <w:tcPr>
            <w:tcW w:w="3179" w:type="pct"/>
            <w:tcBorders>
              <w:top w:val="outset" w:sz="6" w:space="0" w:color="auto"/>
              <w:left w:val="outset" w:sz="6" w:space="0" w:color="auto"/>
              <w:bottom w:val="outset" w:sz="6" w:space="0" w:color="auto"/>
              <w:right w:val="outset" w:sz="6" w:space="0" w:color="auto"/>
            </w:tcBorders>
            <w:hideMark/>
          </w:tcPr>
          <w:p w14:paraId="2CCEA9B4" w14:textId="19794D34" w:rsidR="00A57674" w:rsidRPr="00A26C8D" w:rsidRDefault="00A57674" w:rsidP="00A57674">
            <w:pPr>
              <w:ind w:firstLine="284"/>
              <w:jc w:val="both"/>
              <w:rPr>
                <w:rFonts w:cs="Times New Roman"/>
                <w:szCs w:val="24"/>
              </w:rPr>
            </w:pPr>
            <w:r w:rsidRPr="00A26C8D">
              <w:rPr>
                <w:rFonts w:cs="Times New Roman"/>
                <w:szCs w:val="24"/>
              </w:rPr>
              <w:t>Ministru kabineta noteikumu projekts “</w:t>
            </w:r>
            <w:r w:rsidR="00C45743">
              <w:rPr>
                <w:rFonts w:cs="Times New Roman"/>
                <w:bCs/>
                <w:szCs w:val="24"/>
              </w:rPr>
              <w:t>Grozījum</w:t>
            </w:r>
            <w:r w:rsidR="00190878">
              <w:rPr>
                <w:rFonts w:cs="Times New Roman"/>
                <w:bCs/>
                <w:szCs w:val="24"/>
              </w:rPr>
              <w:t>i</w:t>
            </w:r>
            <w:r w:rsidR="00B766D7" w:rsidRPr="00A26C8D">
              <w:rPr>
                <w:rFonts w:cs="Times New Roman"/>
                <w:bCs/>
                <w:szCs w:val="24"/>
              </w:rPr>
              <w:t xml:space="preserve"> Ministru kabineta 2018.gada 30.oktobra noteikumos Nr.661 “Kārtība, kādā maksā nodokļus, nodevas, citus valsts noteiktos maksājumus un ar tiem saistītos maksājumus un novirza tos saistību segšanai”</w:t>
            </w:r>
            <w:r w:rsidRPr="00A26C8D">
              <w:rPr>
                <w:rFonts w:cs="Times New Roman"/>
                <w:bCs/>
                <w:szCs w:val="24"/>
              </w:rPr>
              <w:t xml:space="preserve">” </w:t>
            </w:r>
            <w:r w:rsidRPr="00A26C8D">
              <w:rPr>
                <w:rFonts w:cs="Times New Roman"/>
                <w:szCs w:val="24"/>
              </w:rPr>
              <w:t xml:space="preserve">(turpmāk – noteikumu projekts) izstrādāts ar mērķi pilnveidot </w:t>
            </w:r>
            <w:r w:rsidR="00B766D7" w:rsidRPr="00A26C8D">
              <w:rPr>
                <w:rFonts w:eastAsia="Times New Roman" w:cs="Times New Roman"/>
                <w:bCs/>
                <w:color w:val="000000"/>
                <w:szCs w:val="24"/>
                <w:lang w:eastAsia="lv-LV"/>
              </w:rPr>
              <w:t>esošo regulējumu</w:t>
            </w:r>
            <w:r w:rsidR="00F62F8B">
              <w:rPr>
                <w:rFonts w:eastAsia="Times New Roman" w:cs="Times New Roman"/>
                <w:bCs/>
                <w:color w:val="000000"/>
                <w:szCs w:val="24"/>
                <w:lang w:eastAsia="lv-LV"/>
              </w:rPr>
              <w:t>,</w:t>
            </w:r>
            <w:r w:rsidR="00B766D7" w:rsidRPr="00A26C8D">
              <w:rPr>
                <w:rFonts w:eastAsia="Times New Roman" w:cs="Times New Roman"/>
                <w:bCs/>
                <w:color w:val="000000"/>
                <w:szCs w:val="24"/>
                <w:lang w:eastAsia="lv-LV"/>
              </w:rPr>
              <w:t xml:space="preserve"> </w:t>
            </w:r>
            <w:r w:rsidR="003B04FE">
              <w:rPr>
                <w:rFonts w:eastAsia="Times New Roman" w:cs="Times New Roman"/>
                <w:bCs/>
                <w:color w:val="000000"/>
                <w:szCs w:val="24"/>
                <w:lang w:eastAsia="lv-LV"/>
              </w:rPr>
              <w:t>papildinot gadījumu sarakstu, kad</w:t>
            </w:r>
            <w:r w:rsidR="00B766D7" w:rsidRPr="00A26C8D">
              <w:rPr>
                <w:rFonts w:eastAsia="Times New Roman" w:cs="Times New Roman"/>
                <w:bCs/>
                <w:color w:val="000000"/>
                <w:szCs w:val="24"/>
                <w:lang w:eastAsia="lv-LV"/>
              </w:rPr>
              <w:t xml:space="preserve"> nodokļu iemaksu vienotajā nodokļu kontā </w:t>
            </w:r>
            <w:r w:rsidR="003B04FE">
              <w:rPr>
                <w:rFonts w:eastAsia="Times New Roman" w:cs="Times New Roman"/>
                <w:bCs/>
                <w:color w:val="000000"/>
                <w:szCs w:val="24"/>
                <w:lang w:eastAsia="lv-LV"/>
              </w:rPr>
              <w:t>veic,</w:t>
            </w:r>
            <w:r w:rsidR="00B766D7" w:rsidRPr="00A26C8D">
              <w:rPr>
                <w:rFonts w:eastAsia="Times New Roman" w:cs="Times New Roman"/>
                <w:bCs/>
                <w:color w:val="000000"/>
                <w:szCs w:val="24"/>
                <w:lang w:eastAsia="lv-LV"/>
              </w:rPr>
              <w:t xml:space="preserve"> </w:t>
            </w:r>
            <w:r w:rsidR="00A26C8D">
              <w:rPr>
                <w:rFonts w:eastAsia="Times New Roman" w:cs="Times New Roman"/>
                <w:bCs/>
                <w:color w:val="000000"/>
                <w:szCs w:val="24"/>
                <w:lang w:eastAsia="lv-LV"/>
              </w:rPr>
              <w:t>norādot</w:t>
            </w:r>
            <w:r w:rsidR="00B766D7" w:rsidRPr="00A26C8D">
              <w:rPr>
                <w:rFonts w:eastAsia="Times New Roman" w:cs="Times New Roman"/>
                <w:bCs/>
                <w:color w:val="000000"/>
                <w:szCs w:val="24"/>
                <w:lang w:eastAsia="lv-LV"/>
              </w:rPr>
              <w:t xml:space="preserve"> maksājuma identifikatoru</w:t>
            </w:r>
            <w:r w:rsidRPr="00A26C8D">
              <w:rPr>
                <w:rFonts w:cs="Times New Roman"/>
                <w:szCs w:val="24"/>
              </w:rPr>
              <w:t xml:space="preserve">. </w:t>
            </w:r>
          </w:p>
          <w:p w14:paraId="0F512F17" w14:textId="5D93726B" w:rsidR="00E5323B" w:rsidRPr="00A26C8D" w:rsidRDefault="00DF3E15" w:rsidP="000D288F">
            <w:pPr>
              <w:ind w:firstLine="284"/>
              <w:jc w:val="both"/>
              <w:rPr>
                <w:rFonts w:cs="Times New Roman"/>
                <w:szCs w:val="24"/>
              </w:rPr>
            </w:pPr>
            <w:r w:rsidRPr="00A26C8D">
              <w:rPr>
                <w:rFonts w:cs="Times New Roman"/>
                <w:szCs w:val="24"/>
              </w:rPr>
              <w:t>Grozījumi n</w:t>
            </w:r>
            <w:r w:rsidR="00A57674" w:rsidRPr="00A26C8D">
              <w:rPr>
                <w:rFonts w:cs="Times New Roman"/>
                <w:szCs w:val="24"/>
              </w:rPr>
              <w:t>oteikum</w:t>
            </w:r>
            <w:r w:rsidRPr="00A26C8D">
              <w:rPr>
                <w:rFonts w:cs="Times New Roman"/>
                <w:szCs w:val="24"/>
              </w:rPr>
              <w:t>os stāsies spēkā pēc to</w:t>
            </w:r>
            <w:r w:rsidR="00A57674" w:rsidRPr="00A26C8D">
              <w:rPr>
                <w:rFonts w:cs="Times New Roman"/>
                <w:szCs w:val="24"/>
              </w:rPr>
              <w:t xml:space="preserve"> pieņemšanas Ministru kabinetā vispārīgā kārtībā, izņemot grozījumu noteikumu</w:t>
            </w:r>
            <w:r w:rsidR="00A26C8D" w:rsidRPr="00A26C8D">
              <w:rPr>
                <w:rFonts w:cs="Times New Roman"/>
                <w:szCs w:val="24"/>
              </w:rPr>
              <w:t xml:space="preserve"> </w:t>
            </w:r>
            <w:r w:rsidR="001F23E8">
              <w:rPr>
                <w:rFonts w:cs="Times New Roman"/>
                <w:szCs w:val="24"/>
              </w:rPr>
              <w:t>5.</w:t>
            </w:r>
            <w:r w:rsidR="000D288F">
              <w:rPr>
                <w:rFonts w:cs="Times New Roman"/>
                <w:szCs w:val="24"/>
              </w:rPr>
              <w:t>5</w:t>
            </w:r>
            <w:r w:rsidR="00781C72">
              <w:rPr>
                <w:rFonts w:cs="Times New Roman"/>
                <w:szCs w:val="24"/>
              </w:rPr>
              <w:t>.apakš</w:t>
            </w:r>
            <w:r w:rsidR="008613B5" w:rsidRPr="00A26C8D">
              <w:rPr>
                <w:rFonts w:cs="Times New Roman"/>
                <w:szCs w:val="24"/>
              </w:rPr>
              <w:t>punktā</w:t>
            </w:r>
            <w:r w:rsidR="00A26C8D" w:rsidRPr="00A26C8D">
              <w:rPr>
                <w:rFonts w:cs="Times New Roman"/>
                <w:szCs w:val="24"/>
              </w:rPr>
              <w:t>, kas stāsies spēkā 2021</w:t>
            </w:r>
            <w:r w:rsidR="00A57674" w:rsidRPr="00A26C8D">
              <w:rPr>
                <w:rFonts w:cs="Times New Roman"/>
                <w:szCs w:val="24"/>
              </w:rPr>
              <w:t>.gada 1.</w:t>
            </w:r>
            <w:r w:rsidR="00C85A3F" w:rsidRPr="00A26C8D">
              <w:rPr>
                <w:rFonts w:cs="Times New Roman"/>
                <w:szCs w:val="24"/>
              </w:rPr>
              <w:t>jūlijā</w:t>
            </w:r>
            <w:r w:rsidR="00A57674" w:rsidRPr="00A26C8D">
              <w:rPr>
                <w:rFonts w:cs="Times New Roman"/>
                <w:szCs w:val="24"/>
              </w:rPr>
              <w:t>.</w:t>
            </w:r>
          </w:p>
        </w:tc>
      </w:tr>
    </w:tbl>
    <w:p w14:paraId="6093CB89" w14:textId="77777777" w:rsidR="00E5323B" w:rsidRPr="00812F8E" w:rsidRDefault="00E5323B"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2676"/>
        <w:gridCol w:w="5802"/>
      </w:tblGrid>
      <w:tr w:rsidR="00CE33AC" w:rsidRPr="00B766D7" w14:paraId="537C50D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F43404" w14:textId="77777777" w:rsidR="00655F2C" w:rsidRPr="00B766D7" w:rsidRDefault="00E5323B" w:rsidP="00E5323B">
            <w:pPr>
              <w:rPr>
                <w:rFonts w:eastAsia="Times New Roman" w:cs="Times New Roman"/>
                <w:b/>
                <w:bCs/>
                <w:iCs/>
                <w:szCs w:val="24"/>
                <w:lang w:eastAsia="lv-LV"/>
              </w:rPr>
            </w:pPr>
            <w:r w:rsidRPr="00B766D7">
              <w:rPr>
                <w:rFonts w:eastAsia="Times New Roman" w:cs="Times New Roman"/>
                <w:b/>
                <w:bCs/>
                <w:iCs/>
                <w:szCs w:val="24"/>
                <w:lang w:eastAsia="lv-LV"/>
              </w:rPr>
              <w:t>I. Tiesību akta projekta izstrādes nepieciešamība</w:t>
            </w:r>
          </w:p>
        </w:tc>
      </w:tr>
      <w:tr w:rsidR="00A25FB4" w:rsidRPr="00B766D7" w14:paraId="2CCE6632" w14:textId="77777777" w:rsidTr="001F7321">
        <w:trPr>
          <w:tblCellSpacing w:w="15" w:type="dxa"/>
        </w:trPr>
        <w:tc>
          <w:tcPr>
            <w:tcW w:w="294" w:type="pct"/>
            <w:tcBorders>
              <w:top w:val="outset" w:sz="6" w:space="0" w:color="auto"/>
              <w:left w:val="outset" w:sz="6" w:space="0" w:color="auto"/>
              <w:bottom w:val="outset" w:sz="6" w:space="0" w:color="auto"/>
              <w:right w:val="outset" w:sz="6" w:space="0" w:color="auto"/>
            </w:tcBorders>
          </w:tcPr>
          <w:p w14:paraId="6336750A" w14:textId="77777777" w:rsidR="00A25FB4" w:rsidRPr="00B766D7" w:rsidRDefault="00A25FB4" w:rsidP="00E5323B">
            <w:pPr>
              <w:rPr>
                <w:rFonts w:eastAsia="Times New Roman" w:cs="Times New Roman"/>
                <w:iCs/>
                <w:szCs w:val="24"/>
                <w:lang w:eastAsia="lv-LV"/>
              </w:rPr>
            </w:pPr>
            <w:r w:rsidRPr="00B766D7">
              <w:rPr>
                <w:rFonts w:eastAsia="Times New Roman" w:cs="Times New Roman"/>
                <w:iCs/>
                <w:szCs w:val="24"/>
                <w:lang w:eastAsia="lv-LV"/>
              </w:rPr>
              <w:t>1.</w:t>
            </w:r>
          </w:p>
        </w:tc>
        <w:tc>
          <w:tcPr>
            <w:tcW w:w="1461" w:type="pct"/>
            <w:tcBorders>
              <w:top w:val="outset" w:sz="6" w:space="0" w:color="auto"/>
              <w:left w:val="outset" w:sz="6" w:space="0" w:color="auto"/>
              <w:bottom w:val="outset" w:sz="6" w:space="0" w:color="auto"/>
              <w:right w:val="outset" w:sz="6" w:space="0" w:color="auto"/>
            </w:tcBorders>
          </w:tcPr>
          <w:p w14:paraId="3B34E32A" w14:textId="77777777" w:rsidR="00A25FB4" w:rsidRPr="00B766D7" w:rsidRDefault="00A25FB4" w:rsidP="00E5323B">
            <w:pPr>
              <w:rPr>
                <w:rFonts w:eastAsia="Times New Roman" w:cs="Times New Roman"/>
                <w:iCs/>
                <w:szCs w:val="24"/>
                <w:lang w:eastAsia="lv-LV"/>
              </w:rPr>
            </w:pPr>
            <w:r w:rsidRPr="00B766D7">
              <w:rPr>
                <w:rFonts w:eastAsia="Times New Roman" w:cs="Times New Roman"/>
                <w:iCs/>
                <w:szCs w:val="24"/>
                <w:lang w:eastAsia="lv-LV"/>
              </w:rPr>
              <w:t>Pamatojums</w:t>
            </w:r>
          </w:p>
        </w:tc>
        <w:tc>
          <w:tcPr>
            <w:tcW w:w="3179" w:type="pct"/>
            <w:tcBorders>
              <w:top w:val="outset" w:sz="6" w:space="0" w:color="auto"/>
              <w:left w:val="outset" w:sz="6" w:space="0" w:color="auto"/>
              <w:bottom w:val="outset" w:sz="6" w:space="0" w:color="auto"/>
              <w:right w:val="outset" w:sz="6" w:space="0" w:color="auto"/>
            </w:tcBorders>
          </w:tcPr>
          <w:p w14:paraId="76FB96A0" w14:textId="76074CF2" w:rsidR="00A25FB4" w:rsidRPr="00B766D7" w:rsidRDefault="000942C2" w:rsidP="00F86F09">
            <w:pPr>
              <w:ind w:firstLine="284"/>
              <w:jc w:val="both"/>
              <w:rPr>
                <w:rFonts w:eastAsia="Times New Roman" w:cs="Times New Roman"/>
                <w:b/>
                <w:i/>
                <w:iCs/>
                <w:szCs w:val="24"/>
                <w:lang w:eastAsia="lv-LV"/>
              </w:rPr>
            </w:pPr>
            <w:r w:rsidRPr="00B766D7">
              <w:rPr>
                <w:rFonts w:cs="Times New Roman"/>
                <w:szCs w:val="24"/>
              </w:rPr>
              <w:t>Noteikumu projekts</w:t>
            </w:r>
            <w:r w:rsidR="00614474" w:rsidRPr="00B766D7">
              <w:rPr>
                <w:rFonts w:cs="Times New Roman"/>
                <w:szCs w:val="24"/>
              </w:rPr>
              <w:t xml:space="preserve"> izstrādāts </w:t>
            </w:r>
            <w:r w:rsidR="00812F8E" w:rsidRPr="00B766D7">
              <w:rPr>
                <w:rFonts w:cs="Times New Roman"/>
                <w:szCs w:val="24"/>
              </w:rPr>
              <w:t xml:space="preserve">atbilstoši Ministru kabineta dotajam uzdevumam </w:t>
            </w:r>
            <w:r w:rsidR="00B766D7" w:rsidRPr="00B766D7">
              <w:rPr>
                <w:rFonts w:cs="Times New Roman"/>
                <w:szCs w:val="24"/>
              </w:rPr>
              <w:t>(Ministru kabineta 2020.gada 17.decembra sēdes protokola Nr.84 7.§ 2.punkt</w:t>
            </w:r>
            <w:r w:rsidR="00513304">
              <w:rPr>
                <w:rFonts w:cs="Times New Roman"/>
                <w:szCs w:val="24"/>
              </w:rPr>
              <w:t>s</w:t>
            </w:r>
            <w:r w:rsidR="00B766D7" w:rsidRPr="00B766D7">
              <w:rPr>
                <w:rFonts w:cs="Times New Roman"/>
                <w:szCs w:val="24"/>
              </w:rPr>
              <w:t xml:space="preserve">) </w:t>
            </w:r>
            <w:r w:rsidR="00812F8E" w:rsidRPr="00B766D7">
              <w:rPr>
                <w:rFonts w:cs="Times New Roman"/>
                <w:szCs w:val="24"/>
              </w:rPr>
              <w:t>un</w:t>
            </w:r>
            <w:r w:rsidR="00B766D7" w:rsidRPr="00B766D7">
              <w:rPr>
                <w:rFonts w:cs="Times New Roman"/>
                <w:szCs w:val="24"/>
              </w:rPr>
              <w:t xml:space="preserve"> </w:t>
            </w:r>
            <w:r w:rsidR="009A3B99">
              <w:rPr>
                <w:rFonts w:cs="Times New Roman"/>
                <w:szCs w:val="24"/>
              </w:rPr>
              <w:t xml:space="preserve">pēc Finanšu ministrijas iniciatīvas, lai pilnībā ieviestu </w:t>
            </w:r>
            <w:r w:rsidR="00A26C8D">
              <w:rPr>
                <w:rFonts w:cs="Times New Roman"/>
                <w:szCs w:val="24"/>
              </w:rPr>
              <w:t>2020.gada 15.</w:t>
            </w:r>
            <w:r w:rsidR="00F86F09">
              <w:rPr>
                <w:rFonts w:cs="Times New Roman"/>
                <w:szCs w:val="24"/>
              </w:rPr>
              <w:t>oktobra</w:t>
            </w:r>
            <w:r w:rsidR="00A26C8D">
              <w:rPr>
                <w:rFonts w:cs="Times New Roman"/>
                <w:szCs w:val="24"/>
              </w:rPr>
              <w:t xml:space="preserve"> likum</w:t>
            </w:r>
            <w:r w:rsidR="009A3B99">
              <w:rPr>
                <w:rFonts w:cs="Times New Roman"/>
                <w:szCs w:val="24"/>
              </w:rPr>
              <w:t>ā</w:t>
            </w:r>
            <w:r w:rsidR="00B766D7" w:rsidRPr="00B766D7">
              <w:rPr>
                <w:rFonts w:cs="Times New Roman"/>
                <w:szCs w:val="24"/>
              </w:rPr>
              <w:t xml:space="preserve"> “Grozījumi Pievienotās vērtības nodokļa likumā”</w:t>
            </w:r>
            <w:r w:rsidR="009A3B99">
              <w:rPr>
                <w:rFonts w:cs="Times New Roman"/>
                <w:szCs w:val="24"/>
              </w:rPr>
              <w:t xml:space="preserve"> paredzēto procesu</w:t>
            </w:r>
            <w:r w:rsidR="00614474" w:rsidRPr="00B766D7">
              <w:rPr>
                <w:rFonts w:cs="Times New Roman"/>
                <w:szCs w:val="24"/>
              </w:rPr>
              <w:t>.</w:t>
            </w:r>
          </w:p>
        </w:tc>
      </w:tr>
      <w:tr w:rsidR="00CE33AC" w:rsidRPr="00B766D7" w14:paraId="303365B8" w14:textId="77777777" w:rsidTr="001F732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5335F90" w14:textId="77777777" w:rsidR="00655F2C" w:rsidRPr="00B766D7" w:rsidRDefault="00E5323B" w:rsidP="005C0A16">
            <w:pPr>
              <w:rPr>
                <w:rFonts w:eastAsia="Times New Roman" w:cs="Times New Roman"/>
                <w:szCs w:val="24"/>
                <w:lang w:eastAsia="lv-LV"/>
              </w:rPr>
            </w:pPr>
            <w:r w:rsidRPr="00B766D7">
              <w:rPr>
                <w:rFonts w:eastAsia="Times New Roman" w:cs="Times New Roman"/>
                <w:iCs/>
                <w:szCs w:val="24"/>
                <w:lang w:eastAsia="lv-LV"/>
              </w:rPr>
              <w:t>2.</w:t>
            </w:r>
          </w:p>
        </w:tc>
        <w:tc>
          <w:tcPr>
            <w:tcW w:w="1461" w:type="pct"/>
            <w:tcBorders>
              <w:top w:val="outset" w:sz="6" w:space="0" w:color="auto"/>
              <w:left w:val="outset" w:sz="6" w:space="0" w:color="auto"/>
              <w:bottom w:val="outset" w:sz="6" w:space="0" w:color="auto"/>
              <w:right w:val="outset" w:sz="6" w:space="0" w:color="auto"/>
            </w:tcBorders>
            <w:hideMark/>
          </w:tcPr>
          <w:p w14:paraId="1EE5D129" w14:textId="77777777" w:rsidR="00E5323B" w:rsidRPr="00B766D7" w:rsidRDefault="00E5323B" w:rsidP="00086DBA">
            <w:pPr>
              <w:rPr>
                <w:rFonts w:eastAsia="Times New Roman" w:cs="Times New Roman"/>
                <w:szCs w:val="24"/>
                <w:lang w:eastAsia="lv-LV"/>
              </w:rPr>
            </w:pPr>
            <w:r w:rsidRPr="00B766D7">
              <w:rPr>
                <w:rFonts w:eastAsia="Times New Roman" w:cs="Times New Roman"/>
                <w:iCs/>
                <w:szCs w:val="24"/>
                <w:lang w:eastAsia="lv-LV"/>
              </w:rPr>
              <w:t>Pašreizējā situācija un problēmas, kuru risināšanai tiesību akta projekts izstrādāts, tiesiskā regulējuma mērķis un būtība</w:t>
            </w:r>
          </w:p>
        </w:tc>
        <w:tc>
          <w:tcPr>
            <w:tcW w:w="3179" w:type="pct"/>
            <w:tcBorders>
              <w:top w:val="outset" w:sz="6" w:space="0" w:color="auto"/>
              <w:left w:val="outset" w:sz="6" w:space="0" w:color="auto"/>
              <w:bottom w:val="outset" w:sz="6" w:space="0" w:color="auto"/>
              <w:right w:val="outset" w:sz="6" w:space="0" w:color="auto"/>
            </w:tcBorders>
            <w:hideMark/>
          </w:tcPr>
          <w:p w14:paraId="7195CE0F" w14:textId="77777777" w:rsidR="00707D92" w:rsidRPr="00B766D7" w:rsidRDefault="00707D92" w:rsidP="00707D92">
            <w:pPr>
              <w:pStyle w:val="ListParagraph"/>
              <w:ind w:left="0" w:firstLine="284"/>
              <w:contextualSpacing w:val="0"/>
              <w:jc w:val="both"/>
              <w:rPr>
                <w:rFonts w:eastAsia="Times New Roman"/>
                <w:szCs w:val="24"/>
                <w:lang w:eastAsia="lv-LV"/>
              </w:rPr>
            </w:pPr>
            <w:r w:rsidRPr="0052296E">
              <w:rPr>
                <w:rFonts w:eastAsia="Times New Roman"/>
                <w:szCs w:val="24"/>
                <w:lang w:eastAsia="lv-LV"/>
              </w:rPr>
              <w:t>2020.gada 17.decembrī tika pieņemti Ministru kabineta noteikumi Nr.758 “Grozījumi Ministru kabineta 2012.gada 22.maija noteikumos Nr.361 “Dabas resursu nodokļa piemērošanas noteikumi transportlīdzekļiem””.</w:t>
            </w:r>
            <w:r w:rsidR="00CE4513" w:rsidRPr="0052296E">
              <w:t xml:space="preserve"> </w:t>
            </w:r>
            <w:r w:rsidR="00D82422" w:rsidRPr="0052296E">
              <w:t>Minētā projekta virzības laikā d</w:t>
            </w:r>
            <w:r w:rsidR="00CE4513" w:rsidRPr="0052296E">
              <w:rPr>
                <w:rFonts w:eastAsia="Times New Roman"/>
                <w:szCs w:val="24"/>
                <w:lang w:eastAsia="lv-LV"/>
              </w:rPr>
              <w:t xml:space="preserve">abas resursu nodokļa (turpmāk – DRN) reglamentējošajos normatīvajos aktos noteiktā DRN par transportlīdzekli maksāšanas kārtība, kas cita starpā paredz arī iespēju izmantot dažādus maksājumu pakalpojumu veidus, </w:t>
            </w:r>
            <w:r w:rsidR="00D82422" w:rsidRPr="0052296E">
              <w:rPr>
                <w:rFonts w:eastAsia="Times New Roman"/>
                <w:szCs w:val="24"/>
                <w:lang w:eastAsia="lv-LV"/>
              </w:rPr>
              <w:t xml:space="preserve">tika pārskatīta un </w:t>
            </w:r>
            <w:r w:rsidR="00CE4513" w:rsidRPr="0052296E">
              <w:rPr>
                <w:rFonts w:eastAsia="Times New Roman"/>
                <w:szCs w:val="24"/>
                <w:lang w:eastAsia="lv-LV"/>
              </w:rPr>
              <w:t xml:space="preserve">atzīta par efektīvu un operatīvu. Nodokļu maksātājam nav iespējams veikt darbības ar transportlīdzekli </w:t>
            </w:r>
            <w:r w:rsidR="00781C72">
              <w:rPr>
                <w:rFonts w:eastAsia="Times New Roman"/>
                <w:szCs w:val="24"/>
                <w:lang w:eastAsia="lv-LV"/>
              </w:rPr>
              <w:t>valsts akciju sabiedrībā “</w:t>
            </w:r>
            <w:r w:rsidR="00935CB3" w:rsidRPr="0052296E">
              <w:rPr>
                <w:rFonts w:eastAsia="Times New Roman"/>
                <w:szCs w:val="24"/>
                <w:lang w:eastAsia="lv-LV"/>
              </w:rPr>
              <w:t>Ce</w:t>
            </w:r>
            <w:r w:rsidR="00781C72">
              <w:rPr>
                <w:rFonts w:eastAsia="Times New Roman"/>
                <w:szCs w:val="24"/>
                <w:lang w:eastAsia="lv-LV"/>
              </w:rPr>
              <w:t>ļu satiksmes drošības direkcija”</w:t>
            </w:r>
            <w:r w:rsidR="00935CB3" w:rsidRPr="0052296E">
              <w:rPr>
                <w:rFonts w:eastAsia="Times New Roman"/>
                <w:szCs w:val="24"/>
                <w:lang w:eastAsia="lv-LV"/>
              </w:rPr>
              <w:t xml:space="preserve"> (turpmāk – CSDD)</w:t>
            </w:r>
            <w:r w:rsidR="00CE4513" w:rsidRPr="0052296E">
              <w:rPr>
                <w:rFonts w:eastAsia="Times New Roman"/>
                <w:szCs w:val="24"/>
                <w:lang w:eastAsia="lv-LV"/>
              </w:rPr>
              <w:t xml:space="preserve">, kamēr DRN par transportlīdzekli nav samaksāts, tādējādi ir novērsta minētā nodokļa parāda rašanās iespējamība. </w:t>
            </w:r>
            <w:r w:rsidR="00D82422" w:rsidRPr="0052296E">
              <w:rPr>
                <w:rFonts w:eastAsia="Times New Roman"/>
                <w:szCs w:val="24"/>
                <w:lang w:eastAsia="lv-LV"/>
              </w:rPr>
              <w:t>Lai netiktu apgrūtināta (tai skaitā arī paildzināta) transportlīdzekļa reģistrācijas procesa operativitāte, netiktu samazināta DRN administrēšanas procesa efekt</w:t>
            </w:r>
            <w:r w:rsidR="0052296E">
              <w:rPr>
                <w:rFonts w:eastAsia="Times New Roman"/>
                <w:szCs w:val="24"/>
                <w:lang w:eastAsia="lv-LV"/>
              </w:rPr>
              <w:t>i</w:t>
            </w:r>
            <w:r w:rsidR="00D82422" w:rsidRPr="0052296E">
              <w:rPr>
                <w:rFonts w:eastAsia="Times New Roman"/>
                <w:szCs w:val="24"/>
                <w:lang w:eastAsia="lv-LV"/>
              </w:rPr>
              <w:t>vitāte (saglabājot to tād</w:t>
            </w:r>
            <w:r w:rsidR="0052296E">
              <w:rPr>
                <w:rFonts w:eastAsia="Times New Roman"/>
                <w:szCs w:val="24"/>
                <w:lang w:eastAsia="lv-LV"/>
              </w:rPr>
              <w:t>ā</w:t>
            </w:r>
            <w:r w:rsidR="00D82422" w:rsidRPr="0052296E">
              <w:rPr>
                <w:rFonts w:eastAsia="Times New Roman"/>
                <w:szCs w:val="24"/>
                <w:lang w:eastAsia="lv-LV"/>
              </w:rPr>
              <w:t xml:space="preserve"> līmenī, kāds ir nodrošināts šobrīd</w:t>
            </w:r>
            <w:r w:rsidR="00935CB3" w:rsidRPr="0052296E">
              <w:rPr>
                <w:rFonts w:eastAsia="Times New Roman"/>
                <w:szCs w:val="24"/>
                <w:lang w:eastAsia="lv-LV"/>
              </w:rPr>
              <w:t xml:space="preserve">), </w:t>
            </w:r>
            <w:r w:rsidR="0052296E">
              <w:rPr>
                <w:rFonts w:eastAsia="Times New Roman"/>
                <w:szCs w:val="24"/>
                <w:lang w:eastAsia="lv-LV"/>
              </w:rPr>
              <w:t>nebūtu</w:t>
            </w:r>
            <w:r w:rsidR="00935CB3" w:rsidRPr="0052296E">
              <w:rPr>
                <w:rFonts w:eastAsia="Times New Roman"/>
                <w:szCs w:val="24"/>
                <w:lang w:eastAsia="lv-LV"/>
              </w:rPr>
              <w:t xml:space="preserve"> jāveido papildu informācijas apmaiņas risinājums starp Valsts ieņēmumu dienestu </w:t>
            </w:r>
            <w:r w:rsidR="006251E2">
              <w:rPr>
                <w:rFonts w:eastAsia="Times New Roman"/>
                <w:szCs w:val="24"/>
                <w:lang w:eastAsia="lv-LV"/>
              </w:rPr>
              <w:t xml:space="preserve">(turpmāk – VID) </w:t>
            </w:r>
            <w:r w:rsidR="00935CB3" w:rsidRPr="0052296E">
              <w:rPr>
                <w:rFonts w:eastAsia="Times New Roman"/>
                <w:szCs w:val="24"/>
                <w:lang w:eastAsia="lv-LV"/>
              </w:rPr>
              <w:t xml:space="preserve">un </w:t>
            </w:r>
            <w:r w:rsidR="00935CB3" w:rsidRPr="0052296E">
              <w:rPr>
                <w:rFonts w:eastAsia="Times New Roman"/>
                <w:szCs w:val="24"/>
                <w:lang w:eastAsia="lv-LV"/>
              </w:rPr>
              <w:lastRenderedPageBreak/>
              <w:t xml:space="preserve">CSDD, </w:t>
            </w:r>
            <w:r w:rsidR="00781C72">
              <w:rPr>
                <w:rFonts w:eastAsia="Times New Roman"/>
                <w:szCs w:val="24"/>
                <w:lang w:eastAsia="lv-LV"/>
              </w:rPr>
              <w:t xml:space="preserve">tika </w:t>
            </w:r>
            <w:r w:rsidR="00E41DA3">
              <w:rPr>
                <w:rFonts w:eastAsia="Times New Roman"/>
                <w:szCs w:val="24"/>
                <w:lang w:eastAsia="lv-LV"/>
              </w:rPr>
              <w:t>panākta vienošanās</w:t>
            </w:r>
            <w:r w:rsidR="00935CB3" w:rsidRPr="001F23E8">
              <w:rPr>
                <w:rFonts w:eastAsia="Times New Roman"/>
                <w:szCs w:val="24"/>
                <w:lang w:eastAsia="lv-LV"/>
              </w:rPr>
              <w:t xml:space="preserve"> </w:t>
            </w:r>
            <w:r w:rsidR="00E41DA3">
              <w:rPr>
                <w:rFonts w:eastAsia="Times New Roman"/>
                <w:szCs w:val="24"/>
                <w:lang w:eastAsia="lv-LV"/>
              </w:rPr>
              <w:t>minē</w:t>
            </w:r>
            <w:r w:rsidR="00781C72">
              <w:rPr>
                <w:rFonts w:eastAsia="Times New Roman"/>
                <w:szCs w:val="24"/>
                <w:lang w:eastAsia="lv-LV"/>
              </w:rPr>
              <w:t xml:space="preserve">tajos noteikumos </w:t>
            </w:r>
            <w:r w:rsidR="00935CB3" w:rsidRPr="0052296E">
              <w:t xml:space="preserve">saglabāt nodokļu maksātājiem </w:t>
            </w:r>
            <w:r w:rsidR="00781C72">
              <w:t>šobrīd esošo DRN maksāšanas kārtību</w:t>
            </w:r>
            <w:r w:rsidR="008D4D68">
              <w:rPr>
                <w:rFonts w:eastAsia="Times New Roman"/>
                <w:szCs w:val="24"/>
                <w:lang w:eastAsia="lv-LV"/>
              </w:rPr>
              <w:t>.</w:t>
            </w:r>
            <w:r w:rsidR="00935CB3" w:rsidRPr="0052296E">
              <w:rPr>
                <w:rFonts w:eastAsia="Times New Roman"/>
                <w:szCs w:val="24"/>
                <w:lang w:eastAsia="lv-LV"/>
              </w:rPr>
              <w:t xml:space="preserve"> </w:t>
            </w:r>
            <w:r w:rsidR="008D4D68">
              <w:rPr>
                <w:rFonts w:eastAsia="Times New Roman"/>
                <w:szCs w:val="24"/>
                <w:lang w:eastAsia="lv-LV"/>
              </w:rPr>
              <w:t>Vienlaikus,</w:t>
            </w:r>
            <w:r w:rsidR="008D4D68" w:rsidRPr="0052296E">
              <w:rPr>
                <w:rFonts w:eastAsia="Times New Roman"/>
                <w:szCs w:val="24"/>
                <w:lang w:eastAsia="lv-LV"/>
              </w:rPr>
              <w:t xml:space="preserve"> </w:t>
            </w:r>
            <w:r w:rsidR="00935CB3" w:rsidRPr="0052296E">
              <w:rPr>
                <w:rFonts w:eastAsia="Times New Roman"/>
                <w:szCs w:val="24"/>
                <w:lang w:eastAsia="lv-LV"/>
              </w:rPr>
              <w:t>l</w:t>
            </w:r>
            <w:r w:rsidRPr="0052296E">
              <w:rPr>
                <w:rFonts w:eastAsia="Times New Roman"/>
                <w:szCs w:val="24"/>
                <w:lang w:eastAsia="lv-LV"/>
              </w:rPr>
              <w:t xml:space="preserve">ai </w:t>
            </w:r>
            <w:r w:rsidRPr="00B766D7">
              <w:rPr>
                <w:rFonts w:eastAsia="Times New Roman"/>
                <w:szCs w:val="24"/>
                <w:lang w:eastAsia="lv-LV"/>
              </w:rPr>
              <w:t xml:space="preserve">nodrošinātu skaidru un nepārprotamu normatīvo regulējumu attiecībā uz </w:t>
            </w:r>
            <w:r w:rsidR="00935CB3">
              <w:rPr>
                <w:rFonts w:eastAsia="Times New Roman"/>
                <w:szCs w:val="24"/>
                <w:lang w:eastAsia="lv-LV"/>
              </w:rPr>
              <w:t>DRN</w:t>
            </w:r>
            <w:r w:rsidRPr="00B766D7">
              <w:rPr>
                <w:rFonts w:eastAsia="Times New Roman"/>
                <w:szCs w:val="24"/>
                <w:lang w:eastAsia="lv-LV"/>
              </w:rPr>
              <w:t xml:space="preserve"> par transportlīdzekļiem, kuri Latvijā tiek pastāvīgi reģistrēti pirmo reizi, maksāšanu vienotajā nodokļu kontā, Finanšu ministrijai </w:t>
            </w:r>
            <w:r>
              <w:rPr>
                <w:rFonts w:eastAsia="Times New Roman"/>
                <w:szCs w:val="24"/>
                <w:lang w:eastAsia="lv-LV"/>
              </w:rPr>
              <w:t>tika</w:t>
            </w:r>
            <w:r w:rsidRPr="00B766D7">
              <w:rPr>
                <w:rFonts w:eastAsia="Times New Roman"/>
                <w:szCs w:val="24"/>
                <w:lang w:eastAsia="lv-LV"/>
              </w:rPr>
              <w:t xml:space="preserve"> dots uzdevums līdz 2021.gada 1.martam iesniegt Ministru kabinetā grozījumus Ministru kabineta 2018.gad</w:t>
            </w:r>
            <w:r w:rsidR="00781C72">
              <w:rPr>
                <w:rFonts w:eastAsia="Times New Roman"/>
                <w:szCs w:val="24"/>
                <w:lang w:eastAsia="lv-LV"/>
              </w:rPr>
              <w:t>a 30.oktobra noteikumos Nr.661 “</w:t>
            </w:r>
            <w:r w:rsidRPr="00B766D7">
              <w:rPr>
                <w:rFonts w:eastAsia="Times New Roman"/>
                <w:szCs w:val="24"/>
                <w:lang w:eastAsia="lv-LV"/>
              </w:rPr>
              <w:t>Kārtība, kādā maksā nodokļus, nodevas, citus valsts noteiktos maksājumus un ar tiem saistītos maksājumus u</w:t>
            </w:r>
            <w:r w:rsidR="00781C72">
              <w:rPr>
                <w:rFonts w:eastAsia="Times New Roman"/>
                <w:szCs w:val="24"/>
                <w:lang w:eastAsia="lv-LV"/>
              </w:rPr>
              <w:t>n novirza tos saistību segšanai”</w:t>
            </w:r>
            <w:r w:rsidRPr="00B766D7">
              <w:rPr>
                <w:rFonts w:eastAsia="Times New Roman"/>
                <w:szCs w:val="24"/>
                <w:lang w:eastAsia="lv-LV"/>
              </w:rPr>
              <w:t xml:space="preserve">, nosakot, ka </w:t>
            </w:r>
            <w:r w:rsidR="00935CB3" w:rsidRPr="001F23E8">
              <w:rPr>
                <w:rFonts w:eastAsia="Times New Roman"/>
                <w:szCs w:val="24"/>
                <w:lang w:eastAsia="lv-LV"/>
              </w:rPr>
              <w:t>CSDD</w:t>
            </w:r>
            <w:r w:rsidR="00935CB3" w:rsidRPr="00B766D7">
              <w:rPr>
                <w:rFonts w:eastAsia="Times New Roman"/>
                <w:szCs w:val="24"/>
                <w:lang w:eastAsia="lv-LV"/>
              </w:rPr>
              <w:t xml:space="preserve"> </w:t>
            </w:r>
            <w:r w:rsidRPr="00B766D7">
              <w:rPr>
                <w:rFonts w:eastAsia="Times New Roman"/>
                <w:szCs w:val="24"/>
                <w:lang w:eastAsia="lv-LV"/>
              </w:rPr>
              <w:t xml:space="preserve">iekasēto </w:t>
            </w:r>
            <w:r w:rsidR="006251E2">
              <w:rPr>
                <w:rFonts w:eastAsia="Times New Roman"/>
                <w:szCs w:val="24"/>
                <w:lang w:eastAsia="lv-LV"/>
              </w:rPr>
              <w:t>DRN</w:t>
            </w:r>
            <w:r w:rsidRPr="00B766D7">
              <w:rPr>
                <w:rFonts w:eastAsia="Times New Roman"/>
                <w:szCs w:val="24"/>
                <w:lang w:eastAsia="lv-LV"/>
              </w:rPr>
              <w:t xml:space="preserve"> par transportlīdzekļiem, kuri Latvijā tiek pastāvīgi reģistrēti pirmo reizi, vienotajā nodokļu kontā iemaksā, norādot maksājuma identifikatoru.</w:t>
            </w:r>
            <w:r w:rsidR="008D4D68">
              <w:rPr>
                <w:rFonts w:eastAsia="Times New Roman"/>
                <w:szCs w:val="24"/>
                <w:lang w:eastAsia="lv-LV"/>
              </w:rPr>
              <w:t xml:space="preserve"> Tādējādi noteikumu projektā iekļaut</w:t>
            </w:r>
            <w:r w:rsidR="00781C72">
              <w:rPr>
                <w:rFonts w:eastAsia="Times New Roman"/>
                <w:szCs w:val="24"/>
                <w:lang w:eastAsia="lv-LV"/>
              </w:rPr>
              <w:t>a norma, kas nosaka, ka</w:t>
            </w:r>
            <w:r w:rsidR="008D4D68">
              <w:rPr>
                <w:rFonts w:eastAsia="Times New Roman"/>
                <w:szCs w:val="24"/>
                <w:lang w:eastAsia="lv-LV"/>
              </w:rPr>
              <w:t xml:space="preserve"> </w:t>
            </w:r>
            <w:r w:rsidR="006251E2">
              <w:rPr>
                <w:rFonts w:eastAsia="Times New Roman"/>
                <w:szCs w:val="24"/>
                <w:lang w:eastAsia="lv-LV"/>
              </w:rPr>
              <w:t>DRN</w:t>
            </w:r>
            <w:r w:rsidR="00781C72">
              <w:rPr>
                <w:rFonts w:eastAsia="Times New Roman"/>
                <w:szCs w:val="24"/>
                <w:lang w:eastAsia="lv-LV"/>
              </w:rPr>
              <w:t xml:space="preserve">, </w:t>
            </w:r>
            <w:r w:rsidR="00E41DA3">
              <w:rPr>
                <w:rFonts w:eastAsia="Times New Roman"/>
                <w:szCs w:val="24"/>
                <w:lang w:eastAsia="lv-LV"/>
              </w:rPr>
              <w:t xml:space="preserve">kuru </w:t>
            </w:r>
            <w:r w:rsidR="00E41DA3" w:rsidRPr="000D69ED">
              <w:rPr>
                <w:rFonts w:eastAsia="Times New Roman"/>
                <w:szCs w:val="24"/>
                <w:lang w:eastAsia="lv-LV"/>
              </w:rPr>
              <w:t>CSDD</w:t>
            </w:r>
            <w:r w:rsidR="00E41DA3" w:rsidRPr="00B766D7">
              <w:rPr>
                <w:rFonts w:eastAsia="Times New Roman"/>
                <w:szCs w:val="24"/>
                <w:lang w:eastAsia="lv-LV"/>
              </w:rPr>
              <w:t xml:space="preserve"> </w:t>
            </w:r>
            <w:r w:rsidR="00E41DA3">
              <w:rPr>
                <w:rFonts w:eastAsia="Times New Roman"/>
                <w:szCs w:val="24"/>
                <w:lang w:eastAsia="lv-LV"/>
              </w:rPr>
              <w:t>ir</w:t>
            </w:r>
            <w:r w:rsidR="00781C72" w:rsidRPr="00B766D7">
              <w:rPr>
                <w:rFonts w:eastAsia="Times New Roman"/>
                <w:szCs w:val="24"/>
                <w:lang w:eastAsia="lv-LV"/>
              </w:rPr>
              <w:t xml:space="preserve"> </w:t>
            </w:r>
            <w:r w:rsidR="00E41DA3">
              <w:rPr>
                <w:rFonts w:eastAsia="Times New Roman"/>
                <w:szCs w:val="24"/>
                <w:lang w:eastAsia="lv-LV"/>
              </w:rPr>
              <w:t xml:space="preserve">iekasējusi no personām </w:t>
            </w:r>
            <w:r w:rsidR="00781C72" w:rsidRPr="00B766D7">
              <w:rPr>
                <w:rFonts w:eastAsia="Times New Roman"/>
                <w:szCs w:val="24"/>
                <w:lang w:eastAsia="lv-LV"/>
              </w:rPr>
              <w:t xml:space="preserve">par transportlīdzekļiem, kuri Latvijā tiek pastāvīgi reģistrēti pirmo reizi, </w:t>
            </w:r>
            <w:r w:rsidR="00E41DA3">
              <w:rPr>
                <w:rFonts w:eastAsia="Times New Roman"/>
                <w:szCs w:val="24"/>
                <w:lang w:eastAsia="lv-LV"/>
              </w:rPr>
              <w:t xml:space="preserve">CSDD </w:t>
            </w:r>
            <w:r w:rsidR="00781C72" w:rsidRPr="00B766D7">
              <w:rPr>
                <w:rFonts w:eastAsia="Times New Roman"/>
                <w:szCs w:val="24"/>
                <w:lang w:eastAsia="lv-LV"/>
              </w:rPr>
              <w:t>vienotajā nodokļu kontā iemaksā, norādot maksājuma identifikatoru</w:t>
            </w:r>
            <w:r w:rsidR="00781C72">
              <w:rPr>
                <w:rFonts w:eastAsia="Times New Roman"/>
                <w:szCs w:val="24"/>
                <w:lang w:eastAsia="lv-LV"/>
              </w:rPr>
              <w:t>.</w:t>
            </w:r>
          </w:p>
          <w:p w14:paraId="1B0F102F" w14:textId="7C996B5A" w:rsidR="00E94842" w:rsidRDefault="00E94842" w:rsidP="00B766D7">
            <w:pPr>
              <w:pStyle w:val="ListParagraph"/>
              <w:ind w:left="0" w:firstLine="284"/>
              <w:contextualSpacing w:val="0"/>
              <w:jc w:val="both"/>
              <w:rPr>
                <w:rFonts w:eastAsia="Times New Roman"/>
                <w:szCs w:val="24"/>
                <w:lang w:eastAsia="lv-LV"/>
              </w:rPr>
            </w:pPr>
            <w:r>
              <w:rPr>
                <w:rFonts w:cs="Times New Roman"/>
                <w:szCs w:val="24"/>
              </w:rPr>
              <w:t>Saistībā ar 2020.gada 15.</w:t>
            </w:r>
            <w:r w:rsidR="00047B45">
              <w:rPr>
                <w:rFonts w:cs="Times New Roman"/>
                <w:szCs w:val="24"/>
              </w:rPr>
              <w:t>okto</w:t>
            </w:r>
            <w:r>
              <w:rPr>
                <w:rFonts w:cs="Times New Roman"/>
                <w:szCs w:val="24"/>
              </w:rPr>
              <w:t>brī pieņemt</w:t>
            </w:r>
            <w:r w:rsidR="00513304">
              <w:rPr>
                <w:rFonts w:cs="Times New Roman"/>
                <w:szCs w:val="24"/>
              </w:rPr>
              <w:t>ajā</w:t>
            </w:r>
            <w:r>
              <w:rPr>
                <w:rFonts w:cs="Times New Roman"/>
                <w:szCs w:val="24"/>
              </w:rPr>
              <w:t xml:space="preserve"> likum</w:t>
            </w:r>
            <w:r w:rsidR="00513304">
              <w:rPr>
                <w:rFonts w:cs="Times New Roman"/>
                <w:szCs w:val="24"/>
              </w:rPr>
              <w:t>ā</w:t>
            </w:r>
            <w:r w:rsidRPr="00B766D7">
              <w:rPr>
                <w:rFonts w:cs="Times New Roman"/>
                <w:szCs w:val="24"/>
              </w:rPr>
              <w:t xml:space="preserve"> “Grozījumi Pievienotās vērtības nodokļa likumā”</w:t>
            </w:r>
            <w:r>
              <w:rPr>
                <w:rFonts w:cs="Times New Roman"/>
                <w:szCs w:val="24"/>
              </w:rPr>
              <w:t xml:space="preserve"> </w:t>
            </w:r>
            <w:r w:rsidR="00513304">
              <w:rPr>
                <w:rFonts w:cs="Times New Roman"/>
                <w:szCs w:val="24"/>
              </w:rPr>
              <w:t xml:space="preserve">iekļauto regulējumu </w:t>
            </w:r>
            <w:r w:rsidRPr="00E94842">
              <w:rPr>
                <w:rFonts w:cs="Times New Roman"/>
                <w:szCs w:val="24"/>
              </w:rPr>
              <w:t>Ministru kabineta 2018.gada 30.oktobra noteikumos Nr.661 “Kārtība, kādā maksā nodokļus, nodevas, citus valsts noteiktos maksājumus un ar tiem saistītos maksājumus un novirza tos saistību segšanai”</w:t>
            </w:r>
            <w:r>
              <w:rPr>
                <w:rFonts w:cs="Times New Roman"/>
                <w:szCs w:val="24"/>
              </w:rPr>
              <w:t xml:space="preserve"> ir nepieciešams veikt grozījumus</w:t>
            </w:r>
            <w:r w:rsidRPr="00E94842">
              <w:rPr>
                <w:rFonts w:cs="Times New Roman"/>
                <w:szCs w:val="24"/>
              </w:rPr>
              <w:t xml:space="preserve">, nosakot, ka </w:t>
            </w:r>
            <w:r w:rsidR="00513304">
              <w:rPr>
                <w:rFonts w:cs="Times New Roman"/>
                <w:szCs w:val="24"/>
              </w:rPr>
              <w:t>p</w:t>
            </w:r>
            <w:r w:rsidRPr="00B766D7">
              <w:rPr>
                <w:rFonts w:cs="Times New Roman"/>
                <w:szCs w:val="24"/>
              </w:rPr>
              <w:t xml:space="preserve">ievienotās vērtības nodokļa </w:t>
            </w:r>
            <w:r>
              <w:rPr>
                <w:rFonts w:cs="Times New Roman"/>
                <w:szCs w:val="24"/>
              </w:rPr>
              <w:t xml:space="preserve">(turpmāk – </w:t>
            </w:r>
            <w:r w:rsidRPr="00E94842">
              <w:rPr>
                <w:rFonts w:cs="Times New Roman"/>
                <w:szCs w:val="24"/>
              </w:rPr>
              <w:t>PVN</w:t>
            </w:r>
            <w:r>
              <w:rPr>
                <w:rFonts w:cs="Times New Roman"/>
                <w:szCs w:val="24"/>
              </w:rPr>
              <w:t>)</w:t>
            </w:r>
            <w:r w:rsidRPr="00E94842">
              <w:rPr>
                <w:rFonts w:cs="Times New Roman"/>
                <w:szCs w:val="24"/>
              </w:rPr>
              <w:t xml:space="preserve"> maksātāji, kurus Latvija kā identifikācijas valsts reģistrē </w:t>
            </w:r>
            <w:proofErr w:type="spellStart"/>
            <w:r w:rsidRPr="00E94842">
              <w:rPr>
                <w:rFonts w:cs="Times New Roman"/>
                <w:szCs w:val="24"/>
              </w:rPr>
              <w:t>ārpussavienības</w:t>
            </w:r>
            <w:proofErr w:type="spellEnd"/>
            <w:r w:rsidRPr="00E94842">
              <w:rPr>
                <w:rFonts w:cs="Times New Roman"/>
                <w:szCs w:val="24"/>
              </w:rPr>
              <w:t xml:space="preserve"> režīma, savienības režīma vai importa režīma izmantošanai, iemaksā PVN, norādot identifikatoru</w:t>
            </w:r>
            <w:r w:rsidR="00513304">
              <w:rPr>
                <w:rFonts w:cs="Times New Roman"/>
                <w:szCs w:val="24"/>
              </w:rPr>
              <w:t>.</w:t>
            </w:r>
            <w:r w:rsidRPr="00E94842">
              <w:rPr>
                <w:rFonts w:cs="Times New Roman"/>
                <w:szCs w:val="24"/>
              </w:rPr>
              <w:t xml:space="preserve"> </w:t>
            </w:r>
            <w:r w:rsidR="00707D92">
              <w:rPr>
                <w:rFonts w:cs="Times New Roman"/>
                <w:szCs w:val="24"/>
              </w:rPr>
              <w:t xml:space="preserve">Šo izņēmumu </w:t>
            </w:r>
            <w:r w:rsidR="008D4D68">
              <w:rPr>
                <w:rFonts w:cs="Times New Roman"/>
                <w:szCs w:val="24"/>
              </w:rPr>
              <w:t xml:space="preserve">noteikumu projektā </w:t>
            </w:r>
            <w:r w:rsidR="00707D92">
              <w:rPr>
                <w:rFonts w:cs="Times New Roman"/>
                <w:szCs w:val="24"/>
              </w:rPr>
              <w:t xml:space="preserve">nepieciešams noteikt, </w:t>
            </w:r>
            <w:r w:rsidRPr="00E94842">
              <w:rPr>
                <w:rFonts w:cs="Times New Roman"/>
                <w:szCs w:val="24"/>
              </w:rPr>
              <w:t>jo Latvija ar šiem režīmiem nodrošina citas valsts – patēriņa dalībvalsts - PVN summas iekasēšanu, tādēļ šī iekasējamā PVN summa ir nošķirama no vispārējā kārtībā iekasējamā PVN valsts budžetā.</w:t>
            </w:r>
          </w:p>
          <w:p w14:paraId="2BECA2EF" w14:textId="77777777" w:rsidR="00C23827" w:rsidRPr="00B766D7" w:rsidRDefault="00C23827" w:rsidP="00707D92">
            <w:pPr>
              <w:pStyle w:val="ListParagraph"/>
              <w:ind w:left="0" w:firstLine="284"/>
              <w:contextualSpacing w:val="0"/>
              <w:jc w:val="both"/>
              <w:rPr>
                <w:rFonts w:eastAsia="Times New Roman"/>
                <w:szCs w:val="24"/>
                <w:lang w:eastAsia="lv-LV"/>
              </w:rPr>
            </w:pPr>
          </w:p>
        </w:tc>
      </w:tr>
      <w:tr w:rsidR="00CE33AC" w:rsidRPr="00B766D7" w14:paraId="5D889017" w14:textId="77777777" w:rsidTr="001F732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ED214D7" w14:textId="77777777" w:rsidR="00655F2C" w:rsidRPr="00B766D7" w:rsidRDefault="00E5323B" w:rsidP="00E5323B">
            <w:pPr>
              <w:rPr>
                <w:rFonts w:eastAsia="Times New Roman" w:cs="Times New Roman"/>
                <w:iCs/>
                <w:szCs w:val="24"/>
                <w:lang w:eastAsia="lv-LV"/>
              </w:rPr>
            </w:pPr>
            <w:r w:rsidRPr="00B766D7">
              <w:rPr>
                <w:rFonts w:eastAsia="Times New Roman" w:cs="Times New Roman"/>
                <w:iCs/>
                <w:szCs w:val="24"/>
                <w:lang w:eastAsia="lv-LV"/>
              </w:rPr>
              <w:lastRenderedPageBreak/>
              <w:t>3.</w:t>
            </w:r>
          </w:p>
        </w:tc>
        <w:tc>
          <w:tcPr>
            <w:tcW w:w="1461" w:type="pct"/>
            <w:tcBorders>
              <w:top w:val="outset" w:sz="6" w:space="0" w:color="auto"/>
              <w:left w:val="outset" w:sz="6" w:space="0" w:color="auto"/>
              <w:bottom w:val="outset" w:sz="6" w:space="0" w:color="auto"/>
              <w:right w:val="outset" w:sz="6" w:space="0" w:color="auto"/>
            </w:tcBorders>
            <w:hideMark/>
          </w:tcPr>
          <w:p w14:paraId="1C766382" w14:textId="77777777" w:rsidR="00E5323B" w:rsidRPr="00B766D7" w:rsidRDefault="00E5323B" w:rsidP="00E5323B">
            <w:pPr>
              <w:rPr>
                <w:rFonts w:eastAsia="Times New Roman" w:cs="Times New Roman"/>
                <w:iCs/>
                <w:szCs w:val="24"/>
                <w:lang w:eastAsia="lv-LV"/>
              </w:rPr>
            </w:pPr>
            <w:r w:rsidRPr="00B766D7">
              <w:rPr>
                <w:rFonts w:eastAsia="Times New Roman" w:cs="Times New Roman"/>
                <w:iCs/>
                <w:szCs w:val="24"/>
                <w:lang w:eastAsia="lv-LV"/>
              </w:rPr>
              <w:t>Projekta izstrādē iesaistītās institūcijas un publiskas personas kapitālsabiedrības</w:t>
            </w:r>
          </w:p>
        </w:tc>
        <w:tc>
          <w:tcPr>
            <w:tcW w:w="3179" w:type="pct"/>
            <w:tcBorders>
              <w:top w:val="outset" w:sz="6" w:space="0" w:color="auto"/>
              <w:left w:val="outset" w:sz="6" w:space="0" w:color="auto"/>
              <w:bottom w:val="outset" w:sz="6" w:space="0" w:color="auto"/>
              <w:right w:val="outset" w:sz="6" w:space="0" w:color="auto"/>
            </w:tcBorders>
            <w:hideMark/>
          </w:tcPr>
          <w:p w14:paraId="04D43F2F" w14:textId="77777777" w:rsidR="00E5323B" w:rsidRPr="00B766D7" w:rsidRDefault="00C85DCD" w:rsidP="00935CB3">
            <w:pPr>
              <w:ind w:firstLine="284"/>
              <w:jc w:val="both"/>
              <w:rPr>
                <w:rFonts w:eastAsia="Times New Roman" w:cs="Times New Roman"/>
                <w:iCs/>
                <w:szCs w:val="24"/>
                <w:lang w:eastAsia="lv-LV"/>
              </w:rPr>
            </w:pPr>
            <w:r w:rsidRPr="00B766D7">
              <w:rPr>
                <w:rFonts w:eastAsia="Times New Roman" w:cs="Times New Roman"/>
                <w:szCs w:val="24"/>
                <w:lang w:eastAsia="lv-LV"/>
              </w:rPr>
              <w:t xml:space="preserve">Finanšu ministrija, </w:t>
            </w:r>
            <w:r w:rsidR="00382224" w:rsidRPr="00B766D7">
              <w:rPr>
                <w:rFonts w:eastAsia="Times New Roman" w:cs="Times New Roman"/>
                <w:szCs w:val="24"/>
                <w:lang w:eastAsia="lv-LV"/>
              </w:rPr>
              <w:t>VID</w:t>
            </w:r>
            <w:r w:rsidR="00382224">
              <w:rPr>
                <w:rFonts w:eastAsia="Times New Roman" w:cs="Times New Roman"/>
                <w:szCs w:val="24"/>
                <w:lang w:eastAsia="lv-LV"/>
              </w:rPr>
              <w:t>,</w:t>
            </w:r>
            <w:r w:rsidR="00382224" w:rsidRPr="00B766D7">
              <w:rPr>
                <w:rFonts w:eastAsia="Times New Roman" w:cs="Times New Roman"/>
                <w:szCs w:val="24"/>
                <w:lang w:eastAsia="lv-LV"/>
              </w:rPr>
              <w:t xml:space="preserve"> </w:t>
            </w:r>
            <w:r w:rsidR="00812F8E" w:rsidRPr="00B766D7">
              <w:rPr>
                <w:rFonts w:eastAsia="Times New Roman" w:cs="Times New Roman"/>
                <w:szCs w:val="24"/>
                <w:lang w:eastAsia="lv-LV"/>
              </w:rPr>
              <w:t xml:space="preserve">Satiksmes ministrija, </w:t>
            </w:r>
            <w:r w:rsidR="006F2B8E">
              <w:rPr>
                <w:rFonts w:eastAsia="Times New Roman"/>
                <w:szCs w:val="24"/>
                <w:lang w:eastAsia="lv-LV"/>
              </w:rPr>
              <w:t>CSDD</w:t>
            </w:r>
            <w:r w:rsidRPr="00B766D7">
              <w:rPr>
                <w:rFonts w:eastAsia="Times New Roman" w:cs="Times New Roman"/>
                <w:szCs w:val="24"/>
                <w:lang w:eastAsia="lv-LV"/>
              </w:rPr>
              <w:t>.</w:t>
            </w:r>
          </w:p>
        </w:tc>
      </w:tr>
      <w:tr w:rsidR="00CE33AC" w:rsidRPr="00B766D7" w14:paraId="1D9BE8D6" w14:textId="77777777" w:rsidTr="001F732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0CAE07" w14:textId="77777777" w:rsidR="00655F2C" w:rsidRPr="00B766D7" w:rsidRDefault="00E5323B" w:rsidP="00E5323B">
            <w:pPr>
              <w:rPr>
                <w:rFonts w:eastAsia="Times New Roman" w:cs="Times New Roman"/>
                <w:iCs/>
                <w:szCs w:val="24"/>
                <w:lang w:eastAsia="lv-LV"/>
              </w:rPr>
            </w:pPr>
            <w:r w:rsidRPr="00B766D7">
              <w:rPr>
                <w:rFonts w:eastAsia="Times New Roman" w:cs="Times New Roman"/>
                <w:iCs/>
                <w:szCs w:val="24"/>
                <w:lang w:eastAsia="lv-LV"/>
              </w:rPr>
              <w:t>4.</w:t>
            </w:r>
          </w:p>
        </w:tc>
        <w:tc>
          <w:tcPr>
            <w:tcW w:w="1461" w:type="pct"/>
            <w:tcBorders>
              <w:top w:val="outset" w:sz="6" w:space="0" w:color="auto"/>
              <w:left w:val="outset" w:sz="6" w:space="0" w:color="auto"/>
              <w:bottom w:val="outset" w:sz="6" w:space="0" w:color="auto"/>
              <w:right w:val="outset" w:sz="6" w:space="0" w:color="auto"/>
            </w:tcBorders>
            <w:hideMark/>
          </w:tcPr>
          <w:p w14:paraId="107D1D0F" w14:textId="77777777" w:rsidR="00E5323B" w:rsidRPr="00B766D7" w:rsidRDefault="00E5323B" w:rsidP="00E5323B">
            <w:pPr>
              <w:rPr>
                <w:rFonts w:eastAsia="Times New Roman" w:cs="Times New Roman"/>
                <w:iCs/>
                <w:szCs w:val="24"/>
                <w:lang w:eastAsia="lv-LV"/>
              </w:rPr>
            </w:pPr>
            <w:r w:rsidRPr="00B766D7">
              <w:rPr>
                <w:rFonts w:eastAsia="Times New Roman" w:cs="Times New Roman"/>
                <w:iCs/>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2AD08C1C" w14:textId="4E08684B" w:rsidR="001E7565" w:rsidRPr="00B766D7" w:rsidRDefault="00812F8E" w:rsidP="00F86F09">
            <w:pPr>
              <w:ind w:firstLine="284"/>
              <w:jc w:val="both"/>
              <w:rPr>
                <w:rFonts w:eastAsia="Times New Roman" w:cs="Times New Roman"/>
                <w:iCs/>
                <w:szCs w:val="24"/>
                <w:lang w:eastAsia="lv-LV"/>
              </w:rPr>
            </w:pPr>
            <w:r w:rsidRPr="00B766D7">
              <w:rPr>
                <w:rFonts w:eastAsia="Times New Roman" w:cs="Times New Roman"/>
                <w:iCs/>
                <w:szCs w:val="24"/>
                <w:lang w:eastAsia="lv-LV"/>
              </w:rPr>
              <w:t>Detalizētāk</w:t>
            </w:r>
            <w:r w:rsidR="006F2B8E">
              <w:rPr>
                <w:rFonts w:eastAsia="Times New Roman" w:cs="Times New Roman"/>
                <w:iCs/>
                <w:szCs w:val="24"/>
                <w:lang w:eastAsia="lv-LV"/>
              </w:rPr>
              <w:t>a</w:t>
            </w:r>
            <w:r w:rsidRPr="00B766D7">
              <w:rPr>
                <w:rFonts w:eastAsia="Times New Roman" w:cs="Times New Roman"/>
                <w:iCs/>
                <w:szCs w:val="24"/>
                <w:lang w:eastAsia="lv-LV"/>
              </w:rPr>
              <w:t xml:space="preserve"> informācija par </w:t>
            </w:r>
            <w:r w:rsidR="00B766D7" w:rsidRPr="00B766D7">
              <w:rPr>
                <w:rFonts w:eastAsia="Times New Roman" w:cs="Times New Roman"/>
                <w:iCs/>
                <w:szCs w:val="24"/>
                <w:lang w:eastAsia="lv-LV"/>
              </w:rPr>
              <w:t>veikt</w:t>
            </w:r>
            <w:r w:rsidR="006F2B8E">
              <w:rPr>
                <w:rFonts w:eastAsia="Times New Roman" w:cs="Times New Roman"/>
                <w:iCs/>
                <w:szCs w:val="24"/>
                <w:lang w:eastAsia="lv-LV"/>
              </w:rPr>
              <w:t>ajiem</w:t>
            </w:r>
            <w:r w:rsidR="00B766D7" w:rsidRPr="00B766D7">
              <w:rPr>
                <w:rFonts w:eastAsia="Times New Roman" w:cs="Times New Roman"/>
                <w:iCs/>
                <w:szCs w:val="24"/>
                <w:lang w:eastAsia="lv-LV"/>
              </w:rPr>
              <w:t xml:space="preserve"> grozījum</w:t>
            </w:r>
            <w:r w:rsidR="006F2B8E">
              <w:rPr>
                <w:rFonts w:eastAsia="Times New Roman" w:cs="Times New Roman"/>
                <w:iCs/>
                <w:szCs w:val="24"/>
                <w:lang w:eastAsia="lv-LV"/>
              </w:rPr>
              <w:t>iem</w:t>
            </w:r>
            <w:r w:rsidRPr="00B766D7">
              <w:rPr>
                <w:rFonts w:eastAsia="Times New Roman" w:cs="Times New Roman"/>
                <w:iCs/>
                <w:szCs w:val="24"/>
                <w:lang w:eastAsia="lv-LV"/>
              </w:rPr>
              <w:t xml:space="preserve"> </w:t>
            </w:r>
            <w:r w:rsidR="00B766D7" w:rsidRPr="00B766D7">
              <w:rPr>
                <w:rFonts w:eastAsia="Times New Roman" w:cs="Times New Roman"/>
                <w:iCs/>
                <w:szCs w:val="24"/>
                <w:lang w:eastAsia="lv-LV"/>
              </w:rPr>
              <w:t>saistībā ar</w:t>
            </w:r>
            <w:r w:rsidRPr="00B766D7">
              <w:rPr>
                <w:rFonts w:eastAsia="Times New Roman" w:cs="Times New Roman"/>
                <w:iCs/>
                <w:szCs w:val="24"/>
                <w:lang w:eastAsia="lv-LV"/>
              </w:rPr>
              <w:t xml:space="preserve"> </w:t>
            </w:r>
            <w:r w:rsidR="00F86F09">
              <w:rPr>
                <w:rFonts w:eastAsia="Times New Roman" w:cs="Times New Roman"/>
                <w:iCs/>
                <w:szCs w:val="24"/>
                <w:lang w:eastAsia="lv-LV"/>
              </w:rPr>
              <w:t>DRN</w:t>
            </w:r>
            <w:r w:rsidRPr="00B766D7">
              <w:rPr>
                <w:rFonts w:eastAsia="Times New Roman" w:cs="Times New Roman"/>
                <w:iCs/>
                <w:szCs w:val="24"/>
                <w:lang w:eastAsia="lv-LV"/>
              </w:rPr>
              <w:t xml:space="preserve"> iemaksāšanu </w:t>
            </w:r>
            <w:r w:rsidR="00F62F8B">
              <w:rPr>
                <w:rFonts w:eastAsia="Times New Roman" w:cs="Times New Roman"/>
                <w:iCs/>
                <w:szCs w:val="24"/>
                <w:lang w:eastAsia="lv-LV"/>
              </w:rPr>
              <w:t>vienotajā nodokļu k</w:t>
            </w:r>
            <w:r w:rsidRPr="00B766D7">
              <w:rPr>
                <w:rFonts w:eastAsia="Times New Roman" w:cs="Times New Roman"/>
                <w:iCs/>
                <w:szCs w:val="24"/>
                <w:lang w:eastAsia="lv-LV"/>
              </w:rPr>
              <w:t>ontā ir sniegt</w:t>
            </w:r>
            <w:r w:rsidR="006F2B8E">
              <w:rPr>
                <w:rFonts w:eastAsia="Times New Roman" w:cs="Times New Roman"/>
                <w:iCs/>
                <w:szCs w:val="24"/>
                <w:lang w:eastAsia="lv-LV"/>
              </w:rPr>
              <w:t>a</w:t>
            </w:r>
            <w:r w:rsidRPr="00B766D7">
              <w:rPr>
                <w:rFonts w:eastAsia="Times New Roman" w:cs="Times New Roman"/>
                <w:iCs/>
                <w:szCs w:val="24"/>
                <w:lang w:eastAsia="lv-LV"/>
              </w:rPr>
              <w:t xml:space="preserve"> Ministru kabineta noteikumu projekta “Grozījumi Ministru kabineta 2012.gada 22.maija noteikumos Nr.361 “Dabas resursu nodokļa piemērošanas noteikumi transportlīdzekļiem”” sākotnēj</w:t>
            </w:r>
            <w:r w:rsidR="00B766D7" w:rsidRPr="00B766D7">
              <w:rPr>
                <w:rFonts w:eastAsia="Times New Roman" w:cs="Times New Roman"/>
                <w:iCs/>
                <w:szCs w:val="24"/>
                <w:lang w:eastAsia="lv-LV"/>
              </w:rPr>
              <w:t>ās ietekmes novērtējuma ziņojuma</w:t>
            </w:r>
            <w:r w:rsidRPr="00B766D7">
              <w:rPr>
                <w:rFonts w:eastAsia="Times New Roman" w:cs="Times New Roman"/>
                <w:iCs/>
                <w:szCs w:val="24"/>
                <w:lang w:eastAsia="lv-LV"/>
              </w:rPr>
              <w:t xml:space="preserve"> (anotācija</w:t>
            </w:r>
            <w:r w:rsidR="00B766D7" w:rsidRPr="00B766D7">
              <w:rPr>
                <w:rFonts w:eastAsia="Times New Roman" w:cs="Times New Roman"/>
                <w:iCs/>
                <w:szCs w:val="24"/>
                <w:lang w:eastAsia="lv-LV"/>
              </w:rPr>
              <w:t>s</w:t>
            </w:r>
            <w:r w:rsidRPr="00B766D7">
              <w:rPr>
                <w:rFonts w:eastAsia="Times New Roman" w:cs="Times New Roman"/>
                <w:iCs/>
                <w:szCs w:val="24"/>
                <w:lang w:eastAsia="lv-LV"/>
              </w:rPr>
              <w:t>) I sadaļas 2.punktā</w:t>
            </w:r>
            <w:r w:rsidR="00781C72">
              <w:rPr>
                <w:rStyle w:val="FootnoteReference"/>
                <w:rFonts w:eastAsia="Times New Roman" w:cs="Times New Roman"/>
                <w:iCs/>
                <w:szCs w:val="24"/>
                <w:lang w:eastAsia="lv-LV"/>
              </w:rPr>
              <w:footnoteReference w:id="1"/>
            </w:r>
            <w:r w:rsidR="00781C72">
              <w:rPr>
                <w:rFonts w:eastAsia="Times New Roman" w:cs="Times New Roman"/>
                <w:iCs/>
                <w:szCs w:val="24"/>
                <w:lang w:eastAsia="lv-LV"/>
              </w:rPr>
              <w:t>.</w:t>
            </w:r>
            <w:r w:rsidR="001E7565" w:rsidRPr="00B766D7">
              <w:t xml:space="preserve"> </w:t>
            </w:r>
          </w:p>
        </w:tc>
      </w:tr>
    </w:tbl>
    <w:p w14:paraId="01402B58" w14:textId="77777777" w:rsidR="00E5323B" w:rsidRPr="009A3B99" w:rsidRDefault="00E5323B" w:rsidP="00E5323B">
      <w:pPr>
        <w:rPr>
          <w:rFonts w:eastAsia="Times New Roman" w:cs="Times New Roman"/>
          <w:iCs/>
          <w:szCs w:val="24"/>
          <w:lang w:eastAsia="lv-LV"/>
        </w:rPr>
      </w:pPr>
      <w:r w:rsidRPr="009A3B99">
        <w:rPr>
          <w:rFonts w:eastAsia="Times New Roman" w:cs="Times New Roman"/>
          <w:iCs/>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CE33AC" w:rsidRPr="00E94842" w14:paraId="3A3B8DE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CB7B08" w14:textId="77777777" w:rsidR="00655F2C" w:rsidRPr="00E94842" w:rsidRDefault="00E5323B" w:rsidP="00E5323B">
            <w:pPr>
              <w:rPr>
                <w:rFonts w:eastAsia="Times New Roman" w:cs="Times New Roman"/>
                <w:b/>
                <w:bCs/>
                <w:iCs/>
                <w:szCs w:val="24"/>
                <w:lang w:eastAsia="lv-LV"/>
              </w:rPr>
            </w:pPr>
            <w:r w:rsidRPr="00E94842">
              <w:rPr>
                <w:rFonts w:eastAsia="Times New Roman" w:cs="Times New Roman"/>
                <w:b/>
                <w:bCs/>
                <w:iCs/>
                <w:szCs w:val="24"/>
                <w:lang w:eastAsia="lv-LV"/>
              </w:rPr>
              <w:lastRenderedPageBreak/>
              <w:t>II. Tiesību akta projekta ietekme uz sabiedrību, tautsaimniecības attīstību un administratīvo slogu</w:t>
            </w:r>
          </w:p>
        </w:tc>
      </w:tr>
      <w:tr w:rsidR="00CE33AC" w:rsidRPr="00E94842" w14:paraId="62AE1120" w14:textId="77777777" w:rsidTr="001F732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BF3AB6" w14:textId="77777777" w:rsidR="00655F2C"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583C0FDD" w14:textId="77777777" w:rsidR="00E5323B"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 xml:space="preserve">Sabiedrības </w:t>
            </w:r>
            <w:proofErr w:type="spellStart"/>
            <w:r w:rsidRPr="00E94842">
              <w:rPr>
                <w:rFonts w:eastAsia="Times New Roman" w:cs="Times New Roman"/>
                <w:iCs/>
                <w:szCs w:val="24"/>
                <w:lang w:eastAsia="lv-LV"/>
              </w:rPr>
              <w:t>mērķgrupas</w:t>
            </w:r>
            <w:proofErr w:type="spellEnd"/>
            <w:r w:rsidRPr="00E94842">
              <w:rPr>
                <w:rFonts w:eastAsia="Times New Roman" w:cs="Times New Roman"/>
                <w:iCs/>
                <w:szCs w:val="24"/>
                <w:lang w:eastAsia="lv-LV"/>
              </w:rPr>
              <w:t>, kuras tiesiskais regulējums ietekmē vai varētu ietekmēt</w:t>
            </w:r>
          </w:p>
        </w:tc>
        <w:tc>
          <w:tcPr>
            <w:tcW w:w="3179" w:type="pct"/>
            <w:tcBorders>
              <w:top w:val="outset" w:sz="6" w:space="0" w:color="auto"/>
              <w:left w:val="outset" w:sz="6" w:space="0" w:color="auto"/>
              <w:bottom w:val="outset" w:sz="6" w:space="0" w:color="auto"/>
              <w:right w:val="outset" w:sz="6" w:space="0" w:color="auto"/>
            </w:tcBorders>
            <w:hideMark/>
          </w:tcPr>
          <w:p w14:paraId="13397086" w14:textId="77777777" w:rsidR="00781C72" w:rsidRDefault="00E94842" w:rsidP="0043295F">
            <w:pPr>
              <w:ind w:firstLine="284"/>
              <w:jc w:val="both"/>
              <w:rPr>
                <w:iCs/>
              </w:rPr>
            </w:pPr>
            <w:r w:rsidRPr="00E94842">
              <w:rPr>
                <w:iCs/>
              </w:rPr>
              <w:t>CSDD</w:t>
            </w:r>
            <w:r w:rsidR="00781C72">
              <w:rPr>
                <w:iCs/>
              </w:rPr>
              <w:t>.</w:t>
            </w:r>
          </w:p>
          <w:p w14:paraId="1D9E72FD" w14:textId="77777777" w:rsidR="005A360F" w:rsidRPr="00E94842" w:rsidRDefault="00E94842">
            <w:pPr>
              <w:ind w:firstLine="284"/>
              <w:jc w:val="both"/>
              <w:rPr>
                <w:rFonts w:eastAsia="Times New Roman" w:cs="Times New Roman"/>
                <w:iCs/>
                <w:szCs w:val="24"/>
                <w:lang w:eastAsia="lv-LV"/>
              </w:rPr>
            </w:pPr>
            <w:r w:rsidRPr="00E94842">
              <w:rPr>
                <w:iCs/>
              </w:rPr>
              <w:t>PVN maksātāji,</w:t>
            </w:r>
            <w:r w:rsidRPr="00E94842">
              <w:rPr>
                <w:rFonts w:cs="Times New Roman"/>
                <w:szCs w:val="24"/>
              </w:rPr>
              <w:t xml:space="preserve"> kurus Latvija kā identifikācijas valsts reģistrē </w:t>
            </w:r>
            <w:proofErr w:type="spellStart"/>
            <w:r w:rsidRPr="00E94842">
              <w:rPr>
                <w:rFonts w:cs="Times New Roman"/>
                <w:szCs w:val="24"/>
              </w:rPr>
              <w:t>ārpussavienības</w:t>
            </w:r>
            <w:proofErr w:type="spellEnd"/>
            <w:r w:rsidRPr="00E94842">
              <w:rPr>
                <w:rFonts w:cs="Times New Roman"/>
                <w:szCs w:val="24"/>
              </w:rPr>
              <w:t xml:space="preserve"> režīma, savienības režīma vai importa režīma izmantošanai</w:t>
            </w:r>
            <w:r w:rsidR="00D72BE6">
              <w:rPr>
                <w:rFonts w:cs="Times New Roman"/>
                <w:szCs w:val="24"/>
              </w:rPr>
              <w:t>.</w:t>
            </w:r>
          </w:p>
        </w:tc>
      </w:tr>
      <w:tr w:rsidR="00CE33AC" w:rsidRPr="00E94842" w14:paraId="78EE897D" w14:textId="77777777" w:rsidTr="001F732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D3E1D3" w14:textId="77777777" w:rsidR="00655F2C"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3D8B3664" w14:textId="77777777" w:rsidR="00E5323B"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Tiesiskā regulējuma ietekme uz tautsaimniecību un administratīvo slogu</w:t>
            </w:r>
          </w:p>
        </w:tc>
        <w:tc>
          <w:tcPr>
            <w:tcW w:w="3179" w:type="pct"/>
            <w:tcBorders>
              <w:top w:val="outset" w:sz="6" w:space="0" w:color="auto"/>
              <w:left w:val="outset" w:sz="6" w:space="0" w:color="auto"/>
              <w:bottom w:val="outset" w:sz="6" w:space="0" w:color="auto"/>
              <w:right w:val="outset" w:sz="6" w:space="0" w:color="auto"/>
            </w:tcBorders>
            <w:hideMark/>
          </w:tcPr>
          <w:p w14:paraId="20B272E5" w14:textId="77777777" w:rsidR="00AD5908" w:rsidRPr="00E94842" w:rsidRDefault="00C85DCD" w:rsidP="00E94842">
            <w:pPr>
              <w:pStyle w:val="NoSpacing"/>
              <w:ind w:firstLine="284"/>
              <w:jc w:val="both"/>
              <w:rPr>
                <w:rFonts w:ascii="Times New Roman" w:hAnsi="Times New Roman" w:cs="Times New Roman"/>
                <w:sz w:val="24"/>
                <w:szCs w:val="24"/>
              </w:rPr>
            </w:pPr>
            <w:r w:rsidRPr="00E94842">
              <w:rPr>
                <w:rFonts w:ascii="Times New Roman" w:eastAsia="Times New Roman" w:hAnsi="Times New Roman" w:cs="Times New Roman"/>
                <w:iCs/>
                <w:sz w:val="24"/>
                <w:szCs w:val="24"/>
                <w:lang w:eastAsia="lv-LV"/>
              </w:rPr>
              <w:t xml:space="preserve">Noteikumu projekts </w:t>
            </w:r>
            <w:r w:rsidR="000B1D67" w:rsidRPr="00E94842">
              <w:rPr>
                <w:rFonts w:ascii="Times New Roman" w:eastAsia="Times New Roman" w:hAnsi="Times New Roman" w:cs="Times New Roman"/>
                <w:iCs/>
                <w:sz w:val="24"/>
                <w:szCs w:val="24"/>
                <w:lang w:eastAsia="lv-LV"/>
              </w:rPr>
              <w:t xml:space="preserve">kopumā </w:t>
            </w:r>
            <w:r w:rsidRPr="00E94842">
              <w:rPr>
                <w:rFonts w:ascii="Times New Roman" w:eastAsia="Times New Roman" w:hAnsi="Times New Roman" w:cs="Times New Roman"/>
                <w:iCs/>
                <w:sz w:val="24"/>
                <w:szCs w:val="24"/>
                <w:lang w:eastAsia="lv-LV"/>
              </w:rPr>
              <w:t xml:space="preserve">nemaina minēto sabiedrības </w:t>
            </w:r>
            <w:proofErr w:type="spellStart"/>
            <w:r w:rsidRPr="00E94842">
              <w:rPr>
                <w:rFonts w:ascii="Times New Roman" w:eastAsia="Times New Roman" w:hAnsi="Times New Roman" w:cs="Times New Roman"/>
                <w:iCs/>
                <w:sz w:val="24"/>
                <w:szCs w:val="24"/>
                <w:lang w:eastAsia="lv-LV"/>
              </w:rPr>
              <w:t>mērķgrupu</w:t>
            </w:r>
            <w:proofErr w:type="spellEnd"/>
            <w:r w:rsidRPr="00E94842">
              <w:rPr>
                <w:rFonts w:ascii="Times New Roman" w:eastAsia="Times New Roman" w:hAnsi="Times New Roman" w:cs="Times New Roman"/>
                <w:iCs/>
                <w:sz w:val="24"/>
                <w:szCs w:val="24"/>
                <w:lang w:eastAsia="lv-LV"/>
              </w:rPr>
              <w:t xml:space="preserve"> tiesības un pienākumus</w:t>
            </w:r>
            <w:r w:rsidR="00A12755" w:rsidRPr="00E94842">
              <w:rPr>
                <w:rFonts w:ascii="Times New Roman" w:eastAsia="Times New Roman" w:hAnsi="Times New Roman" w:cs="Times New Roman"/>
                <w:iCs/>
                <w:sz w:val="24"/>
                <w:szCs w:val="24"/>
                <w:lang w:eastAsia="lv-LV"/>
              </w:rPr>
              <w:t xml:space="preserve">, </w:t>
            </w:r>
            <w:r w:rsidR="00E94842" w:rsidRPr="00E94842">
              <w:rPr>
                <w:rFonts w:ascii="Times New Roman" w:eastAsia="Times New Roman" w:hAnsi="Times New Roman" w:cs="Times New Roman"/>
                <w:iCs/>
                <w:sz w:val="24"/>
                <w:szCs w:val="24"/>
                <w:lang w:eastAsia="lv-LV"/>
              </w:rPr>
              <w:t>bet precizē nodokļa iemaksāšanas kārtību. Regulējums kopumā labvēlīgs, jo paredz, ka veiktais maksājums tiks novirzīts konkrētās saistības segšanai atbilstoši nor</w:t>
            </w:r>
            <w:r w:rsidR="006F2B8E">
              <w:rPr>
                <w:rFonts w:ascii="Times New Roman" w:eastAsia="Times New Roman" w:hAnsi="Times New Roman" w:cs="Times New Roman"/>
                <w:iCs/>
                <w:sz w:val="24"/>
                <w:szCs w:val="24"/>
                <w:lang w:eastAsia="lv-LV"/>
              </w:rPr>
              <w:t>ā</w:t>
            </w:r>
            <w:r w:rsidR="00E94842" w:rsidRPr="00E94842">
              <w:rPr>
                <w:rFonts w:ascii="Times New Roman" w:eastAsia="Times New Roman" w:hAnsi="Times New Roman" w:cs="Times New Roman"/>
                <w:iCs/>
                <w:sz w:val="24"/>
                <w:szCs w:val="24"/>
                <w:lang w:eastAsia="lv-LV"/>
              </w:rPr>
              <w:t>dītajam identifikatoram.</w:t>
            </w:r>
          </w:p>
        </w:tc>
      </w:tr>
      <w:tr w:rsidR="00CE33AC" w:rsidRPr="00E94842" w14:paraId="41538359" w14:textId="77777777" w:rsidTr="001F732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1D797E" w14:textId="77777777" w:rsidR="00655F2C"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FCAC4FE" w14:textId="77777777" w:rsidR="00E5323B"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Administratīvo izmaksu monetārs novērtējums</w:t>
            </w:r>
          </w:p>
        </w:tc>
        <w:tc>
          <w:tcPr>
            <w:tcW w:w="3179" w:type="pct"/>
            <w:tcBorders>
              <w:top w:val="outset" w:sz="6" w:space="0" w:color="auto"/>
              <w:left w:val="outset" w:sz="6" w:space="0" w:color="auto"/>
              <w:bottom w:val="outset" w:sz="6" w:space="0" w:color="auto"/>
              <w:right w:val="outset" w:sz="6" w:space="0" w:color="auto"/>
            </w:tcBorders>
            <w:hideMark/>
          </w:tcPr>
          <w:p w14:paraId="50F4259B" w14:textId="77777777" w:rsidR="00F63B67" w:rsidRPr="00E94842" w:rsidRDefault="00E94842" w:rsidP="00E94842">
            <w:pPr>
              <w:ind w:firstLine="284"/>
              <w:jc w:val="both"/>
              <w:rPr>
                <w:rFonts w:cs="Times New Roman"/>
                <w:szCs w:val="24"/>
              </w:rPr>
            </w:pPr>
            <w:r w:rsidRPr="00E94842">
              <w:rPr>
                <w:rFonts w:eastAsia="Times New Roman" w:cs="Times New Roman"/>
                <w:szCs w:val="24"/>
                <w:lang w:eastAsia="lv-LV"/>
              </w:rPr>
              <w:t>Administratīvo izmaksu monetārais slogs paliks nemainīgs.</w:t>
            </w:r>
          </w:p>
        </w:tc>
      </w:tr>
      <w:tr w:rsidR="00CE33AC" w:rsidRPr="00E94842" w14:paraId="38C21BDE" w14:textId="77777777" w:rsidTr="001F732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E2D795" w14:textId="77777777" w:rsidR="00655F2C"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4.</w:t>
            </w:r>
          </w:p>
        </w:tc>
        <w:tc>
          <w:tcPr>
            <w:tcW w:w="1459" w:type="pct"/>
            <w:tcBorders>
              <w:top w:val="outset" w:sz="6" w:space="0" w:color="auto"/>
              <w:left w:val="outset" w:sz="6" w:space="0" w:color="auto"/>
              <w:bottom w:val="outset" w:sz="6" w:space="0" w:color="auto"/>
              <w:right w:val="outset" w:sz="6" w:space="0" w:color="auto"/>
            </w:tcBorders>
            <w:hideMark/>
          </w:tcPr>
          <w:p w14:paraId="08753856" w14:textId="77777777" w:rsidR="00E5323B"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Atbilstības izmaksu monetārs novērtējums</w:t>
            </w:r>
          </w:p>
        </w:tc>
        <w:tc>
          <w:tcPr>
            <w:tcW w:w="3179" w:type="pct"/>
            <w:tcBorders>
              <w:top w:val="outset" w:sz="6" w:space="0" w:color="auto"/>
              <w:left w:val="outset" w:sz="6" w:space="0" w:color="auto"/>
              <w:bottom w:val="outset" w:sz="6" w:space="0" w:color="auto"/>
              <w:right w:val="outset" w:sz="6" w:space="0" w:color="auto"/>
            </w:tcBorders>
            <w:hideMark/>
          </w:tcPr>
          <w:p w14:paraId="13FF007B" w14:textId="77777777" w:rsidR="00A21E85" w:rsidRPr="00E94842" w:rsidRDefault="00C85DCD" w:rsidP="00A21E85">
            <w:pPr>
              <w:ind w:left="-11" w:firstLine="284"/>
              <w:jc w:val="both"/>
              <w:rPr>
                <w:rFonts w:eastAsia="Times New Roman" w:cs="Times New Roman"/>
                <w:iCs/>
                <w:szCs w:val="24"/>
                <w:lang w:eastAsia="lv-LV"/>
              </w:rPr>
            </w:pPr>
            <w:r w:rsidRPr="00E94842">
              <w:rPr>
                <w:rFonts w:eastAsia="Times New Roman" w:cs="Times New Roman"/>
                <w:szCs w:val="24"/>
                <w:lang w:eastAsia="lv-LV"/>
              </w:rPr>
              <w:t>Noteikumu projekts šo jomu neskar.</w:t>
            </w:r>
          </w:p>
        </w:tc>
      </w:tr>
      <w:tr w:rsidR="00CE33AC" w:rsidRPr="00E94842" w14:paraId="176A062D" w14:textId="77777777" w:rsidTr="001F732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B3DB6F" w14:textId="77777777" w:rsidR="00655F2C"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5.</w:t>
            </w:r>
          </w:p>
        </w:tc>
        <w:tc>
          <w:tcPr>
            <w:tcW w:w="1459" w:type="pct"/>
            <w:tcBorders>
              <w:top w:val="outset" w:sz="6" w:space="0" w:color="auto"/>
              <w:left w:val="outset" w:sz="6" w:space="0" w:color="auto"/>
              <w:bottom w:val="outset" w:sz="6" w:space="0" w:color="auto"/>
              <w:right w:val="outset" w:sz="6" w:space="0" w:color="auto"/>
            </w:tcBorders>
            <w:hideMark/>
          </w:tcPr>
          <w:p w14:paraId="53F5E540" w14:textId="77777777" w:rsidR="00E5323B" w:rsidRPr="00E94842" w:rsidRDefault="00E5323B" w:rsidP="00E5323B">
            <w:pPr>
              <w:rPr>
                <w:rFonts w:eastAsia="Times New Roman" w:cs="Times New Roman"/>
                <w:iCs/>
                <w:szCs w:val="24"/>
                <w:lang w:eastAsia="lv-LV"/>
              </w:rPr>
            </w:pPr>
            <w:r w:rsidRPr="00E94842">
              <w:rPr>
                <w:rFonts w:eastAsia="Times New Roman" w:cs="Times New Roman"/>
                <w:iCs/>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B689D5F" w14:textId="77777777" w:rsidR="00E5323B" w:rsidRPr="00E94842" w:rsidRDefault="00C85DCD">
            <w:pPr>
              <w:ind w:left="-11" w:firstLine="284"/>
              <w:jc w:val="both"/>
              <w:rPr>
                <w:rFonts w:eastAsia="Times New Roman" w:cs="Times New Roman"/>
                <w:iCs/>
                <w:szCs w:val="24"/>
                <w:lang w:eastAsia="lv-LV"/>
              </w:rPr>
            </w:pPr>
            <w:r w:rsidRPr="00E94842">
              <w:rPr>
                <w:rFonts w:cs="Times New Roman"/>
                <w:szCs w:val="24"/>
              </w:rPr>
              <w:t>Nav.</w:t>
            </w:r>
          </w:p>
        </w:tc>
      </w:tr>
    </w:tbl>
    <w:p w14:paraId="597BBCD2" w14:textId="77777777" w:rsidR="00CF1B95" w:rsidRPr="00812F8E" w:rsidRDefault="00CF1B95"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9061C" w:rsidRPr="00FD04BB" w14:paraId="6EC2E43A" w14:textId="77777777" w:rsidTr="00CA0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07A146" w14:textId="77777777" w:rsidR="00F9061C" w:rsidRPr="00FD04BB" w:rsidRDefault="00F9061C" w:rsidP="00CA0EA6">
            <w:pPr>
              <w:rPr>
                <w:rFonts w:eastAsia="Times New Roman" w:cs="Times New Roman"/>
                <w:b/>
                <w:bCs/>
                <w:iCs/>
                <w:szCs w:val="24"/>
                <w:lang w:eastAsia="lv-LV"/>
              </w:rPr>
            </w:pPr>
            <w:r w:rsidRPr="00FD04BB">
              <w:rPr>
                <w:rFonts w:eastAsia="Times New Roman" w:cs="Times New Roman"/>
                <w:b/>
                <w:bCs/>
                <w:iCs/>
                <w:szCs w:val="24"/>
                <w:lang w:eastAsia="lv-LV"/>
              </w:rPr>
              <w:t>III. Tiesību akta projekta ietekme uz valsts budžetu un pašvaldību budžetiem</w:t>
            </w:r>
          </w:p>
        </w:tc>
      </w:tr>
      <w:tr w:rsidR="000D288F" w:rsidRPr="00FD04BB" w14:paraId="1C9542D7" w14:textId="77777777" w:rsidTr="009E4DF5">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45BA7131" w14:textId="77777777" w:rsidR="000D288F" w:rsidRPr="00FD04BB" w:rsidRDefault="000D288F" w:rsidP="009E4DF5">
            <w:pPr>
              <w:ind w:firstLine="284"/>
              <w:jc w:val="center"/>
              <w:rPr>
                <w:rFonts w:cs="Times New Roman"/>
                <w:bCs/>
                <w:szCs w:val="24"/>
              </w:rPr>
            </w:pPr>
            <w:r w:rsidRPr="00FD04BB">
              <w:rPr>
                <w:rFonts w:eastAsia="Times New Roman" w:cs="Times New Roman"/>
                <w:bCs/>
                <w:szCs w:val="24"/>
                <w:lang w:eastAsia="lv-LV"/>
              </w:rPr>
              <w:t>Noteikumu projekts šo jomu neskar.</w:t>
            </w:r>
          </w:p>
        </w:tc>
      </w:tr>
    </w:tbl>
    <w:p w14:paraId="2531E402" w14:textId="77777777" w:rsidR="00E5323B" w:rsidRPr="00812F8E" w:rsidRDefault="00E5323B"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E33AC" w:rsidRPr="00FD04BB" w14:paraId="07E52029" w14:textId="77777777" w:rsidTr="00CF1B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4F985" w14:textId="77777777" w:rsidR="00CF1B95" w:rsidRPr="00FD04BB" w:rsidRDefault="00CF1B95" w:rsidP="007C3930">
            <w:pPr>
              <w:rPr>
                <w:rFonts w:eastAsia="Times New Roman" w:cs="Times New Roman"/>
                <w:b/>
                <w:bCs/>
                <w:iCs/>
                <w:szCs w:val="24"/>
                <w:lang w:eastAsia="lv-LV"/>
              </w:rPr>
            </w:pPr>
            <w:r w:rsidRPr="00FD04BB">
              <w:rPr>
                <w:rFonts w:eastAsia="Times New Roman" w:cs="Times New Roman"/>
                <w:b/>
                <w:bCs/>
                <w:iCs/>
                <w:szCs w:val="24"/>
                <w:lang w:eastAsia="lv-LV"/>
              </w:rPr>
              <w:t>IV. Tiesību akta projekta ietekme uz spēkā esošo tiesību normu sistēmu</w:t>
            </w:r>
          </w:p>
        </w:tc>
      </w:tr>
      <w:tr w:rsidR="00C85DCD" w:rsidRPr="00FD04BB" w14:paraId="7B5E0597" w14:textId="77777777" w:rsidTr="00C85DCD">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7C0F8B40" w14:textId="77777777" w:rsidR="00C85DCD" w:rsidRPr="00FD04BB" w:rsidRDefault="00C85DCD" w:rsidP="00C85DCD">
            <w:pPr>
              <w:ind w:firstLine="284"/>
              <w:jc w:val="center"/>
              <w:rPr>
                <w:rFonts w:cs="Times New Roman"/>
                <w:bCs/>
                <w:szCs w:val="24"/>
              </w:rPr>
            </w:pPr>
            <w:r w:rsidRPr="00FD04BB">
              <w:rPr>
                <w:rFonts w:eastAsia="Times New Roman" w:cs="Times New Roman"/>
                <w:bCs/>
                <w:szCs w:val="24"/>
                <w:lang w:eastAsia="lv-LV"/>
              </w:rPr>
              <w:t>Noteikumu projekts šo jomu neskar.</w:t>
            </w:r>
          </w:p>
        </w:tc>
      </w:tr>
    </w:tbl>
    <w:p w14:paraId="61096F0F" w14:textId="77777777" w:rsidR="00E5323B" w:rsidRPr="00812F8E" w:rsidRDefault="00E5323B"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E33AC" w:rsidRPr="00FD04BB" w14:paraId="28A781E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6805F" w14:textId="77777777" w:rsidR="00655F2C" w:rsidRPr="00FD04BB" w:rsidRDefault="00E5323B" w:rsidP="00E5323B">
            <w:pPr>
              <w:rPr>
                <w:rFonts w:eastAsia="Times New Roman" w:cs="Times New Roman"/>
                <w:b/>
                <w:bCs/>
                <w:iCs/>
                <w:szCs w:val="24"/>
                <w:lang w:eastAsia="lv-LV"/>
              </w:rPr>
            </w:pPr>
            <w:r w:rsidRPr="00FD04BB">
              <w:rPr>
                <w:rFonts w:eastAsia="Times New Roman" w:cs="Times New Roman"/>
                <w:b/>
                <w:bCs/>
                <w:iCs/>
                <w:szCs w:val="24"/>
                <w:lang w:eastAsia="lv-LV"/>
              </w:rPr>
              <w:t>V. Tiesību akta projekta atbilstība Latvijas Republikas starptautiskajām saistībām</w:t>
            </w:r>
          </w:p>
        </w:tc>
      </w:tr>
      <w:tr w:rsidR="00CE33AC" w:rsidRPr="00FD04BB" w14:paraId="51791F6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2F0FAC" w14:textId="77777777" w:rsidR="005E6263" w:rsidRPr="00FD04BB" w:rsidRDefault="00C85DCD" w:rsidP="005E6263">
            <w:pPr>
              <w:jc w:val="center"/>
              <w:rPr>
                <w:rFonts w:eastAsia="Times New Roman" w:cs="Times New Roman"/>
                <w:b/>
                <w:bCs/>
                <w:iCs/>
                <w:szCs w:val="24"/>
                <w:lang w:eastAsia="lv-LV"/>
              </w:rPr>
            </w:pPr>
            <w:r w:rsidRPr="00FD04BB">
              <w:rPr>
                <w:rFonts w:eastAsia="Times New Roman" w:cs="Times New Roman"/>
                <w:bCs/>
                <w:szCs w:val="24"/>
                <w:lang w:eastAsia="lv-LV"/>
              </w:rPr>
              <w:t>Noteikumu projekts šo jomu neskar.</w:t>
            </w:r>
          </w:p>
        </w:tc>
      </w:tr>
    </w:tbl>
    <w:p w14:paraId="2EB5F401" w14:textId="77777777" w:rsidR="00E5323B" w:rsidRPr="00812F8E" w:rsidRDefault="00E5323B"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55"/>
        <w:gridCol w:w="5519"/>
      </w:tblGrid>
      <w:tr w:rsidR="00CE33AC" w:rsidRPr="001F23E8" w14:paraId="690AE4DD" w14:textId="77777777" w:rsidTr="001F23E8">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55E9871" w14:textId="77777777" w:rsidR="00655F2C" w:rsidRPr="001F23E8" w:rsidRDefault="00E5323B" w:rsidP="00E5323B">
            <w:pPr>
              <w:rPr>
                <w:rFonts w:eastAsia="Times New Roman" w:cs="Times New Roman"/>
                <w:b/>
                <w:bCs/>
                <w:iCs/>
                <w:szCs w:val="24"/>
                <w:lang w:eastAsia="lv-LV"/>
              </w:rPr>
            </w:pPr>
            <w:r w:rsidRPr="001F23E8">
              <w:rPr>
                <w:rFonts w:eastAsia="Times New Roman" w:cs="Times New Roman"/>
                <w:b/>
                <w:bCs/>
                <w:iCs/>
                <w:szCs w:val="24"/>
                <w:lang w:eastAsia="lv-LV"/>
              </w:rPr>
              <w:t>VI. Sabiedrības līdzdalība un komunikācijas aktivitātes</w:t>
            </w:r>
          </w:p>
        </w:tc>
      </w:tr>
      <w:tr w:rsidR="00CE33AC" w:rsidRPr="001F23E8" w14:paraId="0F3120FD" w14:textId="77777777" w:rsidTr="001F23E8">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auto"/>
            <w:hideMark/>
          </w:tcPr>
          <w:p w14:paraId="61FAECDE" w14:textId="77777777" w:rsidR="00655F2C"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1.</w:t>
            </w:r>
          </w:p>
        </w:tc>
        <w:tc>
          <w:tcPr>
            <w:tcW w:w="1615" w:type="pct"/>
            <w:tcBorders>
              <w:top w:val="outset" w:sz="6" w:space="0" w:color="auto"/>
              <w:left w:val="outset" w:sz="6" w:space="0" w:color="auto"/>
              <w:bottom w:val="outset" w:sz="6" w:space="0" w:color="auto"/>
              <w:right w:val="outset" w:sz="6" w:space="0" w:color="auto"/>
            </w:tcBorders>
            <w:shd w:val="clear" w:color="auto" w:fill="auto"/>
            <w:hideMark/>
          </w:tcPr>
          <w:p w14:paraId="725DE0C7" w14:textId="77777777" w:rsidR="00E5323B"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Plānotās sabiedrības līdzdalības un komunikācijas aktivitātes saistībā ar projektu</w:t>
            </w:r>
          </w:p>
        </w:tc>
        <w:tc>
          <w:tcPr>
            <w:tcW w:w="3023" w:type="pct"/>
            <w:tcBorders>
              <w:top w:val="outset" w:sz="6" w:space="0" w:color="auto"/>
              <w:left w:val="outset" w:sz="6" w:space="0" w:color="auto"/>
              <w:bottom w:val="outset" w:sz="6" w:space="0" w:color="auto"/>
              <w:right w:val="outset" w:sz="6" w:space="0" w:color="auto"/>
            </w:tcBorders>
            <w:shd w:val="clear" w:color="auto" w:fill="auto"/>
            <w:hideMark/>
          </w:tcPr>
          <w:p w14:paraId="16853439" w14:textId="6721B647" w:rsidR="00E5323B" w:rsidRPr="001F23E8" w:rsidRDefault="00C85DCD" w:rsidP="00D5005C">
            <w:pPr>
              <w:ind w:firstLine="284"/>
              <w:jc w:val="both"/>
              <w:rPr>
                <w:rFonts w:cs="Times New Roman"/>
                <w:iCs/>
                <w:szCs w:val="24"/>
              </w:rPr>
            </w:pPr>
            <w:r w:rsidRPr="001F23E8">
              <w:rPr>
                <w:rFonts w:eastAsia="Times New Roman" w:cs="Times New Roman"/>
                <w:szCs w:val="24"/>
                <w:lang w:eastAsia="lv-LV"/>
              </w:rPr>
              <w:t>Lai informētu sabiedrību par noteikumu projekt</w:t>
            </w:r>
            <w:r w:rsidR="0004645B">
              <w:rPr>
                <w:rFonts w:eastAsia="Times New Roman" w:cs="Times New Roman"/>
                <w:szCs w:val="24"/>
                <w:lang w:eastAsia="lv-LV"/>
              </w:rPr>
              <w:t>a izstrādi</w:t>
            </w:r>
            <w:r w:rsidRPr="001F23E8">
              <w:rPr>
                <w:rFonts w:eastAsia="Times New Roman" w:cs="Times New Roman"/>
                <w:szCs w:val="24"/>
                <w:lang w:eastAsia="lv-LV"/>
              </w:rPr>
              <w:t xml:space="preserve"> un dotu iespēju izteikt viedokli, </w:t>
            </w:r>
            <w:r w:rsidR="0004645B">
              <w:rPr>
                <w:rFonts w:eastAsia="Times New Roman" w:cs="Times New Roman"/>
                <w:szCs w:val="24"/>
                <w:lang w:eastAsia="lv-LV"/>
              </w:rPr>
              <w:t>informācij</w:t>
            </w:r>
            <w:r w:rsidR="004479DD">
              <w:rPr>
                <w:rFonts w:eastAsia="Times New Roman" w:cs="Times New Roman"/>
                <w:szCs w:val="24"/>
                <w:lang w:eastAsia="lv-LV"/>
              </w:rPr>
              <w:t>u</w:t>
            </w:r>
            <w:r w:rsidR="0004645B">
              <w:rPr>
                <w:rFonts w:eastAsia="Times New Roman" w:cs="Times New Roman"/>
                <w:szCs w:val="24"/>
                <w:lang w:eastAsia="lv-LV"/>
              </w:rPr>
              <w:t xml:space="preserve"> </w:t>
            </w:r>
            <w:r w:rsidRPr="001F23E8">
              <w:rPr>
                <w:rFonts w:eastAsia="Times New Roman" w:cs="Times New Roman"/>
                <w:szCs w:val="24"/>
                <w:lang w:eastAsia="lv-LV"/>
              </w:rPr>
              <w:t>atbilstoši Ministru kabineta 2009.gada 2</w:t>
            </w:r>
            <w:r w:rsidR="00F51B82" w:rsidRPr="001F23E8">
              <w:rPr>
                <w:rFonts w:eastAsia="Times New Roman" w:cs="Times New Roman"/>
                <w:szCs w:val="24"/>
                <w:lang w:eastAsia="lv-LV"/>
              </w:rPr>
              <w:t>5.augusta noteikumiem Nr.970 “</w:t>
            </w:r>
            <w:r w:rsidRPr="001F23E8">
              <w:rPr>
                <w:rFonts w:eastAsia="Times New Roman" w:cs="Times New Roman"/>
                <w:szCs w:val="24"/>
                <w:lang w:eastAsia="lv-LV"/>
              </w:rPr>
              <w:t>Sabiedrības līdzdalības kārtība attīstības plānošanas procesā</w:t>
            </w:r>
            <w:r w:rsidR="00F51B82" w:rsidRPr="001F23E8">
              <w:rPr>
                <w:rFonts w:eastAsia="Times New Roman" w:cs="Times New Roman"/>
                <w:szCs w:val="24"/>
                <w:lang w:eastAsia="lv-LV"/>
              </w:rPr>
              <w:t>”</w:t>
            </w:r>
            <w:r w:rsidRPr="001F23E8">
              <w:rPr>
                <w:rFonts w:eastAsia="Times New Roman" w:cs="Times New Roman"/>
                <w:szCs w:val="24"/>
                <w:lang w:eastAsia="lv-LV"/>
              </w:rPr>
              <w:t xml:space="preserve"> pirms </w:t>
            </w:r>
            <w:r w:rsidR="00D5005C">
              <w:rPr>
                <w:rFonts w:eastAsia="Times New Roman" w:cs="Times New Roman"/>
                <w:szCs w:val="24"/>
                <w:lang w:eastAsia="lv-LV"/>
              </w:rPr>
              <w:t>noteikumu projekta</w:t>
            </w:r>
            <w:r w:rsidR="00D5005C" w:rsidRPr="001F23E8">
              <w:rPr>
                <w:rFonts w:eastAsia="Times New Roman" w:cs="Times New Roman"/>
                <w:szCs w:val="24"/>
                <w:lang w:eastAsia="lv-LV"/>
              </w:rPr>
              <w:t xml:space="preserve"> </w:t>
            </w:r>
            <w:r w:rsidRPr="001F23E8">
              <w:rPr>
                <w:rFonts w:eastAsia="Times New Roman" w:cs="Times New Roman"/>
                <w:szCs w:val="24"/>
                <w:lang w:eastAsia="lv-LV"/>
              </w:rPr>
              <w:t>izsludināšanas Valsts sekretāru sanāksmē ievieto</w:t>
            </w:r>
            <w:r w:rsidR="004479DD">
              <w:rPr>
                <w:rFonts w:eastAsia="Times New Roman" w:cs="Times New Roman"/>
                <w:szCs w:val="24"/>
                <w:lang w:eastAsia="lv-LV"/>
              </w:rPr>
              <w:t>j</w:t>
            </w:r>
            <w:r w:rsidR="0004645B">
              <w:rPr>
                <w:rFonts w:eastAsia="Times New Roman" w:cs="Times New Roman"/>
                <w:szCs w:val="24"/>
                <w:lang w:eastAsia="lv-LV"/>
              </w:rPr>
              <w:t>a</w:t>
            </w:r>
            <w:r w:rsidRPr="001F23E8">
              <w:rPr>
                <w:rFonts w:eastAsia="Times New Roman" w:cs="Times New Roman"/>
                <w:szCs w:val="24"/>
                <w:lang w:eastAsia="lv-LV"/>
              </w:rPr>
              <w:t xml:space="preserve"> Finanšu ministrijas tīmekļvietnē.</w:t>
            </w:r>
          </w:p>
        </w:tc>
      </w:tr>
      <w:tr w:rsidR="00CE33AC" w:rsidRPr="001F23E8" w14:paraId="1BD0DC92" w14:textId="77777777" w:rsidTr="001F23E8">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auto"/>
            <w:hideMark/>
          </w:tcPr>
          <w:p w14:paraId="6ACB38D0" w14:textId="77777777" w:rsidR="00655F2C"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2.</w:t>
            </w:r>
          </w:p>
        </w:tc>
        <w:tc>
          <w:tcPr>
            <w:tcW w:w="1615" w:type="pct"/>
            <w:tcBorders>
              <w:top w:val="outset" w:sz="6" w:space="0" w:color="auto"/>
              <w:left w:val="outset" w:sz="6" w:space="0" w:color="auto"/>
              <w:bottom w:val="outset" w:sz="6" w:space="0" w:color="auto"/>
              <w:right w:val="outset" w:sz="6" w:space="0" w:color="auto"/>
            </w:tcBorders>
            <w:shd w:val="clear" w:color="auto" w:fill="auto"/>
            <w:hideMark/>
          </w:tcPr>
          <w:p w14:paraId="114F7887" w14:textId="77777777" w:rsidR="00E5323B"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Sabiedrības līdzdalība projekta izstrādē</w:t>
            </w:r>
          </w:p>
        </w:tc>
        <w:tc>
          <w:tcPr>
            <w:tcW w:w="3023" w:type="pct"/>
            <w:tcBorders>
              <w:top w:val="outset" w:sz="6" w:space="0" w:color="auto"/>
              <w:left w:val="outset" w:sz="6" w:space="0" w:color="auto"/>
              <w:bottom w:val="outset" w:sz="6" w:space="0" w:color="auto"/>
              <w:right w:val="outset" w:sz="6" w:space="0" w:color="auto"/>
            </w:tcBorders>
            <w:shd w:val="clear" w:color="auto" w:fill="auto"/>
            <w:hideMark/>
          </w:tcPr>
          <w:p w14:paraId="30CF9B5A" w14:textId="7789F543" w:rsidR="00031C1D" w:rsidRPr="001F23E8" w:rsidRDefault="00C85DCD" w:rsidP="00C85DCD">
            <w:pPr>
              <w:ind w:firstLine="284"/>
              <w:jc w:val="both"/>
              <w:rPr>
                <w:rFonts w:eastAsia="Times New Roman" w:cs="Times New Roman"/>
                <w:bCs/>
                <w:szCs w:val="24"/>
                <w:lang w:eastAsia="lv-LV"/>
              </w:rPr>
            </w:pPr>
            <w:r w:rsidRPr="001F23E8">
              <w:rPr>
                <w:rFonts w:eastAsia="Times New Roman" w:cs="Times New Roman"/>
                <w:bCs/>
                <w:szCs w:val="24"/>
                <w:lang w:eastAsia="lv-LV"/>
              </w:rPr>
              <w:t>Finanšu ministrija 20</w:t>
            </w:r>
            <w:r w:rsidR="00F62F8B">
              <w:rPr>
                <w:rFonts w:eastAsia="Times New Roman" w:cs="Times New Roman"/>
                <w:bCs/>
                <w:szCs w:val="24"/>
                <w:lang w:eastAsia="lv-LV"/>
              </w:rPr>
              <w:t>21</w:t>
            </w:r>
            <w:r w:rsidRPr="001F23E8">
              <w:rPr>
                <w:rFonts w:eastAsia="Times New Roman" w:cs="Times New Roman"/>
                <w:bCs/>
                <w:szCs w:val="24"/>
                <w:lang w:eastAsia="lv-LV"/>
              </w:rPr>
              <w:t>.gada</w:t>
            </w:r>
            <w:r w:rsidR="00F62F8B">
              <w:rPr>
                <w:rFonts w:eastAsia="Times New Roman" w:cs="Times New Roman"/>
                <w:bCs/>
                <w:szCs w:val="24"/>
                <w:lang w:eastAsia="lv-LV"/>
              </w:rPr>
              <w:t xml:space="preserve"> </w:t>
            </w:r>
            <w:r w:rsidR="00001C3D">
              <w:rPr>
                <w:rFonts w:eastAsia="Times New Roman" w:cs="Times New Roman"/>
                <w:bCs/>
                <w:szCs w:val="24"/>
                <w:lang w:eastAsia="lv-LV"/>
              </w:rPr>
              <w:t>1</w:t>
            </w:r>
            <w:r w:rsidR="00F62F8B">
              <w:rPr>
                <w:rFonts w:eastAsia="Times New Roman" w:cs="Times New Roman"/>
                <w:bCs/>
                <w:szCs w:val="24"/>
                <w:lang w:eastAsia="lv-LV"/>
              </w:rPr>
              <w:t xml:space="preserve">.februārī </w:t>
            </w:r>
            <w:r w:rsidRPr="001F23E8">
              <w:rPr>
                <w:rFonts w:eastAsia="Times New Roman" w:cs="Times New Roman"/>
                <w:bCs/>
                <w:szCs w:val="24"/>
                <w:lang w:eastAsia="lv-LV"/>
              </w:rPr>
              <w:t>informāciju par noteikumu projektu ievietoja savā tīmekļvietnē sadaļas</w:t>
            </w:r>
            <w:r w:rsidR="00F51B82" w:rsidRPr="001F23E8">
              <w:rPr>
                <w:rFonts w:eastAsia="Times New Roman" w:cs="Times New Roman"/>
                <w:bCs/>
                <w:szCs w:val="24"/>
                <w:lang w:eastAsia="lv-LV"/>
              </w:rPr>
              <w:t xml:space="preserve"> “Sabiedrības līdzdalība”</w:t>
            </w:r>
            <w:r w:rsidRPr="001F23E8">
              <w:rPr>
                <w:rFonts w:eastAsia="Times New Roman" w:cs="Times New Roman"/>
                <w:bCs/>
                <w:szCs w:val="24"/>
                <w:lang w:eastAsia="lv-LV"/>
              </w:rPr>
              <w:t xml:space="preserve"> </w:t>
            </w:r>
            <w:proofErr w:type="spellStart"/>
            <w:r w:rsidRPr="001F23E8">
              <w:rPr>
                <w:rFonts w:eastAsia="Times New Roman" w:cs="Times New Roman"/>
                <w:bCs/>
                <w:szCs w:val="24"/>
                <w:lang w:eastAsia="lv-LV"/>
              </w:rPr>
              <w:t>apakšsadaļā</w:t>
            </w:r>
            <w:proofErr w:type="spellEnd"/>
            <w:r w:rsidRPr="001F23E8">
              <w:rPr>
                <w:rFonts w:eastAsia="Times New Roman" w:cs="Times New Roman"/>
                <w:bCs/>
                <w:szCs w:val="24"/>
                <w:lang w:eastAsia="lv-LV"/>
              </w:rPr>
              <w:t xml:space="preserve"> “Nodokļu politika” (pieejams:</w:t>
            </w:r>
            <w:r w:rsidRPr="001F23E8">
              <w:t xml:space="preserve"> </w:t>
            </w:r>
            <w:r w:rsidR="00001C3D" w:rsidRPr="00001C3D">
              <w:rPr>
                <w:rFonts w:eastAsia="Times New Roman" w:cs="Times New Roman"/>
                <w:bCs/>
                <w:szCs w:val="24"/>
                <w:lang w:eastAsia="lv-LV"/>
              </w:rPr>
              <w:t>https://www.fm.gov.lv/lv/mk-noteikumu-projekts-grozijumi-ministru-kabineta-2018-gada-30-oktobra-noteikumos-nr-661-kartiba-kada-maksa-nodoklus-nodevas-citus-valsts-noteiktos-maksajumus-un-ar-tiem-saistitos-maksajumus-un-novirza-tos-saistibu-segsanai</w:t>
            </w:r>
            <w:r w:rsidRPr="001F23E8">
              <w:rPr>
                <w:rFonts w:eastAsia="Times New Roman" w:cs="Times New Roman"/>
                <w:bCs/>
                <w:szCs w:val="24"/>
                <w:lang w:eastAsia="lv-LV"/>
              </w:rPr>
              <w:t xml:space="preserve">), tādējādi dodot iespēju </w:t>
            </w:r>
            <w:r w:rsidRPr="001F23E8">
              <w:rPr>
                <w:rFonts w:eastAsia="Times New Roman" w:cs="Times New Roman"/>
                <w:bCs/>
                <w:szCs w:val="24"/>
                <w:lang w:eastAsia="lv-LV"/>
              </w:rPr>
              <w:lastRenderedPageBreak/>
              <w:t xml:space="preserve">sabiedrībai līdzdarboties tiesību akta izstrādes procesā. Sabiedrībai </w:t>
            </w:r>
            <w:r w:rsidR="004479DD">
              <w:rPr>
                <w:rFonts w:eastAsia="Times New Roman" w:cs="Times New Roman"/>
                <w:bCs/>
                <w:szCs w:val="24"/>
                <w:lang w:eastAsia="lv-LV"/>
              </w:rPr>
              <w:t>ir</w:t>
            </w:r>
            <w:r w:rsidR="004479DD" w:rsidRPr="001F23E8">
              <w:rPr>
                <w:rFonts w:eastAsia="Times New Roman" w:cs="Times New Roman"/>
                <w:bCs/>
                <w:szCs w:val="24"/>
                <w:lang w:eastAsia="lv-LV"/>
              </w:rPr>
              <w:t xml:space="preserve"> </w:t>
            </w:r>
            <w:r w:rsidRPr="001F23E8">
              <w:rPr>
                <w:rFonts w:eastAsia="Times New Roman" w:cs="Times New Roman"/>
                <w:bCs/>
                <w:szCs w:val="24"/>
                <w:lang w:eastAsia="lv-LV"/>
              </w:rPr>
              <w:t xml:space="preserve">iespēja līdz </w:t>
            </w:r>
            <w:r w:rsidR="00001C3D">
              <w:rPr>
                <w:rFonts w:eastAsia="Times New Roman" w:cs="Times New Roman"/>
                <w:bCs/>
                <w:szCs w:val="24"/>
                <w:lang w:eastAsia="lv-LV"/>
              </w:rPr>
              <w:t xml:space="preserve">2021.gada 15.februārim </w:t>
            </w:r>
            <w:r w:rsidRPr="001F23E8">
              <w:rPr>
                <w:rFonts w:eastAsia="Times New Roman" w:cs="Times New Roman"/>
                <w:bCs/>
                <w:szCs w:val="24"/>
                <w:lang w:eastAsia="lv-LV"/>
              </w:rPr>
              <w:t>sniegt rakstisku viedokli Finanšu ministrijai par izstrādāto noteikumu projektu.</w:t>
            </w:r>
            <w:r w:rsidR="0004645B">
              <w:rPr>
                <w:rFonts w:eastAsia="Times New Roman" w:cs="Times New Roman"/>
                <w:bCs/>
                <w:szCs w:val="24"/>
                <w:lang w:eastAsia="lv-LV"/>
              </w:rPr>
              <w:t xml:space="preserve"> Tāpat </w:t>
            </w:r>
            <w:r w:rsidR="002C1E89">
              <w:rPr>
                <w:rFonts w:eastAsia="Times New Roman" w:cs="Times New Roman"/>
                <w:bCs/>
                <w:szCs w:val="24"/>
                <w:lang w:eastAsia="lv-LV"/>
              </w:rPr>
              <w:t>sabiedrības pārstāvji varē</w:t>
            </w:r>
            <w:r w:rsidR="004479DD">
              <w:rPr>
                <w:rFonts w:eastAsia="Times New Roman" w:cs="Times New Roman"/>
                <w:bCs/>
                <w:szCs w:val="24"/>
                <w:lang w:eastAsia="lv-LV"/>
              </w:rPr>
              <w:t>s</w:t>
            </w:r>
            <w:r w:rsidR="002C1E89">
              <w:rPr>
                <w:rFonts w:eastAsia="Times New Roman" w:cs="Times New Roman"/>
                <w:bCs/>
                <w:szCs w:val="24"/>
                <w:lang w:eastAsia="lv-LV"/>
              </w:rPr>
              <w:t xml:space="preserve"> sniegt viedokļus arī pēc noteikumu projekta izsludināšanas Valsts sekretāru sanāksmē.</w:t>
            </w:r>
          </w:p>
          <w:p w14:paraId="27878A0A" w14:textId="06939E2B" w:rsidR="00C85DCD" w:rsidRPr="001F23E8" w:rsidRDefault="00C85DCD" w:rsidP="00F86F09">
            <w:pPr>
              <w:jc w:val="both"/>
              <w:rPr>
                <w:rFonts w:eastAsia="Times New Roman" w:cs="Times New Roman"/>
                <w:bCs/>
                <w:szCs w:val="24"/>
                <w:lang w:eastAsia="lv-LV"/>
              </w:rPr>
            </w:pPr>
            <w:r w:rsidRPr="001F23E8">
              <w:rPr>
                <w:rFonts w:eastAsia="Times New Roman" w:cs="Times New Roman"/>
                <w:bCs/>
                <w:szCs w:val="24"/>
                <w:lang w:eastAsia="lv-LV"/>
              </w:rPr>
              <w:t xml:space="preserve">Turklāt </w:t>
            </w:r>
            <w:r w:rsidR="0004645B">
              <w:rPr>
                <w:rFonts w:eastAsia="Times New Roman" w:cs="Times New Roman"/>
                <w:bCs/>
                <w:szCs w:val="24"/>
                <w:lang w:eastAsia="lv-LV"/>
              </w:rPr>
              <w:t>informācija par līdzdalību noteikumu projekta izstrādē</w:t>
            </w:r>
            <w:r w:rsidR="0004645B" w:rsidRPr="001F23E8">
              <w:rPr>
                <w:rFonts w:eastAsia="Times New Roman" w:cs="Times New Roman"/>
                <w:bCs/>
                <w:szCs w:val="24"/>
                <w:lang w:eastAsia="lv-LV"/>
              </w:rPr>
              <w:t xml:space="preserve"> </w:t>
            </w:r>
            <w:r w:rsidRPr="001F23E8">
              <w:rPr>
                <w:rFonts w:eastAsia="Times New Roman" w:cs="Times New Roman"/>
                <w:bCs/>
                <w:szCs w:val="24"/>
                <w:lang w:eastAsia="lv-LV"/>
              </w:rPr>
              <w:t>ir publicēt</w:t>
            </w:r>
            <w:r w:rsidR="0004645B">
              <w:rPr>
                <w:rFonts w:eastAsia="Times New Roman" w:cs="Times New Roman"/>
                <w:bCs/>
                <w:szCs w:val="24"/>
                <w:lang w:eastAsia="lv-LV"/>
              </w:rPr>
              <w:t>a</w:t>
            </w:r>
            <w:r w:rsidRPr="001F23E8">
              <w:rPr>
                <w:rFonts w:eastAsia="Times New Roman" w:cs="Times New Roman"/>
                <w:bCs/>
                <w:szCs w:val="24"/>
                <w:lang w:eastAsia="lv-LV"/>
              </w:rPr>
              <w:t xml:space="preserve"> Ministru kabineta tīmekļvietnē sadaļā “Valsts kanceleja” – “Sabiedrības līdzdalība” (adrese: </w:t>
            </w:r>
            <w:hyperlink r:id="rId11" w:history="1">
              <w:r w:rsidR="00DA0C1C">
                <w:rPr>
                  <w:rStyle w:val="Hyperlink"/>
                </w:rPr>
                <w:t>https://www.mk.gov.lv/lv/ministru-kabineta-diskusiju-dokumenti</w:t>
              </w:r>
            </w:hyperlink>
            <w:r w:rsidRPr="001F23E8">
              <w:rPr>
                <w:rFonts w:eastAsia="Times New Roman" w:cs="Times New Roman"/>
                <w:bCs/>
                <w:szCs w:val="24"/>
                <w:lang w:eastAsia="lv-LV"/>
              </w:rPr>
              <w:t>).</w:t>
            </w:r>
          </w:p>
          <w:p w14:paraId="15C759E8" w14:textId="77777777" w:rsidR="00C85DCD" w:rsidRPr="001F23E8" w:rsidRDefault="00C85DCD" w:rsidP="00C85DCD">
            <w:pPr>
              <w:ind w:firstLine="284"/>
              <w:jc w:val="both"/>
              <w:rPr>
                <w:rFonts w:cs="Times New Roman"/>
                <w:iCs/>
                <w:spacing w:val="-2"/>
                <w:szCs w:val="24"/>
              </w:rPr>
            </w:pPr>
          </w:p>
        </w:tc>
      </w:tr>
      <w:tr w:rsidR="00CE33AC" w:rsidRPr="001F23E8" w14:paraId="77FF09F0" w14:textId="77777777" w:rsidTr="001F23E8">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auto"/>
            <w:hideMark/>
          </w:tcPr>
          <w:p w14:paraId="36AA84DD" w14:textId="77777777" w:rsidR="00655F2C"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lastRenderedPageBreak/>
              <w:t>3.</w:t>
            </w:r>
          </w:p>
        </w:tc>
        <w:tc>
          <w:tcPr>
            <w:tcW w:w="1615" w:type="pct"/>
            <w:tcBorders>
              <w:top w:val="outset" w:sz="6" w:space="0" w:color="auto"/>
              <w:left w:val="outset" w:sz="6" w:space="0" w:color="auto"/>
              <w:bottom w:val="outset" w:sz="6" w:space="0" w:color="auto"/>
              <w:right w:val="outset" w:sz="6" w:space="0" w:color="auto"/>
            </w:tcBorders>
            <w:shd w:val="clear" w:color="auto" w:fill="auto"/>
            <w:hideMark/>
          </w:tcPr>
          <w:p w14:paraId="46B7D220" w14:textId="77777777" w:rsidR="00E5323B"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Sabiedrības līdzdalības rezultāti</w:t>
            </w:r>
          </w:p>
        </w:tc>
        <w:tc>
          <w:tcPr>
            <w:tcW w:w="3023" w:type="pct"/>
            <w:tcBorders>
              <w:top w:val="outset" w:sz="6" w:space="0" w:color="auto"/>
              <w:left w:val="outset" w:sz="6" w:space="0" w:color="auto"/>
              <w:bottom w:val="outset" w:sz="6" w:space="0" w:color="auto"/>
              <w:right w:val="outset" w:sz="6" w:space="0" w:color="auto"/>
            </w:tcBorders>
            <w:shd w:val="clear" w:color="auto" w:fill="auto"/>
          </w:tcPr>
          <w:p w14:paraId="1504E62D" w14:textId="77777777" w:rsidR="00B85299" w:rsidRPr="001F23E8" w:rsidRDefault="00FD04BB">
            <w:pPr>
              <w:ind w:firstLine="284"/>
              <w:jc w:val="both"/>
              <w:rPr>
                <w:rFonts w:eastAsia="Times New Roman" w:cs="Times New Roman"/>
                <w:i/>
                <w:iCs/>
                <w:szCs w:val="24"/>
                <w:lang w:eastAsia="lv-LV"/>
              </w:rPr>
            </w:pPr>
            <w:r w:rsidRPr="001F23E8">
              <w:rPr>
                <w:rFonts w:eastAsia="Times New Roman" w:cs="Times New Roman"/>
                <w:bCs/>
                <w:szCs w:val="24"/>
                <w:lang w:eastAsia="lv-LV"/>
              </w:rPr>
              <w:t>Noteikumu projekts šo jomu neskar.</w:t>
            </w:r>
          </w:p>
        </w:tc>
      </w:tr>
      <w:tr w:rsidR="00CE33AC" w:rsidRPr="00812F8E" w14:paraId="49690BAA" w14:textId="77777777" w:rsidTr="001F23E8">
        <w:trPr>
          <w:tblCellSpacing w:w="15" w:type="dxa"/>
        </w:trPr>
        <w:tc>
          <w:tcPr>
            <w:tcW w:w="296" w:type="pct"/>
            <w:tcBorders>
              <w:top w:val="outset" w:sz="6" w:space="0" w:color="auto"/>
              <w:left w:val="outset" w:sz="6" w:space="0" w:color="auto"/>
              <w:bottom w:val="outset" w:sz="6" w:space="0" w:color="auto"/>
              <w:right w:val="outset" w:sz="6" w:space="0" w:color="auto"/>
            </w:tcBorders>
            <w:shd w:val="clear" w:color="auto" w:fill="auto"/>
            <w:hideMark/>
          </w:tcPr>
          <w:p w14:paraId="0E2D21DE" w14:textId="77777777" w:rsidR="00655F2C"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4.</w:t>
            </w:r>
          </w:p>
        </w:tc>
        <w:tc>
          <w:tcPr>
            <w:tcW w:w="1615" w:type="pct"/>
            <w:tcBorders>
              <w:top w:val="outset" w:sz="6" w:space="0" w:color="auto"/>
              <w:left w:val="outset" w:sz="6" w:space="0" w:color="auto"/>
              <w:bottom w:val="outset" w:sz="6" w:space="0" w:color="auto"/>
              <w:right w:val="outset" w:sz="6" w:space="0" w:color="auto"/>
            </w:tcBorders>
            <w:shd w:val="clear" w:color="auto" w:fill="auto"/>
            <w:hideMark/>
          </w:tcPr>
          <w:p w14:paraId="747907DA" w14:textId="77777777" w:rsidR="00E5323B" w:rsidRPr="001F23E8" w:rsidRDefault="00E5323B" w:rsidP="00E5323B">
            <w:pPr>
              <w:rPr>
                <w:rFonts w:eastAsia="Times New Roman" w:cs="Times New Roman"/>
                <w:iCs/>
                <w:szCs w:val="24"/>
                <w:lang w:eastAsia="lv-LV"/>
              </w:rPr>
            </w:pPr>
            <w:r w:rsidRPr="001F23E8">
              <w:rPr>
                <w:rFonts w:eastAsia="Times New Roman" w:cs="Times New Roman"/>
                <w:iCs/>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shd w:val="clear" w:color="auto" w:fill="auto"/>
            <w:hideMark/>
          </w:tcPr>
          <w:p w14:paraId="622F3DF7" w14:textId="77777777" w:rsidR="00E5323B" w:rsidRPr="00FD04BB" w:rsidRDefault="00C85DCD" w:rsidP="00907DFC">
            <w:pPr>
              <w:ind w:firstLine="284"/>
              <w:jc w:val="both"/>
              <w:rPr>
                <w:rFonts w:eastAsia="Times New Roman" w:cs="Times New Roman"/>
                <w:iCs/>
                <w:szCs w:val="24"/>
                <w:lang w:eastAsia="lv-LV"/>
              </w:rPr>
            </w:pPr>
            <w:r w:rsidRPr="001F23E8">
              <w:rPr>
                <w:rFonts w:eastAsia="Times New Roman" w:cs="Times New Roman"/>
                <w:szCs w:val="24"/>
                <w:lang w:eastAsia="lv-LV"/>
              </w:rPr>
              <w:t>Nav.</w:t>
            </w:r>
          </w:p>
        </w:tc>
      </w:tr>
    </w:tbl>
    <w:p w14:paraId="5DF157EA" w14:textId="77777777" w:rsidR="00E5323B" w:rsidRPr="00812F8E" w:rsidRDefault="00E5323B" w:rsidP="00E5323B">
      <w:pPr>
        <w:rPr>
          <w:rFonts w:eastAsia="Times New Roman" w:cs="Times New Roman"/>
          <w:iCs/>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8"/>
        <w:gridCol w:w="2693"/>
        <w:gridCol w:w="5944"/>
      </w:tblGrid>
      <w:tr w:rsidR="00CE33AC" w:rsidRPr="00FD04BB" w14:paraId="74F7BA3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C6A013" w14:textId="77777777" w:rsidR="00655F2C" w:rsidRPr="00FD04BB" w:rsidRDefault="00E5323B" w:rsidP="00E5323B">
            <w:pPr>
              <w:rPr>
                <w:rFonts w:eastAsia="Times New Roman" w:cs="Times New Roman"/>
                <w:b/>
                <w:bCs/>
                <w:iCs/>
                <w:szCs w:val="24"/>
                <w:lang w:eastAsia="lv-LV"/>
              </w:rPr>
            </w:pPr>
            <w:r w:rsidRPr="00FD04BB">
              <w:rPr>
                <w:rFonts w:eastAsia="Times New Roman" w:cs="Times New Roman"/>
                <w:b/>
                <w:bCs/>
                <w:iCs/>
                <w:szCs w:val="24"/>
                <w:lang w:eastAsia="lv-LV"/>
              </w:rPr>
              <w:t>VII. Tiesību akta projekta izpildes nodrošināšana un tās ietekme uz institūcijām</w:t>
            </w:r>
          </w:p>
        </w:tc>
      </w:tr>
      <w:tr w:rsidR="00CE33AC" w:rsidRPr="00FD04BB" w14:paraId="52051E0B" w14:textId="77777777" w:rsidTr="001F7321">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5EB09EFC" w14:textId="77777777" w:rsidR="00655F2C" w:rsidRPr="00FD04BB" w:rsidRDefault="00E5323B" w:rsidP="00E5323B">
            <w:pPr>
              <w:rPr>
                <w:rFonts w:eastAsia="Times New Roman" w:cs="Times New Roman"/>
                <w:iCs/>
                <w:szCs w:val="24"/>
                <w:lang w:eastAsia="lv-LV"/>
              </w:rPr>
            </w:pPr>
            <w:r w:rsidRPr="00FD04BB">
              <w:rPr>
                <w:rFonts w:eastAsia="Times New Roman" w:cs="Times New Roman"/>
                <w:iCs/>
                <w:szCs w:val="24"/>
                <w:lang w:eastAsia="lv-LV"/>
              </w:rPr>
              <w:t>1.</w:t>
            </w:r>
          </w:p>
        </w:tc>
        <w:tc>
          <w:tcPr>
            <w:tcW w:w="1470" w:type="pct"/>
            <w:tcBorders>
              <w:top w:val="outset" w:sz="6" w:space="0" w:color="auto"/>
              <w:left w:val="outset" w:sz="6" w:space="0" w:color="auto"/>
              <w:bottom w:val="outset" w:sz="6" w:space="0" w:color="auto"/>
              <w:right w:val="outset" w:sz="6" w:space="0" w:color="auto"/>
            </w:tcBorders>
            <w:hideMark/>
          </w:tcPr>
          <w:p w14:paraId="38D007E2" w14:textId="77777777" w:rsidR="00E5323B" w:rsidRPr="00FD04BB" w:rsidRDefault="00E5323B" w:rsidP="00E5323B">
            <w:pPr>
              <w:rPr>
                <w:rFonts w:eastAsia="Times New Roman" w:cs="Times New Roman"/>
                <w:iCs/>
                <w:szCs w:val="24"/>
                <w:lang w:eastAsia="lv-LV"/>
              </w:rPr>
            </w:pPr>
            <w:r w:rsidRPr="00FD04BB">
              <w:rPr>
                <w:rFonts w:eastAsia="Times New Roman" w:cs="Times New Roman"/>
                <w:iCs/>
                <w:szCs w:val="24"/>
                <w:lang w:eastAsia="lv-LV"/>
              </w:rPr>
              <w:t>Projekta izpildē iesaistītās institūcijas</w:t>
            </w:r>
          </w:p>
        </w:tc>
        <w:tc>
          <w:tcPr>
            <w:tcW w:w="3257" w:type="pct"/>
            <w:tcBorders>
              <w:top w:val="outset" w:sz="6" w:space="0" w:color="auto"/>
              <w:left w:val="outset" w:sz="6" w:space="0" w:color="auto"/>
              <w:bottom w:val="outset" w:sz="6" w:space="0" w:color="auto"/>
              <w:right w:val="outset" w:sz="6" w:space="0" w:color="auto"/>
            </w:tcBorders>
            <w:hideMark/>
          </w:tcPr>
          <w:p w14:paraId="1FCB36E1" w14:textId="77777777" w:rsidR="00E5323B" w:rsidRPr="00FD04BB" w:rsidRDefault="00C85DCD" w:rsidP="00FD04BB">
            <w:pPr>
              <w:ind w:firstLine="284"/>
              <w:rPr>
                <w:rFonts w:eastAsia="Times New Roman" w:cs="Times New Roman"/>
                <w:iCs/>
                <w:szCs w:val="24"/>
                <w:lang w:eastAsia="lv-LV"/>
              </w:rPr>
            </w:pPr>
            <w:r w:rsidRPr="00FD04BB">
              <w:rPr>
                <w:rFonts w:cs="Times New Roman"/>
                <w:szCs w:val="24"/>
              </w:rPr>
              <w:t>VID</w:t>
            </w:r>
            <w:r w:rsidRPr="00FD04BB">
              <w:rPr>
                <w:rFonts w:cs="Times New Roman"/>
              </w:rPr>
              <w:t xml:space="preserve"> </w:t>
            </w:r>
            <w:r w:rsidRPr="00FD04BB">
              <w:rPr>
                <w:rFonts w:cs="Times New Roman"/>
                <w:szCs w:val="24"/>
              </w:rPr>
              <w:t>un</w:t>
            </w:r>
            <w:r w:rsidRPr="00FD04BB">
              <w:rPr>
                <w:rFonts w:cs="Times New Roman"/>
              </w:rPr>
              <w:t xml:space="preserve"> </w:t>
            </w:r>
            <w:r w:rsidR="00FD04BB" w:rsidRPr="00FD04BB">
              <w:rPr>
                <w:rFonts w:cs="Times New Roman"/>
                <w:szCs w:val="24"/>
              </w:rPr>
              <w:t>CSDD</w:t>
            </w:r>
            <w:r w:rsidRPr="00FD04BB">
              <w:rPr>
                <w:rFonts w:cs="Times New Roman"/>
                <w:szCs w:val="24"/>
              </w:rPr>
              <w:t>.</w:t>
            </w:r>
          </w:p>
        </w:tc>
      </w:tr>
      <w:tr w:rsidR="00CE33AC" w:rsidRPr="00FD04BB" w14:paraId="0FB7B08B" w14:textId="77777777" w:rsidTr="001F7321">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95E70B4" w14:textId="77777777" w:rsidR="00655F2C" w:rsidRPr="00FD04BB" w:rsidRDefault="00E5323B" w:rsidP="00E5323B">
            <w:pPr>
              <w:rPr>
                <w:rFonts w:eastAsia="Times New Roman" w:cs="Times New Roman"/>
                <w:iCs/>
                <w:szCs w:val="24"/>
                <w:lang w:eastAsia="lv-LV"/>
              </w:rPr>
            </w:pPr>
            <w:r w:rsidRPr="00FD04BB">
              <w:rPr>
                <w:rFonts w:eastAsia="Times New Roman" w:cs="Times New Roman"/>
                <w:iCs/>
                <w:szCs w:val="24"/>
                <w:lang w:eastAsia="lv-LV"/>
              </w:rPr>
              <w:t>2.</w:t>
            </w:r>
          </w:p>
        </w:tc>
        <w:tc>
          <w:tcPr>
            <w:tcW w:w="1470" w:type="pct"/>
            <w:tcBorders>
              <w:top w:val="outset" w:sz="6" w:space="0" w:color="auto"/>
              <w:left w:val="outset" w:sz="6" w:space="0" w:color="auto"/>
              <w:bottom w:val="outset" w:sz="6" w:space="0" w:color="auto"/>
              <w:right w:val="outset" w:sz="6" w:space="0" w:color="auto"/>
            </w:tcBorders>
            <w:hideMark/>
          </w:tcPr>
          <w:p w14:paraId="271661AA" w14:textId="77777777" w:rsidR="00D77D9F" w:rsidRPr="00FD04BB" w:rsidRDefault="00E5323B" w:rsidP="00D77D9F">
            <w:pPr>
              <w:rPr>
                <w:rFonts w:eastAsia="Times New Roman" w:cs="Times New Roman"/>
                <w:iCs/>
                <w:szCs w:val="24"/>
                <w:lang w:eastAsia="lv-LV"/>
              </w:rPr>
            </w:pPr>
            <w:r w:rsidRPr="00FD04BB">
              <w:rPr>
                <w:rFonts w:eastAsia="Times New Roman" w:cs="Times New Roman"/>
                <w:iCs/>
                <w:szCs w:val="24"/>
                <w:lang w:eastAsia="lv-LV"/>
              </w:rPr>
              <w:t>Projekta izpildes ietekme uz pārvaldes funkcijām un institucionālo struktūru.</w:t>
            </w:r>
          </w:p>
          <w:p w14:paraId="20AD7A0C" w14:textId="77777777" w:rsidR="00E5323B" w:rsidRPr="00FD04BB" w:rsidRDefault="00E5323B" w:rsidP="00D77D9F">
            <w:pPr>
              <w:rPr>
                <w:rFonts w:eastAsia="Times New Roman" w:cs="Times New Roman"/>
                <w:iCs/>
                <w:szCs w:val="24"/>
                <w:lang w:eastAsia="lv-LV"/>
              </w:rPr>
            </w:pPr>
            <w:r w:rsidRPr="00FD04BB">
              <w:rPr>
                <w:rFonts w:eastAsia="Times New Roman" w:cs="Times New Roman"/>
                <w:iCs/>
                <w:szCs w:val="24"/>
                <w:lang w:eastAsia="lv-LV"/>
              </w:rPr>
              <w:t>Jaunu institūciju izveide, esošu institūciju likvidācija vai reorganizācija, to ietekme uz institūcijas cilvēkresursiem</w:t>
            </w:r>
          </w:p>
        </w:tc>
        <w:tc>
          <w:tcPr>
            <w:tcW w:w="3257" w:type="pct"/>
            <w:tcBorders>
              <w:top w:val="outset" w:sz="6" w:space="0" w:color="auto"/>
              <w:left w:val="outset" w:sz="6" w:space="0" w:color="auto"/>
              <w:bottom w:val="outset" w:sz="6" w:space="0" w:color="auto"/>
              <w:right w:val="outset" w:sz="6" w:space="0" w:color="auto"/>
            </w:tcBorders>
            <w:hideMark/>
          </w:tcPr>
          <w:p w14:paraId="3A2FD62E" w14:textId="77777777" w:rsidR="00C85DCD" w:rsidRPr="00FD04BB" w:rsidRDefault="00C85DCD" w:rsidP="00C85DCD">
            <w:pPr>
              <w:ind w:firstLine="284"/>
              <w:jc w:val="both"/>
              <w:rPr>
                <w:rFonts w:cs="Times New Roman"/>
                <w:szCs w:val="24"/>
              </w:rPr>
            </w:pPr>
            <w:r w:rsidRPr="00FD04BB">
              <w:rPr>
                <w:rFonts w:cs="Times New Roman"/>
                <w:szCs w:val="24"/>
              </w:rPr>
              <w:t>Noteikumu projekts neparedz veidot jaunas institūcijas, reorganizēt vai likvidēt esošās institūcijas.</w:t>
            </w:r>
          </w:p>
          <w:p w14:paraId="583888E9" w14:textId="77777777" w:rsidR="00C85DCD" w:rsidRPr="00FD04BB" w:rsidRDefault="00C85DCD" w:rsidP="00C85DCD">
            <w:pPr>
              <w:ind w:firstLine="284"/>
              <w:jc w:val="both"/>
              <w:rPr>
                <w:rFonts w:cs="Times New Roman"/>
                <w:szCs w:val="24"/>
              </w:rPr>
            </w:pPr>
            <w:r w:rsidRPr="00FD04BB">
              <w:rPr>
                <w:rFonts w:cs="Times New Roman"/>
                <w:szCs w:val="24"/>
              </w:rPr>
              <w:t>Tāpat esošajām institūcijām netiek ne paplašinātas, ne sašaurinātas funkcijas.</w:t>
            </w:r>
          </w:p>
          <w:p w14:paraId="0BE9498F" w14:textId="77777777" w:rsidR="00E5323B" w:rsidRPr="00FD04BB" w:rsidRDefault="00C85DCD" w:rsidP="00C85DCD">
            <w:pPr>
              <w:pStyle w:val="NoSpacing"/>
              <w:ind w:firstLine="284"/>
              <w:jc w:val="both"/>
              <w:rPr>
                <w:rFonts w:eastAsia="Times New Roman"/>
                <w:iCs/>
                <w:sz w:val="24"/>
                <w:szCs w:val="24"/>
                <w:lang w:eastAsia="lv-LV"/>
              </w:rPr>
            </w:pPr>
            <w:r w:rsidRPr="00FD04BB">
              <w:rPr>
                <w:rFonts w:ascii="Times New Roman" w:hAnsi="Times New Roman" w:cs="Times New Roman"/>
                <w:sz w:val="24"/>
                <w:szCs w:val="24"/>
              </w:rPr>
              <w:t>Noteikumu projekta izpilde tiks nodrošināta esošo cilvēkresursu un finansējuma ietvaros.</w:t>
            </w:r>
          </w:p>
        </w:tc>
      </w:tr>
      <w:tr w:rsidR="00CE33AC" w:rsidRPr="00FD04BB" w14:paraId="142A9B81" w14:textId="77777777" w:rsidTr="001F7321">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4FC83D0" w14:textId="77777777" w:rsidR="00655F2C" w:rsidRPr="00FD04BB" w:rsidRDefault="00E5323B" w:rsidP="00E5323B">
            <w:pPr>
              <w:rPr>
                <w:rFonts w:eastAsia="Times New Roman" w:cs="Times New Roman"/>
                <w:iCs/>
                <w:szCs w:val="24"/>
                <w:lang w:eastAsia="lv-LV"/>
              </w:rPr>
            </w:pPr>
            <w:r w:rsidRPr="00FD04BB">
              <w:rPr>
                <w:rFonts w:eastAsia="Times New Roman" w:cs="Times New Roman"/>
                <w:iCs/>
                <w:szCs w:val="24"/>
                <w:lang w:eastAsia="lv-LV"/>
              </w:rPr>
              <w:t>3.</w:t>
            </w:r>
          </w:p>
        </w:tc>
        <w:tc>
          <w:tcPr>
            <w:tcW w:w="1470" w:type="pct"/>
            <w:tcBorders>
              <w:top w:val="outset" w:sz="6" w:space="0" w:color="auto"/>
              <w:left w:val="outset" w:sz="6" w:space="0" w:color="auto"/>
              <w:bottom w:val="outset" w:sz="6" w:space="0" w:color="auto"/>
              <w:right w:val="outset" w:sz="6" w:space="0" w:color="auto"/>
            </w:tcBorders>
            <w:hideMark/>
          </w:tcPr>
          <w:p w14:paraId="365988B2" w14:textId="77777777" w:rsidR="00E5323B" w:rsidRPr="00FD04BB" w:rsidRDefault="00E5323B" w:rsidP="00E5323B">
            <w:pPr>
              <w:rPr>
                <w:rFonts w:eastAsia="Times New Roman" w:cs="Times New Roman"/>
                <w:iCs/>
                <w:szCs w:val="24"/>
                <w:lang w:eastAsia="lv-LV"/>
              </w:rPr>
            </w:pPr>
            <w:r w:rsidRPr="00FD04BB">
              <w:rPr>
                <w:rFonts w:eastAsia="Times New Roman" w:cs="Times New Roman"/>
                <w:iCs/>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23DDEF1B" w14:textId="77777777" w:rsidR="00E5323B" w:rsidRPr="00FD04BB" w:rsidRDefault="00907DFC" w:rsidP="00166ACB">
            <w:pPr>
              <w:ind w:firstLine="284"/>
              <w:rPr>
                <w:rFonts w:eastAsia="Times New Roman" w:cs="Times New Roman"/>
                <w:iCs/>
                <w:szCs w:val="24"/>
                <w:lang w:eastAsia="lv-LV"/>
              </w:rPr>
            </w:pPr>
            <w:r w:rsidRPr="00FD04BB">
              <w:rPr>
                <w:rFonts w:eastAsia="Times New Roman" w:cs="Times New Roman"/>
                <w:iCs/>
                <w:szCs w:val="24"/>
                <w:lang w:eastAsia="lv-LV"/>
              </w:rPr>
              <w:t>Nav</w:t>
            </w:r>
            <w:r w:rsidR="004A2B26" w:rsidRPr="00FD04BB">
              <w:rPr>
                <w:rFonts w:eastAsia="Times New Roman" w:cs="Times New Roman"/>
                <w:iCs/>
                <w:szCs w:val="24"/>
                <w:lang w:eastAsia="lv-LV"/>
              </w:rPr>
              <w:t>.</w:t>
            </w:r>
          </w:p>
        </w:tc>
      </w:tr>
    </w:tbl>
    <w:p w14:paraId="419C5C49" w14:textId="77777777" w:rsidR="00C25B49" w:rsidRPr="00812F8E" w:rsidRDefault="00C25B49" w:rsidP="00907DFC">
      <w:pPr>
        <w:rPr>
          <w:rFonts w:cs="Times New Roman"/>
          <w:sz w:val="28"/>
          <w:szCs w:val="28"/>
          <w:highlight w:val="yellow"/>
        </w:rPr>
      </w:pPr>
    </w:p>
    <w:p w14:paraId="268D2DBE" w14:textId="77777777" w:rsidR="00E5323B" w:rsidRPr="00FD04BB" w:rsidRDefault="00E5323B" w:rsidP="00907DFC">
      <w:pPr>
        <w:rPr>
          <w:rFonts w:cs="Times New Roman"/>
          <w:sz w:val="28"/>
          <w:szCs w:val="28"/>
        </w:rPr>
      </w:pPr>
    </w:p>
    <w:p w14:paraId="1120A7F8" w14:textId="77777777" w:rsidR="00907DFC" w:rsidRPr="00FD04BB" w:rsidRDefault="00292870" w:rsidP="00292870">
      <w:pPr>
        <w:tabs>
          <w:tab w:val="left" w:pos="0"/>
          <w:tab w:val="right" w:pos="9071"/>
        </w:tabs>
        <w:rPr>
          <w:rFonts w:eastAsia="Calibri" w:cs="Times New Roman"/>
          <w:sz w:val="28"/>
          <w:szCs w:val="28"/>
        </w:rPr>
      </w:pPr>
      <w:r w:rsidRPr="00FD04BB">
        <w:rPr>
          <w:rFonts w:eastAsia="Times New Roman"/>
          <w:sz w:val="28"/>
          <w:szCs w:val="28"/>
          <w:lang w:eastAsia="lv-LV"/>
        </w:rPr>
        <w:t>Finanšu ministrs</w:t>
      </w:r>
      <w:r w:rsidRPr="00FD04BB">
        <w:rPr>
          <w:rFonts w:eastAsia="Times New Roman"/>
          <w:sz w:val="28"/>
          <w:szCs w:val="28"/>
          <w:lang w:eastAsia="lv-LV"/>
        </w:rPr>
        <w:tab/>
        <w:t>J. Reirs</w:t>
      </w:r>
    </w:p>
    <w:p w14:paraId="2CD895AF" w14:textId="77777777" w:rsidR="00907DFC" w:rsidRPr="00FD04BB" w:rsidRDefault="00907DFC" w:rsidP="00907DFC">
      <w:pPr>
        <w:tabs>
          <w:tab w:val="left" w:pos="6237"/>
        </w:tabs>
        <w:rPr>
          <w:rFonts w:eastAsia="Calibri" w:cs="Times New Roman"/>
          <w:sz w:val="28"/>
          <w:szCs w:val="28"/>
        </w:rPr>
      </w:pPr>
    </w:p>
    <w:p w14:paraId="0BF32415" w14:textId="77777777" w:rsidR="00883CDE" w:rsidRPr="00FD04BB" w:rsidRDefault="00883CDE" w:rsidP="00907DFC">
      <w:pPr>
        <w:tabs>
          <w:tab w:val="left" w:pos="6237"/>
        </w:tabs>
        <w:rPr>
          <w:rFonts w:eastAsia="Calibri" w:cs="Times New Roman"/>
          <w:szCs w:val="24"/>
        </w:rPr>
      </w:pPr>
    </w:p>
    <w:p w14:paraId="09BBF460" w14:textId="77777777" w:rsidR="000D2F66" w:rsidRPr="00FD04BB" w:rsidRDefault="000D2F66" w:rsidP="00907DFC">
      <w:pPr>
        <w:tabs>
          <w:tab w:val="left" w:pos="6237"/>
        </w:tabs>
        <w:rPr>
          <w:rFonts w:eastAsia="Calibri" w:cs="Times New Roman"/>
          <w:szCs w:val="24"/>
        </w:rPr>
      </w:pPr>
    </w:p>
    <w:p w14:paraId="0A9AC9F0" w14:textId="77777777" w:rsidR="00C85DCD" w:rsidRPr="00FD04BB" w:rsidRDefault="00C85DCD" w:rsidP="00C85DCD">
      <w:pPr>
        <w:rPr>
          <w:rFonts w:cs="Times New Roman"/>
          <w:sz w:val="20"/>
        </w:rPr>
      </w:pPr>
      <w:r w:rsidRPr="00FD04BB">
        <w:rPr>
          <w:rFonts w:cs="Times New Roman"/>
          <w:sz w:val="20"/>
        </w:rPr>
        <w:t>Voiniča 67095567</w:t>
      </w:r>
    </w:p>
    <w:p w14:paraId="6F41C577" w14:textId="77777777" w:rsidR="00894C55" w:rsidRPr="00C85DCD" w:rsidRDefault="00C85DCD" w:rsidP="00C85DCD">
      <w:pPr>
        <w:rPr>
          <w:rFonts w:cs="Times New Roman"/>
          <w:sz w:val="20"/>
        </w:rPr>
      </w:pPr>
      <w:r w:rsidRPr="00FD04BB">
        <w:rPr>
          <w:rFonts w:cs="Times New Roman"/>
          <w:sz w:val="20"/>
        </w:rPr>
        <w:t>Kristine.Voinica@fm.gov.lv</w:t>
      </w:r>
    </w:p>
    <w:sectPr w:rsidR="00894C55" w:rsidRPr="00C85DCD" w:rsidSect="001123A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13717" w14:textId="77777777" w:rsidR="00FB3AF7" w:rsidRDefault="00FB3AF7" w:rsidP="00894C55">
      <w:r>
        <w:separator/>
      </w:r>
    </w:p>
  </w:endnote>
  <w:endnote w:type="continuationSeparator" w:id="0">
    <w:p w14:paraId="686D2731" w14:textId="77777777" w:rsidR="00FB3AF7" w:rsidRDefault="00FB3AF7"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D46E" w14:textId="4F919572" w:rsidR="00BB53C0" w:rsidRPr="00BC0F9D" w:rsidRDefault="00FD04BB" w:rsidP="00907DFC">
    <w:pPr>
      <w:pStyle w:val="Footer"/>
      <w:rPr>
        <w:rFonts w:cs="Times New Roman"/>
        <w:sz w:val="20"/>
        <w:szCs w:val="20"/>
      </w:rPr>
    </w:pPr>
    <w:r>
      <w:rPr>
        <w:rFonts w:cs="Times New Roman"/>
        <w:sz w:val="20"/>
        <w:szCs w:val="20"/>
      </w:rPr>
      <w:t>FMAnot_</w:t>
    </w:r>
    <w:r w:rsidR="00047B45">
      <w:rPr>
        <w:rFonts w:cs="Times New Roman"/>
        <w:sz w:val="20"/>
        <w:szCs w:val="20"/>
      </w:rPr>
      <w:t>0</w:t>
    </w:r>
    <w:r w:rsidR="00E41DA3">
      <w:rPr>
        <w:rFonts w:cs="Times New Roman"/>
        <w:sz w:val="20"/>
        <w:szCs w:val="20"/>
      </w:rPr>
      <w:t>5</w:t>
    </w:r>
    <w:r>
      <w:rPr>
        <w:rFonts w:cs="Times New Roman"/>
        <w:sz w:val="20"/>
        <w:szCs w:val="20"/>
      </w:rPr>
      <w:t>0</w:t>
    </w:r>
    <w:r w:rsidR="00047B45">
      <w:rPr>
        <w:rFonts w:cs="Times New Roman"/>
        <w:sz w:val="20"/>
        <w:szCs w:val="20"/>
      </w:rPr>
      <w:t>2</w:t>
    </w:r>
    <w:r>
      <w:rPr>
        <w:rFonts w:cs="Times New Roman"/>
        <w:sz w:val="20"/>
        <w:szCs w:val="20"/>
      </w:rPr>
      <w:t>21_661groz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5745" w14:textId="041BB22C" w:rsidR="00BB53C0" w:rsidRPr="00BC0F9D" w:rsidRDefault="00FD04BB" w:rsidP="00907DFC">
    <w:pPr>
      <w:pStyle w:val="Footer"/>
      <w:rPr>
        <w:rFonts w:cs="Times New Roman"/>
        <w:sz w:val="20"/>
        <w:szCs w:val="20"/>
      </w:rPr>
    </w:pPr>
    <w:r>
      <w:rPr>
        <w:rFonts w:cs="Times New Roman"/>
        <w:sz w:val="20"/>
        <w:szCs w:val="20"/>
      </w:rPr>
      <w:t>FMAnot_</w:t>
    </w:r>
    <w:r w:rsidR="00047B45">
      <w:rPr>
        <w:rFonts w:cs="Times New Roman"/>
        <w:sz w:val="20"/>
        <w:szCs w:val="20"/>
      </w:rPr>
      <w:t>0</w:t>
    </w:r>
    <w:r w:rsidR="00E41DA3">
      <w:rPr>
        <w:rFonts w:cs="Times New Roman"/>
        <w:sz w:val="20"/>
        <w:szCs w:val="20"/>
      </w:rPr>
      <w:t>5</w:t>
    </w:r>
    <w:r>
      <w:rPr>
        <w:rFonts w:cs="Times New Roman"/>
        <w:sz w:val="20"/>
        <w:szCs w:val="20"/>
      </w:rPr>
      <w:t>0</w:t>
    </w:r>
    <w:r w:rsidR="00047B45">
      <w:rPr>
        <w:rFonts w:cs="Times New Roman"/>
        <w:sz w:val="20"/>
        <w:szCs w:val="20"/>
      </w:rPr>
      <w:t>2</w:t>
    </w:r>
    <w:r>
      <w:rPr>
        <w:rFonts w:cs="Times New Roman"/>
        <w:sz w:val="20"/>
        <w:szCs w:val="20"/>
      </w:rPr>
      <w:t>21_661groz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1916" w14:textId="77777777" w:rsidR="00FB3AF7" w:rsidRDefault="00FB3AF7" w:rsidP="00894C55">
      <w:r>
        <w:separator/>
      </w:r>
    </w:p>
  </w:footnote>
  <w:footnote w:type="continuationSeparator" w:id="0">
    <w:p w14:paraId="13F1452B" w14:textId="77777777" w:rsidR="00FB3AF7" w:rsidRDefault="00FB3AF7" w:rsidP="00894C55">
      <w:r>
        <w:continuationSeparator/>
      </w:r>
    </w:p>
  </w:footnote>
  <w:footnote w:id="1">
    <w:p w14:paraId="248B7437" w14:textId="77777777" w:rsidR="00781C72" w:rsidRDefault="00781C72">
      <w:pPr>
        <w:pStyle w:val="FootnoteText"/>
        <w:rPr>
          <w:iCs/>
          <w:szCs w:val="24"/>
          <w:lang w:eastAsia="lv-LV"/>
        </w:rPr>
      </w:pPr>
      <w:r>
        <w:rPr>
          <w:rStyle w:val="FootnoteReference"/>
        </w:rPr>
        <w:footnoteRef/>
      </w:r>
      <w:r>
        <w:t xml:space="preserve"> </w:t>
      </w:r>
      <w:hyperlink r:id="rId1" w:history="1">
        <w:r w:rsidR="001F23E8" w:rsidRPr="000F573F">
          <w:rPr>
            <w:rStyle w:val="Hyperlink"/>
            <w:iCs/>
            <w:szCs w:val="24"/>
            <w:lang w:eastAsia="lv-LV"/>
          </w:rPr>
          <w:t>http://tap.mk.gov.lv/doc/2020_12/FMANOT_271120_DRN[1].2371.DOCX</w:t>
        </w:r>
      </w:hyperlink>
    </w:p>
    <w:p w14:paraId="14F632D5" w14:textId="77777777" w:rsidR="001F23E8" w:rsidRDefault="001F23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cs="Times New Roman"/>
        <w:noProof/>
        <w:szCs w:val="20"/>
      </w:rPr>
    </w:sdtEndPr>
    <w:sdtContent>
      <w:p w14:paraId="52E28E42" w14:textId="5DD47496" w:rsidR="00BB53C0" w:rsidRPr="00C25B49" w:rsidRDefault="00BB53C0">
        <w:pPr>
          <w:pStyle w:val="Header"/>
          <w:jc w:val="center"/>
          <w:rPr>
            <w:rFonts w:cs="Times New Roman"/>
            <w:szCs w:val="20"/>
          </w:rPr>
        </w:pPr>
        <w:r w:rsidRPr="00C25B49">
          <w:rPr>
            <w:rFonts w:cs="Times New Roman"/>
            <w:szCs w:val="20"/>
          </w:rPr>
          <w:fldChar w:fldCharType="begin"/>
        </w:r>
        <w:r w:rsidRPr="00C25B49">
          <w:rPr>
            <w:rFonts w:cs="Times New Roman"/>
            <w:szCs w:val="20"/>
          </w:rPr>
          <w:instrText xml:space="preserve"> PAGE   \* MERGEFORMAT </w:instrText>
        </w:r>
        <w:r w:rsidRPr="00C25B49">
          <w:rPr>
            <w:rFonts w:cs="Times New Roman"/>
            <w:szCs w:val="20"/>
          </w:rPr>
          <w:fldChar w:fldCharType="separate"/>
        </w:r>
        <w:r w:rsidR="00F86F09">
          <w:rPr>
            <w:rFonts w:cs="Times New Roman"/>
            <w:noProof/>
            <w:szCs w:val="20"/>
          </w:rPr>
          <w:t>4</w:t>
        </w:r>
        <w:r w:rsidRPr="00C25B49">
          <w:rPr>
            <w:rFonts w:cs="Times New Roman"/>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EE5"/>
    <w:multiLevelType w:val="hybridMultilevel"/>
    <w:tmpl w:val="5F48D638"/>
    <w:lvl w:ilvl="0" w:tplc="6D64029C">
      <w:numFmt w:val="bullet"/>
      <w:lvlText w:val="-"/>
      <w:lvlJc w:val="left"/>
      <w:pPr>
        <w:ind w:left="720" w:hanging="360"/>
      </w:pPr>
      <w:rPr>
        <w:rFonts w:ascii="Verdana" w:eastAsia="Calibri"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7250B38"/>
    <w:multiLevelType w:val="hybridMultilevel"/>
    <w:tmpl w:val="9D88D870"/>
    <w:lvl w:ilvl="0" w:tplc="97701436">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6440420A"/>
    <w:multiLevelType w:val="hybridMultilevel"/>
    <w:tmpl w:val="F6129CC8"/>
    <w:lvl w:ilvl="0" w:tplc="7D6E5B46">
      <w:start w:val="2"/>
      <w:numFmt w:val="bullet"/>
      <w:lvlText w:val="-"/>
      <w:lvlJc w:val="left"/>
      <w:pPr>
        <w:ind w:left="402" w:hanging="360"/>
      </w:pPr>
      <w:rPr>
        <w:rFonts w:ascii="Times New Roman" w:eastAsia="Times New Roman" w:hAnsi="Times New Roman" w:cs="Times New Roman" w:hint="default"/>
      </w:rPr>
    </w:lvl>
    <w:lvl w:ilvl="1" w:tplc="04260003" w:tentative="1">
      <w:start w:val="1"/>
      <w:numFmt w:val="bullet"/>
      <w:lvlText w:val="o"/>
      <w:lvlJc w:val="left"/>
      <w:pPr>
        <w:ind w:left="1122" w:hanging="360"/>
      </w:pPr>
      <w:rPr>
        <w:rFonts w:ascii="Courier New" w:hAnsi="Courier New" w:cs="Courier New" w:hint="default"/>
      </w:rPr>
    </w:lvl>
    <w:lvl w:ilvl="2" w:tplc="04260005" w:tentative="1">
      <w:start w:val="1"/>
      <w:numFmt w:val="bullet"/>
      <w:lvlText w:val=""/>
      <w:lvlJc w:val="left"/>
      <w:pPr>
        <w:ind w:left="1842" w:hanging="360"/>
      </w:pPr>
      <w:rPr>
        <w:rFonts w:ascii="Wingdings" w:hAnsi="Wingdings" w:hint="default"/>
      </w:rPr>
    </w:lvl>
    <w:lvl w:ilvl="3" w:tplc="04260001" w:tentative="1">
      <w:start w:val="1"/>
      <w:numFmt w:val="bullet"/>
      <w:lvlText w:val=""/>
      <w:lvlJc w:val="left"/>
      <w:pPr>
        <w:ind w:left="2562" w:hanging="360"/>
      </w:pPr>
      <w:rPr>
        <w:rFonts w:ascii="Symbol" w:hAnsi="Symbol" w:hint="default"/>
      </w:rPr>
    </w:lvl>
    <w:lvl w:ilvl="4" w:tplc="04260003" w:tentative="1">
      <w:start w:val="1"/>
      <w:numFmt w:val="bullet"/>
      <w:lvlText w:val="o"/>
      <w:lvlJc w:val="left"/>
      <w:pPr>
        <w:ind w:left="3282" w:hanging="360"/>
      </w:pPr>
      <w:rPr>
        <w:rFonts w:ascii="Courier New" w:hAnsi="Courier New" w:cs="Courier New" w:hint="default"/>
      </w:rPr>
    </w:lvl>
    <w:lvl w:ilvl="5" w:tplc="04260005" w:tentative="1">
      <w:start w:val="1"/>
      <w:numFmt w:val="bullet"/>
      <w:lvlText w:val=""/>
      <w:lvlJc w:val="left"/>
      <w:pPr>
        <w:ind w:left="4002" w:hanging="360"/>
      </w:pPr>
      <w:rPr>
        <w:rFonts w:ascii="Wingdings" w:hAnsi="Wingdings" w:hint="default"/>
      </w:rPr>
    </w:lvl>
    <w:lvl w:ilvl="6" w:tplc="04260001" w:tentative="1">
      <w:start w:val="1"/>
      <w:numFmt w:val="bullet"/>
      <w:lvlText w:val=""/>
      <w:lvlJc w:val="left"/>
      <w:pPr>
        <w:ind w:left="4722" w:hanging="360"/>
      </w:pPr>
      <w:rPr>
        <w:rFonts w:ascii="Symbol" w:hAnsi="Symbol" w:hint="default"/>
      </w:rPr>
    </w:lvl>
    <w:lvl w:ilvl="7" w:tplc="04260003" w:tentative="1">
      <w:start w:val="1"/>
      <w:numFmt w:val="bullet"/>
      <w:lvlText w:val="o"/>
      <w:lvlJc w:val="left"/>
      <w:pPr>
        <w:ind w:left="5442" w:hanging="360"/>
      </w:pPr>
      <w:rPr>
        <w:rFonts w:ascii="Courier New" w:hAnsi="Courier New" w:cs="Courier New" w:hint="default"/>
      </w:rPr>
    </w:lvl>
    <w:lvl w:ilvl="8" w:tplc="04260005" w:tentative="1">
      <w:start w:val="1"/>
      <w:numFmt w:val="bullet"/>
      <w:lvlText w:val=""/>
      <w:lvlJc w:val="left"/>
      <w:pPr>
        <w:ind w:left="6162" w:hanging="360"/>
      </w:pPr>
      <w:rPr>
        <w:rFonts w:ascii="Wingdings" w:hAnsi="Wingdings" w:hint="default"/>
      </w:rPr>
    </w:lvl>
  </w:abstractNum>
  <w:abstractNum w:abstractNumId="3" w15:restartNumberingAfterBreak="0">
    <w:nsid w:val="648D44D2"/>
    <w:multiLevelType w:val="hybridMultilevel"/>
    <w:tmpl w:val="24B2392E"/>
    <w:lvl w:ilvl="0" w:tplc="127EA922">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C3155B8"/>
    <w:multiLevelType w:val="hybridMultilevel"/>
    <w:tmpl w:val="5810D8D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ADC"/>
    <w:rsid w:val="00001A47"/>
    <w:rsid w:val="00001C3D"/>
    <w:rsid w:val="00002A4E"/>
    <w:rsid w:val="0000463E"/>
    <w:rsid w:val="00011D35"/>
    <w:rsid w:val="0001477F"/>
    <w:rsid w:val="00016BEA"/>
    <w:rsid w:val="0002294E"/>
    <w:rsid w:val="000252FD"/>
    <w:rsid w:val="00025C01"/>
    <w:rsid w:val="00031C1D"/>
    <w:rsid w:val="00043979"/>
    <w:rsid w:val="0004645B"/>
    <w:rsid w:val="0004675F"/>
    <w:rsid w:val="00047AD1"/>
    <w:rsid w:val="00047B45"/>
    <w:rsid w:val="00047C24"/>
    <w:rsid w:val="00047FD4"/>
    <w:rsid w:val="0005169A"/>
    <w:rsid w:val="00051C8D"/>
    <w:rsid w:val="0005248A"/>
    <w:rsid w:val="00054F4D"/>
    <w:rsid w:val="00055750"/>
    <w:rsid w:val="00055F7D"/>
    <w:rsid w:val="0005622A"/>
    <w:rsid w:val="00056A6D"/>
    <w:rsid w:val="000624C4"/>
    <w:rsid w:val="00073512"/>
    <w:rsid w:val="0007535D"/>
    <w:rsid w:val="00076433"/>
    <w:rsid w:val="0007676B"/>
    <w:rsid w:val="00083A12"/>
    <w:rsid w:val="00085D6A"/>
    <w:rsid w:val="000866BE"/>
    <w:rsid w:val="00086DBA"/>
    <w:rsid w:val="00091F4B"/>
    <w:rsid w:val="000942C2"/>
    <w:rsid w:val="00094833"/>
    <w:rsid w:val="00096B16"/>
    <w:rsid w:val="000A1956"/>
    <w:rsid w:val="000A1AF0"/>
    <w:rsid w:val="000A3BB0"/>
    <w:rsid w:val="000A52BD"/>
    <w:rsid w:val="000A666D"/>
    <w:rsid w:val="000B1D67"/>
    <w:rsid w:val="000B1E8D"/>
    <w:rsid w:val="000B2E31"/>
    <w:rsid w:val="000B3844"/>
    <w:rsid w:val="000B4E35"/>
    <w:rsid w:val="000B6DF9"/>
    <w:rsid w:val="000B7F84"/>
    <w:rsid w:val="000C2321"/>
    <w:rsid w:val="000C45C6"/>
    <w:rsid w:val="000C5B4B"/>
    <w:rsid w:val="000C7233"/>
    <w:rsid w:val="000C7753"/>
    <w:rsid w:val="000C7E96"/>
    <w:rsid w:val="000D1D51"/>
    <w:rsid w:val="000D288F"/>
    <w:rsid w:val="000D2F66"/>
    <w:rsid w:val="000D6548"/>
    <w:rsid w:val="000E5D1B"/>
    <w:rsid w:val="000F0147"/>
    <w:rsid w:val="000F0C20"/>
    <w:rsid w:val="000F0DBE"/>
    <w:rsid w:val="000F581F"/>
    <w:rsid w:val="001013F5"/>
    <w:rsid w:val="00104479"/>
    <w:rsid w:val="00105DBF"/>
    <w:rsid w:val="00105F33"/>
    <w:rsid w:val="00107690"/>
    <w:rsid w:val="001123A4"/>
    <w:rsid w:val="00113E92"/>
    <w:rsid w:val="00114CC1"/>
    <w:rsid w:val="001171E7"/>
    <w:rsid w:val="00122100"/>
    <w:rsid w:val="00124218"/>
    <w:rsid w:val="001259F9"/>
    <w:rsid w:val="00131EC3"/>
    <w:rsid w:val="00135D36"/>
    <w:rsid w:val="001427C2"/>
    <w:rsid w:val="00145BEF"/>
    <w:rsid w:val="00150911"/>
    <w:rsid w:val="0015306B"/>
    <w:rsid w:val="00153A37"/>
    <w:rsid w:val="0015481F"/>
    <w:rsid w:val="00154D5D"/>
    <w:rsid w:val="00155446"/>
    <w:rsid w:val="00156AB0"/>
    <w:rsid w:val="00157A55"/>
    <w:rsid w:val="00157AA0"/>
    <w:rsid w:val="0016307A"/>
    <w:rsid w:val="00163E86"/>
    <w:rsid w:val="00166ACB"/>
    <w:rsid w:val="001708F2"/>
    <w:rsid w:val="00171171"/>
    <w:rsid w:val="001776F3"/>
    <w:rsid w:val="00181DD1"/>
    <w:rsid w:val="001822A6"/>
    <w:rsid w:val="00182E4D"/>
    <w:rsid w:val="001842EC"/>
    <w:rsid w:val="00184C05"/>
    <w:rsid w:val="00185F22"/>
    <w:rsid w:val="001867A2"/>
    <w:rsid w:val="00190878"/>
    <w:rsid w:val="001909A4"/>
    <w:rsid w:val="001929A0"/>
    <w:rsid w:val="00194D9E"/>
    <w:rsid w:val="00195664"/>
    <w:rsid w:val="001957FE"/>
    <w:rsid w:val="001A1F91"/>
    <w:rsid w:val="001A3353"/>
    <w:rsid w:val="001A611B"/>
    <w:rsid w:val="001B3032"/>
    <w:rsid w:val="001B373F"/>
    <w:rsid w:val="001B7EFA"/>
    <w:rsid w:val="001C0B11"/>
    <w:rsid w:val="001C16EA"/>
    <w:rsid w:val="001D1EF2"/>
    <w:rsid w:val="001D474E"/>
    <w:rsid w:val="001D7845"/>
    <w:rsid w:val="001E00D8"/>
    <w:rsid w:val="001E092A"/>
    <w:rsid w:val="001E1A87"/>
    <w:rsid w:val="001E1B4D"/>
    <w:rsid w:val="001E293C"/>
    <w:rsid w:val="001E3EC4"/>
    <w:rsid w:val="001E3ECA"/>
    <w:rsid w:val="001E592D"/>
    <w:rsid w:val="001E7504"/>
    <w:rsid w:val="001E7565"/>
    <w:rsid w:val="001F0599"/>
    <w:rsid w:val="001F0BC5"/>
    <w:rsid w:val="001F23E8"/>
    <w:rsid w:val="001F29E2"/>
    <w:rsid w:val="001F3039"/>
    <w:rsid w:val="001F3B69"/>
    <w:rsid w:val="001F7321"/>
    <w:rsid w:val="00201B79"/>
    <w:rsid w:val="00205282"/>
    <w:rsid w:val="0020619B"/>
    <w:rsid w:val="00210074"/>
    <w:rsid w:val="00213588"/>
    <w:rsid w:val="00214A30"/>
    <w:rsid w:val="002166A1"/>
    <w:rsid w:val="00216C34"/>
    <w:rsid w:val="00221EC6"/>
    <w:rsid w:val="00222906"/>
    <w:rsid w:val="00224772"/>
    <w:rsid w:val="00225C95"/>
    <w:rsid w:val="00232EF7"/>
    <w:rsid w:val="00233630"/>
    <w:rsid w:val="002339B3"/>
    <w:rsid w:val="002423DA"/>
    <w:rsid w:val="00243426"/>
    <w:rsid w:val="00245C89"/>
    <w:rsid w:val="00252BD5"/>
    <w:rsid w:val="0025534F"/>
    <w:rsid w:val="00256518"/>
    <w:rsid w:val="002566A4"/>
    <w:rsid w:val="00256C2D"/>
    <w:rsid w:val="00256C64"/>
    <w:rsid w:val="0026270F"/>
    <w:rsid w:val="00266857"/>
    <w:rsid w:val="002703DE"/>
    <w:rsid w:val="002715C0"/>
    <w:rsid w:val="00272306"/>
    <w:rsid w:val="00272987"/>
    <w:rsid w:val="0027510B"/>
    <w:rsid w:val="0027596E"/>
    <w:rsid w:val="002763AC"/>
    <w:rsid w:val="00277345"/>
    <w:rsid w:val="002836AC"/>
    <w:rsid w:val="00284AA2"/>
    <w:rsid w:val="00286551"/>
    <w:rsid w:val="00291866"/>
    <w:rsid w:val="00292578"/>
    <w:rsid w:val="00292870"/>
    <w:rsid w:val="002939FB"/>
    <w:rsid w:val="00294592"/>
    <w:rsid w:val="00295454"/>
    <w:rsid w:val="00295852"/>
    <w:rsid w:val="00297614"/>
    <w:rsid w:val="002A1B42"/>
    <w:rsid w:val="002A4497"/>
    <w:rsid w:val="002A4897"/>
    <w:rsid w:val="002A5095"/>
    <w:rsid w:val="002A5639"/>
    <w:rsid w:val="002A65A9"/>
    <w:rsid w:val="002A7284"/>
    <w:rsid w:val="002A733C"/>
    <w:rsid w:val="002A7BD9"/>
    <w:rsid w:val="002B0CCC"/>
    <w:rsid w:val="002B1D8B"/>
    <w:rsid w:val="002B316C"/>
    <w:rsid w:val="002B32FD"/>
    <w:rsid w:val="002B33D4"/>
    <w:rsid w:val="002B5CC0"/>
    <w:rsid w:val="002C1E89"/>
    <w:rsid w:val="002C3EE4"/>
    <w:rsid w:val="002D18B6"/>
    <w:rsid w:val="002D299B"/>
    <w:rsid w:val="002D3078"/>
    <w:rsid w:val="002D4F1B"/>
    <w:rsid w:val="002E1C05"/>
    <w:rsid w:val="002E6C35"/>
    <w:rsid w:val="002F2E82"/>
    <w:rsid w:val="002F5B69"/>
    <w:rsid w:val="0030116E"/>
    <w:rsid w:val="003014CA"/>
    <w:rsid w:val="003017CD"/>
    <w:rsid w:val="00301A4E"/>
    <w:rsid w:val="003027E3"/>
    <w:rsid w:val="00303C5A"/>
    <w:rsid w:val="00304F42"/>
    <w:rsid w:val="00305F8E"/>
    <w:rsid w:val="00306460"/>
    <w:rsid w:val="00306870"/>
    <w:rsid w:val="003069C2"/>
    <w:rsid w:val="00306D9E"/>
    <w:rsid w:val="0030784C"/>
    <w:rsid w:val="00310115"/>
    <w:rsid w:val="00311861"/>
    <w:rsid w:val="003130B8"/>
    <w:rsid w:val="003154FC"/>
    <w:rsid w:val="00320B8F"/>
    <w:rsid w:val="00321DBA"/>
    <w:rsid w:val="0032492E"/>
    <w:rsid w:val="00324BD7"/>
    <w:rsid w:val="00325567"/>
    <w:rsid w:val="00326DF1"/>
    <w:rsid w:val="00327C71"/>
    <w:rsid w:val="0033024E"/>
    <w:rsid w:val="00330FE2"/>
    <w:rsid w:val="00331938"/>
    <w:rsid w:val="00333362"/>
    <w:rsid w:val="003357D0"/>
    <w:rsid w:val="00337C3F"/>
    <w:rsid w:val="0034028A"/>
    <w:rsid w:val="00341A27"/>
    <w:rsid w:val="003426D9"/>
    <w:rsid w:val="003428B9"/>
    <w:rsid w:val="00343BDA"/>
    <w:rsid w:val="00345795"/>
    <w:rsid w:val="00346E0D"/>
    <w:rsid w:val="00347043"/>
    <w:rsid w:val="003478B9"/>
    <w:rsid w:val="003514F2"/>
    <w:rsid w:val="00355862"/>
    <w:rsid w:val="003578AE"/>
    <w:rsid w:val="00360AD3"/>
    <w:rsid w:val="00363928"/>
    <w:rsid w:val="00363D95"/>
    <w:rsid w:val="003641DE"/>
    <w:rsid w:val="00366A0F"/>
    <w:rsid w:val="00366EFC"/>
    <w:rsid w:val="00372C5D"/>
    <w:rsid w:val="0037302A"/>
    <w:rsid w:val="00373969"/>
    <w:rsid w:val="00380199"/>
    <w:rsid w:val="0038024C"/>
    <w:rsid w:val="00382224"/>
    <w:rsid w:val="003826E2"/>
    <w:rsid w:val="003A2783"/>
    <w:rsid w:val="003A4A9E"/>
    <w:rsid w:val="003A53BF"/>
    <w:rsid w:val="003B04FE"/>
    <w:rsid w:val="003B0B81"/>
    <w:rsid w:val="003B0BF9"/>
    <w:rsid w:val="003B15A1"/>
    <w:rsid w:val="003B1D30"/>
    <w:rsid w:val="003B2F89"/>
    <w:rsid w:val="003B2FB1"/>
    <w:rsid w:val="003B6267"/>
    <w:rsid w:val="003C11CA"/>
    <w:rsid w:val="003C137C"/>
    <w:rsid w:val="003C2041"/>
    <w:rsid w:val="003C366F"/>
    <w:rsid w:val="003C4176"/>
    <w:rsid w:val="003C4DCE"/>
    <w:rsid w:val="003C65CB"/>
    <w:rsid w:val="003C676B"/>
    <w:rsid w:val="003C773F"/>
    <w:rsid w:val="003D1061"/>
    <w:rsid w:val="003D4BFF"/>
    <w:rsid w:val="003D6546"/>
    <w:rsid w:val="003E0791"/>
    <w:rsid w:val="003E15DE"/>
    <w:rsid w:val="003E45DF"/>
    <w:rsid w:val="003E4C9D"/>
    <w:rsid w:val="003E4D12"/>
    <w:rsid w:val="003F1DA8"/>
    <w:rsid w:val="003F225C"/>
    <w:rsid w:val="003F2860"/>
    <w:rsid w:val="003F28AC"/>
    <w:rsid w:val="003F3670"/>
    <w:rsid w:val="003F3B64"/>
    <w:rsid w:val="003F41AC"/>
    <w:rsid w:val="003F4FB2"/>
    <w:rsid w:val="003F67AF"/>
    <w:rsid w:val="00400A61"/>
    <w:rsid w:val="00404248"/>
    <w:rsid w:val="00407510"/>
    <w:rsid w:val="00414E01"/>
    <w:rsid w:val="00416B3D"/>
    <w:rsid w:val="00421032"/>
    <w:rsid w:val="00423BFA"/>
    <w:rsid w:val="004250F2"/>
    <w:rsid w:val="00425300"/>
    <w:rsid w:val="004302A0"/>
    <w:rsid w:val="00430D7C"/>
    <w:rsid w:val="0043295F"/>
    <w:rsid w:val="004343B6"/>
    <w:rsid w:val="00436572"/>
    <w:rsid w:val="00436E40"/>
    <w:rsid w:val="004414CB"/>
    <w:rsid w:val="00445268"/>
    <w:rsid w:val="004454FE"/>
    <w:rsid w:val="00445E18"/>
    <w:rsid w:val="0044634C"/>
    <w:rsid w:val="004479DD"/>
    <w:rsid w:val="00452780"/>
    <w:rsid w:val="00452C05"/>
    <w:rsid w:val="00456E40"/>
    <w:rsid w:val="00457E08"/>
    <w:rsid w:val="00462697"/>
    <w:rsid w:val="00464846"/>
    <w:rsid w:val="00471F27"/>
    <w:rsid w:val="00472486"/>
    <w:rsid w:val="0047261E"/>
    <w:rsid w:val="004726BD"/>
    <w:rsid w:val="00476A96"/>
    <w:rsid w:val="0048077F"/>
    <w:rsid w:val="00480F44"/>
    <w:rsid w:val="004812AB"/>
    <w:rsid w:val="004819DA"/>
    <w:rsid w:val="004905CD"/>
    <w:rsid w:val="00491289"/>
    <w:rsid w:val="00493CD9"/>
    <w:rsid w:val="00497D6B"/>
    <w:rsid w:val="004A04B2"/>
    <w:rsid w:val="004A2B26"/>
    <w:rsid w:val="004A531A"/>
    <w:rsid w:val="004A6061"/>
    <w:rsid w:val="004A61D9"/>
    <w:rsid w:val="004A6BBB"/>
    <w:rsid w:val="004B2C4E"/>
    <w:rsid w:val="004B7F0D"/>
    <w:rsid w:val="004C43BE"/>
    <w:rsid w:val="004C5F45"/>
    <w:rsid w:val="004D0F1E"/>
    <w:rsid w:val="004D1D8B"/>
    <w:rsid w:val="004D1DAD"/>
    <w:rsid w:val="004D223E"/>
    <w:rsid w:val="004D2BB2"/>
    <w:rsid w:val="004E1226"/>
    <w:rsid w:val="004E7985"/>
    <w:rsid w:val="004F04CE"/>
    <w:rsid w:val="004F07F1"/>
    <w:rsid w:val="004F5315"/>
    <w:rsid w:val="004F5A2E"/>
    <w:rsid w:val="004F766A"/>
    <w:rsid w:val="0050178F"/>
    <w:rsid w:val="00501BA5"/>
    <w:rsid w:val="00513304"/>
    <w:rsid w:val="00513BF2"/>
    <w:rsid w:val="00513F85"/>
    <w:rsid w:val="00514DB2"/>
    <w:rsid w:val="00516A85"/>
    <w:rsid w:val="00517D9A"/>
    <w:rsid w:val="0052296E"/>
    <w:rsid w:val="00523F71"/>
    <w:rsid w:val="00525E13"/>
    <w:rsid w:val="005304E1"/>
    <w:rsid w:val="00530A55"/>
    <w:rsid w:val="00535DC7"/>
    <w:rsid w:val="00536CE4"/>
    <w:rsid w:val="00536CE7"/>
    <w:rsid w:val="005414A1"/>
    <w:rsid w:val="00542112"/>
    <w:rsid w:val="005510D3"/>
    <w:rsid w:val="00553EBA"/>
    <w:rsid w:val="00554D19"/>
    <w:rsid w:val="00564A48"/>
    <w:rsid w:val="00565B96"/>
    <w:rsid w:val="005661CF"/>
    <w:rsid w:val="00566347"/>
    <w:rsid w:val="00570338"/>
    <w:rsid w:val="00572567"/>
    <w:rsid w:val="00582847"/>
    <w:rsid w:val="0058491D"/>
    <w:rsid w:val="00585A33"/>
    <w:rsid w:val="00586E41"/>
    <w:rsid w:val="00590EB7"/>
    <w:rsid w:val="005937D6"/>
    <w:rsid w:val="0059683E"/>
    <w:rsid w:val="005971F8"/>
    <w:rsid w:val="00597756"/>
    <w:rsid w:val="005A125F"/>
    <w:rsid w:val="005A360F"/>
    <w:rsid w:val="005A66FA"/>
    <w:rsid w:val="005B320D"/>
    <w:rsid w:val="005B6988"/>
    <w:rsid w:val="005C0A16"/>
    <w:rsid w:val="005C0CE1"/>
    <w:rsid w:val="005C182A"/>
    <w:rsid w:val="005C335B"/>
    <w:rsid w:val="005C49F6"/>
    <w:rsid w:val="005C7CA3"/>
    <w:rsid w:val="005D094B"/>
    <w:rsid w:val="005D2304"/>
    <w:rsid w:val="005D3DB3"/>
    <w:rsid w:val="005E095A"/>
    <w:rsid w:val="005E1369"/>
    <w:rsid w:val="005E5AB1"/>
    <w:rsid w:val="005E6263"/>
    <w:rsid w:val="005F4565"/>
    <w:rsid w:val="006016D4"/>
    <w:rsid w:val="00602B23"/>
    <w:rsid w:val="00602FB7"/>
    <w:rsid w:val="006038A2"/>
    <w:rsid w:val="00607DC3"/>
    <w:rsid w:val="00613B05"/>
    <w:rsid w:val="00614189"/>
    <w:rsid w:val="00614474"/>
    <w:rsid w:val="00617D79"/>
    <w:rsid w:val="0062092A"/>
    <w:rsid w:val="00620DB2"/>
    <w:rsid w:val="006245DA"/>
    <w:rsid w:val="006251E2"/>
    <w:rsid w:val="00626AC0"/>
    <w:rsid w:val="00634DB7"/>
    <w:rsid w:val="00635D9E"/>
    <w:rsid w:val="00637358"/>
    <w:rsid w:val="0064150A"/>
    <w:rsid w:val="006419B9"/>
    <w:rsid w:val="00651515"/>
    <w:rsid w:val="00652A12"/>
    <w:rsid w:val="00653C89"/>
    <w:rsid w:val="00655F2C"/>
    <w:rsid w:val="006564DB"/>
    <w:rsid w:val="00657F80"/>
    <w:rsid w:val="0066440B"/>
    <w:rsid w:val="00666345"/>
    <w:rsid w:val="006664BF"/>
    <w:rsid w:val="00667F0D"/>
    <w:rsid w:val="00670F7D"/>
    <w:rsid w:val="00673813"/>
    <w:rsid w:val="006743E5"/>
    <w:rsid w:val="006770BA"/>
    <w:rsid w:val="00677518"/>
    <w:rsid w:val="00677B7D"/>
    <w:rsid w:val="00682622"/>
    <w:rsid w:val="00682CF2"/>
    <w:rsid w:val="00687295"/>
    <w:rsid w:val="006927EA"/>
    <w:rsid w:val="00692BDF"/>
    <w:rsid w:val="006971F8"/>
    <w:rsid w:val="006A2348"/>
    <w:rsid w:val="006A25DE"/>
    <w:rsid w:val="006A2882"/>
    <w:rsid w:val="006A3545"/>
    <w:rsid w:val="006A356C"/>
    <w:rsid w:val="006A3851"/>
    <w:rsid w:val="006A41C2"/>
    <w:rsid w:val="006A7278"/>
    <w:rsid w:val="006B1FE5"/>
    <w:rsid w:val="006B3351"/>
    <w:rsid w:val="006B6224"/>
    <w:rsid w:val="006C14E0"/>
    <w:rsid w:val="006C52AE"/>
    <w:rsid w:val="006C637A"/>
    <w:rsid w:val="006D07D5"/>
    <w:rsid w:val="006D107D"/>
    <w:rsid w:val="006D2E08"/>
    <w:rsid w:val="006D71A4"/>
    <w:rsid w:val="006D7BDF"/>
    <w:rsid w:val="006E1081"/>
    <w:rsid w:val="006E238B"/>
    <w:rsid w:val="006E2F02"/>
    <w:rsid w:val="006E51B7"/>
    <w:rsid w:val="006E7938"/>
    <w:rsid w:val="006F2B8E"/>
    <w:rsid w:val="006F37EB"/>
    <w:rsid w:val="006F3CD9"/>
    <w:rsid w:val="006F5505"/>
    <w:rsid w:val="006F62D1"/>
    <w:rsid w:val="006F7AA0"/>
    <w:rsid w:val="00700B3A"/>
    <w:rsid w:val="00700E70"/>
    <w:rsid w:val="00702116"/>
    <w:rsid w:val="0070250D"/>
    <w:rsid w:val="007038EE"/>
    <w:rsid w:val="0070578A"/>
    <w:rsid w:val="0070680D"/>
    <w:rsid w:val="00706AF1"/>
    <w:rsid w:val="00706EE0"/>
    <w:rsid w:val="00707D92"/>
    <w:rsid w:val="00716E70"/>
    <w:rsid w:val="00720585"/>
    <w:rsid w:val="00727B1F"/>
    <w:rsid w:val="00733C16"/>
    <w:rsid w:val="00735C3E"/>
    <w:rsid w:val="0073718D"/>
    <w:rsid w:val="00740C1F"/>
    <w:rsid w:val="00741285"/>
    <w:rsid w:val="0074183B"/>
    <w:rsid w:val="00742B50"/>
    <w:rsid w:val="00743444"/>
    <w:rsid w:val="00744625"/>
    <w:rsid w:val="007449AB"/>
    <w:rsid w:val="00744E8A"/>
    <w:rsid w:val="00750114"/>
    <w:rsid w:val="007503A6"/>
    <w:rsid w:val="00750604"/>
    <w:rsid w:val="00750BF4"/>
    <w:rsid w:val="007530D5"/>
    <w:rsid w:val="00753426"/>
    <w:rsid w:val="007540B6"/>
    <w:rsid w:val="0076132A"/>
    <w:rsid w:val="00761522"/>
    <w:rsid w:val="00761CD3"/>
    <w:rsid w:val="0076234F"/>
    <w:rsid w:val="00763BB2"/>
    <w:rsid w:val="0076444B"/>
    <w:rsid w:val="007647EB"/>
    <w:rsid w:val="0076544F"/>
    <w:rsid w:val="00766792"/>
    <w:rsid w:val="007702E6"/>
    <w:rsid w:val="00773AF6"/>
    <w:rsid w:val="00775B3B"/>
    <w:rsid w:val="00781C72"/>
    <w:rsid w:val="0078682C"/>
    <w:rsid w:val="007932FE"/>
    <w:rsid w:val="00795F71"/>
    <w:rsid w:val="007A29EE"/>
    <w:rsid w:val="007B13CF"/>
    <w:rsid w:val="007B3C6A"/>
    <w:rsid w:val="007B6D83"/>
    <w:rsid w:val="007B7090"/>
    <w:rsid w:val="007C1934"/>
    <w:rsid w:val="007C38F2"/>
    <w:rsid w:val="007C3930"/>
    <w:rsid w:val="007C3DA2"/>
    <w:rsid w:val="007C60A9"/>
    <w:rsid w:val="007D01F5"/>
    <w:rsid w:val="007D03DF"/>
    <w:rsid w:val="007D5CB4"/>
    <w:rsid w:val="007D6538"/>
    <w:rsid w:val="007E0BF8"/>
    <w:rsid w:val="007E438D"/>
    <w:rsid w:val="007E45FA"/>
    <w:rsid w:val="007E5F7A"/>
    <w:rsid w:val="007E73AB"/>
    <w:rsid w:val="007F0300"/>
    <w:rsid w:val="007F0A67"/>
    <w:rsid w:val="007F2BFD"/>
    <w:rsid w:val="007F374A"/>
    <w:rsid w:val="007F63BB"/>
    <w:rsid w:val="007F7E1F"/>
    <w:rsid w:val="00800148"/>
    <w:rsid w:val="00803462"/>
    <w:rsid w:val="00803A9A"/>
    <w:rsid w:val="00806E0B"/>
    <w:rsid w:val="008100AE"/>
    <w:rsid w:val="00812911"/>
    <w:rsid w:val="00812F8E"/>
    <w:rsid w:val="00813784"/>
    <w:rsid w:val="00814248"/>
    <w:rsid w:val="0081699E"/>
    <w:rsid w:val="00816C11"/>
    <w:rsid w:val="0082013E"/>
    <w:rsid w:val="00821424"/>
    <w:rsid w:val="00821E95"/>
    <w:rsid w:val="00823487"/>
    <w:rsid w:val="0082356D"/>
    <w:rsid w:val="00824344"/>
    <w:rsid w:val="00824D1B"/>
    <w:rsid w:val="008260DA"/>
    <w:rsid w:val="00830F0A"/>
    <w:rsid w:val="00833F6E"/>
    <w:rsid w:val="00834C06"/>
    <w:rsid w:val="008374C1"/>
    <w:rsid w:val="008403DD"/>
    <w:rsid w:val="00845533"/>
    <w:rsid w:val="00847E0F"/>
    <w:rsid w:val="0085234D"/>
    <w:rsid w:val="00853579"/>
    <w:rsid w:val="00860658"/>
    <w:rsid w:val="00860DEE"/>
    <w:rsid w:val="008613B5"/>
    <w:rsid w:val="00862B42"/>
    <w:rsid w:val="00862E36"/>
    <w:rsid w:val="008631A7"/>
    <w:rsid w:val="00863C06"/>
    <w:rsid w:val="00863DD2"/>
    <w:rsid w:val="00873345"/>
    <w:rsid w:val="00873644"/>
    <w:rsid w:val="00875204"/>
    <w:rsid w:val="008756C7"/>
    <w:rsid w:val="008802FC"/>
    <w:rsid w:val="008814CF"/>
    <w:rsid w:val="008815FD"/>
    <w:rsid w:val="00881986"/>
    <w:rsid w:val="00883CDE"/>
    <w:rsid w:val="00891AD8"/>
    <w:rsid w:val="0089225B"/>
    <w:rsid w:val="00892FDC"/>
    <w:rsid w:val="00893608"/>
    <w:rsid w:val="00894C55"/>
    <w:rsid w:val="00897AE9"/>
    <w:rsid w:val="008A04DB"/>
    <w:rsid w:val="008A0768"/>
    <w:rsid w:val="008A1122"/>
    <w:rsid w:val="008A1452"/>
    <w:rsid w:val="008A7DBC"/>
    <w:rsid w:val="008B411B"/>
    <w:rsid w:val="008C2512"/>
    <w:rsid w:val="008C50EC"/>
    <w:rsid w:val="008D1BA2"/>
    <w:rsid w:val="008D4D68"/>
    <w:rsid w:val="008D5F4D"/>
    <w:rsid w:val="008E5577"/>
    <w:rsid w:val="008E6B4E"/>
    <w:rsid w:val="008F2D8A"/>
    <w:rsid w:val="008F337D"/>
    <w:rsid w:val="008F6724"/>
    <w:rsid w:val="009049DD"/>
    <w:rsid w:val="0090521B"/>
    <w:rsid w:val="009060D7"/>
    <w:rsid w:val="00907DFC"/>
    <w:rsid w:val="00910F7B"/>
    <w:rsid w:val="009169E0"/>
    <w:rsid w:val="0092294B"/>
    <w:rsid w:val="00924572"/>
    <w:rsid w:val="00925213"/>
    <w:rsid w:val="00925676"/>
    <w:rsid w:val="0093156D"/>
    <w:rsid w:val="00931D75"/>
    <w:rsid w:val="00935CB3"/>
    <w:rsid w:val="009373C6"/>
    <w:rsid w:val="00937BEB"/>
    <w:rsid w:val="00942E58"/>
    <w:rsid w:val="0094373F"/>
    <w:rsid w:val="00944A2B"/>
    <w:rsid w:val="00951131"/>
    <w:rsid w:val="009514EB"/>
    <w:rsid w:val="00957BFD"/>
    <w:rsid w:val="00961765"/>
    <w:rsid w:val="00965F78"/>
    <w:rsid w:val="00972405"/>
    <w:rsid w:val="00974C2C"/>
    <w:rsid w:val="00980373"/>
    <w:rsid w:val="009812CB"/>
    <w:rsid w:val="00981670"/>
    <w:rsid w:val="0098384B"/>
    <w:rsid w:val="0098462E"/>
    <w:rsid w:val="00992AF9"/>
    <w:rsid w:val="00995685"/>
    <w:rsid w:val="00996150"/>
    <w:rsid w:val="00997D07"/>
    <w:rsid w:val="009A153C"/>
    <w:rsid w:val="009A2654"/>
    <w:rsid w:val="009A3B99"/>
    <w:rsid w:val="009A5927"/>
    <w:rsid w:val="009B6654"/>
    <w:rsid w:val="009C001B"/>
    <w:rsid w:val="009C1B4C"/>
    <w:rsid w:val="009C2928"/>
    <w:rsid w:val="009C3640"/>
    <w:rsid w:val="009C46A9"/>
    <w:rsid w:val="009C4A78"/>
    <w:rsid w:val="009C5AEE"/>
    <w:rsid w:val="009D3FB6"/>
    <w:rsid w:val="009E12EC"/>
    <w:rsid w:val="009E6D2C"/>
    <w:rsid w:val="009E788D"/>
    <w:rsid w:val="009E7BD0"/>
    <w:rsid w:val="009F1EAE"/>
    <w:rsid w:val="009F22A4"/>
    <w:rsid w:val="009F28F7"/>
    <w:rsid w:val="009F2B6D"/>
    <w:rsid w:val="009F5970"/>
    <w:rsid w:val="00A0351F"/>
    <w:rsid w:val="00A05FB9"/>
    <w:rsid w:val="00A07825"/>
    <w:rsid w:val="00A10D22"/>
    <w:rsid w:val="00A10FA1"/>
    <w:rsid w:val="00A10FC3"/>
    <w:rsid w:val="00A11CF1"/>
    <w:rsid w:val="00A11DF5"/>
    <w:rsid w:val="00A12755"/>
    <w:rsid w:val="00A140B7"/>
    <w:rsid w:val="00A14561"/>
    <w:rsid w:val="00A16298"/>
    <w:rsid w:val="00A17330"/>
    <w:rsid w:val="00A17A61"/>
    <w:rsid w:val="00A17B19"/>
    <w:rsid w:val="00A206EB"/>
    <w:rsid w:val="00A21E85"/>
    <w:rsid w:val="00A2329B"/>
    <w:rsid w:val="00A23BFC"/>
    <w:rsid w:val="00A23F2A"/>
    <w:rsid w:val="00A25FB4"/>
    <w:rsid w:val="00A2697D"/>
    <w:rsid w:val="00A26C8D"/>
    <w:rsid w:val="00A3288B"/>
    <w:rsid w:val="00A331C2"/>
    <w:rsid w:val="00A374F9"/>
    <w:rsid w:val="00A376C2"/>
    <w:rsid w:val="00A416F2"/>
    <w:rsid w:val="00A4604B"/>
    <w:rsid w:val="00A46837"/>
    <w:rsid w:val="00A524A0"/>
    <w:rsid w:val="00A57674"/>
    <w:rsid w:val="00A6073E"/>
    <w:rsid w:val="00A63AAE"/>
    <w:rsid w:val="00A640D4"/>
    <w:rsid w:val="00A64175"/>
    <w:rsid w:val="00A66D9A"/>
    <w:rsid w:val="00A676F4"/>
    <w:rsid w:val="00A72A86"/>
    <w:rsid w:val="00A7436F"/>
    <w:rsid w:val="00A8152D"/>
    <w:rsid w:val="00A90C84"/>
    <w:rsid w:val="00A93374"/>
    <w:rsid w:val="00A96D51"/>
    <w:rsid w:val="00AA08A4"/>
    <w:rsid w:val="00AA79B9"/>
    <w:rsid w:val="00AB5891"/>
    <w:rsid w:val="00AB7CDC"/>
    <w:rsid w:val="00AC0430"/>
    <w:rsid w:val="00AC2295"/>
    <w:rsid w:val="00AC2E1E"/>
    <w:rsid w:val="00AC4F4A"/>
    <w:rsid w:val="00AD001C"/>
    <w:rsid w:val="00AD1073"/>
    <w:rsid w:val="00AD1B71"/>
    <w:rsid w:val="00AD3E70"/>
    <w:rsid w:val="00AD5908"/>
    <w:rsid w:val="00AD74A2"/>
    <w:rsid w:val="00AE5567"/>
    <w:rsid w:val="00AF1239"/>
    <w:rsid w:val="00AF5C3E"/>
    <w:rsid w:val="00AF5C7A"/>
    <w:rsid w:val="00AF627D"/>
    <w:rsid w:val="00AF67B7"/>
    <w:rsid w:val="00AF6C36"/>
    <w:rsid w:val="00B03EC4"/>
    <w:rsid w:val="00B05359"/>
    <w:rsid w:val="00B06EAD"/>
    <w:rsid w:val="00B072E5"/>
    <w:rsid w:val="00B07D63"/>
    <w:rsid w:val="00B11D0E"/>
    <w:rsid w:val="00B127F3"/>
    <w:rsid w:val="00B14159"/>
    <w:rsid w:val="00B15C2D"/>
    <w:rsid w:val="00B16230"/>
    <w:rsid w:val="00B16480"/>
    <w:rsid w:val="00B2165C"/>
    <w:rsid w:val="00B23EAD"/>
    <w:rsid w:val="00B24146"/>
    <w:rsid w:val="00B27BE6"/>
    <w:rsid w:val="00B27E97"/>
    <w:rsid w:val="00B306E1"/>
    <w:rsid w:val="00B322A8"/>
    <w:rsid w:val="00B334A7"/>
    <w:rsid w:val="00B33F29"/>
    <w:rsid w:val="00B424DB"/>
    <w:rsid w:val="00B445F7"/>
    <w:rsid w:val="00B44B04"/>
    <w:rsid w:val="00B45638"/>
    <w:rsid w:val="00B45899"/>
    <w:rsid w:val="00B5161E"/>
    <w:rsid w:val="00B5672D"/>
    <w:rsid w:val="00B601A1"/>
    <w:rsid w:val="00B61EF1"/>
    <w:rsid w:val="00B62C23"/>
    <w:rsid w:val="00B63FC9"/>
    <w:rsid w:val="00B64001"/>
    <w:rsid w:val="00B66715"/>
    <w:rsid w:val="00B667B6"/>
    <w:rsid w:val="00B73215"/>
    <w:rsid w:val="00B747D5"/>
    <w:rsid w:val="00B756B0"/>
    <w:rsid w:val="00B75A66"/>
    <w:rsid w:val="00B76574"/>
    <w:rsid w:val="00B766D7"/>
    <w:rsid w:val="00B81CB8"/>
    <w:rsid w:val="00B820A9"/>
    <w:rsid w:val="00B82F63"/>
    <w:rsid w:val="00B83DF3"/>
    <w:rsid w:val="00B85299"/>
    <w:rsid w:val="00B87D5C"/>
    <w:rsid w:val="00B93D0B"/>
    <w:rsid w:val="00B93DA5"/>
    <w:rsid w:val="00B94265"/>
    <w:rsid w:val="00B95279"/>
    <w:rsid w:val="00B95941"/>
    <w:rsid w:val="00B96577"/>
    <w:rsid w:val="00B96CCA"/>
    <w:rsid w:val="00BA0A8D"/>
    <w:rsid w:val="00BA20AA"/>
    <w:rsid w:val="00BA3DBD"/>
    <w:rsid w:val="00BA5DBD"/>
    <w:rsid w:val="00BA6EA4"/>
    <w:rsid w:val="00BB1A50"/>
    <w:rsid w:val="00BB37F2"/>
    <w:rsid w:val="00BB4DC2"/>
    <w:rsid w:val="00BB53C0"/>
    <w:rsid w:val="00BB614C"/>
    <w:rsid w:val="00BC0F9D"/>
    <w:rsid w:val="00BC14FE"/>
    <w:rsid w:val="00BC1631"/>
    <w:rsid w:val="00BC29D9"/>
    <w:rsid w:val="00BC4366"/>
    <w:rsid w:val="00BD1307"/>
    <w:rsid w:val="00BD2382"/>
    <w:rsid w:val="00BD4425"/>
    <w:rsid w:val="00BD55F1"/>
    <w:rsid w:val="00BE280E"/>
    <w:rsid w:val="00BE2812"/>
    <w:rsid w:val="00BE2BBB"/>
    <w:rsid w:val="00BE51F4"/>
    <w:rsid w:val="00BE7F20"/>
    <w:rsid w:val="00BF10F9"/>
    <w:rsid w:val="00BF5FC4"/>
    <w:rsid w:val="00BF6447"/>
    <w:rsid w:val="00BF7734"/>
    <w:rsid w:val="00BF7D80"/>
    <w:rsid w:val="00C022B3"/>
    <w:rsid w:val="00C022DE"/>
    <w:rsid w:val="00C038BB"/>
    <w:rsid w:val="00C043CF"/>
    <w:rsid w:val="00C04B54"/>
    <w:rsid w:val="00C06CCF"/>
    <w:rsid w:val="00C14CF2"/>
    <w:rsid w:val="00C20017"/>
    <w:rsid w:val="00C2321D"/>
    <w:rsid w:val="00C23827"/>
    <w:rsid w:val="00C25B49"/>
    <w:rsid w:val="00C264D4"/>
    <w:rsid w:val="00C30A33"/>
    <w:rsid w:val="00C31349"/>
    <w:rsid w:val="00C313FD"/>
    <w:rsid w:val="00C37155"/>
    <w:rsid w:val="00C37DEB"/>
    <w:rsid w:val="00C4067F"/>
    <w:rsid w:val="00C4169C"/>
    <w:rsid w:val="00C4242F"/>
    <w:rsid w:val="00C436D2"/>
    <w:rsid w:val="00C45743"/>
    <w:rsid w:val="00C536A9"/>
    <w:rsid w:val="00C5572A"/>
    <w:rsid w:val="00C573D1"/>
    <w:rsid w:val="00C605AE"/>
    <w:rsid w:val="00C61C0C"/>
    <w:rsid w:val="00C62A07"/>
    <w:rsid w:val="00C62A69"/>
    <w:rsid w:val="00C63D28"/>
    <w:rsid w:val="00C65E6B"/>
    <w:rsid w:val="00C67B38"/>
    <w:rsid w:val="00C73806"/>
    <w:rsid w:val="00C755AF"/>
    <w:rsid w:val="00C7668D"/>
    <w:rsid w:val="00C76EF2"/>
    <w:rsid w:val="00C80564"/>
    <w:rsid w:val="00C82D3D"/>
    <w:rsid w:val="00C83122"/>
    <w:rsid w:val="00C85A3F"/>
    <w:rsid w:val="00C85DCD"/>
    <w:rsid w:val="00C85F75"/>
    <w:rsid w:val="00C8656E"/>
    <w:rsid w:val="00C874EB"/>
    <w:rsid w:val="00C913B5"/>
    <w:rsid w:val="00C93CBC"/>
    <w:rsid w:val="00C94C24"/>
    <w:rsid w:val="00C94FDA"/>
    <w:rsid w:val="00CA25AF"/>
    <w:rsid w:val="00CA3F11"/>
    <w:rsid w:val="00CA7014"/>
    <w:rsid w:val="00CB0CD1"/>
    <w:rsid w:val="00CB5597"/>
    <w:rsid w:val="00CB6EA9"/>
    <w:rsid w:val="00CB748C"/>
    <w:rsid w:val="00CB7F5A"/>
    <w:rsid w:val="00CC0D2D"/>
    <w:rsid w:val="00CC1354"/>
    <w:rsid w:val="00CC47D9"/>
    <w:rsid w:val="00CC6BBD"/>
    <w:rsid w:val="00CD1125"/>
    <w:rsid w:val="00CD1743"/>
    <w:rsid w:val="00CD677A"/>
    <w:rsid w:val="00CE04BF"/>
    <w:rsid w:val="00CE22B4"/>
    <w:rsid w:val="00CE29BC"/>
    <w:rsid w:val="00CE33AC"/>
    <w:rsid w:val="00CE4513"/>
    <w:rsid w:val="00CE46E9"/>
    <w:rsid w:val="00CE492D"/>
    <w:rsid w:val="00CE4935"/>
    <w:rsid w:val="00CE53BC"/>
    <w:rsid w:val="00CE5657"/>
    <w:rsid w:val="00CE68A0"/>
    <w:rsid w:val="00CF0D8E"/>
    <w:rsid w:val="00CF1B95"/>
    <w:rsid w:val="00CF31C2"/>
    <w:rsid w:val="00CF4519"/>
    <w:rsid w:val="00D00A66"/>
    <w:rsid w:val="00D01061"/>
    <w:rsid w:val="00D01C27"/>
    <w:rsid w:val="00D02B1F"/>
    <w:rsid w:val="00D0777C"/>
    <w:rsid w:val="00D11459"/>
    <w:rsid w:val="00D11AE0"/>
    <w:rsid w:val="00D133F8"/>
    <w:rsid w:val="00D14A3E"/>
    <w:rsid w:val="00D20502"/>
    <w:rsid w:val="00D23EE3"/>
    <w:rsid w:val="00D31735"/>
    <w:rsid w:val="00D34151"/>
    <w:rsid w:val="00D3699D"/>
    <w:rsid w:val="00D41500"/>
    <w:rsid w:val="00D45437"/>
    <w:rsid w:val="00D47FCD"/>
    <w:rsid w:val="00D5005C"/>
    <w:rsid w:val="00D501D4"/>
    <w:rsid w:val="00D50F5E"/>
    <w:rsid w:val="00D52268"/>
    <w:rsid w:val="00D52D1A"/>
    <w:rsid w:val="00D566F4"/>
    <w:rsid w:val="00D60A4D"/>
    <w:rsid w:val="00D60DB2"/>
    <w:rsid w:val="00D63AFF"/>
    <w:rsid w:val="00D66350"/>
    <w:rsid w:val="00D72220"/>
    <w:rsid w:val="00D72BE6"/>
    <w:rsid w:val="00D72FD7"/>
    <w:rsid w:val="00D74B10"/>
    <w:rsid w:val="00D77D9F"/>
    <w:rsid w:val="00D80647"/>
    <w:rsid w:val="00D82422"/>
    <w:rsid w:val="00D829A8"/>
    <w:rsid w:val="00D82BD9"/>
    <w:rsid w:val="00D82DBE"/>
    <w:rsid w:val="00D830A2"/>
    <w:rsid w:val="00D87732"/>
    <w:rsid w:val="00D90BA0"/>
    <w:rsid w:val="00D91923"/>
    <w:rsid w:val="00D927EA"/>
    <w:rsid w:val="00D96E80"/>
    <w:rsid w:val="00D97241"/>
    <w:rsid w:val="00DA0C1C"/>
    <w:rsid w:val="00DA4097"/>
    <w:rsid w:val="00DA65A6"/>
    <w:rsid w:val="00DB0B64"/>
    <w:rsid w:val="00DB2C0F"/>
    <w:rsid w:val="00DB3BEC"/>
    <w:rsid w:val="00DB5340"/>
    <w:rsid w:val="00DC17CA"/>
    <w:rsid w:val="00DC2EEE"/>
    <w:rsid w:val="00DC3DEE"/>
    <w:rsid w:val="00DC7117"/>
    <w:rsid w:val="00DD261E"/>
    <w:rsid w:val="00DD699F"/>
    <w:rsid w:val="00DD73B1"/>
    <w:rsid w:val="00DE0E76"/>
    <w:rsid w:val="00DE1416"/>
    <w:rsid w:val="00DE2C8E"/>
    <w:rsid w:val="00DE4F77"/>
    <w:rsid w:val="00DE5FF0"/>
    <w:rsid w:val="00DE65CA"/>
    <w:rsid w:val="00DE7CA8"/>
    <w:rsid w:val="00DF138A"/>
    <w:rsid w:val="00DF25E8"/>
    <w:rsid w:val="00DF3922"/>
    <w:rsid w:val="00DF3E15"/>
    <w:rsid w:val="00E001FE"/>
    <w:rsid w:val="00E02B0E"/>
    <w:rsid w:val="00E0402A"/>
    <w:rsid w:val="00E04210"/>
    <w:rsid w:val="00E04907"/>
    <w:rsid w:val="00E04E26"/>
    <w:rsid w:val="00E1046F"/>
    <w:rsid w:val="00E151F5"/>
    <w:rsid w:val="00E163E8"/>
    <w:rsid w:val="00E21CEF"/>
    <w:rsid w:val="00E24BD6"/>
    <w:rsid w:val="00E251BA"/>
    <w:rsid w:val="00E25E77"/>
    <w:rsid w:val="00E33366"/>
    <w:rsid w:val="00E33899"/>
    <w:rsid w:val="00E33D58"/>
    <w:rsid w:val="00E357BF"/>
    <w:rsid w:val="00E358BA"/>
    <w:rsid w:val="00E35F9B"/>
    <w:rsid w:val="00E363A8"/>
    <w:rsid w:val="00E36525"/>
    <w:rsid w:val="00E366A7"/>
    <w:rsid w:val="00E3716B"/>
    <w:rsid w:val="00E37208"/>
    <w:rsid w:val="00E37804"/>
    <w:rsid w:val="00E41DA3"/>
    <w:rsid w:val="00E41FCE"/>
    <w:rsid w:val="00E43315"/>
    <w:rsid w:val="00E44A17"/>
    <w:rsid w:val="00E462BB"/>
    <w:rsid w:val="00E46DB4"/>
    <w:rsid w:val="00E513A2"/>
    <w:rsid w:val="00E5323B"/>
    <w:rsid w:val="00E54CEE"/>
    <w:rsid w:val="00E56F1B"/>
    <w:rsid w:val="00E6021B"/>
    <w:rsid w:val="00E61002"/>
    <w:rsid w:val="00E652A3"/>
    <w:rsid w:val="00E6706D"/>
    <w:rsid w:val="00E677A0"/>
    <w:rsid w:val="00E776F0"/>
    <w:rsid w:val="00E8142B"/>
    <w:rsid w:val="00E81C6B"/>
    <w:rsid w:val="00E8732A"/>
    <w:rsid w:val="00E8749E"/>
    <w:rsid w:val="00E87595"/>
    <w:rsid w:val="00E90C01"/>
    <w:rsid w:val="00E9150A"/>
    <w:rsid w:val="00E933C2"/>
    <w:rsid w:val="00E94842"/>
    <w:rsid w:val="00E95F57"/>
    <w:rsid w:val="00E9794A"/>
    <w:rsid w:val="00EA096E"/>
    <w:rsid w:val="00EA1A9B"/>
    <w:rsid w:val="00EA1BDF"/>
    <w:rsid w:val="00EA1CC1"/>
    <w:rsid w:val="00EA486E"/>
    <w:rsid w:val="00EA6DCF"/>
    <w:rsid w:val="00EB02F9"/>
    <w:rsid w:val="00EB42A7"/>
    <w:rsid w:val="00EB6CB4"/>
    <w:rsid w:val="00EB7B54"/>
    <w:rsid w:val="00EC04FD"/>
    <w:rsid w:val="00EC0AA6"/>
    <w:rsid w:val="00EC2153"/>
    <w:rsid w:val="00EC45BD"/>
    <w:rsid w:val="00EC5A1F"/>
    <w:rsid w:val="00EC6F58"/>
    <w:rsid w:val="00EC7653"/>
    <w:rsid w:val="00ED323C"/>
    <w:rsid w:val="00ED36F5"/>
    <w:rsid w:val="00ED6A24"/>
    <w:rsid w:val="00ED7483"/>
    <w:rsid w:val="00EE3BF6"/>
    <w:rsid w:val="00EE705C"/>
    <w:rsid w:val="00EE7BBC"/>
    <w:rsid w:val="00EF0DF7"/>
    <w:rsid w:val="00EF6F55"/>
    <w:rsid w:val="00EF7155"/>
    <w:rsid w:val="00F01086"/>
    <w:rsid w:val="00F05343"/>
    <w:rsid w:val="00F218F5"/>
    <w:rsid w:val="00F22115"/>
    <w:rsid w:val="00F228A1"/>
    <w:rsid w:val="00F25593"/>
    <w:rsid w:val="00F25789"/>
    <w:rsid w:val="00F31DD1"/>
    <w:rsid w:val="00F332E6"/>
    <w:rsid w:val="00F35BF8"/>
    <w:rsid w:val="00F35C75"/>
    <w:rsid w:val="00F35CBA"/>
    <w:rsid w:val="00F40D47"/>
    <w:rsid w:val="00F40F26"/>
    <w:rsid w:val="00F410F3"/>
    <w:rsid w:val="00F500C1"/>
    <w:rsid w:val="00F50350"/>
    <w:rsid w:val="00F51258"/>
    <w:rsid w:val="00F51B82"/>
    <w:rsid w:val="00F525ED"/>
    <w:rsid w:val="00F57B0C"/>
    <w:rsid w:val="00F62F8B"/>
    <w:rsid w:val="00F63079"/>
    <w:rsid w:val="00F63B67"/>
    <w:rsid w:val="00F67387"/>
    <w:rsid w:val="00F70103"/>
    <w:rsid w:val="00F7115F"/>
    <w:rsid w:val="00F73776"/>
    <w:rsid w:val="00F77363"/>
    <w:rsid w:val="00F809D9"/>
    <w:rsid w:val="00F8340F"/>
    <w:rsid w:val="00F86F09"/>
    <w:rsid w:val="00F9061C"/>
    <w:rsid w:val="00F9243C"/>
    <w:rsid w:val="00F9510E"/>
    <w:rsid w:val="00F97AC1"/>
    <w:rsid w:val="00FA0088"/>
    <w:rsid w:val="00FA494F"/>
    <w:rsid w:val="00FA7111"/>
    <w:rsid w:val="00FB1F04"/>
    <w:rsid w:val="00FB2001"/>
    <w:rsid w:val="00FB3AF7"/>
    <w:rsid w:val="00FB69C5"/>
    <w:rsid w:val="00FC2F48"/>
    <w:rsid w:val="00FC461B"/>
    <w:rsid w:val="00FC6E5D"/>
    <w:rsid w:val="00FD04BB"/>
    <w:rsid w:val="00FD0DF7"/>
    <w:rsid w:val="00FE384B"/>
    <w:rsid w:val="00FE4A44"/>
    <w:rsid w:val="00FE4E31"/>
    <w:rsid w:val="00FE522D"/>
    <w:rsid w:val="00FF080C"/>
    <w:rsid w:val="00FF2BBD"/>
    <w:rsid w:val="00FF35F0"/>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8DE5F"/>
  <w15:docId w15:val="{1AF761F0-C6A6-453A-ADA8-5B1CDE5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B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rFonts w:eastAsia="Times New Roman" w:cs="Times New Roman"/>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rsid w:val="003F28AC"/>
    <w:rPr>
      <w:rFonts w:ascii="Tahoma" w:hAnsi="Tahoma" w:cs="Tahoma"/>
      <w:sz w:val="16"/>
      <w:szCs w:val="16"/>
    </w:rPr>
  </w:style>
  <w:style w:type="paragraph" w:styleId="NoSpacing">
    <w:name w:val="No Spacing"/>
    <w:uiPriority w:val="1"/>
    <w:qFormat/>
    <w:rsid w:val="00256C64"/>
    <w:pPr>
      <w:spacing w:after="0" w:line="240" w:lineRule="auto"/>
    </w:pPr>
  </w:style>
  <w:style w:type="paragraph" w:customStyle="1" w:styleId="Default">
    <w:name w:val="Default"/>
    <w:rsid w:val="00BA0A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9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061"/>
    <w:rPr>
      <w:sz w:val="16"/>
      <w:szCs w:val="16"/>
    </w:rPr>
  </w:style>
  <w:style w:type="paragraph" w:styleId="CommentText">
    <w:name w:val="annotation text"/>
    <w:basedOn w:val="Normal"/>
    <w:link w:val="CommentTextChar"/>
    <w:uiPriority w:val="99"/>
    <w:unhideWhenUsed/>
    <w:rsid w:val="00D01061"/>
    <w:rPr>
      <w:sz w:val="20"/>
      <w:szCs w:val="20"/>
    </w:rPr>
  </w:style>
  <w:style w:type="character" w:customStyle="1" w:styleId="CommentTextChar">
    <w:name w:val="Comment Text Char"/>
    <w:basedOn w:val="DefaultParagraphFont"/>
    <w:link w:val="CommentText"/>
    <w:uiPriority w:val="99"/>
    <w:rsid w:val="00D01061"/>
    <w:rPr>
      <w:sz w:val="20"/>
      <w:szCs w:val="20"/>
    </w:rPr>
  </w:style>
  <w:style w:type="paragraph" w:styleId="CommentSubject">
    <w:name w:val="annotation subject"/>
    <w:basedOn w:val="CommentText"/>
    <w:next w:val="CommentText"/>
    <w:link w:val="CommentSubjectChar"/>
    <w:uiPriority w:val="99"/>
    <w:semiHidden/>
    <w:unhideWhenUsed/>
    <w:rsid w:val="00D01061"/>
    <w:rPr>
      <w:b/>
      <w:bCs/>
    </w:rPr>
  </w:style>
  <w:style w:type="character" w:customStyle="1" w:styleId="CommentSubjectChar">
    <w:name w:val="Comment Subject Char"/>
    <w:basedOn w:val="CommentTextChar"/>
    <w:link w:val="CommentSubject"/>
    <w:uiPriority w:val="99"/>
    <w:semiHidden/>
    <w:rsid w:val="00D01061"/>
    <w:rPr>
      <w:b/>
      <w:bCs/>
      <w:sz w:val="20"/>
      <w:szCs w:val="20"/>
    </w:rPr>
  </w:style>
  <w:style w:type="paragraph" w:styleId="ListParagraph">
    <w:name w:val="List Paragraph"/>
    <w:aliases w:val="2,Akapit z listą BS,H&amp;P List Paragraph,Strip"/>
    <w:basedOn w:val="Normal"/>
    <w:link w:val="ListParagraphChar"/>
    <w:uiPriority w:val="34"/>
    <w:qFormat/>
    <w:rsid w:val="00D45437"/>
    <w:pPr>
      <w:ind w:left="720"/>
      <w:contextualSpacing/>
    </w:pPr>
  </w:style>
  <w:style w:type="paragraph" w:styleId="FootnoteText">
    <w:name w:val="footnote text"/>
    <w:aliases w:val="Footnote,Fußnote,Fußnote Rakstz. Rakstz.,Fußnote Rakstz. Rakstz. R,Fußnote Rakstz. Rakstz. Rakstz. Rakstz. Rakstz.,Char Char Char Char Char Char Rakstz. Rakstz. Char Char Rakstz. Rakstz.,Fußnote Char Char Char Char Char Char,Fußnote Char"/>
    <w:basedOn w:val="Normal"/>
    <w:link w:val="FootnoteTextChar"/>
    <w:uiPriority w:val="99"/>
    <w:rsid w:val="00A66D9A"/>
    <w:pPr>
      <w:jc w:val="both"/>
    </w:pPr>
    <w:rPr>
      <w:rFonts w:eastAsia="Times New Roman" w:cs="Times New Roman"/>
      <w:sz w:val="20"/>
      <w:szCs w:val="20"/>
    </w:rPr>
  </w:style>
  <w:style w:type="character" w:customStyle="1" w:styleId="FootnoteTextChar">
    <w:name w:val="Footnote Text Char"/>
    <w:aliases w:val="Footnote Char,Fußnote Char1,Fußnote Rakstz. Rakstz. Char,Fußnote Rakstz. Rakstz. R Char,Fußnote Rakstz. Rakstz. Rakstz. Rakstz. Rakstz. Char,Char Char Char Char Char Char Rakstz. Rakstz. Char Char Rakstz. Rakstz. Char"/>
    <w:basedOn w:val="DefaultParagraphFont"/>
    <w:link w:val="FootnoteText"/>
    <w:uiPriority w:val="99"/>
    <w:rsid w:val="00A66D9A"/>
    <w:rPr>
      <w:rFonts w:ascii="Times New Roman" w:eastAsia="Times New Roman" w:hAnsi="Times New Roman" w:cs="Times New Roman"/>
      <w:sz w:val="20"/>
      <w:szCs w:val="20"/>
    </w:rPr>
  </w:style>
  <w:style w:type="character" w:styleId="FootnoteReference">
    <w:name w:val="footnote reference"/>
    <w:aliases w:val="Footnote Reference Number,Footnote symbol,SUPERS"/>
    <w:uiPriority w:val="99"/>
    <w:rsid w:val="00A66D9A"/>
    <w:rPr>
      <w:rFonts w:ascii="Times New Roman" w:hAnsi="Times New Roman"/>
      <w:vertAlign w:val="superscript"/>
    </w:rPr>
  </w:style>
  <w:style w:type="paragraph" w:styleId="BodyTextIndent">
    <w:name w:val="Body Text Indent"/>
    <w:basedOn w:val="Normal"/>
    <w:link w:val="BodyTextIndentChar"/>
    <w:uiPriority w:val="99"/>
    <w:unhideWhenUsed/>
    <w:rsid w:val="00E21CEF"/>
    <w:pPr>
      <w:spacing w:before="120" w:after="120"/>
      <w:ind w:left="283"/>
    </w:pPr>
    <w:rPr>
      <w:rFonts w:eastAsia="Times New Roman" w:cs="Times New Roman"/>
      <w:sz w:val="20"/>
      <w:szCs w:val="20"/>
    </w:rPr>
  </w:style>
  <w:style w:type="character" w:customStyle="1" w:styleId="BodyTextIndentChar">
    <w:name w:val="Body Text Indent Char"/>
    <w:basedOn w:val="DefaultParagraphFont"/>
    <w:link w:val="BodyTextIndent"/>
    <w:uiPriority w:val="99"/>
    <w:rsid w:val="00E21CEF"/>
    <w:rPr>
      <w:rFonts w:ascii="Times New Roman" w:eastAsia="Times New Roman" w:hAnsi="Times New Roman" w:cs="Times New Roman"/>
      <w:sz w:val="20"/>
      <w:szCs w:val="20"/>
    </w:rPr>
  </w:style>
  <w:style w:type="paragraph" w:styleId="Revision">
    <w:name w:val="Revision"/>
    <w:hidden/>
    <w:uiPriority w:val="99"/>
    <w:semiHidden/>
    <w:rsid w:val="000B2E31"/>
    <w:pPr>
      <w:spacing w:after="0" w:line="240" w:lineRule="auto"/>
    </w:pPr>
  </w:style>
  <w:style w:type="paragraph" w:styleId="NormalWeb">
    <w:name w:val="Normal (Web)"/>
    <w:basedOn w:val="Normal"/>
    <w:uiPriority w:val="99"/>
    <w:unhideWhenUsed/>
    <w:rsid w:val="00E9794A"/>
    <w:rPr>
      <w:rFonts w:cs="Times New Roman"/>
      <w:szCs w:val="24"/>
      <w:lang w:eastAsia="lv-LV"/>
    </w:rPr>
  </w:style>
  <w:style w:type="paragraph" w:styleId="BodyText">
    <w:name w:val="Body Text"/>
    <w:basedOn w:val="Normal"/>
    <w:link w:val="BodyTextChar"/>
    <w:uiPriority w:val="99"/>
    <w:semiHidden/>
    <w:unhideWhenUsed/>
    <w:rsid w:val="00833F6E"/>
    <w:pPr>
      <w:spacing w:after="120"/>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833F6E"/>
    <w:rPr>
      <w:rFonts w:ascii="Times New Roman" w:eastAsia="Times New Roman" w:hAnsi="Times New Roman" w:cs="Times New Roman"/>
      <w:sz w:val="24"/>
      <w:szCs w:val="24"/>
      <w:lang w:eastAsia="lv-LV"/>
    </w:rPr>
  </w:style>
  <w:style w:type="paragraph" w:customStyle="1" w:styleId="c01pointnumerotealtn">
    <w:name w:val="c01pointnumerotealtn"/>
    <w:basedOn w:val="Normal"/>
    <w:rsid w:val="00E001FE"/>
    <w:pPr>
      <w:spacing w:before="100" w:beforeAutospacing="1" w:after="240"/>
      <w:ind w:left="567" w:hanging="539"/>
      <w:jc w:val="both"/>
    </w:pPr>
    <w:rPr>
      <w:rFonts w:eastAsia="Times New Roman" w:cs="Times New Roman"/>
      <w:szCs w:val="24"/>
      <w:lang w:eastAsia="lv-LV"/>
    </w:rPr>
  </w:style>
  <w:style w:type="paragraph" w:styleId="EndnoteText">
    <w:name w:val="endnote text"/>
    <w:basedOn w:val="Normal"/>
    <w:link w:val="EndnoteTextChar"/>
    <w:uiPriority w:val="99"/>
    <w:semiHidden/>
    <w:unhideWhenUsed/>
    <w:rsid w:val="00F809D9"/>
    <w:rPr>
      <w:sz w:val="20"/>
      <w:szCs w:val="20"/>
    </w:rPr>
  </w:style>
  <w:style w:type="character" w:customStyle="1" w:styleId="EndnoteTextChar">
    <w:name w:val="Endnote Text Char"/>
    <w:basedOn w:val="DefaultParagraphFont"/>
    <w:link w:val="EndnoteText"/>
    <w:uiPriority w:val="99"/>
    <w:semiHidden/>
    <w:rsid w:val="00F809D9"/>
    <w:rPr>
      <w:rFonts w:ascii="Times New Roman" w:hAnsi="Times New Roman"/>
      <w:sz w:val="20"/>
      <w:szCs w:val="20"/>
    </w:rPr>
  </w:style>
  <w:style w:type="character" w:styleId="EndnoteReference">
    <w:name w:val="endnote reference"/>
    <w:basedOn w:val="DefaultParagraphFont"/>
    <w:uiPriority w:val="99"/>
    <w:semiHidden/>
    <w:unhideWhenUsed/>
    <w:rsid w:val="00F809D9"/>
    <w:rPr>
      <w:vertAlign w:val="superscript"/>
    </w:rPr>
  </w:style>
  <w:style w:type="character" w:customStyle="1" w:styleId="st">
    <w:name w:val="st"/>
    <w:rsid w:val="006664BF"/>
  </w:style>
  <w:style w:type="character" w:styleId="Emphasis">
    <w:name w:val="Emphasis"/>
    <w:basedOn w:val="DefaultParagraphFont"/>
    <w:uiPriority w:val="20"/>
    <w:qFormat/>
    <w:rsid w:val="006664BF"/>
    <w:rPr>
      <w:i/>
      <w:iCs/>
    </w:rPr>
  </w:style>
  <w:style w:type="paragraph" w:customStyle="1" w:styleId="naiskr">
    <w:name w:val="naiskr"/>
    <w:basedOn w:val="Normal"/>
    <w:rsid w:val="00614474"/>
    <w:pPr>
      <w:spacing w:before="75" w:after="75"/>
    </w:pPr>
    <w:rPr>
      <w:rFonts w:eastAsia="Times New Roman" w:cs="Times New Roman"/>
      <w:szCs w:val="24"/>
      <w:lang w:eastAsia="lv-LV"/>
    </w:rPr>
  </w:style>
  <w:style w:type="character" w:customStyle="1" w:styleId="ListParagraphChar">
    <w:name w:val="List Paragraph Char"/>
    <w:aliases w:val="2 Char,Akapit z listą BS Char,H&amp;P List Paragraph Char,Strip Char"/>
    <w:link w:val="ListParagraph"/>
    <w:uiPriority w:val="34"/>
    <w:locked/>
    <w:rsid w:val="0061447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557">
      <w:bodyDiv w:val="1"/>
      <w:marLeft w:val="0"/>
      <w:marRight w:val="0"/>
      <w:marTop w:val="0"/>
      <w:marBottom w:val="0"/>
      <w:divBdr>
        <w:top w:val="none" w:sz="0" w:space="0" w:color="auto"/>
        <w:left w:val="none" w:sz="0" w:space="0" w:color="auto"/>
        <w:bottom w:val="none" w:sz="0" w:space="0" w:color="auto"/>
        <w:right w:val="none" w:sz="0" w:space="0" w:color="auto"/>
      </w:divBdr>
    </w:div>
    <w:div w:id="14956324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4924759">
      <w:bodyDiv w:val="1"/>
      <w:marLeft w:val="0"/>
      <w:marRight w:val="0"/>
      <w:marTop w:val="0"/>
      <w:marBottom w:val="0"/>
      <w:divBdr>
        <w:top w:val="none" w:sz="0" w:space="0" w:color="auto"/>
        <w:left w:val="none" w:sz="0" w:space="0" w:color="auto"/>
        <w:bottom w:val="none" w:sz="0" w:space="0" w:color="auto"/>
        <w:right w:val="none" w:sz="0" w:space="0" w:color="auto"/>
      </w:divBdr>
    </w:div>
    <w:div w:id="433549844">
      <w:bodyDiv w:val="1"/>
      <w:marLeft w:val="0"/>
      <w:marRight w:val="0"/>
      <w:marTop w:val="0"/>
      <w:marBottom w:val="0"/>
      <w:divBdr>
        <w:top w:val="none" w:sz="0" w:space="0" w:color="auto"/>
        <w:left w:val="none" w:sz="0" w:space="0" w:color="auto"/>
        <w:bottom w:val="none" w:sz="0" w:space="0" w:color="auto"/>
        <w:right w:val="none" w:sz="0" w:space="0" w:color="auto"/>
      </w:divBdr>
    </w:div>
    <w:div w:id="680814054">
      <w:bodyDiv w:val="1"/>
      <w:marLeft w:val="0"/>
      <w:marRight w:val="0"/>
      <w:marTop w:val="0"/>
      <w:marBottom w:val="0"/>
      <w:divBdr>
        <w:top w:val="none" w:sz="0" w:space="0" w:color="auto"/>
        <w:left w:val="none" w:sz="0" w:space="0" w:color="auto"/>
        <w:bottom w:val="none" w:sz="0" w:space="0" w:color="auto"/>
        <w:right w:val="none" w:sz="0" w:space="0" w:color="auto"/>
      </w:divBdr>
    </w:div>
    <w:div w:id="717317008">
      <w:bodyDiv w:val="1"/>
      <w:marLeft w:val="0"/>
      <w:marRight w:val="0"/>
      <w:marTop w:val="0"/>
      <w:marBottom w:val="0"/>
      <w:divBdr>
        <w:top w:val="none" w:sz="0" w:space="0" w:color="auto"/>
        <w:left w:val="none" w:sz="0" w:space="0" w:color="auto"/>
        <w:bottom w:val="none" w:sz="0" w:space="0" w:color="auto"/>
        <w:right w:val="none" w:sz="0" w:space="0" w:color="auto"/>
      </w:divBdr>
    </w:div>
    <w:div w:id="844395394">
      <w:bodyDiv w:val="1"/>
      <w:marLeft w:val="0"/>
      <w:marRight w:val="0"/>
      <w:marTop w:val="0"/>
      <w:marBottom w:val="0"/>
      <w:divBdr>
        <w:top w:val="none" w:sz="0" w:space="0" w:color="auto"/>
        <w:left w:val="none" w:sz="0" w:space="0" w:color="auto"/>
        <w:bottom w:val="none" w:sz="0" w:space="0" w:color="auto"/>
        <w:right w:val="none" w:sz="0" w:space="0" w:color="auto"/>
      </w:divBdr>
    </w:div>
    <w:div w:id="851066111">
      <w:bodyDiv w:val="1"/>
      <w:marLeft w:val="0"/>
      <w:marRight w:val="0"/>
      <w:marTop w:val="0"/>
      <w:marBottom w:val="0"/>
      <w:divBdr>
        <w:top w:val="none" w:sz="0" w:space="0" w:color="auto"/>
        <w:left w:val="none" w:sz="0" w:space="0" w:color="auto"/>
        <w:bottom w:val="none" w:sz="0" w:space="0" w:color="auto"/>
        <w:right w:val="none" w:sz="0" w:space="0" w:color="auto"/>
      </w:divBdr>
    </w:div>
    <w:div w:id="138664104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6091711">
      <w:bodyDiv w:val="1"/>
      <w:marLeft w:val="0"/>
      <w:marRight w:val="0"/>
      <w:marTop w:val="0"/>
      <w:marBottom w:val="0"/>
      <w:divBdr>
        <w:top w:val="none" w:sz="0" w:space="0" w:color="auto"/>
        <w:left w:val="none" w:sz="0" w:space="0" w:color="auto"/>
        <w:bottom w:val="none" w:sz="0" w:space="0" w:color="auto"/>
        <w:right w:val="none" w:sz="0" w:space="0" w:color="auto"/>
      </w:divBdr>
    </w:div>
    <w:div w:id="1525825704">
      <w:bodyDiv w:val="1"/>
      <w:marLeft w:val="0"/>
      <w:marRight w:val="0"/>
      <w:marTop w:val="0"/>
      <w:marBottom w:val="0"/>
      <w:divBdr>
        <w:top w:val="none" w:sz="0" w:space="0" w:color="auto"/>
        <w:left w:val="none" w:sz="0" w:space="0" w:color="auto"/>
        <w:bottom w:val="none" w:sz="0" w:space="0" w:color="auto"/>
        <w:right w:val="none" w:sz="0" w:space="0" w:color="auto"/>
      </w:divBdr>
    </w:div>
    <w:div w:id="1851947217">
      <w:bodyDiv w:val="1"/>
      <w:marLeft w:val="0"/>
      <w:marRight w:val="0"/>
      <w:marTop w:val="0"/>
      <w:marBottom w:val="0"/>
      <w:divBdr>
        <w:top w:val="none" w:sz="0" w:space="0" w:color="auto"/>
        <w:left w:val="none" w:sz="0" w:space="0" w:color="auto"/>
        <w:bottom w:val="none" w:sz="0" w:space="0" w:color="auto"/>
        <w:right w:val="none" w:sz="0" w:space="0" w:color="auto"/>
      </w:divBdr>
    </w:div>
    <w:div w:id="2116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gov.lv/lv/ministru-kabineta-diskusiju-doku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doc/2020_12/FMANOT_271120_DRN%5b1%5d.23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O. Bogdanova (NASIPD)</Vad_x012b_t_x0101_js>
    <Kategorija xmlns="2e5bb04e-596e-45bd-9003-43ca78b1ba16">Anotācija</Kategorija>
    <NPK xmlns="b6da864e-06a3-40ee-a61e-0cd067b16413">3</NPK>
    <DKP xmlns="2e5bb04e-596e-45bd-9003-43ca78b1ba16" xsi:nil="true"/>
  </documentManagement>
</p:properties>
</file>

<file path=customXml/itemProps1.xml><?xml version="1.0" encoding="utf-8"?>
<ds:datastoreItem xmlns:ds="http://schemas.openxmlformats.org/officeDocument/2006/customXml" ds:itemID="{D9244599-7C0B-4176-BCB0-D4936D66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64D47-56B8-4699-B352-46BD0D1B9DC3}">
  <ds:schemaRefs>
    <ds:schemaRef ds:uri="http://schemas.openxmlformats.org/officeDocument/2006/bibliography"/>
  </ds:schemaRefs>
</ds:datastoreItem>
</file>

<file path=customXml/itemProps3.xml><?xml version="1.0" encoding="utf-8"?>
<ds:datastoreItem xmlns:ds="http://schemas.openxmlformats.org/officeDocument/2006/customXml" ds:itemID="{E9CB4EA5-5F1F-4C5A-9F29-F1175C524D37}">
  <ds:schemaRefs>
    <ds:schemaRef ds:uri="http://schemas.microsoft.com/sharepoint/v3/contenttype/forms"/>
  </ds:schemaRefs>
</ds:datastoreItem>
</file>

<file path=customXml/itemProps4.xml><?xml version="1.0" encoding="utf-8"?>
<ds:datastoreItem xmlns:ds="http://schemas.openxmlformats.org/officeDocument/2006/customXml" ds:itemID="{06356CD9-5F63-4E2E-8E07-DD66CFE39EA1}">
  <ds:schemaRefs>
    <ds:schemaRef ds:uri="http://schemas.microsoft.com/office/2006/metadata/properties"/>
    <ds:schemaRef ds:uri="http://schemas.microsoft.com/office/infopath/2007/PartnerControls"/>
    <ds:schemaRef ds:uri="http://purl.org/dc/elements/1.1/"/>
    <ds:schemaRef ds:uri="http://purl.org/dc/dcmitype/"/>
    <ds:schemaRef ds:uri="b6da864e-06a3-40ee-a61e-0cd067b16413"/>
    <ds:schemaRef ds:uri="http://purl.org/dc/terms/"/>
    <ds:schemaRef ds:uri="http://www.w3.org/XML/1998/namespace"/>
    <ds:schemaRef ds:uri="http://schemas.microsoft.com/office/2006/documentManagement/types"/>
    <ds:schemaRef ds:uri="http://schemas.openxmlformats.org/package/2006/metadata/core-properties"/>
    <ds:schemaRef ds:uri="2e5bb04e-596e-45bd-9003-43ca78b1ba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5538</Words>
  <Characters>3157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“Grozījums Ministru kabineta 2018.gada 30.oktobra noteikumos Nr.661 “Kārtība, kādā maksā nodokļus, nodevas, citus valsts noteiktos maksājumus un ar tiem saistītos maksājumus un novirza tos saistību segšanai”” sākotnējā</vt:lpstr>
      <vt:lpstr>likumprojekta "Grozījumi likumā "Par nodokļiem un nodevām"" sākotnējās ietekmes novērtējuma ziņojums (anotācija)</vt:lpstr>
    </vt:vector>
  </TitlesOfParts>
  <Company>Finanšu ministrija</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2018.gada 30.oktobra noteikumos Nr.661 “Kārtība, kādā maksā nodokļus, nodevas, citus valsts noteiktos maksājumus un ar tiem saistītos maksājumus un novirza tos saistību segšanai”” sākotnējā</dc:title>
  <dc:subject>Anotācija</dc:subject>
  <dc:creator>K. Voiniča (NASIPD)</dc:creator>
  <dc:description>67095567, kristine.voinica@fm.gov.lv</dc:description>
  <cp:lastModifiedBy>Inguna Dancīte</cp:lastModifiedBy>
  <cp:revision>2</cp:revision>
  <cp:lastPrinted>2019-08-01T09:07:00Z</cp:lastPrinted>
  <dcterms:created xsi:type="dcterms:W3CDTF">2021-02-08T07:48:00Z</dcterms:created>
  <dcterms:modified xsi:type="dcterms:W3CDTF">2021-02-08T07:48:00Z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